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385590A7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6A324154" w14:textId="77777777" w:rsidR="002D5AAC" w:rsidRDefault="002D5AAC" w:rsidP="008B350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25012E06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394F7558" w14:textId="697B9B34" w:rsidR="002D5AAC" w:rsidRDefault="008B350A" w:rsidP="008B350A">
            <w:pPr>
              <w:jc w:val="right"/>
            </w:pPr>
            <w:r w:rsidRPr="008B350A">
              <w:rPr>
                <w:sz w:val="40"/>
              </w:rPr>
              <w:t>ECE</w:t>
            </w:r>
            <w:r>
              <w:t>/TRANS/WP.15/AC.2/2025/12</w:t>
            </w:r>
          </w:p>
        </w:tc>
      </w:tr>
      <w:tr w:rsidR="002D5AAC" w:rsidRPr="008B350A" w14:paraId="376589A0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59B2EC9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52A9C1CB" wp14:editId="557C6B93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D5E9FDF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4E88E5BD" w14:textId="77777777" w:rsidR="002D5AAC" w:rsidRDefault="008B350A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73950234" w14:textId="77777777" w:rsidR="008B350A" w:rsidRDefault="008B350A" w:rsidP="008B350A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13 November 2024</w:t>
            </w:r>
          </w:p>
          <w:p w14:paraId="7B4DD97D" w14:textId="77777777" w:rsidR="008B350A" w:rsidRDefault="008B350A" w:rsidP="008B350A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62281975" w14:textId="5BBBE90A" w:rsidR="008B350A" w:rsidRPr="008D53B6" w:rsidRDefault="008B350A" w:rsidP="008B350A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4D5D9D16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1BE67FC5" w14:textId="77777777" w:rsidR="008B350A" w:rsidRPr="008B350A" w:rsidRDefault="008B350A" w:rsidP="008B350A">
      <w:pPr>
        <w:spacing w:before="120"/>
        <w:rPr>
          <w:sz w:val="28"/>
          <w:szCs w:val="28"/>
        </w:rPr>
      </w:pPr>
      <w:r w:rsidRPr="008B350A">
        <w:rPr>
          <w:sz w:val="28"/>
          <w:szCs w:val="28"/>
        </w:rPr>
        <w:t>Комитет по внутреннему транспорту</w:t>
      </w:r>
    </w:p>
    <w:p w14:paraId="74C06029" w14:textId="77777777" w:rsidR="008B350A" w:rsidRPr="008B350A" w:rsidRDefault="008B350A" w:rsidP="008B350A">
      <w:pPr>
        <w:spacing w:before="120"/>
        <w:rPr>
          <w:b/>
          <w:sz w:val="24"/>
          <w:szCs w:val="24"/>
        </w:rPr>
      </w:pPr>
      <w:r w:rsidRPr="008B350A">
        <w:rPr>
          <w:b/>
          <w:bCs/>
          <w:sz w:val="24"/>
          <w:szCs w:val="24"/>
        </w:rPr>
        <w:t>Рабочая группа по перевозкам опасных грузов</w:t>
      </w:r>
    </w:p>
    <w:p w14:paraId="1335FC8F" w14:textId="242DC8D0" w:rsidR="008B350A" w:rsidRPr="00664204" w:rsidRDefault="008B350A" w:rsidP="008B350A">
      <w:pPr>
        <w:spacing w:before="120"/>
        <w:rPr>
          <w:b/>
        </w:rPr>
      </w:pPr>
      <w:r>
        <w:rPr>
          <w:b/>
          <w:bCs/>
        </w:rPr>
        <w:t xml:space="preserve">Совместное совещание экспертов по Правилам, </w:t>
      </w:r>
      <w:r>
        <w:rPr>
          <w:b/>
          <w:bCs/>
          <w:lang w:val="en-US"/>
        </w:rPr>
        <w:br/>
      </w:r>
      <w:r>
        <w:rPr>
          <w:b/>
          <w:bCs/>
        </w:rPr>
        <w:t xml:space="preserve">прилагаемым к Европейскому соглашению </w:t>
      </w:r>
      <w:r>
        <w:rPr>
          <w:b/>
          <w:bCs/>
          <w:lang w:val="en-US"/>
        </w:rPr>
        <w:br/>
      </w:r>
      <w:r>
        <w:rPr>
          <w:b/>
          <w:bCs/>
        </w:rPr>
        <w:t xml:space="preserve">о международной перевозке опасных грузов </w:t>
      </w:r>
      <w:r>
        <w:rPr>
          <w:b/>
          <w:bCs/>
          <w:lang w:val="en-US"/>
        </w:rPr>
        <w:br/>
      </w:r>
      <w:r>
        <w:rPr>
          <w:b/>
          <w:bCs/>
        </w:rPr>
        <w:t xml:space="preserve">по внутренним водным путям (ВОПОГ) </w:t>
      </w:r>
      <w:r>
        <w:rPr>
          <w:b/>
          <w:bCs/>
          <w:lang w:val="en-US"/>
        </w:rPr>
        <w:br/>
      </w:r>
      <w:r>
        <w:rPr>
          <w:b/>
          <w:bCs/>
        </w:rPr>
        <w:t>(Комитет по вопросам безопасности ВОПОГ)</w:t>
      </w:r>
      <w:bookmarkStart w:id="0" w:name="_Hlk182216420"/>
      <w:bookmarkEnd w:id="0"/>
    </w:p>
    <w:p w14:paraId="1926B093" w14:textId="77777777" w:rsidR="008B350A" w:rsidRPr="00664204" w:rsidRDefault="008B350A" w:rsidP="008B350A">
      <w:pPr>
        <w:spacing w:before="120"/>
        <w:rPr>
          <w:b/>
        </w:rPr>
      </w:pPr>
      <w:r>
        <w:rPr>
          <w:b/>
          <w:bCs/>
        </w:rPr>
        <w:t>Сорок пятая сессия</w:t>
      </w:r>
    </w:p>
    <w:p w14:paraId="7C50BAD6" w14:textId="77777777" w:rsidR="008B350A" w:rsidRDefault="008B350A" w:rsidP="008B350A">
      <w:r>
        <w:t>Женева, 27–31 января 2025 года</w:t>
      </w:r>
    </w:p>
    <w:p w14:paraId="401C8FDD" w14:textId="77777777" w:rsidR="008B350A" w:rsidRPr="00664204" w:rsidRDefault="008B350A" w:rsidP="008B350A">
      <w:r>
        <w:t>Пункт 5 b) предварительной повестки дня</w:t>
      </w:r>
    </w:p>
    <w:p w14:paraId="6B34F50D" w14:textId="117224DA" w:rsidR="008B350A" w:rsidRPr="00664204" w:rsidRDefault="008B350A" w:rsidP="008B350A">
      <w:pPr>
        <w:contextualSpacing/>
        <w:rPr>
          <w:b/>
          <w:bCs/>
        </w:rPr>
      </w:pPr>
      <w:r>
        <w:rPr>
          <w:b/>
          <w:bCs/>
        </w:rPr>
        <w:t xml:space="preserve">Предложения о внесении поправок </w:t>
      </w:r>
      <w:r w:rsidR="005F6074" w:rsidRPr="005F6074">
        <w:rPr>
          <w:b/>
          <w:bCs/>
        </w:rPr>
        <w:br/>
      </w:r>
      <w:r>
        <w:rPr>
          <w:b/>
          <w:bCs/>
        </w:rPr>
        <w:t>в Правила, прилагаемые к ВОПОГ:</w:t>
      </w:r>
      <w:r w:rsidR="005F6074" w:rsidRPr="005F6074">
        <w:rPr>
          <w:b/>
          <w:bCs/>
        </w:rPr>
        <w:t xml:space="preserve"> </w:t>
      </w:r>
      <w:r w:rsidR="005F6074" w:rsidRPr="005F6074">
        <w:rPr>
          <w:b/>
          <w:bCs/>
        </w:rPr>
        <w:br/>
      </w:r>
      <w:r>
        <w:rPr>
          <w:b/>
          <w:bCs/>
        </w:rPr>
        <w:t>другие предложения</w:t>
      </w:r>
    </w:p>
    <w:p w14:paraId="69A9F2E0" w14:textId="0B2C7220" w:rsidR="008B350A" w:rsidRPr="00664204" w:rsidRDefault="008B350A" w:rsidP="008B350A">
      <w:pPr>
        <w:pStyle w:val="HChG"/>
      </w:pPr>
      <w:r>
        <w:tab/>
      </w:r>
      <w:r>
        <w:tab/>
      </w:r>
      <w:r>
        <w:rPr>
          <w:bCs/>
        </w:rPr>
        <w:t xml:space="preserve">Предложение по поправкам к пунктам 1.4.3.3 </w:t>
      </w:r>
      <w:r w:rsidR="005F6074">
        <w:rPr>
          <w:bCs/>
          <w:lang w:val="en-US"/>
        </w:rPr>
        <w:br/>
      </w:r>
      <w:r>
        <w:rPr>
          <w:bCs/>
        </w:rPr>
        <w:t xml:space="preserve">и 1.4.3.7.1 ВОПОГ — Обязанности основных </w:t>
      </w:r>
      <w:r w:rsidR="005F6074">
        <w:rPr>
          <w:bCs/>
          <w:lang w:val="en-US"/>
        </w:rPr>
        <w:br/>
      </w:r>
      <w:r>
        <w:rPr>
          <w:bCs/>
        </w:rPr>
        <w:t>участников по</w:t>
      </w:r>
      <w:r>
        <w:rPr>
          <w:bCs/>
          <w:lang w:val="en-US"/>
        </w:rPr>
        <w:t> </w:t>
      </w:r>
      <w:r>
        <w:rPr>
          <w:bCs/>
        </w:rPr>
        <w:t>обеспечению безопасности</w:t>
      </w:r>
    </w:p>
    <w:p w14:paraId="37D75EA8" w14:textId="00850331" w:rsidR="008B350A" w:rsidRPr="008B350A" w:rsidRDefault="008B350A" w:rsidP="008B350A">
      <w:pPr>
        <w:pStyle w:val="H1G"/>
        <w:rPr>
          <w:bCs/>
        </w:rPr>
      </w:pPr>
      <w:r>
        <w:tab/>
      </w:r>
      <w:r>
        <w:tab/>
      </w:r>
      <w:r>
        <w:rPr>
          <w:bCs/>
        </w:rPr>
        <w:t>Представлено Европейским союзом речного судоходства и</w:t>
      </w:r>
      <w:r>
        <w:rPr>
          <w:bCs/>
          <w:lang w:val="en-US"/>
        </w:rPr>
        <w:t> </w:t>
      </w:r>
      <w:r>
        <w:rPr>
          <w:bCs/>
        </w:rPr>
        <w:t>Европейской организацией судоводителей (ЕСРС/ЕОС) и</w:t>
      </w:r>
      <w:r>
        <w:rPr>
          <w:bCs/>
          <w:lang w:val="en-US"/>
        </w:rPr>
        <w:t> </w:t>
      </w:r>
      <w:r>
        <w:rPr>
          <w:bCs/>
        </w:rPr>
        <w:t xml:space="preserve">Федерацией европейских ассоциаций владельцев </w:t>
      </w:r>
      <w:r w:rsidRPr="008B350A">
        <w:rPr>
          <w:bCs/>
        </w:rPr>
        <w:br/>
      </w:r>
      <w:r>
        <w:rPr>
          <w:bCs/>
        </w:rPr>
        <w:t>цистерн-хранилищ (ФЕТСА)</w:t>
      </w:r>
      <w:r w:rsidRPr="008B350A">
        <w:rPr>
          <w:rStyle w:val="aa"/>
          <w:b w:val="0"/>
          <w:bCs/>
          <w:sz w:val="20"/>
          <w:vertAlign w:val="baseline"/>
        </w:rPr>
        <w:footnoteReference w:customMarkFollows="1" w:id="1"/>
        <w:t xml:space="preserve">* </w:t>
      </w:r>
      <w:r w:rsidRPr="008B350A">
        <w:rPr>
          <w:rStyle w:val="aa"/>
          <w:b w:val="0"/>
          <w:bCs/>
          <w:sz w:val="20"/>
          <w:vertAlign w:val="baseline"/>
        </w:rPr>
        <w:footnoteReference w:customMarkFollows="1" w:id="2"/>
        <w:t>**</w:t>
      </w:r>
      <w:r w:rsidRPr="008B350A">
        <w:t xml:space="preserve"> </w:t>
      </w:r>
    </w:p>
    <w:tbl>
      <w:tblPr>
        <w:tblStyle w:val="ac"/>
        <w:tblW w:w="0" w:type="auto"/>
        <w:jc w:val="center"/>
        <w:tblBorders>
          <w:insideH w:val="none" w:sz="0" w:space="0" w:color="auto"/>
        </w:tblBorders>
        <w:tblLayout w:type="fixed"/>
        <w:tblLook w:val="05E0" w:firstRow="1" w:lastRow="1" w:firstColumn="1" w:lastColumn="1" w:noHBand="0" w:noVBand="1"/>
      </w:tblPr>
      <w:tblGrid>
        <w:gridCol w:w="9629"/>
      </w:tblGrid>
      <w:tr w:rsidR="008B350A" w14:paraId="15812E49" w14:textId="77777777" w:rsidTr="008B350A">
        <w:trPr>
          <w:jc w:val="center"/>
        </w:trPr>
        <w:tc>
          <w:tcPr>
            <w:tcW w:w="9629" w:type="dxa"/>
            <w:tcBorders>
              <w:bottom w:val="nil"/>
            </w:tcBorders>
            <w:shd w:val="clear" w:color="auto" w:fill="auto"/>
          </w:tcPr>
          <w:p w14:paraId="5C57205B" w14:textId="77777777" w:rsidR="008B350A" w:rsidRPr="008B350A" w:rsidRDefault="008B350A" w:rsidP="00631BB6">
            <w:pPr>
              <w:spacing w:before="240" w:after="120"/>
              <w:ind w:left="255"/>
              <w:rPr>
                <w:i/>
                <w:sz w:val="24"/>
                <w:szCs w:val="24"/>
              </w:rPr>
            </w:pPr>
            <w:r w:rsidRPr="008B350A">
              <w:rPr>
                <w:i/>
                <w:iCs/>
                <w:sz w:val="24"/>
                <w:szCs w:val="24"/>
              </w:rPr>
              <w:t>Резюме</w:t>
            </w:r>
          </w:p>
        </w:tc>
      </w:tr>
      <w:tr w:rsidR="008B350A" w:rsidRPr="008B350A" w14:paraId="33BEFFB8" w14:textId="77777777" w:rsidTr="008B350A">
        <w:trPr>
          <w:jc w:val="center"/>
        </w:trPr>
        <w:tc>
          <w:tcPr>
            <w:tcW w:w="9629" w:type="dxa"/>
            <w:tcBorders>
              <w:top w:val="nil"/>
              <w:bottom w:val="nil"/>
            </w:tcBorders>
            <w:shd w:val="clear" w:color="auto" w:fill="auto"/>
          </w:tcPr>
          <w:p w14:paraId="17D9573A" w14:textId="27505CA5" w:rsidR="008B350A" w:rsidRPr="00664204" w:rsidRDefault="008B350A" w:rsidP="008B350A">
            <w:pPr>
              <w:spacing w:after="120"/>
            </w:pPr>
            <w:r>
              <w:tab/>
            </w:r>
            <w:r>
              <w:rPr>
                <w:b/>
                <w:bCs/>
              </w:rPr>
              <w:t>Справочные документы</w:t>
            </w:r>
            <w:r w:rsidRPr="008B350A">
              <w:t>:</w:t>
            </w:r>
            <w:r>
              <w:tab/>
              <w:t>Неофициальный документ INF.23 тридцать первой сессии</w:t>
            </w:r>
          </w:p>
          <w:p w14:paraId="07F40219" w14:textId="77777777" w:rsidR="008B350A" w:rsidRPr="008B350A" w:rsidRDefault="008B350A" w:rsidP="008B350A">
            <w:pPr>
              <w:spacing w:after="120"/>
              <w:ind w:left="3392"/>
              <w:rPr>
                <w:i/>
                <w:iCs/>
                <w:lang w:val="en-US"/>
              </w:rPr>
            </w:pPr>
            <w:r w:rsidRPr="00664204">
              <w:rPr>
                <w:lang w:val="en-US"/>
              </w:rPr>
              <w:t>ECE/TRANS/WP.15/AC.2/64 (</w:t>
            </w:r>
            <w:r>
              <w:t>пункт</w:t>
            </w:r>
            <w:r w:rsidRPr="00664204">
              <w:rPr>
                <w:lang w:val="en-US"/>
              </w:rPr>
              <w:t xml:space="preserve"> 60)</w:t>
            </w:r>
          </w:p>
          <w:p w14:paraId="37012B23" w14:textId="77777777" w:rsidR="008B350A" w:rsidRPr="00664204" w:rsidRDefault="008B350A" w:rsidP="008B350A">
            <w:pPr>
              <w:spacing w:after="120"/>
              <w:ind w:left="3392"/>
            </w:pPr>
            <w:r>
              <w:t>Неофициальный документ INF.20 сорок первой сессии</w:t>
            </w:r>
          </w:p>
          <w:p w14:paraId="42E09E14" w14:textId="77777777" w:rsidR="008B350A" w:rsidRPr="008B350A" w:rsidRDefault="008B350A" w:rsidP="008B350A">
            <w:pPr>
              <w:spacing w:after="120"/>
              <w:ind w:left="3392"/>
              <w:rPr>
                <w:lang w:val="en-US"/>
              </w:rPr>
            </w:pPr>
            <w:r w:rsidRPr="00664204">
              <w:rPr>
                <w:lang w:val="en-US"/>
              </w:rPr>
              <w:t>ECE/TRANS/WP.15/AC.2/84 (</w:t>
            </w:r>
            <w:r>
              <w:t>пункт</w:t>
            </w:r>
            <w:r w:rsidRPr="00664204">
              <w:rPr>
                <w:lang w:val="en-US"/>
              </w:rPr>
              <w:t xml:space="preserve"> 49) </w:t>
            </w:r>
          </w:p>
          <w:p w14:paraId="3E1D403B" w14:textId="77777777" w:rsidR="008B350A" w:rsidRPr="00664204" w:rsidRDefault="008B350A" w:rsidP="008B350A">
            <w:pPr>
              <w:spacing w:after="120"/>
              <w:ind w:left="3392"/>
            </w:pPr>
            <w:r>
              <w:t>Неофициальный документ INF.20 сорок второй сессии</w:t>
            </w:r>
          </w:p>
          <w:p w14:paraId="0335DE8B" w14:textId="77777777" w:rsidR="008B350A" w:rsidRPr="008B350A" w:rsidRDefault="008B350A" w:rsidP="008B350A">
            <w:pPr>
              <w:spacing w:after="120"/>
              <w:ind w:left="3392"/>
              <w:rPr>
                <w:lang w:val="en-US"/>
              </w:rPr>
            </w:pPr>
            <w:r w:rsidRPr="00664204">
              <w:rPr>
                <w:lang w:val="en-US"/>
              </w:rPr>
              <w:t>ECE/TRANS/WP.15/AC.2/86 (</w:t>
            </w:r>
            <w:r>
              <w:t>пункты</w:t>
            </w:r>
            <w:r w:rsidRPr="00664204">
              <w:rPr>
                <w:lang w:val="en-US"/>
              </w:rPr>
              <w:t xml:space="preserve"> 67–70)</w:t>
            </w:r>
          </w:p>
          <w:p w14:paraId="44A73C6F" w14:textId="77777777" w:rsidR="008B350A" w:rsidRPr="00664204" w:rsidRDefault="008B350A" w:rsidP="008B350A">
            <w:pPr>
              <w:spacing w:after="120"/>
              <w:ind w:left="3392"/>
            </w:pPr>
            <w:r>
              <w:t>Неофициальный документ INF.25 сорок третьей сессии</w:t>
            </w:r>
          </w:p>
          <w:p w14:paraId="5EC6422B" w14:textId="77777777" w:rsidR="008B350A" w:rsidRPr="008B350A" w:rsidRDefault="008B350A" w:rsidP="008B350A">
            <w:pPr>
              <w:spacing w:after="120"/>
              <w:ind w:left="3392"/>
              <w:rPr>
                <w:lang w:val="en-US"/>
              </w:rPr>
            </w:pPr>
            <w:r w:rsidRPr="00664204">
              <w:rPr>
                <w:lang w:val="en-US"/>
              </w:rPr>
              <w:t>ECE/TRANS/WP.15/AC.2/88 (</w:t>
            </w:r>
            <w:r>
              <w:t>пункт</w:t>
            </w:r>
            <w:r w:rsidRPr="00664204">
              <w:rPr>
                <w:lang w:val="en-US"/>
              </w:rPr>
              <w:t xml:space="preserve"> 64)</w:t>
            </w:r>
          </w:p>
          <w:p w14:paraId="76E56647" w14:textId="77777777" w:rsidR="008B350A" w:rsidRPr="00664204" w:rsidRDefault="008B350A" w:rsidP="00631BB6">
            <w:pPr>
              <w:spacing w:after="120"/>
              <w:ind w:left="3392"/>
            </w:pPr>
            <w:r>
              <w:lastRenderedPageBreak/>
              <w:t>ECE/TRANS/WP.15/AC.2/2024/59</w:t>
            </w:r>
          </w:p>
          <w:p w14:paraId="599198E5" w14:textId="77777777" w:rsidR="008B350A" w:rsidRPr="00664204" w:rsidRDefault="008B350A" w:rsidP="00631BB6">
            <w:pPr>
              <w:spacing w:after="120"/>
              <w:ind w:left="3392"/>
            </w:pPr>
            <w:r>
              <w:t>Неофициальный документ INF.18 сорок четвертой сессии</w:t>
            </w:r>
          </w:p>
          <w:p w14:paraId="41A360A2" w14:textId="77777777" w:rsidR="008B350A" w:rsidRPr="008B350A" w:rsidRDefault="008B350A" w:rsidP="00631BB6">
            <w:pPr>
              <w:spacing w:after="120"/>
              <w:ind w:left="3392"/>
              <w:rPr>
                <w:lang w:val="en-US"/>
              </w:rPr>
            </w:pPr>
            <w:r w:rsidRPr="00664204">
              <w:rPr>
                <w:lang w:val="en-US"/>
              </w:rPr>
              <w:t>ECE/TRANS/WP.15/AC.2/90 (</w:t>
            </w:r>
            <w:r>
              <w:t>пункт</w:t>
            </w:r>
            <w:r w:rsidRPr="00664204">
              <w:rPr>
                <w:lang w:val="en-US"/>
              </w:rPr>
              <w:t xml:space="preserve"> 59)</w:t>
            </w:r>
          </w:p>
        </w:tc>
      </w:tr>
      <w:tr w:rsidR="008B350A" w:rsidRPr="008B350A" w14:paraId="471977D2" w14:textId="77777777" w:rsidTr="008B350A">
        <w:trPr>
          <w:jc w:val="center"/>
        </w:trPr>
        <w:tc>
          <w:tcPr>
            <w:tcW w:w="9629" w:type="dxa"/>
            <w:tcBorders>
              <w:top w:val="nil"/>
            </w:tcBorders>
            <w:shd w:val="clear" w:color="auto" w:fill="auto"/>
          </w:tcPr>
          <w:p w14:paraId="34B60CE5" w14:textId="77777777" w:rsidR="008B350A" w:rsidRDefault="008B350A" w:rsidP="00631BB6">
            <w:pPr>
              <w:spacing w:after="120"/>
            </w:pPr>
          </w:p>
        </w:tc>
      </w:tr>
    </w:tbl>
    <w:p w14:paraId="4164F9A7" w14:textId="77777777" w:rsidR="008B350A" w:rsidRPr="00664204" w:rsidRDefault="008B350A" w:rsidP="008B350A">
      <w:pPr>
        <w:pStyle w:val="HChG"/>
      </w:pPr>
      <w:r w:rsidRPr="00664204">
        <w:rPr>
          <w:lang w:val="en-US"/>
        </w:rPr>
        <w:tab/>
      </w:r>
      <w:r w:rsidRPr="00664204">
        <w:rPr>
          <w:lang w:val="en-US"/>
        </w:rPr>
        <w:tab/>
      </w:r>
      <w:r>
        <w:rPr>
          <w:bCs/>
        </w:rPr>
        <w:t>Введение</w:t>
      </w:r>
    </w:p>
    <w:p w14:paraId="59CA6444" w14:textId="7D4D2F1E" w:rsidR="008B350A" w:rsidRPr="00664204" w:rsidRDefault="008B350A" w:rsidP="008B350A">
      <w:pPr>
        <w:pStyle w:val="SingleTxtG"/>
      </w:pPr>
      <w:r>
        <w:t>1.</w:t>
      </w:r>
      <w:r>
        <w:tab/>
        <w:t>Путем представления неофициальных документов INF.23 тридцать первой сессии Комитета по вопросам безопасности, INF.20 сорок первой сессии, INF.20 сорок второй сессии, INF.25 сорок третьей сессии и документа ECE/TRANS/WP.15/AC.2/</w:t>
      </w:r>
      <w:r w:rsidR="005F6074" w:rsidRPr="005F6074">
        <w:t xml:space="preserve"> </w:t>
      </w:r>
      <w:r>
        <w:t>2024/59 ЕСРС/ЕОС привлекли внимание к проблемам, с которыми сталкиваются члены экипажа, и к тому, что в некоторых случаях загрузочные и разгрузочные рукава/шланги не (полностью/эффективно/адекватно) подвергаются осушению и/или сбросу давления перед подсоединением/отсоединением рукавов/шлангов, что неизбежно приводит к утечкам, и обсудили эти проблемы. В ряде случаев это привело к попаданию продуктов в окружающую среду и/или их воздействию на членов экипажа.</w:t>
      </w:r>
    </w:p>
    <w:p w14:paraId="4475746C" w14:textId="77777777" w:rsidR="008B350A" w:rsidRPr="00664204" w:rsidRDefault="008B350A" w:rsidP="008B350A">
      <w:pPr>
        <w:pStyle w:val="SingleTxtG"/>
      </w:pPr>
      <w:r>
        <w:t>2.</w:t>
      </w:r>
      <w:r>
        <w:tab/>
        <w:t>О</w:t>
      </w:r>
      <w:r w:rsidRPr="009B32AB">
        <w:t>трасл</w:t>
      </w:r>
      <w:r>
        <w:t>ь</w:t>
      </w:r>
      <w:r w:rsidRPr="009B32AB">
        <w:t xml:space="preserve"> баржевых перевозок</w:t>
      </w:r>
      <w:r>
        <w:t xml:space="preserve"> считает эту проблему весьма серьезной и стремится повысить уровень безопасности для выполняемых ответственными за наполнение и разгрузчиками операций по физическому подсоединению/отсоединению в качестве неотъемлемого этапа процесса перевозки.</w:t>
      </w:r>
    </w:p>
    <w:p w14:paraId="69002667" w14:textId="2ACFD7D6" w:rsidR="008B350A" w:rsidRPr="00664204" w:rsidRDefault="008B350A" w:rsidP="008B350A">
      <w:pPr>
        <w:pStyle w:val="SingleTxtG"/>
      </w:pPr>
      <w:r>
        <w:t>3.</w:t>
      </w:r>
      <w:r>
        <w:tab/>
        <w:t xml:space="preserve">В ходе сорок второй, сорок третьей и сорок четвертой сессий Комитета по вопросам безопасности ЕСРС/ЕОС предложили поправки по включению дополнительных обязанностей в перечень обязанностей участников по обеспечению безопасности </w:t>
      </w:r>
      <w:r w:rsidR="00A06263">
        <w:t>—</w:t>
      </w:r>
      <w:r>
        <w:t xml:space="preserve"> </w:t>
      </w:r>
      <w:r w:rsidR="005F6074">
        <w:t>«</w:t>
      </w:r>
      <w:r>
        <w:t>ответственного за наполнение</w:t>
      </w:r>
      <w:r w:rsidR="005F6074">
        <w:t>»</w:t>
      </w:r>
      <w:r>
        <w:t xml:space="preserve"> и </w:t>
      </w:r>
      <w:r w:rsidR="005F6074">
        <w:t>«</w:t>
      </w:r>
      <w:r>
        <w:t>разгрузчика</w:t>
      </w:r>
      <w:r w:rsidR="005F6074">
        <w:t>»</w:t>
      </w:r>
      <w:r>
        <w:t>.</w:t>
      </w:r>
    </w:p>
    <w:p w14:paraId="45CE2F16" w14:textId="77777777" w:rsidR="008B350A" w:rsidRPr="00664204" w:rsidRDefault="008B350A" w:rsidP="008B350A">
      <w:pPr>
        <w:pStyle w:val="SingleTxtG"/>
      </w:pPr>
      <w:r>
        <w:t>4.</w:t>
      </w:r>
      <w:r>
        <w:tab/>
        <w:t>Как представляется, этими двумя участниками ограничивается круг лиц в рамках ВОПОГ, которым разрешается установить соединение между берегом и судном, при этом они в первую очередь отвечают за осушение рукавов/шлангов и сброс в них давления перед процессом подсоединения/отсоединения.</w:t>
      </w:r>
    </w:p>
    <w:p w14:paraId="11F12787" w14:textId="77777777" w:rsidR="008B350A" w:rsidRPr="00664204" w:rsidRDefault="008B350A" w:rsidP="008B350A">
      <w:pPr>
        <w:pStyle w:val="SingleTxtG"/>
      </w:pPr>
      <w:r>
        <w:t>5.</w:t>
      </w:r>
      <w:r>
        <w:tab/>
        <w:t>В ходе вышеупомянутых предыдущих сессий участники обсуждения соответствующих предложений неоднократно отрицали существование данной проблемы или заявляли о том, что они с ней не сталкивались. Вместе с тем, отрасль, занимающаяся загрузкой/разгрузкой, представив на сорок четвертой сессии неофициальный документ INF.18 (ФЕТСА), также признала, что данная проблема существует, при этом она создает нежелательные и для нее ситуации.</w:t>
      </w:r>
    </w:p>
    <w:p w14:paraId="6B8612EC" w14:textId="77777777" w:rsidR="008B350A" w:rsidRPr="00664204" w:rsidRDefault="008B350A" w:rsidP="008B350A">
      <w:pPr>
        <w:pStyle w:val="SingleTxtG"/>
      </w:pPr>
      <w:r>
        <w:t>6.</w:t>
      </w:r>
      <w:r>
        <w:tab/>
        <w:t>Обсуждалось, что подходящим решением данной проблемы могла бы стать корректировка операционных процедур (на берегу и на барже) в дополнение к модификации некоторых загрузочно-разгрузочных рукавов/шлангов.</w:t>
      </w:r>
    </w:p>
    <w:p w14:paraId="1190E05F" w14:textId="7790D433" w:rsidR="008B350A" w:rsidRPr="00664204" w:rsidRDefault="008B350A" w:rsidP="008B350A">
      <w:pPr>
        <w:pStyle w:val="SingleTxtG"/>
      </w:pPr>
      <w:r>
        <w:t>7.</w:t>
      </w:r>
      <w:r>
        <w:tab/>
        <w:t xml:space="preserve">В неофициальном документе INF.18 ФЕТСА просила, с одной стороны, создать неофициальную рабочую группу под эгидой Комитета по вопросам безопасности ВОПОГ, а с другой </w:t>
      </w:r>
      <w:r w:rsidR="005F6074">
        <w:t>—</w:t>
      </w:r>
      <w:r>
        <w:t xml:space="preserve"> предоставить время для осуществления любых необходимых модификаций оборудования (на берегу) (переходные меры).</w:t>
      </w:r>
    </w:p>
    <w:p w14:paraId="7DFC6111" w14:textId="77777777" w:rsidR="008B350A" w:rsidRPr="00664204" w:rsidRDefault="008B350A" w:rsidP="008B350A">
      <w:pPr>
        <w:pStyle w:val="SingleTxtG"/>
      </w:pPr>
      <w:r>
        <w:t>8.</w:t>
      </w:r>
      <w:r>
        <w:tab/>
        <w:t>Однако оба предложения не были реализованы. Это произошло в силу того, что, с одной стороны, Комитет по вопросам безопасности ВОПОГ посчитал слишком преждевременным создание новой неофициальной рабочей группы, и, с другой стороны, в ВОПОГ в принципе не могут быть включены правила для береговых установок, а значит, невозможно предусмотреть соответствующие переходные меры.</w:t>
      </w:r>
    </w:p>
    <w:p w14:paraId="5624D118" w14:textId="7B437F5D" w:rsidR="008B350A" w:rsidRPr="00664204" w:rsidRDefault="008B350A" w:rsidP="008B350A">
      <w:pPr>
        <w:pStyle w:val="SingleTxtG"/>
      </w:pPr>
      <w:r>
        <w:t>9.</w:t>
      </w:r>
      <w:r>
        <w:tab/>
        <w:t>Было решено возобновить обсуждение этого вопроса на следующей сессии на основе нового документа, совместно подготовленного ЕСРС/ЕОС и ФЕТСА (см.</w:t>
      </w:r>
      <w:r w:rsidR="005F6074">
        <w:t> </w:t>
      </w:r>
      <w:r>
        <w:t>доклад ECE/TRANS/WP.15/AC.2/90, пункт 59).</w:t>
      </w:r>
    </w:p>
    <w:p w14:paraId="5D7672BD" w14:textId="77777777" w:rsidR="008B350A" w:rsidRPr="00664204" w:rsidRDefault="008B350A" w:rsidP="008B350A">
      <w:pPr>
        <w:pStyle w:val="SingleTxtG"/>
      </w:pPr>
      <w:r>
        <w:t>10.</w:t>
      </w:r>
      <w:r>
        <w:tab/>
        <w:t xml:space="preserve">В ходе последовавшего за этим совместного заседания выяснилось, что ФЕТСА в целом поддерживает предыдущие предложения ЕСРС/ЕОС, однако расширение </w:t>
      </w:r>
      <w:r>
        <w:lastRenderedPageBreak/>
        <w:t>круга обязанностей ответственного за наполнение и разгрузчика — это слишком далеко идущий шаг (с ее точки зрения).</w:t>
      </w:r>
    </w:p>
    <w:p w14:paraId="241CA184" w14:textId="77777777" w:rsidR="008B350A" w:rsidRPr="00664204" w:rsidRDefault="008B350A" w:rsidP="008B350A">
      <w:pPr>
        <w:pStyle w:val="SingleTxtG"/>
      </w:pPr>
      <w:r>
        <w:t>11.</w:t>
      </w:r>
      <w:r>
        <w:tab/>
        <w:t>Кроме того, есть опасения, что в отсутствие надлежащего объяснения, сопровождающего данный дополнительный вопрос для перечня обязательных проверок в области безопасности, может иметь место нежелательное и неправильное толкование ответственными за эти действия сторонами.</w:t>
      </w:r>
    </w:p>
    <w:p w14:paraId="796D0B28" w14:textId="77777777" w:rsidR="008B350A" w:rsidRPr="00664204" w:rsidRDefault="008B350A" w:rsidP="008B350A">
      <w:pPr>
        <w:pStyle w:val="SingleTxtG"/>
      </w:pPr>
      <w:r>
        <w:t>12.</w:t>
      </w:r>
      <w:r>
        <w:tab/>
        <w:t>В ходе данного совместного заседания было также установлено, что для обеспечения максимальной успешности широко поддерживаемого отраслью предложения было бы полезно заручиться поддержкой других заинтересованных сторон, в том числе «Фьюэлз-Юроп» и Европейского совета химической промышленности (ЕСХП), в качестве сторонников любого предложения, которое может быть представлено в Комитет по вопросам безопасности ВОПОГ.</w:t>
      </w:r>
    </w:p>
    <w:p w14:paraId="6752054D" w14:textId="746DE567" w:rsidR="008B350A" w:rsidRPr="00664204" w:rsidRDefault="008B350A" w:rsidP="008B350A">
      <w:pPr>
        <w:pStyle w:val="SingleTxtG"/>
      </w:pPr>
      <w:r>
        <w:t>13.</w:t>
      </w:r>
      <w:r>
        <w:tab/>
        <w:t>Такая поддержка позволила бы отрасли на более позднем этапе, но все же с соблюдением необходимых сроков, потенциально внести изменения в ВОПОГ до 2027</w:t>
      </w:r>
      <w:r w:rsidR="005F6074">
        <w:rPr>
          <w:lang w:val="en-US"/>
        </w:rPr>
        <w:t> </w:t>
      </w:r>
      <w:r>
        <w:t>года, чтобы получить необходимое одобрение делегаций Комитета по вопросам безопасности ВОПОГ.</w:t>
      </w:r>
    </w:p>
    <w:p w14:paraId="50A239E8" w14:textId="77777777" w:rsidR="008B350A" w:rsidRPr="00664204" w:rsidRDefault="008B350A" w:rsidP="008B350A">
      <w:pPr>
        <w:pStyle w:val="SingleTxtG"/>
      </w:pPr>
      <w:r>
        <w:t>14.</w:t>
      </w:r>
      <w:r>
        <w:tab/>
        <w:t>Однако было отмечено, что представители ЕСРС/ЕОС и ФЕТСА в сроки, указанные в докладе ECE/TRANS/WP.15/AC.2/90 (пункт 59), не смогут представить такое совместное предложение в сотрудничестве с другими заинтересованными сторонами к январской сессии Комитета по вопросам безопасности ВОПОГ 2025 года.</w:t>
      </w:r>
    </w:p>
    <w:p w14:paraId="7A945870" w14:textId="77777777" w:rsidR="008B350A" w:rsidRPr="00664204" w:rsidRDefault="008B350A" w:rsidP="008B350A">
      <w:pPr>
        <w:pStyle w:val="SingleTxtG"/>
      </w:pPr>
      <w:r>
        <w:t>15.</w:t>
      </w:r>
      <w:r>
        <w:tab/>
        <w:t>Настоящее сообщение можно считать обновленной информацией о ходе обсуждений, проведенных заинтересованными сторонами.</w:t>
      </w:r>
    </w:p>
    <w:p w14:paraId="2811B4C1" w14:textId="77777777" w:rsidR="008B350A" w:rsidRPr="00664204" w:rsidRDefault="008B350A" w:rsidP="008B350A">
      <w:pPr>
        <w:pStyle w:val="SingleTxtG"/>
      </w:pPr>
      <w:r>
        <w:t>16.</w:t>
      </w:r>
      <w:r>
        <w:tab/>
        <w:t>С учетом вышеизложенного его также необходимо рассматривать как просьбу о предоставлении отсрочки в отношении предыдущего предложения для рассмотрения Комитетом по вопросам безопасности ВОПОГ.</w:t>
      </w:r>
    </w:p>
    <w:p w14:paraId="4A501186" w14:textId="77777777" w:rsidR="008B350A" w:rsidRPr="00664204" w:rsidRDefault="008B350A" w:rsidP="008B350A">
      <w:pPr>
        <w:pStyle w:val="HChG"/>
      </w:pPr>
      <w:r>
        <w:tab/>
      </w:r>
      <w:r>
        <w:tab/>
      </w:r>
      <w:r>
        <w:rPr>
          <w:bCs/>
        </w:rPr>
        <w:t>Цели в области устойчивого развития (ЦУР)</w:t>
      </w:r>
    </w:p>
    <w:p w14:paraId="7CBD3178" w14:textId="77777777" w:rsidR="008B350A" w:rsidRPr="00664204" w:rsidRDefault="008B350A" w:rsidP="008B350A">
      <w:pPr>
        <w:pStyle w:val="SingleTxtG"/>
      </w:pPr>
      <w:r>
        <w:t>17.</w:t>
      </w:r>
      <w:r>
        <w:tab/>
        <w:t>Это предложение можно увязать со следующими ЦУР: охрана здоровья и повышение уровня благополучия работников (ЦУР 3); обеспечение достойных условий труда (ЦУР 8). Необходимо предотвращать утечки в окружающую среду, в связи с чем настоящий документ связан также с целями обеспечения доступа к чистой воде (ЦУР 6) и сохранения водных экосистем (ЦУР 14).</w:t>
      </w:r>
    </w:p>
    <w:p w14:paraId="011FC91A" w14:textId="77777777" w:rsidR="008B350A" w:rsidRPr="00664204" w:rsidRDefault="008B350A" w:rsidP="008B350A">
      <w:pPr>
        <w:spacing w:before="240"/>
        <w:jc w:val="center"/>
        <w:rPr>
          <w:u w:val="single"/>
        </w:rPr>
      </w:pPr>
      <w:r w:rsidRPr="00664204">
        <w:rPr>
          <w:u w:val="single"/>
        </w:rPr>
        <w:tab/>
      </w:r>
      <w:r w:rsidRPr="00664204">
        <w:rPr>
          <w:u w:val="single"/>
        </w:rPr>
        <w:tab/>
      </w:r>
      <w:r w:rsidRPr="00664204">
        <w:rPr>
          <w:u w:val="single"/>
        </w:rPr>
        <w:tab/>
      </w:r>
    </w:p>
    <w:p w14:paraId="3B728B57" w14:textId="77777777" w:rsidR="008B350A" w:rsidRPr="00664204" w:rsidRDefault="008B350A" w:rsidP="008B350A"/>
    <w:p w14:paraId="380BA208" w14:textId="77777777" w:rsidR="00E12C5F" w:rsidRPr="008D53B6" w:rsidRDefault="00E12C5F" w:rsidP="00D9145B"/>
    <w:sectPr w:rsidR="00E12C5F" w:rsidRPr="008D53B6" w:rsidSect="008B350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BEA5" w14:textId="77777777" w:rsidR="006128ED" w:rsidRPr="00A312BC" w:rsidRDefault="006128ED" w:rsidP="00A312BC"/>
  </w:endnote>
  <w:endnote w:type="continuationSeparator" w:id="0">
    <w:p w14:paraId="3FE99C7C" w14:textId="77777777" w:rsidR="006128ED" w:rsidRPr="00A312BC" w:rsidRDefault="006128ED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A519" w14:textId="34B64B9A" w:rsidR="008B350A" w:rsidRPr="008B350A" w:rsidRDefault="008B350A">
    <w:pPr>
      <w:pStyle w:val="a8"/>
    </w:pPr>
    <w:r w:rsidRPr="008B350A">
      <w:rPr>
        <w:b/>
        <w:sz w:val="18"/>
      </w:rPr>
      <w:fldChar w:fldCharType="begin"/>
    </w:r>
    <w:r w:rsidRPr="008B350A">
      <w:rPr>
        <w:b/>
        <w:sz w:val="18"/>
      </w:rPr>
      <w:instrText xml:space="preserve"> PAGE  \* MERGEFORMAT </w:instrText>
    </w:r>
    <w:r w:rsidRPr="008B350A">
      <w:rPr>
        <w:b/>
        <w:sz w:val="18"/>
      </w:rPr>
      <w:fldChar w:fldCharType="separate"/>
    </w:r>
    <w:r w:rsidRPr="008B350A">
      <w:rPr>
        <w:b/>
        <w:noProof/>
        <w:sz w:val="18"/>
      </w:rPr>
      <w:t>2</w:t>
    </w:r>
    <w:r w:rsidRPr="008B350A">
      <w:rPr>
        <w:b/>
        <w:sz w:val="18"/>
      </w:rPr>
      <w:fldChar w:fldCharType="end"/>
    </w:r>
    <w:r>
      <w:rPr>
        <w:b/>
        <w:sz w:val="18"/>
      </w:rPr>
      <w:tab/>
    </w:r>
    <w:r>
      <w:t>GE.24-21055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B36C" w14:textId="5CBDA873" w:rsidR="008B350A" w:rsidRPr="008B350A" w:rsidRDefault="008B350A" w:rsidP="008B350A">
    <w:pPr>
      <w:pStyle w:val="a8"/>
      <w:tabs>
        <w:tab w:val="clear" w:pos="9639"/>
        <w:tab w:val="right" w:pos="9638"/>
      </w:tabs>
      <w:rPr>
        <w:b/>
        <w:sz w:val="18"/>
      </w:rPr>
    </w:pPr>
    <w:r>
      <w:t>GE.24-21055</w:t>
    </w:r>
    <w:r>
      <w:tab/>
    </w:r>
    <w:r w:rsidRPr="008B350A">
      <w:rPr>
        <w:b/>
        <w:sz w:val="18"/>
      </w:rPr>
      <w:fldChar w:fldCharType="begin"/>
    </w:r>
    <w:r w:rsidRPr="008B350A">
      <w:rPr>
        <w:b/>
        <w:sz w:val="18"/>
      </w:rPr>
      <w:instrText xml:space="preserve"> PAGE  \* MERGEFORMAT </w:instrText>
    </w:r>
    <w:r w:rsidRPr="008B350A">
      <w:rPr>
        <w:b/>
        <w:sz w:val="18"/>
      </w:rPr>
      <w:fldChar w:fldCharType="separate"/>
    </w:r>
    <w:r w:rsidRPr="008B350A">
      <w:rPr>
        <w:b/>
        <w:noProof/>
        <w:sz w:val="18"/>
      </w:rPr>
      <w:t>3</w:t>
    </w:r>
    <w:r w:rsidRPr="008B350A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60F8" w14:textId="687A498F" w:rsidR="00042B72" w:rsidRPr="008B350A" w:rsidRDefault="008B350A" w:rsidP="008B350A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4BD6F758" wp14:editId="2FAD101D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24-21055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1EAD49A1" wp14:editId="2245EEC9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211124  221124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D6A6" w14:textId="77777777" w:rsidR="006128ED" w:rsidRPr="001075E9" w:rsidRDefault="006128ED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407F0DE" w14:textId="77777777" w:rsidR="006128ED" w:rsidRDefault="006128ED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3458587B" w14:textId="77777777" w:rsidR="008B350A" w:rsidRPr="00664204" w:rsidRDefault="008B350A" w:rsidP="008B350A">
      <w:pPr>
        <w:pStyle w:val="ad"/>
      </w:pPr>
      <w:r>
        <w:tab/>
      </w:r>
      <w:r w:rsidRPr="008B350A">
        <w:rPr>
          <w:sz w:val="20"/>
        </w:rPr>
        <w:t>*</w:t>
      </w:r>
      <w:r>
        <w:tab/>
        <w:t>Распространено на немецком языке Центральной комиссией судоходства по Рейну под условным обозначением CCNR-ZKR/ADN/WP.15/AC.2/2025/12.</w:t>
      </w:r>
    </w:p>
  </w:footnote>
  <w:footnote w:id="2">
    <w:p w14:paraId="3C473DC0" w14:textId="77777777" w:rsidR="008B350A" w:rsidRPr="00391731" w:rsidRDefault="008B350A" w:rsidP="008B350A">
      <w:pPr>
        <w:pStyle w:val="ad"/>
      </w:pPr>
      <w:r>
        <w:tab/>
      </w:r>
      <w:r w:rsidRPr="008B350A">
        <w:rPr>
          <w:sz w:val="20"/>
        </w:rPr>
        <w:t>**</w:t>
      </w:r>
      <w:r>
        <w:tab/>
        <w:t>A/79/6 (разд. 20), таблица 20.6.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3CB8" w14:textId="5E3998F0" w:rsidR="008B350A" w:rsidRPr="008B350A" w:rsidRDefault="008B350A">
    <w:pPr>
      <w:pStyle w:val="a5"/>
    </w:pPr>
    <w:fldSimple w:instr=" TITLE  \* MERGEFORMAT ">
      <w:r w:rsidR="00A06263">
        <w:t>ECE/TRANS/WP.15/AC.2/2025/12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7211" w14:textId="23A4BEB1" w:rsidR="008B350A" w:rsidRPr="008B350A" w:rsidRDefault="008B350A" w:rsidP="008B350A">
    <w:pPr>
      <w:pStyle w:val="a5"/>
      <w:jc w:val="right"/>
    </w:pPr>
    <w:fldSimple w:instr=" TITLE  \* MERGEFORMAT ">
      <w:r w:rsidR="00A06263">
        <w:t>ECE/TRANS/WP.15/AC.2/2025/12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7"/>
  </w:num>
  <w:num w:numId="2" w16cid:durableId="966817556">
    <w:abstractNumId w:val="12"/>
  </w:num>
  <w:num w:numId="3" w16cid:durableId="1816291531">
    <w:abstractNumId w:val="11"/>
  </w:num>
  <w:num w:numId="4" w16cid:durableId="1492480875">
    <w:abstractNumId w:val="18"/>
  </w:num>
  <w:num w:numId="5" w16cid:durableId="1298685170">
    <w:abstractNumId w:val="14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6"/>
  </w:num>
  <w:num w:numId="17" w16cid:durableId="53941411">
    <w:abstractNumId w:val="13"/>
  </w:num>
  <w:num w:numId="18" w16cid:durableId="961153681">
    <w:abstractNumId w:val="15"/>
  </w:num>
  <w:num w:numId="19" w16cid:durableId="1272468768">
    <w:abstractNumId w:val="16"/>
  </w:num>
  <w:num w:numId="20" w16cid:durableId="807743971">
    <w:abstractNumId w:val="13"/>
  </w:num>
  <w:num w:numId="21" w16cid:durableId="1591162185">
    <w:abstractNumId w:val="15"/>
  </w:num>
  <w:num w:numId="22" w16cid:durableId="40974157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ED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5F6074"/>
    <w:rsid w:val="006128ED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350A"/>
    <w:rsid w:val="008B6909"/>
    <w:rsid w:val="008D53B6"/>
    <w:rsid w:val="008F7609"/>
    <w:rsid w:val="00906890"/>
    <w:rsid w:val="00911BE4"/>
    <w:rsid w:val="00951972"/>
    <w:rsid w:val="009608F3"/>
    <w:rsid w:val="009A24AC"/>
    <w:rsid w:val="009A4AF1"/>
    <w:rsid w:val="009C59D7"/>
    <w:rsid w:val="009C6FE6"/>
    <w:rsid w:val="009D7E7D"/>
    <w:rsid w:val="00A06263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A7BF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744A3"/>
  <w15:docId w15:val="{3E6C281C-B7B0-4A26-9A2D-78876A70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8B350A"/>
    <w:rPr>
      <w:lang w:val="ru-RU" w:eastAsia="en-US"/>
    </w:rPr>
  </w:style>
  <w:style w:type="paragraph" w:customStyle="1" w:styleId="ParNoG">
    <w:name w:val="_ParNo_G"/>
    <w:basedOn w:val="a"/>
    <w:qFormat/>
    <w:rsid w:val="008B350A"/>
    <w:pPr>
      <w:numPr>
        <w:numId w:val="22"/>
      </w:numPr>
      <w:tabs>
        <w:tab w:val="left" w:pos="1701"/>
        <w:tab w:val="left" w:pos="2268"/>
        <w:tab w:val="left" w:pos="2835"/>
      </w:tabs>
      <w:suppressAutoHyphens w:val="0"/>
      <w:spacing w:after="120"/>
      <w:ind w:right="1134"/>
      <w:jc w:val="both"/>
    </w:pPr>
    <w:rPr>
      <w:rFonts w:eastAsia="Times New Roman" w:cs="Times New Roman"/>
      <w:szCs w:val="20"/>
      <w:lang w:val="en-GB" w:eastAsia="fr-FR"/>
    </w:rPr>
  </w:style>
  <w:style w:type="character" w:customStyle="1" w:styleId="HChGChar">
    <w:name w:val="_ H _Ch_G Char"/>
    <w:link w:val="HChG"/>
    <w:rsid w:val="008B350A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AE19EFC4-E83C-4707-8034-B0E072359187}"/>
</file>

<file path=customXml/itemProps2.xml><?xml version="1.0" encoding="utf-8"?>
<ds:datastoreItem xmlns:ds="http://schemas.openxmlformats.org/officeDocument/2006/customXml" ds:itemID="{74773FC8-55A0-4B69-9A29-B9866F829894}"/>
</file>

<file path=customXml/itemProps3.xml><?xml version="1.0" encoding="utf-8"?>
<ds:datastoreItem xmlns:ds="http://schemas.openxmlformats.org/officeDocument/2006/customXml" ds:itemID="{6E033473-DDBD-40B7-8488-375C8711BE05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4</TotalTime>
  <Pages>3</Pages>
  <Words>832</Words>
  <Characters>5860</Characters>
  <Application>Microsoft Office Word</Application>
  <DocSecurity>0</DocSecurity>
  <Lines>123</Lines>
  <Paragraphs>48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ECE/TRANS/WP.15/AC.2/2025/12</vt:lpstr>
      <vt:lpstr>A/</vt:lpstr>
      <vt:lpstr>A/</vt:lpstr>
    </vt:vector>
  </TitlesOfParts>
  <Company>DCM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ECE/TRANS/WP.15/AC.2/2025/12</dc:title>
  <dc:subject/>
  <dc:creator>Elena IZOTOVA</dc:creator>
  <cp:keywords/>
  <cp:lastModifiedBy>Elena IZOTOVA</cp:lastModifiedBy>
  <cp:revision>4</cp:revision>
  <cp:lastPrinted>2024-11-22T09:44:00Z</cp:lastPrinted>
  <dcterms:created xsi:type="dcterms:W3CDTF">2024-11-22T09:44:00Z</dcterms:created>
  <dcterms:modified xsi:type="dcterms:W3CDTF">2024-11-22T09:49:00Z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0x0101003B8422D08C252547BB1CFA7F78E2CB83</vt:lpwstr>
  </property>
</Properties>
</file>