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942D86B" w14:textId="77777777" w:rsidTr="00B20551">
        <w:trPr>
          <w:cantSplit/>
          <w:trHeight w:hRule="exact" w:val="851"/>
        </w:trPr>
        <w:tc>
          <w:tcPr>
            <w:tcW w:w="1276" w:type="dxa"/>
            <w:tcBorders>
              <w:bottom w:val="single" w:sz="4" w:space="0" w:color="auto"/>
            </w:tcBorders>
            <w:vAlign w:val="bottom"/>
          </w:tcPr>
          <w:p w14:paraId="450D199A" w14:textId="77777777" w:rsidR="009E6CB7" w:rsidRDefault="009E6CB7" w:rsidP="00B20551">
            <w:pPr>
              <w:spacing w:after="80"/>
            </w:pPr>
          </w:p>
        </w:tc>
        <w:tc>
          <w:tcPr>
            <w:tcW w:w="2268" w:type="dxa"/>
            <w:tcBorders>
              <w:bottom w:val="single" w:sz="4" w:space="0" w:color="auto"/>
            </w:tcBorders>
            <w:vAlign w:val="bottom"/>
          </w:tcPr>
          <w:p w14:paraId="229BF75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46BDE7A" w14:textId="198E3DAD" w:rsidR="009E6CB7" w:rsidRPr="00D47EEA" w:rsidRDefault="00473E21" w:rsidP="00371650">
            <w:pPr>
              <w:jc w:val="right"/>
            </w:pPr>
            <w:r w:rsidRPr="00473E21">
              <w:rPr>
                <w:sz w:val="40"/>
              </w:rPr>
              <w:t>ECE</w:t>
            </w:r>
            <w:r>
              <w:t>/TRANS/2025/20</w:t>
            </w:r>
          </w:p>
        </w:tc>
      </w:tr>
      <w:tr w:rsidR="009E6CB7" w14:paraId="5E58C63E" w14:textId="77777777" w:rsidTr="00B20551">
        <w:trPr>
          <w:cantSplit/>
          <w:trHeight w:hRule="exact" w:val="2835"/>
        </w:trPr>
        <w:tc>
          <w:tcPr>
            <w:tcW w:w="1276" w:type="dxa"/>
            <w:tcBorders>
              <w:top w:val="single" w:sz="4" w:space="0" w:color="auto"/>
              <w:bottom w:val="single" w:sz="12" w:space="0" w:color="auto"/>
            </w:tcBorders>
          </w:tcPr>
          <w:p w14:paraId="24756281" w14:textId="77777777" w:rsidR="009E6CB7" w:rsidRDefault="00686A48" w:rsidP="00B20551">
            <w:pPr>
              <w:spacing w:before="120"/>
            </w:pPr>
            <w:r>
              <w:rPr>
                <w:noProof/>
                <w:lang w:val="fr-CH" w:eastAsia="fr-CH"/>
              </w:rPr>
              <w:drawing>
                <wp:inline distT="0" distB="0" distL="0" distR="0" wp14:anchorId="18CC6A20" wp14:editId="75101AA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50BC5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0F1E331" w14:textId="77777777" w:rsidR="009E6CB7" w:rsidRDefault="00371650" w:rsidP="00371650">
            <w:pPr>
              <w:spacing w:before="240" w:line="240" w:lineRule="exact"/>
            </w:pPr>
            <w:r>
              <w:t>Distr.: General</w:t>
            </w:r>
          </w:p>
          <w:p w14:paraId="7C544874" w14:textId="67DFFBA3" w:rsidR="00371650" w:rsidRDefault="00494DDD" w:rsidP="00371650">
            <w:pPr>
              <w:spacing w:line="240" w:lineRule="exact"/>
            </w:pPr>
            <w:r>
              <w:t>3</w:t>
            </w:r>
            <w:r w:rsidR="00F40072">
              <w:t xml:space="preserve"> December </w:t>
            </w:r>
            <w:r w:rsidR="00371650">
              <w:t>202</w:t>
            </w:r>
            <w:r w:rsidR="00F40072">
              <w:t>4</w:t>
            </w:r>
          </w:p>
          <w:p w14:paraId="03FC06A3" w14:textId="77777777" w:rsidR="00371650" w:rsidRDefault="00371650" w:rsidP="00371650">
            <w:pPr>
              <w:spacing w:line="240" w:lineRule="exact"/>
            </w:pPr>
          </w:p>
          <w:p w14:paraId="22562867" w14:textId="7697555B" w:rsidR="00371650" w:rsidRDefault="00371650" w:rsidP="00371650">
            <w:pPr>
              <w:spacing w:line="240" w:lineRule="exact"/>
            </w:pPr>
            <w:r>
              <w:t>Original: English</w:t>
            </w:r>
          </w:p>
        </w:tc>
      </w:tr>
    </w:tbl>
    <w:p w14:paraId="57364C23" w14:textId="77777777" w:rsidR="00494DDD" w:rsidRPr="000A7239" w:rsidRDefault="00494DDD" w:rsidP="00494DDD">
      <w:pPr>
        <w:spacing w:before="120"/>
        <w:rPr>
          <w:b/>
          <w:bCs/>
          <w:sz w:val="28"/>
          <w:szCs w:val="28"/>
        </w:rPr>
      </w:pPr>
      <w:r w:rsidRPr="000A7239">
        <w:rPr>
          <w:b/>
          <w:bCs/>
          <w:sz w:val="28"/>
          <w:szCs w:val="28"/>
        </w:rPr>
        <w:t>Economic Commission for Europe</w:t>
      </w:r>
    </w:p>
    <w:p w14:paraId="5913C077" w14:textId="77777777" w:rsidR="00494DDD" w:rsidRPr="000A7239" w:rsidRDefault="00494DDD" w:rsidP="00494DDD">
      <w:pPr>
        <w:spacing w:before="120"/>
        <w:rPr>
          <w:sz w:val="28"/>
          <w:szCs w:val="28"/>
        </w:rPr>
      </w:pPr>
      <w:r w:rsidRPr="000A7239">
        <w:rPr>
          <w:sz w:val="28"/>
          <w:szCs w:val="28"/>
        </w:rPr>
        <w:t>Inland Transport Committee</w:t>
      </w:r>
    </w:p>
    <w:p w14:paraId="65CB88B1" w14:textId="77777777" w:rsidR="00494DDD" w:rsidRPr="002971F7" w:rsidRDefault="00494DDD" w:rsidP="00494DDD">
      <w:pPr>
        <w:spacing w:before="120"/>
        <w:rPr>
          <w:b/>
          <w:bCs/>
        </w:rPr>
      </w:pPr>
      <w:r w:rsidRPr="002971F7">
        <w:rPr>
          <w:b/>
          <w:bCs/>
        </w:rPr>
        <w:t>Eighty-seventh session</w:t>
      </w:r>
    </w:p>
    <w:p w14:paraId="4C47EAFB" w14:textId="77777777" w:rsidR="00494DDD" w:rsidRPr="00380BFB" w:rsidRDefault="00494DDD" w:rsidP="00494DDD">
      <w:r w:rsidRPr="002971F7">
        <w:t>Geneva, 11-14 February 2025</w:t>
      </w:r>
      <w:r w:rsidRPr="002971F7">
        <w:br/>
      </w:r>
      <w:r w:rsidRPr="00380BFB">
        <w:t>Item 7 (a) of the provisional agenda</w:t>
      </w:r>
    </w:p>
    <w:p w14:paraId="7E0E829C" w14:textId="77777777" w:rsidR="00494DDD" w:rsidRPr="00380BFB" w:rsidRDefault="00494DDD" w:rsidP="00494DDD">
      <w:pPr>
        <w:rPr>
          <w:b/>
          <w:bCs/>
        </w:rPr>
      </w:pPr>
      <w:r w:rsidRPr="00380BFB">
        <w:rPr>
          <w:b/>
          <w:bCs/>
        </w:rPr>
        <w:t xml:space="preserve">Strategic </w:t>
      </w:r>
      <w:r>
        <w:rPr>
          <w:b/>
          <w:bCs/>
        </w:rPr>
        <w:t>q</w:t>
      </w:r>
      <w:r w:rsidRPr="00380BFB">
        <w:rPr>
          <w:b/>
          <w:bCs/>
        </w:rPr>
        <w:t xml:space="preserve">uestions of a </w:t>
      </w:r>
      <w:r>
        <w:rPr>
          <w:b/>
          <w:bCs/>
        </w:rPr>
        <w:t>h</w:t>
      </w:r>
      <w:r w:rsidRPr="00380BFB">
        <w:rPr>
          <w:b/>
          <w:bCs/>
        </w:rPr>
        <w:t xml:space="preserve">orizontal and </w:t>
      </w:r>
      <w:r w:rsidRPr="00380BFB">
        <w:rPr>
          <w:b/>
          <w:bCs/>
        </w:rPr>
        <w:br/>
      </w:r>
      <w:r>
        <w:rPr>
          <w:b/>
          <w:bCs/>
        </w:rPr>
        <w:t>c</w:t>
      </w:r>
      <w:r w:rsidRPr="00380BFB">
        <w:rPr>
          <w:b/>
          <w:bCs/>
        </w:rPr>
        <w:t>ross-</w:t>
      </w:r>
      <w:r>
        <w:rPr>
          <w:b/>
          <w:bCs/>
        </w:rPr>
        <w:t>s</w:t>
      </w:r>
      <w:r w:rsidRPr="00380BFB">
        <w:rPr>
          <w:b/>
          <w:bCs/>
        </w:rPr>
        <w:t xml:space="preserve">ectoral </w:t>
      </w:r>
      <w:r>
        <w:rPr>
          <w:b/>
          <w:bCs/>
        </w:rPr>
        <w:t>p</w:t>
      </w:r>
      <w:r w:rsidRPr="00380BFB">
        <w:rPr>
          <w:b/>
          <w:bCs/>
        </w:rPr>
        <w:t xml:space="preserve">olicy or </w:t>
      </w:r>
      <w:r>
        <w:rPr>
          <w:b/>
          <w:bCs/>
        </w:rPr>
        <w:t>r</w:t>
      </w:r>
      <w:r w:rsidRPr="00380BFB">
        <w:rPr>
          <w:b/>
          <w:bCs/>
        </w:rPr>
        <w:t xml:space="preserve">egulatory </w:t>
      </w:r>
      <w:r>
        <w:rPr>
          <w:b/>
          <w:bCs/>
        </w:rPr>
        <w:t>n</w:t>
      </w:r>
      <w:r w:rsidRPr="00380BFB">
        <w:rPr>
          <w:b/>
          <w:bCs/>
        </w:rPr>
        <w:t>ature:</w:t>
      </w:r>
    </w:p>
    <w:p w14:paraId="0DB59C4D" w14:textId="77777777" w:rsidR="00494DDD" w:rsidRPr="00380BFB" w:rsidRDefault="00494DDD" w:rsidP="00494DDD">
      <w:pPr>
        <w:rPr>
          <w:b/>
          <w:bCs/>
        </w:rPr>
      </w:pPr>
      <w:r w:rsidRPr="00380BFB">
        <w:rPr>
          <w:b/>
          <w:bCs/>
        </w:rPr>
        <w:t xml:space="preserve">Status of accession to and implementation of the </w:t>
      </w:r>
    </w:p>
    <w:p w14:paraId="0B39F2BE" w14:textId="77777777" w:rsidR="00494DDD" w:rsidRPr="00380BFB" w:rsidRDefault="00494DDD" w:rsidP="00494DDD">
      <w:pPr>
        <w:rPr>
          <w:b/>
          <w:bCs/>
        </w:rPr>
      </w:pPr>
      <w:r w:rsidRPr="00380BFB">
        <w:rPr>
          <w:b/>
          <w:bCs/>
        </w:rPr>
        <w:t xml:space="preserve">international United Nations inland transport </w:t>
      </w:r>
    </w:p>
    <w:p w14:paraId="4922226A" w14:textId="77777777" w:rsidR="00494DDD" w:rsidRPr="00D72C97" w:rsidRDefault="00494DDD" w:rsidP="00494DDD">
      <w:pPr>
        <w:rPr>
          <w:b/>
          <w:bCs/>
        </w:rPr>
      </w:pPr>
      <w:r w:rsidRPr="00380BFB">
        <w:rPr>
          <w:b/>
          <w:bCs/>
        </w:rPr>
        <w:t>conventions and agreements (statements by delegates)</w:t>
      </w:r>
    </w:p>
    <w:p w14:paraId="3D8F099C" w14:textId="77777777" w:rsidR="00494DDD" w:rsidRPr="000A7239" w:rsidRDefault="00494DDD" w:rsidP="00494DDD">
      <w:pPr>
        <w:pStyle w:val="HChG"/>
      </w:pPr>
      <w:r w:rsidRPr="00D72C97">
        <w:tab/>
      </w:r>
      <w:r w:rsidRPr="00D72C97">
        <w:tab/>
        <w:t>Regional accession dynamics</w:t>
      </w:r>
      <w:r w:rsidRPr="000A7239">
        <w:t xml:space="preserve"> and the </w:t>
      </w:r>
      <w:r>
        <w:t>c</w:t>
      </w:r>
      <w:r w:rsidRPr="000A7239">
        <w:t xml:space="preserve">ritical </w:t>
      </w:r>
      <w:r>
        <w:t>r</w:t>
      </w:r>
      <w:r w:rsidRPr="000A7239">
        <w:t xml:space="preserve">ole of </w:t>
      </w:r>
      <w:r>
        <w:t>e</w:t>
      </w:r>
      <w:r w:rsidRPr="000A7239">
        <w:t xml:space="preserve">nhancing the </w:t>
      </w:r>
      <w:r>
        <w:t>m</w:t>
      </w:r>
      <w:r w:rsidRPr="000A7239">
        <w:t xml:space="preserve">onitoring of </w:t>
      </w:r>
      <w:r>
        <w:t>i</w:t>
      </w:r>
      <w:r w:rsidRPr="000A7239">
        <w:t xml:space="preserve">mplementation of key </w:t>
      </w:r>
      <w:r>
        <w:t>l</w:t>
      </w:r>
      <w:r w:rsidRPr="000A7239">
        <w:t xml:space="preserve">egal </w:t>
      </w:r>
      <w:r>
        <w:t>i</w:t>
      </w:r>
      <w:r w:rsidRPr="000A7239">
        <w:t xml:space="preserve">nstruments under the purview of </w:t>
      </w:r>
      <w:r>
        <w:t xml:space="preserve">the </w:t>
      </w:r>
      <w:r w:rsidRPr="000A7239">
        <w:t>Inland Transport Committee</w:t>
      </w:r>
    </w:p>
    <w:p w14:paraId="33707BFE" w14:textId="77777777" w:rsidR="00494DDD" w:rsidRPr="000A7239" w:rsidRDefault="00494DDD" w:rsidP="00494DDD">
      <w:pPr>
        <w:pStyle w:val="H1G"/>
      </w:pPr>
      <w:r w:rsidRPr="000A7239">
        <w:tab/>
      </w:r>
      <w:r w:rsidRPr="000A7239">
        <w:tab/>
        <w:t>Note by the secretariat</w:t>
      </w:r>
    </w:p>
    <w:p w14:paraId="7D517C56" w14:textId="77777777" w:rsidR="00494DDD" w:rsidRPr="000A7239" w:rsidRDefault="00494DDD" w:rsidP="00494DDD">
      <w:pPr>
        <w:pStyle w:val="HChG"/>
      </w:pPr>
      <w:r w:rsidRPr="000A7239">
        <w:tab/>
        <w:t>I.</w:t>
      </w:r>
      <w:r w:rsidRPr="000A7239">
        <w:tab/>
        <w:t>Background and mandate</w:t>
      </w:r>
    </w:p>
    <w:p w14:paraId="3A1BF0DE" w14:textId="77777777" w:rsidR="00494DDD" w:rsidRPr="000A7239" w:rsidRDefault="00494DDD" w:rsidP="00494DDD">
      <w:pPr>
        <w:pStyle w:val="SingleTxtG"/>
      </w:pPr>
      <w:r w:rsidRPr="000A7239">
        <w:t>1.</w:t>
      </w:r>
      <w:r w:rsidRPr="000A7239">
        <w:tab/>
        <w:t xml:space="preserve">Under the purview of the Inland Transport Committee (ITC) of </w:t>
      </w:r>
      <w:r>
        <w:t>the Economic Commission for Europe (</w:t>
      </w:r>
      <w:r w:rsidRPr="000A7239">
        <w:t>ECE</w:t>
      </w:r>
      <w:r>
        <w:t>)</w:t>
      </w:r>
      <w:r w:rsidRPr="000A7239">
        <w:t xml:space="preserve"> lie </w:t>
      </w:r>
      <w:r w:rsidRPr="006056A9">
        <w:t>sixty</w:t>
      </w:r>
      <w:r w:rsidRPr="000A7239">
        <w:t xml:space="preserve"> United Nations legally binding instruments (Conventions, Agreements and their Protocols), </w:t>
      </w:r>
      <w:r w:rsidRPr="00986EFF">
        <w:t>forty-nine</w:t>
      </w:r>
      <w:r w:rsidRPr="000A7239">
        <w:t xml:space="preserve"> of which are currently in force.</w:t>
      </w:r>
    </w:p>
    <w:p w14:paraId="5CF457C7" w14:textId="77777777" w:rsidR="00494DDD" w:rsidRPr="000A7239" w:rsidRDefault="00494DDD" w:rsidP="00494DDD">
      <w:pPr>
        <w:pStyle w:val="SingleTxtG"/>
      </w:pPr>
      <w:r w:rsidRPr="000A7239">
        <w:t>2.</w:t>
      </w:r>
      <w:r w:rsidRPr="000A7239">
        <w:tab/>
        <w:t xml:space="preserve">At the time of preparation of this note, </w:t>
      </w:r>
      <w:r w:rsidRPr="00D52304">
        <w:t>15</w:t>
      </w:r>
      <w:r>
        <w:t>5</w:t>
      </w:r>
      <w:r w:rsidRPr="000A7239">
        <w:t xml:space="preserve"> United Nations </w:t>
      </w:r>
      <w:r>
        <w:t>M</w:t>
      </w:r>
      <w:r w:rsidRPr="000A7239">
        <w:t xml:space="preserve">ember States are contracting parties to at least one of these instruments. In recent years, </w:t>
      </w:r>
      <w:r w:rsidRPr="007E5B18">
        <w:t>the</w:t>
      </w:r>
      <w:r>
        <w:t xml:space="preserve">re have been occasions where </w:t>
      </w:r>
      <w:r w:rsidRPr="000A7239">
        <w:t xml:space="preserve">the number of </w:t>
      </w:r>
      <w:r>
        <w:t>accessions</w:t>
      </w:r>
      <w:r w:rsidRPr="000A7239">
        <w:t xml:space="preserve"> from outside the ECE region </w:t>
      </w:r>
      <w:r w:rsidRPr="007E5B18">
        <w:t>exceed</w:t>
      </w:r>
      <w:r>
        <w:t>ed</w:t>
      </w:r>
      <w:r w:rsidRPr="000A7239">
        <w:t xml:space="preserve"> those from within the ECE region. Section II of this document presents </w:t>
      </w:r>
      <w:r>
        <w:t xml:space="preserve">the </w:t>
      </w:r>
      <w:r w:rsidRPr="000A7239">
        <w:t>regional dynamics of accessions.</w:t>
      </w:r>
    </w:p>
    <w:p w14:paraId="24D8530C" w14:textId="77777777" w:rsidR="00494DDD" w:rsidRPr="000A7239" w:rsidRDefault="00494DDD" w:rsidP="00494DDD">
      <w:pPr>
        <w:pStyle w:val="HChG"/>
      </w:pPr>
      <w:r w:rsidRPr="000A7239">
        <w:tab/>
        <w:t>II.</w:t>
      </w:r>
      <w:r w:rsidRPr="000A7239">
        <w:tab/>
        <w:t xml:space="preserve">Regional </w:t>
      </w:r>
      <w:r>
        <w:t>A</w:t>
      </w:r>
      <w:r w:rsidRPr="000A7239">
        <w:t xml:space="preserve">ccession </w:t>
      </w:r>
      <w:r>
        <w:t>D</w:t>
      </w:r>
      <w:r w:rsidRPr="000A7239">
        <w:t xml:space="preserve">ynamics by </w:t>
      </w:r>
      <w:r>
        <w:t>R</w:t>
      </w:r>
      <w:r w:rsidRPr="000A7239">
        <w:t xml:space="preserve">egional </w:t>
      </w:r>
      <w:r>
        <w:t>C</w:t>
      </w:r>
      <w:r w:rsidRPr="000A7239">
        <w:t xml:space="preserve">ommission and related </w:t>
      </w:r>
      <w:r>
        <w:t>C</w:t>
      </w:r>
      <w:r w:rsidRPr="000A7239">
        <w:t xml:space="preserve">onsiderations </w:t>
      </w:r>
    </w:p>
    <w:p w14:paraId="19F6C077" w14:textId="77777777" w:rsidR="00494DDD" w:rsidRPr="000A7239" w:rsidRDefault="00494DDD" w:rsidP="00494DDD">
      <w:pPr>
        <w:pStyle w:val="H1G"/>
      </w:pPr>
      <w:r w:rsidRPr="000A7239">
        <w:tab/>
        <w:t>A.</w:t>
      </w:r>
      <w:r w:rsidRPr="000A7239">
        <w:tab/>
        <w:t xml:space="preserve">Accession </w:t>
      </w:r>
      <w:r>
        <w:t>D</w:t>
      </w:r>
      <w:r w:rsidRPr="000A7239">
        <w:t xml:space="preserve">ynamics by </w:t>
      </w:r>
      <w:r>
        <w:t>R</w:t>
      </w:r>
      <w:r w:rsidRPr="000A7239">
        <w:t xml:space="preserve">egional </w:t>
      </w:r>
      <w:r>
        <w:t>C</w:t>
      </w:r>
      <w:r w:rsidRPr="000A7239">
        <w:t>ommission</w:t>
      </w:r>
    </w:p>
    <w:p w14:paraId="2A424530" w14:textId="77777777" w:rsidR="00494DDD" w:rsidRPr="000A7239" w:rsidRDefault="00494DDD" w:rsidP="00494DDD">
      <w:pPr>
        <w:pStyle w:val="SingleTxtG"/>
      </w:pPr>
      <w:r>
        <w:t>3</w:t>
      </w:r>
      <w:r w:rsidRPr="000A7239">
        <w:t>.</w:t>
      </w:r>
      <w:r w:rsidRPr="000A7239">
        <w:tab/>
        <w:t xml:space="preserve">When allocating countries to their regional commissions, it is important to note that many countries are members of more than one regional commission. </w:t>
      </w:r>
      <w:r>
        <w:t>If</w:t>
      </w:r>
      <w:r w:rsidRPr="000D53BF">
        <w:t xml:space="preserve"> a country is a member of more than one regional commission, they are listed under </w:t>
      </w:r>
      <w:r>
        <w:t>the</w:t>
      </w:r>
      <w:r w:rsidRPr="000D53BF">
        <w:t xml:space="preserve"> </w:t>
      </w:r>
      <w:r>
        <w:t>R</w:t>
      </w:r>
      <w:r w:rsidRPr="000D53BF">
        <w:t xml:space="preserve">egional </w:t>
      </w:r>
      <w:r>
        <w:t>C</w:t>
      </w:r>
      <w:r w:rsidRPr="000D53BF">
        <w:t xml:space="preserve">ommission they </w:t>
      </w:r>
      <w:r>
        <w:t>are a member of.</w:t>
      </w:r>
    </w:p>
    <w:p w14:paraId="4B64FF81" w14:textId="77777777" w:rsidR="00494DDD" w:rsidRPr="000A7239" w:rsidRDefault="00494DDD" w:rsidP="00494DDD">
      <w:pPr>
        <w:pStyle w:val="H23G"/>
      </w:pPr>
      <w:r w:rsidRPr="000A7239">
        <w:lastRenderedPageBreak/>
        <w:tab/>
        <w:t>1.</w:t>
      </w:r>
      <w:r w:rsidRPr="000A7239">
        <w:tab/>
        <w:t>Economic Commission for Europe region</w:t>
      </w:r>
    </w:p>
    <w:p w14:paraId="7CAAD31F" w14:textId="77777777" w:rsidR="00494DDD" w:rsidRPr="000A7239" w:rsidRDefault="00494DDD" w:rsidP="00494DDD">
      <w:pPr>
        <w:pStyle w:val="SingleTxtG"/>
      </w:pPr>
      <w:r>
        <w:t>4</w:t>
      </w:r>
      <w:r w:rsidRPr="000A7239">
        <w:t>.</w:t>
      </w:r>
      <w:r w:rsidRPr="000A7239">
        <w:tab/>
        <w:t xml:space="preserve">Of the </w:t>
      </w:r>
      <w:r w:rsidRPr="00D71E53">
        <w:t>1,8</w:t>
      </w:r>
      <w:r>
        <w:t>4</w:t>
      </w:r>
      <w:r w:rsidRPr="00D71E53">
        <w:t>3</w:t>
      </w:r>
      <w:r w:rsidRPr="000A7239">
        <w:t xml:space="preserve"> accessions by </w:t>
      </w:r>
      <w:r>
        <w:t>C</w:t>
      </w:r>
      <w:r w:rsidRPr="000A7239">
        <w:t xml:space="preserve">ontracting </w:t>
      </w:r>
      <w:r>
        <w:t>P</w:t>
      </w:r>
      <w:r w:rsidRPr="000A7239">
        <w:t xml:space="preserve">arties to </w:t>
      </w:r>
      <w:r>
        <w:t>the C</w:t>
      </w:r>
      <w:r w:rsidRPr="000A7239">
        <w:t xml:space="preserve">onventions, </w:t>
      </w:r>
      <w:r w:rsidRPr="00553E9D">
        <w:t>1,40</w:t>
      </w:r>
      <w:r>
        <w:t>9</w:t>
      </w:r>
      <w:r w:rsidRPr="000A7239">
        <w:t xml:space="preserve"> (</w:t>
      </w:r>
      <w:r w:rsidRPr="00777F28">
        <w:t>76</w:t>
      </w:r>
      <w:r>
        <w:t> </w:t>
      </w:r>
      <w:r w:rsidRPr="000A7239">
        <w:t>per</w:t>
      </w:r>
      <w:r>
        <w:t> </w:t>
      </w:r>
      <w:r w:rsidRPr="000A7239">
        <w:t xml:space="preserve">cent) are by </w:t>
      </w:r>
      <w:r w:rsidRPr="00777F28">
        <w:t>fifty-</w:t>
      </w:r>
      <w:r w:rsidRPr="00593DF9">
        <w:t>six</w:t>
      </w:r>
      <w:r w:rsidRPr="000A7239">
        <w:t xml:space="preserve"> ECE member States. Of these</w:t>
      </w:r>
      <w:r>
        <w:t>,</w:t>
      </w:r>
      <w:r w:rsidRPr="000A7239">
        <w:t xml:space="preserve"> </w:t>
      </w:r>
      <w:r w:rsidRPr="00593DF9">
        <w:t xml:space="preserve">380 </w:t>
      </w:r>
      <w:r w:rsidRPr="000A7239">
        <w:t xml:space="preserve">are from the </w:t>
      </w:r>
      <w:r>
        <w:t>seventeen</w:t>
      </w:r>
      <w:r w:rsidRPr="000A7239">
        <w:t xml:space="preserve"> programme countries of ECE that are supported </w:t>
      </w:r>
      <w:r>
        <w:t>by</w:t>
      </w:r>
      <w:r w:rsidRPr="000A7239">
        <w:t xml:space="preserve"> the Regular Programme of Technical Cooperation (RPTC) of ECE. </w:t>
      </w:r>
      <w:r w:rsidRPr="00593DF9">
        <w:t>Luxembourg (44), Netherlands (44) and Serbia (42)</w:t>
      </w:r>
      <w:r w:rsidRPr="000A7239">
        <w:t xml:space="preserve"> lead the way with the most convention accessions of any member State. </w:t>
      </w:r>
    </w:p>
    <w:p w14:paraId="4072559B" w14:textId="77777777" w:rsidR="00494DDD" w:rsidRPr="000A7239" w:rsidRDefault="00494DDD" w:rsidP="00494DDD">
      <w:pPr>
        <w:pStyle w:val="H23G"/>
      </w:pPr>
      <w:r w:rsidRPr="000A7239">
        <w:tab/>
        <w:t xml:space="preserve">2. </w:t>
      </w:r>
      <w:r w:rsidRPr="000A7239">
        <w:tab/>
        <w:t>Economic Commission for Latin America and the Caribbean region</w:t>
      </w:r>
    </w:p>
    <w:p w14:paraId="7D4AF332" w14:textId="77777777" w:rsidR="00494DDD" w:rsidRPr="000A7239" w:rsidRDefault="00494DDD" w:rsidP="00494DDD">
      <w:pPr>
        <w:pStyle w:val="SingleTxtG"/>
      </w:pPr>
      <w:r>
        <w:t>5</w:t>
      </w:r>
      <w:r w:rsidRPr="000A7239">
        <w:t>.</w:t>
      </w:r>
      <w:r w:rsidRPr="000A7239">
        <w:tab/>
      </w:r>
      <w:r>
        <w:t>Economic Commission for Latin America and the Caribbean (</w:t>
      </w:r>
      <w:r w:rsidRPr="000A7239">
        <w:t>ECLAC</w:t>
      </w:r>
      <w:r>
        <w:t>)</w:t>
      </w:r>
      <w:r w:rsidRPr="000A7239">
        <w:t xml:space="preserve"> member States account for </w:t>
      </w:r>
      <w:r>
        <w:t>eighty-one</w:t>
      </w:r>
      <w:r w:rsidRPr="000A7239">
        <w:t xml:space="preserve"> accessions. Of the </w:t>
      </w:r>
      <w:r>
        <w:t>thirty-three</w:t>
      </w:r>
      <w:r w:rsidRPr="000A7239">
        <w:t xml:space="preserve"> member States of ECLAC, only </w:t>
      </w:r>
      <w:r w:rsidRPr="001C0728">
        <w:t>twenty-two</w:t>
      </w:r>
      <w:r w:rsidRPr="000A7239">
        <w:t xml:space="preserve"> have acceded to at least one of the transport conventions under the purview of ITC. The remaining </w:t>
      </w:r>
      <w:r w:rsidRPr="009067BD">
        <w:t>eleven</w:t>
      </w:r>
      <w:r w:rsidRPr="000A7239">
        <w:t xml:space="preserve"> member States that have not signed any convention are Belize, Bolivia, Colombia, Dominica, Grenada, Nicaragua, Panama, Saint Kitts and Nevis, Saint Lucia, Saint Vincent and the Grenadines, and Suriname. </w:t>
      </w:r>
      <w:r w:rsidRPr="003C1D5C">
        <w:t>Cuba (fifteen accessions) and Trinidad and Tobago (seven)</w:t>
      </w:r>
      <w:r w:rsidRPr="000A7239">
        <w:t xml:space="preserve"> are the best performers in the ECLAC region in terms of total accessions.</w:t>
      </w:r>
    </w:p>
    <w:p w14:paraId="3F60C7D7" w14:textId="77777777" w:rsidR="00494DDD" w:rsidRPr="000A7239" w:rsidRDefault="00494DDD" w:rsidP="00494DDD">
      <w:pPr>
        <w:pStyle w:val="H23G"/>
      </w:pPr>
      <w:r w:rsidRPr="000A7239">
        <w:tab/>
        <w:t>3.</w:t>
      </w:r>
      <w:r w:rsidRPr="000A7239">
        <w:tab/>
        <w:t>Economic Commission for Africa region</w:t>
      </w:r>
    </w:p>
    <w:p w14:paraId="7EDF548D" w14:textId="77777777" w:rsidR="00494DDD" w:rsidRPr="000A7239" w:rsidRDefault="00494DDD" w:rsidP="00494DDD">
      <w:pPr>
        <w:pStyle w:val="SingleTxtG"/>
      </w:pPr>
      <w:r>
        <w:t>6</w:t>
      </w:r>
      <w:r w:rsidRPr="000A7239">
        <w:t>.</w:t>
      </w:r>
      <w:r w:rsidRPr="000A7239">
        <w:tab/>
        <w:t xml:space="preserve">To date, </w:t>
      </w:r>
      <w:r>
        <w:t>the Economic Commission for Africa (</w:t>
      </w:r>
      <w:r w:rsidRPr="000A7239">
        <w:t>ECA</w:t>
      </w:r>
      <w:r>
        <w:t>)</w:t>
      </w:r>
      <w:r w:rsidRPr="000A7239">
        <w:t xml:space="preserve"> countries have made </w:t>
      </w:r>
      <w:r w:rsidRPr="000518AA">
        <w:t>16</w:t>
      </w:r>
      <w:r>
        <w:t>5</w:t>
      </w:r>
      <w:r w:rsidRPr="000A7239">
        <w:t xml:space="preserve"> accessions to ECE transport conventions. </w:t>
      </w:r>
      <w:r w:rsidRPr="000075B8">
        <w:t>Thirty-six</w:t>
      </w:r>
      <w:r w:rsidRPr="000A7239">
        <w:t xml:space="preserve"> countries have acceded to at least one convention, leaving </w:t>
      </w:r>
      <w:r w:rsidRPr="000075B8">
        <w:t>eighteen</w:t>
      </w:r>
      <w:r w:rsidRPr="000A7239">
        <w:t xml:space="preserve"> (</w:t>
      </w:r>
      <w:r w:rsidRPr="000075B8">
        <w:t>33</w:t>
      </w:r>
      <w:r w:rsidRPr="000A7239">
        <w:t xml:space="preserve"> per</w:t>
      </w:r>
      <w:r>
        <w:t> </w:t>
      </w:r>
      <w:r w:rsidRPr="000A7239">
        <w:t>cent) that have not participated in any. The rate of accession from the ECA region has accelerated considerably in the years since the adoption of the ITC Strategy until 2030. Most recently in</w:t>
      </w:r>
      <w:r>
        <w:t> </w:t>
      </w:r>
      <w:r w:rsidRPr="000A7239">
        <w:t xml:space="preserve">2022, there was a significant uptick in accessions, with </w:t>
      </w:r>
      <w:r w:rsidRPr="00B869D2">
        <w:t>six by Uganda and two by Benin</w:t>
      </w:r>
      <w:r w:rsidRPr="00A73CD1">
        <w:t>. Tunisia, with eighteen accessions, Morocco, with fifteen, and Uganda, with eleven, lead in terms of the number of accessions.</w:t>
      </w:r>
    </w:p>
    <w:p w14:paraId="58BB9012" w14:textId="77777777" w:rsidR="00494DDD" w:rsidRPr="000A7239" w:rsidRDefault="00494DDD" w:rsidP="00494DDD">
      <w:pPr>
        <w:pStyle w:val="H23G"/>
      </w:pPr>
      <w:r w:rsidRPr="000A7239">
        <w:tab/>
        <w:t>4.</w:t>
      </w:r>
      <w:r w:rsidRPr="000A7239">
        <w:tab/>
        <w:t>Economic and Social Commission for Western Asia region</w:t>
      </w:r>
    </w:p>
    <w:p w14:paraId="2E92DD47" w14:textId="77777777" w:rsidR="00494DDD" w:rsidRPr="000A7239" w:rsidRDefault="00494DDD" w:rsidP="00494DDD">
      <w:pPr>
        <w:pStyle w:val="SingleTxtG"/>
      </w:pPr>
      <w:r>
        <w:t>7</w:t>
      </w:r>
      <w:r w:rsidRPr="000A7239">
        <w:t>.</w:t>
      </w:r>
      <w:r w:rsidRPr="000A7239">
        <w:tab/>
        <w:t>As of November 202</w:t>
      </w:r>
      <w:r>
        <w:t>4</w:t>
      </w:r>
      <w:r w:rsidRPr="000A7239">
        <w:t xml:space="preserve">, </w:t>
      </w:r>
      <w:r w:rsidRPr="0094776B">
        <w:t xml:space="preserve">sixteen of the </w:t>
      </w:r>
      <w:r>
        <w:t xml:space="preserve">twenty-one </w:t>
      </w:r>
      <w:r w:rsidRPr="000A7239">
        <w:t xml:space="preserve">member States of </w:t>
      </w:r>
      <w:r>
        <w:t>the Economic and Social Commission for Western Asia (</w:t>
      </w:r>
      <w:r w:rsidRPr="000A7239">
        <w:t>ESCWA</w:t>
      </w:r>
      <w:r>
        <w:t>)</w:t>
      </w:r>
      <w:r w:rsidRPr="000A7239">
        <w:t xml:space="preserve"> have collectively made </w:t>
      </w:r>
      <w:r>
        <w:t>103</w:t>
      </w:r>
      <w:r w:rsidRPr="000A7239">
        <w:t xml:space="preserve"> accessions to </w:t>
      </w:r>
      <w:r w:rsidRPr="009D2C62">
        <w:t>twenty-</w:t>
      </w:r>
      <w:r>
        <w:t>five</w:t>
      </w:r>
      <w:r w:rsidRPr="009D2C62">
        <w:t xml:space="preserve"> </w:t>
      </w:r>
      <w:r w:rsidRPr="000A7239">
        <w:t xml:space="preserve">ECE transport conventions. </w:t>
      </w:r>
      <w:r>
        <w:t xml:space="preserve">Djibouti, </w:t>
      </w:r>
      <w:r w:rsidRPr="009D2C62">
        <w:t>Libya, Mauritania, Somalia, and Yemen</w:t>
      </w:r>
      <w:r w:rsidRPr="000A7239">
        <w:t xml:space="preserve"> have not yet acceded to any convention. Countries in the region with the most accessions are </w:t>
      </w:r>
      <w:r w:rsidRPr="00F147FB">
        <w:t>Tunisia (18), Morocco (15), Algeria</w:t>
      </w:r>
      <w:r>
        <w:t>, Egypt,</w:t>
      </w:r>
      <w:r w:rsidRPr="00F147FB">
        <w:t xml:space="preserve"> and Jordan (nine each)</w:t>
      </w:r>
      <w:r w:rsidRPr="000A7239">
        <w:t>.</w:t>
      </w:r>
    </w:p>
    <w:p w14:paraId="533FC55B" w14:textId="77777777" w:rsidR="00494DDD" w:rsidRPr="000A7239" w:rsidRDefault="00494DDD" w:rsidP="00494DDD">
      <w:pPr>
        <w:pStyle w:val="H23G"/>
      </w:pPr>
      <w:r w:rsidRPr="000A7239">
        <w:tab/>
        <w:t>5.</w:t>
      </w:r>
      <w:r w:rsidRPr="000A7239">
        <w:tab/>
        <w:t xml:space="preserve">Economic and Social Commission for Asia and Pacific </w:t>
      </w:r>
      <w:r>
        <w:t>r</w:t>
      </w:r>
      <w:r w:rsidRPr="000A7239">
        <w:t>egion</w:t>
      </w:r>
    </w:p>
    <w:p w14:paraId="508328B9" w14:textId="77777777" w:rsidR="00494DDD" w:rsidRPr="000A7239" w:rsidRDefault="00494DDD" w:rsidP="00494DDD">
      <w:pPr>
        <w:pStyle w:val="SingleTxtG"/>
      </w:pPr>
      <w:r>
        <w:t>8</w:t>
      </w:r>
      <w:r w:rsidRPr="000A7239">
        <w:t>.</w:t>
      </w:r>
      <w:r w:rsidRPr="000A7239">
        <w:tab/>
        <w:t xml:space="preserve">Among the </w:t>
      </w:r>
      <w:r>
        <w:t>fifty</w:t>
      </w:r>
      <w:r w:rsidRPr="000A7239">
        <w:t xml:space="preserve"> regional member States of </w:t>
      </w:r>
      <w:r>
        <w:t>the Economic and Social Commission for Asia and Pacific (</w:t>
      </w:r>
      <w:r w:rsidRPr="000A7239">
        <w:t>ESCAP</w:t>
      </w:r>
      <w:r w:rsidRPr="007D2C38">
        <w:t>)</w:t>
      </w:r>
      <w:r>
        <w:t>,</w:t>
      </w:r>
      <w:r w:rsidRPr="007D2C38">
        <w:rPr>
          <w:rStyle w:val="FootnoteReference"/>
        </w:rPr>
        <w:footnoteReference w:id="2"/>
      </w:r>
      <w:r w:rsidRPr="000A7239">
        <w:t xml:space="preserve"> </w:t>
      </w:r>
      <w:r w:rsidRPr="007D2C38">
        <w:t>thirty-</w:t>
      </w:r>
      <w:r>
        <w:t xml:space="preserve">nine </w:t>
      </w:r>
      <w:r w:rsidRPr="000A7239">
        <w:t xml:space="preserve">member States have made </w:t>
      </w:r>
      <w:r>
        <w:t>320 </w:t>
      </w:r>
      <w:r w:rsidRPr="000A7239">
        <w:t xml:space="preserve">accessions to </w:t>
      </w:r>
      <w:r w:rsidRPr="007D2C38">
        <w:t>forty-</w:t>
      </w:r>
      <w:r>
        <w:t xml:space="preserve">three </w:t>
      </w:r>
      <w:r w:rsidRPr="000A7239">
        <w:t xml:space="preserve">distinct inland transport conventions. This means, however, that </w:t>
      </w:r>
      <w:r>
        <w:t xml:space="preserve">eleven </w:t>
      </w:r>
      <w:r w:rsidRPr="007D2C38">
        <w:t>(or </w:t>
      </w:r>
      <w:r>
        <w:t xml:space="preserve">22 </w:t>
      </w:r>
      <w:r w:rsidRPr="007D2C38">
        <w:t>per cent</w:t>
      </w:r>
      <w:r w:rsidRPr="000A7239">
        <w:t>) of its members are not covered by a single transport convention. The</w:t>
      </w:r>
      <w:r>
        <w:t> </w:t>
      </w:r>
      <w:r w:rsidRPr="000A7239">
        <w:t xml:space="preserve">countries leading on accessions are the </w:t>
      </w:r>
      <w:r w:rsidRPr="007D2C38">
        <w:t xml:space="preserve">Russian Federation (33), Türkiye (29), </w:t>
      </w:r>
      <w:r>
        <w:t xml:space="preserve">Georgia and </w:t>
      </w:r>
      <w:r w:rsidRPr="007D2C38">
        <w:t>Kazakhstan (18 each</w:t>
      </w:r>
      <w:r w:rsidRPr="000A7239">
        <w:t xml:space="preserve">), all of whom are also ECE member States. Notably, </w:t>
      </w:r>
      <w:r w:rsidRPr="007D2C38">
        <w:t>Türkiye has been particularly active, with several accessions in May 2023</w:t>
      </w:r>
      <w:r w:rsidRPr="000A7239">
        <w:t xml:space="preserve"> across several agreements related to road signs, signals, and markings.</w:t>
      </w:r>
    </w:p>
    <w:p w14:paraId="52BE13ED" w14:textId="77777777" w:rsidR="00494DDD" w:rsidRPr="000A7239" w:rsidRDefault="00494DDD" w:rsidP="00494DDD">
      <w:pPr>
        <w:pStyle w:val="H1G"/>
      </w:pPr>
      <w:r w:rsidRPr="000A7239">
        <w:tab/>
        <w:t>B.</w:t>
      </w:r>
      <w:r w:rsidRPr="000A7239">
        <w:tab/>
        <w:t>Accession dynamics and related capacity development challenges and opportunities</w:t>
      </w:r>
    </w:p>
    <w:p w14:paraId="610F5951" w14:textId="04F645B7" w:rsidR="00494DDD" w:rsidRPr="000A7239" w:rsidRDefault="00494DDD" w:rsidP="00494DDD">
      <w:pPr>
        <w:pStyle w:val="SingleTxtG"/>
      </w:pPr>
      <w:r>
        <w:t>9</w:t>
      </w:r>
      <w:r w:rsidRPr="000A7239">
        <w:t>.</w:t>
      </w:r>
      <w:r w:rsidRPr="000A7239">
        <w:tab/>
      </w:r>
      <w:r w:rsidR="004D2228">
        <w:t xml:space="preserve">The </w:t>
      </w:r>
      <w:r w:rsidR="0026142A">
        <w:t>f</w:t>
      </w:r>
      <w:r w:rsidRPr="000A7239">
        <w:t xml:space="preserve">igure below shows, </w:t>
      </w:r>
      <w:r w:rsidRPr="002826C8">
        <w:t xml:space="preserve">in the past </w:t>
      </w:r>
      <w:r>
        <w:t>five</w:t>
      </w:r>
      <w:r w:rsidRPr="002826C8">
        <w:t xml:space="preserve"> years, </w:t>
      </w:r>
      <w:r>
        <w:t>there have been two occasions where</w:t>
      </w:r>
      <w:r w:rsidRPr="000A7239">
        <w:t xml:space="preserve"> the number of accessions from outside the ECE region exceeded those </w:t>
      </w:r>
      <w:r>
        <w:t>from</w:t>
      </w:r>
      <w:r w:rsidRPr="000A7239">
        <w:t xml:space="preserve"> ECE member States.</w:t>
      </w:r>
    </w:p>
    <w:p w14:paraId="1A975F93" w14:textId="77777777" w:rsidR="00494DDD" w:rsidRPr="005B6E09" w:rsidRDefault="00494DDD" w:rsidP="00494DDD">
      <w:pPr>
        <w:pStyle w:val="SingleTxtG"/>
        <w:keepNext/>
        <w:keepLines/>
        <w:rPr>
          <w:b/>
          <w:bCs/>
        </w:rPr>
      </w:pPr>
      <w:r w:rsidRPr="005B6E09">
        <w:rPr>
          <w:b/>
          <w:bCs/>
        </w:rPr>
        <w:lastRenderedPageBreak/>
        <w:t>Accession of ECE and non-ECE Contracting Parties (1960</w:t>
      </w:r>
      <w:r w:rsidRPr="005B6E09">
        <w:rPr>
          <w:rFonts w:ascii="Arial" w:hAnsi="Arial" w:cs="Arial"/>
          <w:b/>
          <w:bCs/>
          <w:color w:val="545454"/>
          <w:shd w:val="clear" w:color="auto" w:fill="FFFFFF"/>
        </w:rPr>
        <w:t>–</w:t>
      </w:r>
      <w:r w:rsidRPr="005B6E09">
        <w:rPr>
          <w:b/>
          <w:bCs/>
        </w:rPr>
        <w:t>2024)</w:t>
      </w:r>
    </w:p>
    <w:p w14:paraId="3C3A4B71" w14:textId="77777777" w:rsidR="00494DDD" w:rsidRPr="000A7239" w:rsidRDefault="00494DDD" w:rsidP="00494DDD">
      <w:pPr>
        <w:keepNext/>
        <w:keepLines/>
        <w:spacing w:after="120"/>
        <w:ind w:left="1134" w:right="1134"/>
        <w:jc w:val="both"/>
        <w:rPr>
          <w:b/>
        </w:rPr>
      </w:pPr>
      <w:r>
        <w:rPr>
          <w:b/>
          <w:noProof/>
        </w:rPr>
        <w:drawing>
          <wp:inline distT="0" distB="0" distL="0" distR="0" wp14:anchorId="44F3C85F" wp14:editId="575ABF2D">
            <wp:extent cx="4678386" cy="2808000"/>
            <wp:effectExtent l="0" t="0" r="8255" b="0"/>
            <wp:docPr id="9818348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8386" cy="2808000"/>
                    </a:xfrm>
                    <a:prstGeom prst="rect">
                      <a:avLst/>
                    </a:prstGeom>
                    <a:noFill/>
                    <a:ln>
                      <a:noFill/>
                    </a:ln>
                  </pic:spPr>
                </pic:pic>
              </a:graphicData>
            </a:graphic>
          </wp:inline>
        </w:drawing>
      </w:r>
    </w:p>
    <w:p w14:paraId="236CFB01" w14:textId="77777777" w:rsidR="00494DDD" w:rsidRPr="000A7239" w:rsidRDefault="00494DDD" w:rsidP="00494DDD">
      <w:pPr>
        <w:keepNext/>
        <w:keepLines/>
        <w:jc w:val="center"/>
      </w:pPr>
    </w:p>
    <w:p w14:paraId="26E61DBF" w14:textId="77777777" w:rsidR="00494DDD" w:rsidRPr="000A7239" w:rsidRDefault="00494DDD" w:rsidP="00494DDD">
      <w:pPr>
        <w:keepNext/>
        <w:keepLines/>
        <w:ind w:left="1134" w:right="1134" w:firstLine="170"/>
        <w:jc w:val="both"/>
        <w:rPr>
          <w:i/>
          <w:sz w:val="18"/>
          <w:szCs w:val="18"/>
        </w:rPr>
      </w:pPr>
      <w:r w:rsidRPr="000A7239">
        <w:rPr>
          <w:i/>
          <w:sz w:val="18"/>
          <w:szCs w:val="18"/>
        </w:rPr>
        <w:t xml:space="preserve">Legend: </w:t>
      </w:r>
      <w:r w:rsidRPr="000A7239">
        <w:rPr>
          <w:sz w:val="18"/>
          <w:szCs w:val="18"/>
        </w:rPr>
        <w:t xml:space="preserve">Solid line: ECE member States – </w:t>
      </w:r>
      <w:r>
        <w:rPr>
          <w:sz w:val="18"/>
          <w:szCs w:val="18"/>
        </w:rPr>
        <w:t>Dashed</w:t>
      </w:r>
      <w:r w:rsidRPr="000A7239">
        <w:rPr>
          <w:sz w:val="18"/>
          <w:szCs w:val="18"/>
        </w:rPr>
        <w:t xml:space="preserve"> line: non-ECE member States</w:t>
      </w:r>
      <w:r>
        <w:rPr>
          <w:sz w:val="18"/>
          <w:szCs w:val="18"/>
        </w:rPr>
        <w:t>.</w:t>
      </w:r>
    </w:p>
    <w:p w14:paraId="650FEDB2" w14:textId="77777777" w:rsidR="00494DDD" w:rsidRPr="000A7239" w:rsidRDefault="00494DDD" w:rsidP="00494DDD">
      <w:pPr>
        <w:spacing w:after="240" w:line="220" w:lineRule="exact"/>
        <w:ind w:left="1134" w:right="1134" w:firstLine="170"/>
        <w:rPr>
          <w:sz w:val="18"/>
          <w:szCs w:val="18"/>
        </w:rPr>
      </w:pPr>
      <w:r w:rsidRPr="000A7239">
        <w:rPr>
          <w:i/>
          <w:sz w:val="18"/>
          <w:szCs w:val="18"/>
        </w:rPr>
        <w:t>Source</w:t>
      </w:r>
      <w:r w:rsidRPr="000A7239">
        <w:rPr>
          <w:sz w:val="18"/>
          <w:szCs w:val="18"/>
        </w:rPr>
        <w:t>: ECE.</w:t>
      </w:r>
    </w:p>
    <w:p w14:paraId="76EE7E91" w14:textId="77777777" w:rsidR="00494DDD" w:rsidRDefault="00494DDD" w:rsidP="00494DDD">
      <w:pPr>
        <w:pStyle w:val="SingleTxtG"/>
      </w:pPr>
      <w:r>
        <w:t>10</w:t>
      </w:r>
      <w:r w:rsidRPr="000A7239">
        <w:t>.</w:t>
      </w:r>
      <w:r w:rsidRPr="000A7239">
        <w:tab/>
        <w:t>As of November 202</w:t>
      </w:r>
      <w:r>
        <w:t>4</w:t>
      </w:r>
      <w:r w:rsidRPr="000A7239">
        <w:t xml:space="preserve">, the </w:t>
      </w:r>
      <w:r>
        <w:t xml:space="preserve">seventeen </w:t>
      </w:r>
      <w:r w:rsidRPr="000A7239">
        <w:t xml:space="preserve">programme countries of ECE collectively account for a </w:t>
      </w:r>
      <w:r w:rsidRPr="000A7239">
        <w:rPr>
          <w:b/>
          <w:bCs/>
        </w:rPr>
        <w:t xml:space="preserve">total of </w:t>
      </w:r>
      <w:r>
        <w:rPr>
          <w:b/>
          <w:bCs/>
        </w:rPr>
        <w:t>380</w:t>
      </w:r>
      <w:r w:rsidRPr="000A7239">
        <w:rPr>
          <w:b/>
          <w:bCs/>
        </w:rPr>
        <w:t xml:space="preserve"> accessions</w:t>
      </w:r>
      <w:r w:rsidRPr="000A7239">
        <w:t xml:space="preserve"> to legal instruments.</w:t>
      </w:r>
      <w:r>
        <w:t xml:space="preserve"> T</w:t>
      </w:r>
      <w:r w:rsidRPr="000A7239">
        <w:t xml:space="preserve">he </w:t>
      </w:r>
      <w:r w:rsidRPr="007A723E">
        <w:t>ninety-</w:t>
      </w:r>
      <w:r>
        <w:t>nine</w:t>
      </w:r>
      <w:r w:rsidRPr="000A7239">
        <w:t xml:space="preserve"> non-ECE United Nations Member States accounted for a </w:t>
      </w:r>
      <w:r w:rsidRPr="000A7239">
        <w:rPr>
          <w:b/>
          <w:bCs/>
        </w:rPr>
        <w:t xml:space="preserve">total of </w:t>
      </w:r>
      <w:r>
        <w:rPr>
          <w:b/>
          <w:bCs/>
        </w:rPr>
        <w:t>434</w:t>
      </w:r>
      <w:r w:rsidRPr="000A7239">
        <w:rPr>
          <w:b/>
          <w:bCs/>
        </w:rPr>
        <w:t xml:space="preserve"> accessions</w:t>
      </w:r>
      <w:r w:rsidRPr="000A7239">
        <w:t xml:space="preserve"> to legal instruments under the purview of ITC.</w:t>
      </w:r>
    </w:p>
    <w:p w14:paraId="2F197AD6" w14:textId="6064748A" w:rsidR="001C6663" w:rsidRPr="00494DDD" w:rsidRDefault="00494DDD" w:rsidP="00494DDD">
      <w:pPr>
        <w:spacing w:before="240"/>
        <w:jc w:val="center"/>
        <w:rPr>
          <w:u w:val="single"/>
        </w:rPr>
      </w:pPr>
      <w:r>
        <w:rPr>
          <w:u w:val="single"/>
        </w:rPr>
        <w:tab/>
      </w:r>
      <w:r>
        <w:rPr>
          <w:u w:val="single"/>
        </w:rPr>
        <w:tab/>
      </w:r>
      <w:r>
        <w:rPr>
          <w:u w:val="single"/>
        </w:rPr>
        <w:tab/>
      </w:r>
    </w:p>
    <w:sectPr w:rsidR="001C6663" w:rsidRPr="00494DDD" w:rsidSect="0037165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A925" w14:textId="77777777" w:rsidR="00C91EAA" w:rsidRDefault="00C91EAA"/>
  </w:endnote>
  <w:endnote w:type="continuationSeparator" w:id="0">
    <w:p w14:paraId="2785E1C8" w14:textId="77777777" w:rsidR="00C91EAA" w:rsidRDefault="00C91EAA"/>
  </w:endnote>
  <w:endnote w:type="continuationNotice" w:id="1">
    <w:p w14:paraId="123A56A4" w14:textId="77777777" w:rsidR="00C91EAA" w:rsidRDefault="00C91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2389" w14:textId="6AC5F493" w:rsidR="00371650" w:rsidRPr="00371650" w:rsidRDefault="00371650" w:rsidP="00371650">
    <w:pPr>
      <w:pStyle w:val="Footer"/>
      <w:tabs>
        <w:tab w:val="right" w:pos="9638"/>
      </w:tabs>
      <w:rPr>
        <w:sz w:val="18"/>
      </w:rPr>
    </w:pPr>
    <w:r w:rsidRPr="00371650">
      <w:rPr>
        <w:b/>
        <w:sz w:val="18"/>
      </w:rPr>
      <w:fldChar w:fldCharType="begin"/>
    </w:r>
    <w:r w:rsidRPr="00371650">
      <w:rPr>
        <w:b/>
        <w:sz w:val="18"/>
      </w:rPr>
      <w:instrText xml:space="preserve"> PAGE  \* MERGEFORMAT </w:instrText>
    </w:r>
    <w:r w:rsidRPr="00371650">
      <w:rPr>
        <w:b/>
        <w:sz w:val="18"/>
      </w:rPr>
      <w:fldChar w:fldCharType="separate"/>
    </w:r>
    <w:r w:rsidRPr="00371650">
      <w:rPr>
        <w:b/>
        <w:noProof/>
        <w:sz w:val="18"/>
      </w:rPr>
      <w:t>2</w:t>
    </w:r>
    <w:r w:rsidRPr="0037165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4CCD" w14:textId="420F0E67" w:rsidR="00371650" w:rsidRPr="00371650" w:rsidRDefault="00371650" w:rsidP="00371650">
    <w:pPr>
      <w:pStyle w:val="Footer"/>
      <w:tabs>
        <w:tab w:val="right" w:pos="9638"/>
      </w:tabs>
      <w:rPr>
        <w:b/>
        <w:sz w:val="18"/>
      </w:rPr>
    </w:pPr>
    <w:r>
      <w:tab/>
    </w:r>
    <w:r w:rsidRPr="00371650">
      <w:rPr>
        <w:b/>
        <w:sz w:val="18"/>
      </w:rPr>
      <w:fldChar w:fldCharType="begin"/>
    </w:r>
    <w:r w:rsidRPr="00371650">
      <w:rPr>
        <w:b/>
        <w:sz w:val="18"/>
      </w:rPr>
      <w:instrText xml:space="preserve"> PAGE  \* MERGEFORMAT </w:instrText>
    </w:r>
    <w:r w:rsidRPr="00371650">
      <w:rPr>
        <w:b/>
        <w:sz w:val="18"/>
      </w:rPr>
      <w:fldChar w:fldCharType="separate"/>
    </w:r>
    <w:r w:rsidRPr="00371650">
      <w:rPr>
        <w:b/>
        <w:noProof/>
        <w:sz w:val="18"/>
      </w:rPr>
      <w:t>3</w:t>
    </w:r>
    <w:r w:rsidRPr="0037165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11A0" w14:textId="2B33F8F7" w:rsidR="00082AD6" w:rsidRDefault="00082AD6" w:rsidP="00082AD6">
    <w:pPr>
      <w:pStyle w:val="Footer"/>
    </w:pPr>
    <w:r>
      <w:rPr>
        <w:noProof/>
        <w:sz w:val="20"/>
      </w:rPr>
      <w:drawing>
        <wp:anchor distT="0" distB="0" distL="114300" distR="114300" simplePos="0" relativeHeight="251660288" behindDoc="0" locked="0" layoutInCell="1" allowOverlap="1" wp14:anchorId="070EAF78" wp14:editId="00E786A1">
          <wp:simplePos x="0" y="0"/>
          <wp:positionH relativeFrom="column">
            <wp:posOffset>5459739</wp:posOffset>
          </wp:positionH>
          <wp:positionV relativeFrom="paragraph">
            <wp:posOffset>-306677</wp:posOffset>
          </wp:positionV>
          <wp:extent cx="571500" cy="571500"/>
          <wp:effectExtent l="0" t="0" r="0" b="0"/>
          <wp:wrapNone/>
          <wp:docPr id="1823971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9264" behindDoc="1" locked="1" layoutInCell="1" allowOverlap="1" wp14:anchorId="0C4CA836" wp14:editId="464870B6">
          <wp:simplePos x="0" y="0"/>
          <wp:positionH relativeFrom="margin">
            <wp:posOffset>4346575</wp:posOffset>
          </wp:positionH>
          <wp:positionV relativeFrom="margin">
            <wp:posOffset>9205595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A288A57" w14:textId="16CC004B" w:rsidR="00082AD6" w:rsidRPr="00082AD6" w:rsidRDefault="00082AD6" w:rsidP="00082AD6">
    <w:pPr>
      <w:pStyle w:val="Footer"/>
      <w:ind w:right="1134"/>
      <w:rPr>
        <w:sz w:val="20"/>
      </w:rPr>
    </w:pPr>
    <w:r>
      <w:rPr>
        <w:sz w:val="20"/>
      </w:rPr>
      <w:t>GE.24-22659  (E)</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D565" w14:textId="77777777" w:rsidR="00C91EAA" w:rsidRPr="000B175B" w:rsidRDefault="00C91EAA" w:rsidP="000B175B">
      <w:pPr>
        <w:tabs>
          <w:tab w:val="right" w:pos="2155"/>
        </w:tabs>
        <w:spacing w:after="80"/>
        <w:ind w:left="680"/>
        <w:rPr>
          <w:u w:val="single"/>
        </w:rPr>
      </w:pPr>
      <w:r>
        <w:rPr>
          <w:u w:val="single"/>
        </w:rPr>
        <w:tab/>
      </w:r>
    </w:p>
  </w:footnote>
  <w:footnote w:type="continuationSeparator" w:id="0">
    <w:p w14:paraId="64AA2CA5" w14:textId="77777777" w:rsidR="00C91EAA" w:rsidRPr="00FC68B7" w:rsidRDefault="00C91EAA" w:rsidP="00FC68B7">
      <w:pPr>
        <w:tabs>
          <w:tab w:val="left" w:pos="2155"/>
        </w:tabs>
        <w:spacing w:after="80"/>
        <w:ind w:left="680"/>
        <w:rPr>
          <w:u w:val="single"/>
        </w:rPr>
      </w:pPr>
      <w:r>
        <w:rPr>
          <w:u w:val="single"/>
        </w:rPr>
        <w:tab/>
      </w:r>
    </w:p>
  </w:footnote>
  <w:footnote w:type="continuationNotice" w:id="1">
    <w:p w14:paraId="10FD00CF" w14:textId="77777777" w:rsidR="00C91EAA" w:rsidRDefault="00C91EAA"/>
  </w:footnote>
  <w:footnote w:id="2">
    <w:p w14:paraId="4F64F2F2" w14:textId="77777777" w:rsidR="00494DDD" w:rsidRPr="00380BFB" w:rsidRDefault="00494DDD" w:rsidP="00494DDD">
      <w:pPr>
        <w:pStyle w:val="FootnoteText"/>
        <w:rPr>
          <w:lang w:val="en-US"/>
        </w:rPr>
      </w:pPr>
      <w:r>
        <w:tab/>
      </w:r>
      <w:r>
        <w:rPr>
          <w:rStyle w:val="FootnoteReference"/>
        </w:rPr>
        <w:footnoteRef/>
      </w:r>
      <w:r>
        <w:t xml:space="preserve"> </w:t>
      </w:r>
      <w:r>
        <w:tab/>
      </w:r>
      <w:r>
        <w:rPr>
          <w:lang w:val="en-US"/>
        </w:rPr>
        <w:t>ESCAP has 53 member States; however for the purposes of the analysis, France, the Netherlands, and the United Kingdom of Great Britain and Northern Ireland are excluded.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642C" w14:textId="164717E4" w:rsidR="00371650" w:rsidRPr="00371650" w:rsidRDefault="00E17DEB">
    <w:pPr>
      <w:pStyle w:val="Header"/>
    </w:pPr>
    <w:r>
      <w:fldChar w:fldCharType="begin"/>
    </w:r>
    <w:r>
      <w:instrText xml:space="preserve"> TITLE  \* MERGEFORMAT </w:instrText>
    </w:r>
    <w:r>
      <w:fldChar w:fldCharType="separate"/>
    </w:r>
    <w:r w:rsidR="00952EA5">
      <w:t>ECE/TRANS/2025/20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DEC7" w14:textId="1482E421" w:rsidR="00371650" w:rsidRPr="00371650" w:rsidRDefault="00E17DEB" w:rsidP="00371650">
    <w:pPr>
      <w:pStyle w:val="Header"/>
      <w:jc w:val="right"/>
    </w:pPr>
    <w:r>
      <w:fldChar w:fldCharType="begin"/>
    </w:r>
    <w:r>
      <w:instrText xml:space="preserve"> TITLE  \* MERGEFORMAT </w:instrText>
    </w:r>
    <w:r>
      <w:fldChar w:fldCharType="separate"/>
    </w:r>
    <w:r w:rsidR="00952EA5">
      <w:t>ECE/TRANS/2025/20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24365470">
    <w:abstractNumId w:val="1"/>
  </w:num>
  <w:num w:numId="2" w16cid:durableId="1644967214">
    <w:abstractNumId w:val="0"/>
  </w:num>
  <w:num w:numId="3" w16cid:durableId="1855267725">
    <w:abstractNumId w:val="2"/>
  </w:num>
  <w:num w:numId="4" w16cid:durableId="1595749706">
    <w:abstractNumId w:val="3"/>
  </w:num>
  <w:num w:numId="5" w16cid:durableId="1715077358">
    <w:abstractNumId w:val="8"/>
  </w:num>
  <w:num w:numId="6" w16cid:durableId="1224833539">
    <w:abstractNumId w:val="9"/>
  </w:num>
  <w:num w:numId="7" w16cid:durableId="563106907">
    <w:abstractNumId w:val="7"/>
  </w:num>
  <w:num w:numId="8" w16cid:durableId="945845468">
    <w:abstractNumId w:val="6"/>
  </w:num>
  <w:num w:numId="9" w16cid:durableId="1213233937">
    <w:abstractNumId w:val="5"/>
  </w:num>
  <w:num w:numId="10" w16cid:durableId="1764183552">
    <w:abstractNumId w:val="4"/>
  </w:num>
  <w:num w:numId="11" w16cid:durableId="2052343176">
    <w:abstractNumId w:val="15"/>
  </w:num>
  <w:num w:numId="12" w16cid:durableId="842210942">
    <w:abstractNumId w:val="14"/>
  </w:num>
  <w:num w:numId="13" w16cid:durableId="792334019">
    <w:abstractNumId w:val="10"/>
  </w:num>
  <w:num w:numId="14" w16cid:durableId="188835575">
    <w:abstractNumId w:val="12"/>
  </w:num>
  <w:num w:numId="15" w16cid:durableId="513764657">
    <w:abstractNumId w:val="16"/>
  </w:num>
  <w:num w:numId="16" w16cid:durableId="594746930">
    <w:abstractNumId w:val="13"/>
  </w:num>
  <w:num w:numId="17" w16cid:durableId="1430350692">
    <w:abstractNumId w:val="17"/>
  </w:num>
  <w:num w:numId="18" w16cid:durableId="1356807612">
    <w:abstractNumId w:val="18"/>
  </w:num>
  <w:num w:numId="19" w16cid:durableId="163552424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50"/>
    <w:rsid w:val="00002A7D"/>
    <w:rsid w:val="000038A8"/>
    <w:rsid w:val="00006790"/>
    <w:rsid w:val="00027624"/>
    <w:rsid w:val="00050F6B"/>
    <w:rsid w:val="000678CD"/>
    <w:rsid w:val="00070624"/>
    <w:rsid w:val="00072C8C"/>
    <w:rsid w:val="00081CE0"/>
    <w:rsid w:val="00082AD6"/>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59B5"/>
    <w:rsid w:val="001C6663"/>
    <w:rsid w:val="001C7895"/>
    <w:rsid w:val="001D26DF"/>
    <w:rsid w:val="001F1599"/>
    <w:rsid w:val="001F19C4"/>
    <w:rsid w:val="002043F0"/>
    <w:rsid w:val="00211E0B"/>
    <w:rsid w:val="00212DF1"/>
    <w:rsid w:val="00232575"/>
    <w:rsid w:val="00247258"/>
    <w:rsid w:val="00257CAC"/>
    <w:rsid w:val="0026142A"/>
    <w:rsid w:val="0027237A"/>
    <w:rsid w:val="002974E9"/>
    <w:rsid w:val="002A7F94"/>
    <w:rsid w:val="002B109A"/>
    <w:rsid w:val="002C41E6"/>
    <w:rsid w:val="002C6D45"/>
    <w:rsid w:val="002D6E53"/>
    <w:rsid w:val="002F046D"/>
    <w:rsid w:val="002F3023"/>
    <w:rsid w:val="00301764"/>
    <w:rsid w:val="003017C9"/>
    <w:rsid w:val="003229D8"/>
    <w:rsid w:val="00336C97"/>
    <w:rsid w:val="00337F88"/>
    <w:rsid w:val="00342432"/>
    <w:rsid w:val="0035223F"/>
    <w:rsid w:val="00352D4B"/>
    <w:rsid w:val="0035638C"/>
    <w:rsid w:val="00371650"/>
    <w:rsid w:val="003A46BB"/>
    <w:rsid w:val="003A4EC7"/>
    <w:rsid w:val="003A7295"/>
    <w:rsid w:val="003B1F60"/>
    <w:rsid w:val="003C2CC4"/>
    <w:rsid w:val="003C359D"/>
    <w:rsid w:val="003D4B23"/>
    <w:rsid w:val="003E278A"/>
    <w:rsid w:val="00413520"/>
    <w:rsid w:val="004325CB"/>
    <w:rsid w:val="00440A07"/>
    <w:rsid w:val="00462880"/>
    <w:rsid w:val="00473E21"/>
    <w:rsid w:val="00476F24"/>
    <w:rsid w:val="0048780D"/>
    <w:rsid w:val="004923A8"/>
    <w:rsid w:val="00494DDD"/>
    <w:rsid w:val="004A7D7B"/>
    <w:rsid w:val="004A7EC0"/>
    <w:rsid w:val="004C55B0"/>
    <w:rsid w:val="004D2228"/>
    <w:rsid w:val="004F6BA0"/>
    <w:rsid w:val="00503BEA"/>
    <w:rsid w:val="00533616"/>
    <w:rsid w:val="005346FA"/>
    <w:rsid w:val="00535ABA"/>
    <w:rsid w:val="0053768B"/>
    <w:rsid w:val="005420F2"/>
    <w:rsid w:val="0054285C"/>
    <w:rsid w:val="00547EE6"/>
    <w:rsid w:val="00584173"/>
    <w:rsid w:val="00595520"/>
    <w:rsid w:val="005A44B9"/>
    <w:rsid w:val="005B1BA0"/>
    <w:rsid w:val="005B3DB3"/>
    <w:rsid w:val="005B7907"/>
    <w:rsid w:val="005D15CA"/>
    <w:rsid w:val="005F08DF"/>
    <w:rsid w:val="005F3066"/>
    <w:rsid w:val="005F3E61"/>
    <w:rsid w:val="00604DDD"/>
    <w:rsid w:val="006115CC"/>
    <w:rsid w:val="00611FC4"/>
    <w:rsid w:val="006176FB"/>
    <w:rsid w:val="00620F69"/>
    <w:rsid w:val="00630FCB"/>
    <w:rsid w:val="00640B26"/>
    <w:rsid w:val="00651199"/>
    <w:rsid w:val="0065766B"/>
    <w:rsid w:val="006770B2"/>
    <w:rsid w:val="00681CAA"/>
    <w:rsid w:val="00686A48"/>
    <w:rsid w:val="006940E1"/>
    <w:rsid w:val="006A3C72"/>
    <w:rsid w:val="006A7392"/>
    <w:rsid w:val="006B03A1"/>
    <w:rsid w:val="006B4B67"/>
    <w:rsid w:val="006B67D9"/>
    <w:rsid w:val="006C5535"/>
    <w:rsid w:val="006D0589"/>
    <w:rsid w:val="006E564B"/>
    <w:rsid w:val="006E7154"/>
    <w:rsid w:val="007003CD"/>
    <w:rsid w:val="0070701E"/>
    <w:rsid w:val="0072632A"/>
    <w:rsid w:val="007358E8"/>
    <w:rsid w:val="00736ECE"/>
    <w:rsid w:val="0074533B"/>
    <w:rsid w:val="007511DB"/>
    <w:rsid w:val="007643BC"/>
    <w:rsid w:val="00776960"/>
    <w:rsid w:val="00780C68"/>
    <w:rsid w:val="007959FE"/>
    <w:rsid w:val="007A0CF1"/>
    <w:rsid w:val="007B6BA5"/>
    <w:rsid w:val="007C3390"/>
    <w:rsid w:val="007C42D8"/>
    <w:rsid w:val="007C4F4B"/>
    <w:rsid w:val="007D7362"/>
    <w:rsid w:val="007F5CE2"/>
    <w:rsid w:val="007F6611"/>
    <w:rsid w:val="00810BAC"/>
    <w:rsid w:val="00815316"/>
    <w:rsid w:val="008175E9"/>
    <w:rsid w:val="00823759"/>
    <w:rsid w:val="008242D7"/>
    <w:rsid w:val="0082577B"/>
    <w:rsid w:val="008304E1"/>
    <w:rsid w:val="00843E41"/>
    <w:rsid w:val="00866893"/>
    <w:rsid w:val="00866F02"/>
    <w:rsid w:val="00867D18"/>
    <w:rsid w:val="00871F9A"/>
    <w:rsid w:val="00871FD5"/>
    <w:rsid w:val="0088172E"/>
    <w:rsid w:val="00881EFA"/>
    <w:rsid w:val="008879CB"/>
    <w:rsid w:val="008979B1"/>
    <w:rsid w:val="008A6B25"/>
    <w:rsid w:val="008A6C4F"/>
    <w:rsid w:val="008B389E"/>
    <w:rsid w:val="008C6230"/>
    <w:rsid w:val="008D045E"/>
    <w:rsid w:val="008D3F25"/>
    <w:rsid w:val="008D4D82"/>
    <w:rsid w:val="008E0E46"/>
    <w:rsid w:val="008E7116"/>
    <w:rsid w:val="008F143B"/>
    <w:rsid w:val="008F3882"/>
    <w:rsid w:val="008F4B7C"/>
    <w:rsid w:val="00926E47"/>
    <w:rsid w:val="00943748"/>
    <w:rsid w:val="00947162"/>
    <w:rsid w:val="00952EA5"/>
    <w:rsid w:val="009610D0"/>
    <w:rsid w:val="0096375C"/>
    <w:rsid w:val="009662E6"/>
    <w:rsid w:val="0097095E"/>
    <w:rsid w:val="0098592B"/>
    <w:rsid w:val="00985FC4"/>
    <w:rsid w:val="00990766"/>
    <w:rsid w:val="00991261"/>
    <w:rsid w:val="009964C4"/>
    <w:rsid w:val="009A7B81"/>
    <w:rsid w:val="009D01C0"/>
    <w:rsid w:val="009D46F4"/>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C0F2C"/>
    <w:rsid w:val="00AC502A"/>
    <w:rsid w:val="00AF58C1"/>
    <w:rsid w:val="00B04A3F"/>
    <w:rsid w:val="00B06643"/>
    <w:rsid w:val="00B15055"/>
    <w:rsid w:val="00B20551"/>
    <w:rsid w:val="00B30179"/>
    <w:rsid w:val="00B33FC7"/>
    <w:rsid w:val="00B37B15"/>
    <w:rsid w:val="00B45C02"/>
    <w:rsid w:val="00B70B63"/>
    <w:rsid w:val="00B72A1E"/>
    <w:rsid w:val="00B81E12"/>
    <w:rsid w:val="00BA339B"/>
    <w:rsid w:val="00BB23CC"/>
    <w:rsid w:val="00BB4BD3"/>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51570"/>
    <w:rsid w:val="00C745C3"/>
    <w:rsid w:val="00C91EAA"/>
    <w:rsid w:val="00C978F5"/>
    <w:rsid w:val="00CA24A4"/>
    <w:rsid w:val="00CB348D"/>
    <w:rsid w:val="00CD46F5"/>
    <w:rsid w:val="00CE4A8F"/>
    <w:rsid w:val="00CF071D"/>
    <w:rsid w:val="00CF331B"/>
    <w:rsid w:val="00CF4F68"/>
    <w:rsid w:val="00D0123D"/>
    <w:rsid w:val="00D15B04"/>
    <w:rsid w:val="00D16ECD"/>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D4FBE"/>
    <w:rsid w:val="00DF1322"/>
    <w:rsid w:val="00DF7CAE"/>
    <w:rsid w:val="00E423C0"/>
    <w:rsid w:val="00E6414C"/>
    <w:rsid w:val="00E7260F"/>
    <w:rsid w:val="00E80E43"/>
    <w:rsid w:val="00E8702D"/>
    <w:rsid w:val="00E905F4"/>
    <w:rsid w:val="00E916A9"/>
    <w:rsid w:val="00E916DE"/>
    <w:rsid w:val="00E925AD"/>
    <w:rsid w:val="00E96630"/>
    <w:rsid w:val="00ED18DC"/>
    <w:rsid w:val="00ED6201"/>
    <w:rsid w:val="00ED7A2A"/>
    <w:rsid w:val="00EF1D7F"/>
    <w:rsid w:val="00F0137E"/>
    <w:rsid w:val="00F21786"/>
    <w:rsid w:val="00F3742B"/>
    <w:rsid w:val="00F40072"/>
    <w:rsid w:val="00F41FDB"/>
    <w:rsid w:val="00F447F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1547"/>
  <w15:docId w15:val="{5807BA9B-C161-42FE-9B67-FEA212BD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570"/>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CF4F68"/>
    <w:pPr>
      <w:numPr>
        <w:numId w:val="19"/>
      </w:numPr>
      <w:tabs>
        <w:tab w:val="left" w:pos="1701"/>
        <w:tab w:val="left" w:pos="2268"/>
        <w:tab w:val="left" w:pos="2835"/>
      </w:tabs>
      <w:spacing w:after="120"/>
      <w:ind w:right="1134"/>
      <w:jc w:val="both"/>
    </w:pPr>
  </w:style>
  <w:style w:type="character" w:customStyle="1" w:styleId="HChGChar">
    <w:name w:val="_ H _Ch_G Char"/>
    <w:link w:val="HChG"/>
    <w:rsid w:val="00494DDD"/>
    <w:rPr>
      <w:b/>
      <w:sz w:val="28"/>
      <w:lang w:val="en-GB"/>
    </w:rPr>
  </w:style>
  <w:style w:type="character" w:customStyle="1" w:styleId="SingleTxtGChar">
    <w:name w:val="_ Single Txt_G Char"/>
    <w:link w:val="SingleTxtG"/>
    <w:qFormat/>
    <w:rsid w:val="00494DDD"/>
    <w:rPr>
      <w:lang w:val="en-GB"/>
    </w:rPr>
  </w:style>
  <w:style w:type="character" w:customStyle="1" w:styleId="H1GChar">
    <w:name w:val="_ H_1_G Char"/>
    <w:link w:val="H1G"/>
    <w:rsid w:val="00494DDD"/>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2427D-EF88-4820-A57A-55649A97D0F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3F3D3FED-5A0B-4BBF-8161-8658EB9485F7}">
  <ds:schemaRefs>
    <ds:schemaRef ds:uri="http://schemas.microsoft.com/sharepoint/v3/contenttype/forms"/>
  </ds:schemaRefs>
</ds:datastoreItem>
</file>

<file path=customXml/itemProps3.xml><?xml version="1.0" encoding="utf-8"?>
<ds:datastoreItem xmlns:ds="http://schemas.openxmlformats.org/officeDocument/2006/customXml" ds:itemID="{7CCCB0EE-B1A2-4367-8AEC-36F82D740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4552</Characters>
  <Application>Microsoft Office Word</Application>
  <DocSecurity>0</DocSecurity>
  <Lines>93</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ECE/TRANS/2025/20</vt:lpstr>
      <vt:lpstr/>
    </vt:vector>
  </TitlesOfParts>
  <Company>CSD</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ECE/TRANS/2025/20</dc:title>
  <dc:subject>2422659</dc:subject>
  <dc:creator>Secretariat</dc:creator>
  <cp:keywords/>
  <dc:description/>
  <cp:lastModifiedBy>Anni Vi Tirol</cp:lastModifiedBy>
  <cp:revision>3</cp:revision>
  <cp:lastPrinted>2024-12-03T12:55:00Z</cp:lastPrinted>
  <dcterms:created xsi:type="dcterms:W3CDTF">2024-12-03T12:55:00Z</dcterms:created>
  <dcterms:modified xsi:type="dcterms:W3CDTF">2024-12-03T12:56:00Z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