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806F895" w14:textId="77777777" w:rsidTr="00C97039">
        <w:trPr>
          <w:trHeight w:hRule="exact" w:val="851"/>
        </w:trPr>
        <w:tc>
          <w:tcPr>
            <w:tcW w:w="1276" w:type="dxa"/>
            <w:tcBorders>
              <w:bottom w:val="single" w:sz="4" w:space="0" w:color="auto"/>
            </w:tcBorders>
          </w:tcPr>
          <w:p w14:paraId="65550C01" w14:textId="77777777" w:rsidR="00F35BAF" w:rsidRPr="00DB58B5" w:rsidRDefault="00F35BAF" w:rsidP="002C4118"/>
        </w:tc>
        <w:tc>
          <w:tcPr>
            <w:tcW w:w="2268" w:type="dxa"/>
            <w:tcBorders>
              <w:bottom w:val="single" w:sz="4" w:space="0" w:color="auto"/>
            </w:tcBorders>
            <w:vAlign w:val="bottom"/>
          </w:tcPr>
          <w:p w14:paraId="0ABA653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BC8F90B" w14:textId="205A3C51" w:rsidR="00F35BAF" w:rsidRPr="00DB58B5" w:rsidRDefault="002C4118" w:rsidP="002C4118">
            <w:pPr>
              <w:jc w:val="right"/>
            </w:pPr>
            <w:r w:rsidRPr="002C4118">
              <w:rPr>
                <w:sz w:val="40"/>
              </w:rPr>
              <w:t>ECE</w:t>
            </w:r>
            <w:r>
              <w:t>/TRANS/WP.29/GRBP/2025/10</w:t>
            </w:r>
          </w:p>
        </w:tc>
      </w:tr>
      <w:tr w:rsidR="00F35BAF" w:rsidRPr="00DB58B5" w14:paraId="2BAE5C03" w14:textId="77777777" w:rsidTr="00C97039">
        <w:trPr>
          <w:trHeight w:hRule="exact" w:val="2835"/>
        </w:trPr>
        <w:tc>
          <w:tcPr>
            <w:tcW w:w="1276" w:type="dxa"/>
            <w:tcBorders>
              <w:top w:val="single" w:sz="4" w:space="0" w:color="auto"/>
              <w:bottom w:val="single" w:sz="12" w:space="0" w:color="auto"/>
            </w:tcBorders>
          </w:tcPr>
          <w:p w14:paraId="1E7B40F3" w14:textId="77777777" w:rsidR="00F35BAF" w:rsidRPr="00DB58B5" w:rsidRDefault="00F35BAF" w:rsidP="00C97039">
            <w:pPr>
              <w:spacing w:before="120"/>
              <w:jc w:val="center"/>
            </w:pPr>
            <w:r>
              <w:rPr>
                <w:noProof/>
                <w:lang w:eastAsia="fr-CH"/>
              </w:rPr>
              <w:drawing>
                <wp:inline distT="0" distB="0" distL="0" distR="0" wp14:anchorId="04182FD9" wp14:editId="2EF03E1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77756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5DE1BD5" w14:textId="77777777" w:rsidR="00F35BAF" w:rsidRDefault="002C4118" w:rsidP="00C97039">
            <w:pPr>
              <w:spacing w:before="240"/>
            </w:pPr>
            <w:proofErr w:type="spellStart"/>
            <w:r>
              <w:t>Distr</w:t>
            </w:r>
            <w:proofErr w:type="spellEnd"/>
            <w:r>
              <w:t>. générale</w:t>
            </w:r>
          </w:p>
          <w:p w14:paraId="500020DF" w14:textId="77777777" w:rsidR="002C4118" w:rsidRDefault="002C4118" w:rsidP="002C4118">
            <w:pPr>
              <w:spacing w:line="240" w:lineRule="exact"/>
            </w:pPr>
            <w:r>
              <w:t>4 décembre 2024</w:t>
            </w:r>
          </w:p>
          <w:p w14:paraId="3A28453D" w14:textId="77777777" w:rsidR="002C4118" w:rsidRDefault="002C4118" w:rsidP="002C4118">
            <w:pPr>
              <w:spacing w:line="240" w:lineRule="exact"/>
            </w:pPr>
            <w:r>
              <w:t>Français</w:t>
            </w:r>
          </w:p>
          <w:p w14:paraId="76E0DDEA" w14:textId="13283D60" w:rsidR="002C4118" w:rsidRPr="00DB58B5" w:rsidRDefault="002C4118" w:rsidP="002C4118">
            <w:pPr>
              <w:spacing w:line="240" w:lineRule="exact"/>
            </w:pPr>
            <w:r>
              <w:t>Original : anglais</w:t>
            </w:r>
          </w:p>
        </w:tc>
      </w:tr>
    </w:tbl>
    <w:p w14:paraId="5B0C9842" w14:textId="77777777" w:rsidR="007F20FA" w:rsidRPr="000312C0" w:rsidRDefault="007F20FA" w:rsidP="007F20FA">
      <w:pPr>
        <w:spacing w:before="120"/>
        <w:rPr>
          <w:b/>
          <w:sz w:val="28"/>
          <w:szCs w:val="28"/>
        </w:rPr>
      </w:pPr>
      <w:r w:rsidRPr="000312C0">
        <w:rPr>
          <w:b/>
          <w:sz w:val="28"/>
          <w:szCs w:val="28"/>
        </w:rPr>
        <w:t>Commission économique pour l’Europe</w:t>
      </w:r>
    </w:p>
    <w:p w14:paraId="0D3A0C86" w14:textId="77777777" w:rsidR="007F20FA" w:rsidRDefault="007F20FA" w:rsidP="007F20FA">
      <w:pPr>
        <w:spacing w:before="120"/>
        <w:rPr>
          <w:sz w:val="28"/>
          <w:szCs w:val="28"/>
        </w:rPr>
      </w:pPr>
      <w:r w:rsidRPr="00685843">
        <w:rPr>
          <w:sz w:val="28"/>
          <w:szCs w:val="28"/>
        </w:rPr>
        <w:t>Comité des transports intérieurs</w:t>
      </w:r>
    </w:p>
    <w:p w14:paraId="1A839CAA" w14:textId="2ACCD71A" w:rsidR="002C4118" w:rsidRPr="002C4118" w:rsidRDefault="002C4118" w:rsidP="002C4118">
      <w:pPr>
        <w:spacing w:before="120"/>
        <w:rPr>
          <w:b/>
          <w:bCs/>
          <w:sz w:val="24"/>
          <w:szCs w:val="24"/>
        </w:rPr>
      </w:pPr>
      <w:r w:rsidRPr="002C4118">
        <w:rPr>
          <w:b/>
          <w:bCs/>
          <w:sz w:val="24"/>
          <w:szCs w:val="24"/>
          <w:lang w:val="fr-FR"/>
        </w:rPr>
        <w:t xml:space="preserve">Forum mondial de l’harmonisation des Règlements </w:t>
      </w:r>
      <w:r>
        <w:rPr>
          <w:b/>
          <w:bCs/>
          <w:sz w:val="24"/>
          <w:szCs w:val="24"/>
          <w:lang w:val="fr-FR"/>
        </w:rPr>
        <w:br/>
      </w:r>
      <w:r w:rsidRPr="002C4118">
        <w:rPr>
          <w:b/>
          <w:bCs/>
          <w:sz w:val="24"/>
          <w:szCs w:val="24"/>
          <w:lang w:val="fr-FR"/>
        </w:rPr>
        <w:t xml:space="preserve">concernant les véhicules </w:t>
      </w:r>
    </w:p>
    <w:p w14:paraId="461DD962" w14:textId="77777777" w:rsidR="002C4118" w:rsidRPr="002C4118" w:rsidRDefault="002C4118" w:rsidP="002C4118">
      <w:pPr>
        <w:spacing w:before="120" w:after="120"/>
        <w:rPr>
          <w:b/>
          <w:bCs/>
        </w:rPr>
      </w:pPr>
      <w:r w:rsidRPr="002C4118">
        <w:rPr>
          <w:b/>
          <w:bCs/>
          <w:lang w:val="fr-FR"/>
        </w:rPr>
        <w:t>Groupe de travail du bruit et des pneumatiques</w:t>
      </w:r>
    </w:p>
    <w:p w14:paraId="02296437" w14:textId="77777777" w:rsidR="002C4118" w:rsidRPr="00CE61DD" w:rsidRDefault="002C4118" w:rsidP="002C4118">
      <w:pPr>
        <w:rPr>
          <w:b/>
        </w:rPr>
      </w:pPr>
      <w:r>
        <w:rPr>
          <w:b/>
          <w:bCs/>
          <w:lang w:val="fr-FR"/>
        </w:rPr>
        <w:t>Quatre-vingt-unième session</w:t>
      </w:r>
      <w:r>
        <w:rPr>
          <w:lang w:val="fr-FR"/>
        </w:rPr>
        <w:t xml:space="preserve"> </w:t>
      </w:r>
    </w:p>
    <w:p w14:paraId="08F63CC5" w14:textId="77777777" w:rsidR="002C4118" w:rsidRPr="00CE61DD" w:rsidRDefault="002C4118" w:rsidP="002C4118">
      <w:pPr>
        <w:rPr>
          <w:bCs/>
        </w:rPr>
      </w:pPr>
      <w:r>
        <w:rPr>
          <w:lang w:val="fr-FR"/>
        </w:rPr>
        <w:t>Genève, 18-21 février 2025</w:t>
      </w:r>
    </w:p>
    <w:p w14:paraId="6985FA2D" w14:textId="77777777" w:rsidR="002C4118" w:rsidRPr="00CE61DD" w:rsidRDefault="002C4118" w:rsidP="002C4118">
      <w:pPr>
        <w:rPr>
          <w:bCs/>
        </w:rPr>
      </w:pPr>
      <w:r>
        <w:rPr>
          <w:lang w:val="fr-FR"/>
        </w:rPr>
        <w:t>Point 6 b) de l’ordre du jour provisoire</w:t>
      </w:r>
    </w:p>
    <w:p w14:paraId="53DB926A" w14:textId="14D67BF7" w:rsidR="002C4118" w:rsidRPr="00CE61DD" w:rsidRDefault="002C4118" w:rsidP="002C4118">
      <w:pPr>
        <w:rPr>
          <w:b/>
          <w:bCs/>
        </w:rPr>
      </w:pPr>
      <w:r>
        <w:rPr>
          <w:b/>
          <w:bCs/>
          <w:lang w:val="fr-FR"/>
        </w:rPr>
        <w:t xml:space="preserve">Pneumatiques : Règlement ONU </w:t>
      </w:r>
      <w:r w:rsidRPr="002C4118">
        <w:rPr>
          <w:rFonts w:eastAsia="MS Mincho"/>
          <w:b/>
          <w:bCs/>
          <w:lang w:val="fr-FR"/>
        </w:rPr>
        <w:t>n</w:t>
      </w:r>
      <w:r w:rsidRPr="002C4118">
        <w:rPr>
          <w:rFonts w:eastAsia="MS Mincho"/>
          <w:b/>
          <w:bCs/>
          <w:vertAlign w:val="superscript"/>
          <w:lang w:val="fr-FR"/>
        </w:rPr>
        <w:t>o</w:t>
      </w:r>
      <w:r>
        <w:rPr>
          <w:b/>
          <w:bCs/>
          <w:lang w:val="fr-FR"/>
        </w:rPr>
        <w:t> </w:t>
      </w:r>
      <w:r>
        <w:rPr>
          <w:b/>
          <w:bCs/>
          <w:lang w:val="fr-FR"/>
        </w:rPr>
        <w:t xml:space="preserve">54 (Pneumatiques </w:t>
      </w:r>
      <w:r>
        <w:rPr>
          <w:b/>
          <w:bCs/>
          <w:lang w:val="fr-FR"/>
        </w:rPr>
        <w:br/>
      </w:r>
      <w:r>
        <w:rPr>
          <w:b/>
          <w:bCs/>
          <w:lang w:val="fr-FR"/>
        </w:rPr>
        <w:t>pour les véhicules utilitaires et leurs remorques)</w:t>
      </w:r>
    </w:p>
    <w:p w14:paraId="298CC3A7" w14:textId="5B3CF9C7" w:rsidR="002C4118" w:rsidRPr="00CE61DD" w:rsidRDefault="002C4118" w:rsidP="002C4118">
      <w:pPr>
        <w:pStyle w:val="HChG"/>
        <w:rPr>
          <w:sz w:val="24"/>
          <w:szCs w:val="24"/>
        </w:rPr>
      </w:pPr>
      <w:r>
        <w:rPr>
          <w:lang w:val="fr-FR"/>
        </w:rPr>
        <w:tab/>
      </w:r>
      <w:r>
        <w:rPr>
          <w:lang w:val="fr-FR"/>
        </w:rPr>
        <w:tab/>
        <w:t xml:space="preserve">Proposition de complément 28 au Règlement ONU </w:t>
      </w:r>
      <w:r w:rsidRPr="002C4118">
        <w:rPr>
          <w:rFonts w:eastAsia="MS Mincho"/>
          <w:lang w:val="fr-FR"/>
        </w:rPr>
        <w:t>n</w:t>
      </w:r>
      <w:r w:rsidRPr="002C4118">
        <w:rPr>
          <w:rFonts w:eastAsia="MS Mincho"/>
          <w:vertAlign w:val="superscript"/>
          <w:lang w:val="fr-FR"/>
        </w:rPr>
        <w:t>o</w:t>
      </w:r>
      <w:r>
        <w:rPr>
          <w:lang w:val="fr-FR"/>
        </w:rPr>
        <w:t> </w:t>
      </w:r>
      <w:r>
        <w:rPr>
          <w:lang w:val="fr-FR"/>
        </w:rPr>
        <w:t xml:space="preserve">54 </w:t>
      </w:r>
    </w:p>
    <w:p w14:paraId="183A9AAA" w14:textId="5CA3543B" w:rsidR="002C4118" w:rsidRPr="00CE61DD" w:rsidRDefault="002C4118" w:rsidP="002C4118">
      <w:pPr>
        <w:pStyle w:val="H1G"/>
      </w:pPr>
      <w:r>
        <w:rPr>
          <w:lang w:val="fr-FR"/>
        </w:rPr>
        <w:tab/>
      </w:r>
      <w:r>
        <w:rPr>
          <w:lang w:val="fr-FR"/>
        </w:rPr>
        <w:tab/>
        <w:t xml:space="preserve">Communication des experts de l’Organisation technique européenne </w:t>
      </w:r>
      <w:r>
        <w:rPr>
          <w:lang w:val="fr-FR"/>
        </w:rPr>
        <w:br/>
      </w:r>
      <w:r>
        <w:rPr>
          <w:lang w:val="fr-FR"/>
        </w:rPr>
        <w:t>du pneumatique et de la jante</w:t>
      </w:r>
      <w:r w:rsidRPr="002C4118">
        <w:rPr>
          <w:b w:val="0"/>
          <w:bCs/>
          <w:sz w:val="20"/>
          <w:lang w:val="fr-FR"/>
        </w:rPr>
        <w:footnoteReference w:customMarkFollows="1" w:id="2"/>
        <w:t xml:space="preserve">* </w:t>
      </w:r>
    </w:p>
    <w:p w14:paraId="1B4C19B1" w14:textId="77777777" w:rsidR="002C4118" w:rsidRPr="00CE61DD" w:rsidRDefault="002C4118" w:rsidP="002C4118">
      <w:pPr>
        <w:pStyle w:val="SingleTxtG"/>
        <w:tabs>
          <w:tab w:val="left" w:pos="8505"/>
        </w:tabs>
        <w:spacing w:before="240" w:after="0"/>
        <w:ind w:firstLine="567"/>
      </w:pPr>
      <w:r>
        <w:rPr>
          <w:lang w:val="fr-FR"/>
        </w:rPr>
        <w:t xml:space="preserve">Le texte ci-après a été établi par les experts de l’Organisation technique européenne du pneumatique et de la jante (ETRTO). Les modifications qu’il est proposé d’apporter au texte actuel du Règlement figurent en caractères gras pour les ajouts et biffés pour les suppressions. </w:t>
      </w:r>
    </w:p>
    <w:p w14:paraId="4BE76408" w14:textId="51398A7E" w:rsidR="002C4118" w:rsidRDefault="002C4118">
      <w:pPr>
        <w:suppressAutoHyphens w:val="0"/>
        <w:kinsoku/>
        <w:overflowPunct/>
        <w:autoSpaceDE/>
        <w:autoSpaceDN/>
        <w:adjustRightInd/>
        <w:snapToGrid/>
        <w:spacing w:after="200" w:line="276" w:lineRule="auto"/>
      </w:pPr>
      <w:r>
        <w:br w:type="page"/>
      </w:r>
    </w:p>
    <w:p w14:paraId="7A3D67B1" w14:textId="6245F417" w:rsidR="002C4118" w:rsidRPr="00CE61DD" w:rsidRDefault="002C4118" w:rsidP="002C4118">
      <w:pPr>
        <w:pStyle w:val="HChG"/>
        <w:rPr>
          <w:sz w:val="40"/>
          <w:szCs w:val="28"/>
        </w:rPr>
      </w:pPr>
      <w:r>
        <w:rPr>
          <w:lang w:val="fr-FR"/>
        </w:rPr>
        <w:lastRenderedPageBreak/>
        <w:tab/>
      </w:r>
      <w:r>
        <w:rPr>
          <w:lang w:val="fr-FR"/>
        </w:rPr>
        <w:t>I.</w:t>
      </w:r>
      <w:r>
        <w:rPr>
          <w:lang w:val="fr-FR"/>
        </w:rPr>
        <w:tab/>
        <w:t>Proposition</w:t>
      </w:r>
    </w:p>
    <w:p w14:paraId="20BFE837" w14:textId="77777777" w:rsidR="002C4118" w:rsidRPr="00CE61DD" w:rsidRDefault="002C4118" w:rsidP="002C4118">
      <w:pPr>
        <w:pStyle w:val="SingleTxtG"/>
        <w:keepNext/>
      </w:pPr>
      <w:bookmarkStart w:id="0" w:name="_Hlk117259234"/>
      <w:r w:rsidRPr="002C4118">
        <w:rPr>
          <w:i/>
          <w:iCs/>
          <w:lang w:val="fr-FR"/>
        </w:rPr>
        <w:t>Paragraphe 1</w:t>
      </w:r>
      <w:r>
        <w:rPr>
          <w:lang w:val="fr-FR"/>
        </w:rPr>
        <w:t>, lire :</w:t>
      </w:r>
    </w:p>
    <w:p w14:paraId="7D3C43A5" w14:textId="77777777" w:rsidR="002C4118" w:rsidRPr="00CE61DD" w:rsidRDefault="002C4118" w:rsidP="002C4118">
      <w:pPr>
        <w:pStyle w:val="HChG"/>
        <w:ind w:right="962" w:firstLine="0"/>
      </w:pPr>
      <w:bookmarkStart w:id="1" w:name="_Toc340666203"/>
      <w:bookmarkStart w:id="2" w:name="_Toc340745066"/>
      <w:r w:rsidRPr="00D377B7">
        <w:rPr>
          <w:b w:val="0"/>
          <w:sz w:val="20"/>
          <w:lang w:val="fr-FR"/>
        </w:rPr>
        <w:t>« </w:t>
      </w:r>
      <w:r>
        <w:rPr>
          <w:bCs/>
          <w:lang w:val="fr-FR"/>
        </w:rPr>
        <w:t>1.</w:t>
      </w:r>
      <w:r>
        <w:rPr>
          <w:lang w:val="fr-FR"/>
        </w:rPr>
        <w:tab/>
      </w:r>
      <w:r>
        <w:rPr>
          <w:lang w:val="fr-FR"/>
        </w:rPr>
        <w:tab/>
      </w:r>
      <w:r>
        <w:rPr>
          <w:bCs/>
          <w:lang w:val="fr-FR"/>
        </w:rPr>
        <w:t>Domaine d’application</w:t>
      </w:r>
      <w:bookmarkEnd w:id="1"/>
      <w:bookmarkEnd w:id="2"/>
    </w:p>
    <w:p w14:paraId="0BFBFD97" w14:textId="1D4B6AF9" w:rsidR="002C4118" w:rsidRPr="003E7980" w:rsidRDefault="002C4118" w:rsidP="002C4118">
      <w:pPr>
        <w:pStyle w:val="para"/>
        <w:ind w:right="962" w:firstLine="0"/>
        <w:rPr>
          <w:lang w:val="fr-CH"/>
        </w:rPr>
      </w:pPr>
      <w:r>
        <w:rPr>
          <w:lang w:val="fr-FR"/>
        </w:rPr>
        <w:t>Le présent Règlement s’applique aux pneumatiques neufs conçus principalement pour les véhicules des catégories M</w:t>
      </w:r>
      <w:r>
        <w:rPr>
          <w:vertAlign w:val="subscript"/>
          <w:lang w:val="fr-FR"/>
        </w:rPr>
        <w:t>2</w:t>
      </w:r>
      <w:r>
        <w:rPr>
          <w:lang w:val="fr-FR"/>
        </w:rPr>
        <w:t>, M</w:t>
      </w:r>
      <w:r>
        <w:rPr>
          <w:vertAlign w:val="subscript"/>
          <w:lang w:val="fr-FR"/>
        </w:rPr>
        <w:t>3</w:t>
      </w:r>
      <w:r>
        <w:rPr>
          <w:lang w:val="fr-FR"/>
        </w:rPr>
        <w:t>, N, O</w:t>
      </w:r>
      <w:r>
        <w:rPr>
          <w:vertAlign w:val="subscript"/>
          <w:lang w:val="fr-FR"/>
        </w:rPr>
        <w:t>3</w:t>
      </w:r>
      <w:r>
        <w:rPr>
          <w:lang w:val="fr-FR"/>
        </w:rPr>
        <w:t xml:space="preserve"> et O</w:t>
      </w:r>
      <w:r>
        <w:rPr>
          <w:vertAlign w:val="subscript"/>
          <w:lang w:val="fr-FR"/>
        </w:rPr>
        <w:t>4</w:t>
      </w:r>
      <w:r w:rsidRPr="00416F25">
        <w:rPr>
          <w:rStyle w:val="Appelnotedebasdep"/>
        </w:rPr>
        <w:footnoteReference w:id="3"/>
      </w:r>
      <w:r w:rsidR="00D377B7" w:rsidRPr="00D377B7">
        <w:rPr>
          <w:vertAlign w:val="superscript"/>
          <w:lang w:val="fr-FR"/>
        </w:rPr>
        <w:t>,</w:t>
      </w:r>
      <w:r w:rsidR="00D377B7">
        <w:rPr>
          <w:vertAlign w:val="subscript"/>
          <w:lang w:val="fr-FR"/>
        </w:rPr>
        <w:t xml:space="preserve"> </w:t>
      </w:r>
      <w:r w:rsidRPr="00416F25">
        <w:rPr>
          <w:rStyle w:val="Appelnotedebasdep"/>
        </w:rPr>
        <w:footnoteReference w:id="4"/>
      </w:r>
      <w:r w:rsidRPr="00D377B7">
        <w:rPr>
          <w:lang w:val="fr-FR"/>
        </w:rPr>
        <w:t>.</w:t>
      </w:r>
      <w:r>
        <w:rPr>
          <w:lang w:val="fr-FR"/>
        </w:rPr>
        <w:t xml:space="preserve"> Cependant, il ne s’applique pas aux types de pneumatique </w:t>
      </w:r>
      <w:r>
        <w:rPr>
          <w:strike/>
          <w:lang w:val="fr-FR"/>
        </w:rPr>
        <w:t xml:space="preserve">portant des symboles </w:t>
      </w:r>
      <w:r>
        <w:rPr>
          <w:lang w:val="fr-FR"/>
        </w:rPr>
        <w:t xml:space="preserve">de catégorie de vitesse nominale correspondant à des vitesses inférieures à 80 km/h </w:t>
      </w:r>
      <w:r>
        <w:rPr>
          <w:b/>
          <w:bCs/>
          <w:lang w:val="fr-FR"/>
        </w:rPr>
        <w:t>(symbole de catégorie de vitesse F)</w:t>
      </w:r>
      <w:r>
        <w:rPr>
          <w:lang w:val="fr-FR"/>
        </w:rPr>
        <w:t>. ».</w:t>
      </w:r>
      <w:bookmarkStart w:id="3" w:name="_Hlk183011871"/>
      <w:bookmarkEnd w:id="3"/>
    </w:p>
    <w:p w14:paraId="5D3C4C04" w14:textId="77777777" w:rsidR="002C4118" w:rsidRPr="00CE61DD" w:rsidRDefault="002C4118" w:rsidP="002C4118">
      <w:pPr>
        <w:pStyle w:val="SingleTxtG"/>
        <w:keepNext/>
      </w:pPr>
      <w:r>
        <w:rPr>
          <w:i/>
          <w:iCs/>
          <w:lang w:val="fr-FR"/>
        </w:rPr>
        <w:t>Note de bas de page 1</w:t>
      </w:r>
      <w:r>
        <w:rPr>
          <w:lang w:val="fr-FR"/>
        </w:rPr>
        <w:t>, lire :</w:t>
      </w:r>
    </w:p>
    <w:p w14:paraId="6D3D1E33" w14:textId="77777777" w:rsidR="002C4118" w:rsidRPr="00CA4DC9" w:rsidRDefault="002C4118" w:rsidP="002C4118">
      <w:pPr>
        <w:spacing w:after="120"/>
        <w:ind w:left="1560" w:right="1134" w:hanging="426"/>
        <w:rPr>
          <w:sz w:val="18"/>
          <w:szCs w:val="18"/>
        </w:rPr>
      </w:pPr>
      <w:r>
        <w:rPr>
          <w:lang w:val="fr-FR"/>
        </w:rPr>
        <w:t xml:space="preserve">«  </w:t>
      </w:r>
      <w:r>
        <w:rPr>
          <w:vertAlign w:val="superscript"/>
          <w:lang w:val="fr-FR"/>
        </w:rPr>
        <w:t>1</w:t>
      </w:r>
      <w:r>
        <w:rPr>
          <w:lang w:val="fr-FR"/>
        </w:rPr>
        <w:tab/>
      </w:r>
      <w:r>
        <w:rPr>
          <w:strike/>
          <w:lang w:val="fr-FR"/>
        </w:rPr>
        <w:t>Selon les définitions figurant dans la Résolution d’ensemble sur la construction des véhicules (R.E.3), document ECE/TRANS/WP.29/78/Rev.2, par.2</w:t>
      </w:r>
      <w:r>
        <w:rPr>
          <w:lang w:val="fr-FR"/>
        </w:rPr>
        <w:t xml:space="preserve"> </w:t>
      </w:r>
      <w:r>
        <w:rPr>
          <w:strike/>
          <w:lang w:val="fr-FR"/>
        </w:rPr>
        <w:t>- www.unece.org/trans/main/wp29/wp29wgs/wp29gen/wp29resolutions.html</w:t>
      </w:r>
      <w:r>
        <w:rPr>
          <w:b/>
          <w:bCs/>
          <w:lang w:val="fr-FR"/>
        </w:rPr>
        <w:t>Selon les définitions figurant dans la Résolution d’ensemble sur la construction des véhicules (R.E.3).</w:t>
      </w:r>
      <w:r>
        <w:rPr>
          <w:lang w:val="fr-FR"/>
        </w:rPr>
        <w:t> ».</w:t>
      </w:r>
    </w:p>
    <w:p w14:paraId="5CBC882E" w14:textId="71538841" w:rsidR="002C4118" w:rsidRPr="00CE61DD" w:rsidRDefault="002C4118" w:rsidP="002C4118">
      <w:pPr>
        <w:pStyle w:val="SingleTxtG"/>
        <w:keepNext/>
      </w:pPr>
      <w:r>
        <w:rPr>
          <w:i/>
          <w:iCs/>
          <w:lang w:val="fr-FR"/>
        </w:rPr>
        <w:t>Paragraphe 2.1</w:t>
      </w:r>
      <w:r>
        <w:rPr>
          <w:lang w:val="fr-FR"/>
        </w:rPr>
        <w:t xml:space="preserve">, lire : </w:t>
      </w:r>
    </w:p>
    <w:p w14:paraId="47C13E14" w14:textId="299F120A" w:rsidR="002C4118" w:rsidRPr="00CE61DD" w:rsidRDefault="002C4118" w:rsidP="00E23B96">
      <w:pPr>
        <w:pStyle w:val="SingleTxtG"/>
        <w:tabs>
          <w:tab w:val="clear" w:pos="1701"/>
          <w:tab w:val="left" w:pos="2300"/>
          <w:tab w:val="left" w:pos="2800"/>
        </w:tabs>
        <w:ind w:left="2268" w:hanging="1134"/>
      </w:pPr>
      <w:r>
        <w:rPr>
          <w:lang w:val="fr-FR"/>
        </w:rPr>
        <w:t>« 2.1</w:t>
      </w:r>
      <w:r>
        <w:rPr>
          <w:lang w:val="fr-FR"/>
        </w:rPr>
        <w:tab/>
      </w:r>
      <w:r w:rsidR="00D377B7">
        <w:rPr>
          <w:lang w:val="fr-FR"/>
        </w:rPr>
        <w:t>“</w:t>
      </w:r>
      <w:r>
        <w:rPr>
          <w:i/>
          <w:iCs/>
          <w:lang w:val="fr-FR"/>
        </w:rPr>
        <w:t>Type de pneumatiqu</w:t>
      </w:r>
      <w:r w:rsidR="00D377B7">
        <w:rPr>
          <w:i/>
          <w:iCs/>
          <w:lang w:val="fr-FR"/>
        </w:rPr>
        <w:t>e”</w:t>
      </w:r>
      <w:r>
        <w:rPr>
          <w:lang w:val="fr-FR"/>
        </w:rPr>
        <w:t>, un groupe de pneumatiques qui ne diffèrent pas entre eux sur des aspects essentiels tels que :</w:t>
      </w:r>
    </w:p>
    <w:p w14:paraId="5B775849" w14:textId="77777777" w:rsidR="002C4118" w:rsidRPr="00CE61DD" w:rsidRDefault="002C4118" w:rsidP="00D377B7">
      <w:pPr>
        <w:pStyle w:val="SingleTxtG"/>
        <w:ind w:left="2835" w:hanging="567"/>
      </w:pPr>
      <w:r>
        <w:rPr>
          <w:lang w:val="fr-FR"/>
        </w:rPr>
        <w:t>a)</w:t>
      </w:r>
      <w:r>
        <w:rPr>
          <w:lang w:val="fr-FR"/>
        </w:rPr>
        <w:tab/>
        <w:t>Le nom du fabricant ;</w:t>
      </w:r>
    </w:p>
    <w:p w14:paraId="0C82CC41" w14:textId="77777777" w:rsidR="002C4118" w:rsidRPr="00CE61DD" w:rsidRDefault="002C4118" w:rsidP="00D377B7">
      <w:pPr>
        <w:pStyle w:val="SingleTxtG"/>
        <w:ind w:left="2835" w:hanging="567"/>
      </w:pPr>
      <w:r>
        <w:rPr>
          <w:lang w:val="fr-FR"/>
        </w:rPr>
        <w:t>b)</w:t>
      </w:r>
      <w:r>
        <w:rPr>
          <w:lang w:val="fr-FR"/>
        </w:rPr>
        <w:tab/>
        <w:t>La désignation de la dimension du pneumatique ;</w:t>
      </w:r>
    </w:p>
    <w:p w14:paraId="10E28407" w14:textId="77777777" w:rsidR="002C4118" w:rsidRPr="00CE61DD" w:rsidRDefault="002C4118" w:rsidP="00D377B7">
      <w:pPr>
        <w:pStyle w:val="SingleTxtG"/>
        <w:ind w:left="2835" w:hanging="567"/>
      </w:pPr>
      <w:r>
        <w:rPr>
          <w:lang w:val="fr-FR"/>
        </w:rPr>
        <w:t xml:space="preserve">c) </w:t>
      </w:r>
      <w:r>
        <w:rPr>
          <w:lang w:val="fr-FR"/>
        </w:rPr>
        <w:tab/>
        <w:t>La catégorie d’utilisation (pneumatique normal, pneumatique neige, pneumatique à usage spécial) ;</w:t>
      </w:r>
    </w:p>
    <w:p w14:paraId="5CEFACAD" w14:textId="77777777" w:rsidR="002C4118" w:rsidRPr="00CE61DD" w:rsidRDefault="002C4118" w:rsidP="00D377B7">
      <w:pPr>
        <w:pStyle w:val="SingleTxtG"/>
        <w:ind w:left="2835" w:hanging="567"/>
      </w:pPr>
      <w:r>
        <w:rPr>
          <w:lang w:val="fr-FR"/>
        </w:rPr>
        <w:t>d)</w:t>
      </w:r>
      <w:r>
        <w:rPr>
          <w:lang w:val="fr-FR"/>
        </w:rPr>
        <w:tab/>
        <w:t>La structure (diagonale ou radiale) ;</w:t>
      </w:r>
    </w:p>
    <w:p w14:paraId="71C04229" w14:textId="77777777" w:rsidR="002C4118" w:rsidRPr="00CE61DD" w:rsidRDefault="002C4118" w:rsidP="00D377B7">
      <w:pPr>
        <w:pStyle w:val="SingleTxtG"/>
        <w:ind w:left="2835" w:hanging="567"/>
      </w:pPr>
      <w:r>
        <w:rPr>
          <w:lang w:val="fr-FR"/>
        </w:rPr>
        <w:t>e)</w:t>
      </w:r>
      <w:r>
        <w:rPr>
          <w:lang w:val="fr-FR"/>
        </w:rPr>
        <w:tab/>
        <w:t>Le symbole de la catégorie de vitesse ;</w:t>
      </w:r>
    </w:p>
    <w:p w14:paraId="77B70C83" w14:textId="77777777" w:rsidR="002C4118" w:rsidRPr="00CE61DD" w:rsidRDefault="002C4118" w:rsidP="00D377B7">
      <w:pPr>
        <w:pStyle w:val="SingleTxtG"/>
        <w:ind w:left="2835" w:hanging="567"/>
      </w:pPr>
      <w:r>
        <w:rPr>
          <w:lang w:val="fr-FR"/>
        </w:rPr>
        <w:t>f)</w:t>
      </w:r>
      <w:r>
        <w:rPr>
          <w:lang w:val="fr-FR"/>
        </w:rPr>
        <w:tab/>
        <w:t>Les indices de capacité de charge ;</w:t>
      </w:r>
    </w:p>
    <w:p w14:paraId="4467F3E7" w14:textId="77777777" w:rsidR="002C4118" w:rsidRPr="003E7980" w:rsidRDefault="002C4118" w:rsidP="00D377B7">
      <w:pPr>
        <w:pStyle w:val="SingleTxtG"/>
        <w:ind w:left="2835" w:hanging="567"/>
      </w:pPr>
      <w:r>
        <w:rPr>
          <w:lang w:val="fr-FR"/>
        </w:rPr>
        <w:t>g)</w:t>
      </w:r>
      <w:r>
        <w:rPr>
          <w:lang w:val="fr-FR"/>
        </w:rPr>
        <w:tab/>
        <w:t>La section transversale du pneumatique ; ».</w:t>
      </w:r>
    </w:p>
    <w:p w14:paraId="6304B790" w14:textId="77777777" w:rsidR="002C4118" w:rsidRPr="00CE61DD" w:rsidRDefault="002C4118" w:rsidP="002C4118">
      <w:pPr>
        <w:pStyle w:val="SingleTxtG"/>
        <w:keepNext/>
      </w:pPr>
      <w:r>
        <w:rPr>
          <w:i/>
          <w:iCs/>
          <w:lang w:val="fr-FR"/>
        </w:rPr>
        <w:t>Ajouter les nouveaux paragraphes 2.37 et 2.38</w:t>
      </w:r>
      <w:r>
        <w:rPr>
          <w:lang w:val="fr-FR"/>
        </w:rPr>
        <w:t>, libellés comme suit :</w:t>
      </w:r>
    </w:p>
    <w:p w14:paraId="4702F690" w14:textId="17B66B2F" w:rsidR="002C4118" w:rsidRPr="00CE61DD" w:rsidRDefault="002C4118" w:rsidP="00E23B96">
      <w:pPr>
        <w:pStyle w:val="SingleTxtG"/>
        <w:tabs>
          <w:tab w:val="clear" w:pos="1701"/>
          <w:tab w:val="left" w:pos="2300"/>
          <w:tab w:val="left" w:pos="2800"/>
        </w:tabs>
        <w:ind w:left="2268" w:hanging="1134"/>
        <w:rPr>
          <w:b/>
          <w:bCs/>
        </w:rPr>
      </w:pPr>
      <w:r>
        <w:rPr>
          <w:lang w:val="fr-FR"/>
        </w:rPr>
        <w:t>« </w:t>
      </w:r>
      <w:r>
        <w:rPr>
          <w:b/>
          <w:bCs/>
          <w:lang w:val="fr-FR"/>
        </w:rPr>
        <w:t>2.37</w:t>
      </w:r>
      <w:r>
        <w:rPr>
          <w:lang w:val="fr-FR"/>
        </w:rPr>
        <w:tab/>
      </w:r>
      <w:r w:rsidR="00FD43A4">
        <w:rPr>
          <w:b/>
          <w:bCs/>
          <w:lang w:val="fr-FR"/>
        </w:rPr>
        <w:t>“</w:t>
      </w:r>
      <w:r w:rsidRPr="00FD43A4">
        <w:rPr>
          <w:b/>
          <w:bCs/>
          <w:i/>
          <w:iCs/>
          <w:lang w:val="fr-FR"/>
        </w:rPr>
        <w:t>Rainures principales</w:t>
      </w:r>
      <w:r w:rsidR="00FD43A4">
        <w:rPr>
          <w:b/>
          <w:bCs/>
          <w:lang w:val="fr-FR"/>
        </w:rPr>
        <w:t>”</w:t>
      </w:r>
      <w:r>
        <w:rPr>
          <w:b/>
          <w:bCs/>
          <w:lang w:val="fr-FR"/>
        </w:rPr>
        <w:t>, les larges rainures situées dans la zone centrale de la bande de roulement (zone qui représente environ les trois quarts de la largeur de la bande) ;</w:t>
      </w:r>
    </w:p>
    <w:p w14:paraId="57B9D7B0" w14:textId="77E35959" w:rsidR="002C4118" w:rsidRPr="00FD43A4" w:rsidRDefault="002C4118" w:rsidP="00E23B96">
      <w:pPr>
        <w:pStyle w:val="SingleTxtG"/>
        <w:tabs>
          <w:tab w:val="clear" w:pos="1701"/>
          <w:tab w:val="left" w:pos="2300"/>
          <w:tab w:val="left" w:pos="2800"/>
        </w:tabs>
        <w:ind w:left="2268" w:hanging="1134"/>
      </w:pPr>
      <w:r>
        <w:rPr>
          <w:b/>
          <w:bCs/>
          <w:lang w:val="fr-FR"/>
        </w:rPr>
        <w:t>2.38</w:t>
      </w:r>
      <w:r>
        <w:rPr>
          <w:lang w:val="fr-FR"/>
        </w:rPr>
        <w:tab/>
      </w:r>
      <w:r w:rsidR="00FD43A4">
        <w:rPr>
          <w:b/>
          <w:bCs/>
          <w:lang w:val="fr-FR"/>
        </w:rPr>
        <w:t>“</w:t>
      </w:r>
      <w:r w:rsidRPr="00FD43A4">
        <w:rPr>
          <w:b/>
          <w:bCs/>
          <w:i/>
          <w:iCs/>
          <w:lang w:val="fr-FR"/>
        </w:rPr>
        <w:t>Profondeur de sculpture</w:t>
      </w:r>
      <w:r w:rsidR="00FD43A4">
        <w:rPr>
          <w:b/>
          <w:bCs/>
          <w:lang w:val="fr-FR"/>
        </w:rPr>
        <w:t>”</w:t>
      </w:r>
      <w:r>
        <w:rPr>
          <w:b/>
          <w:bCs/>
          <w:lang w:val="fr-FR"/>
        </w:rPr>
        <w:t>, la profondeur des rainures principales ; </w:t>
      </w:r>
      <w:r w:rsidRPr="00FD43A4">
        <w:rPr>
          <w:lang w:val="fr-FR"/>
        </w:rPr>
        <w:t>».</w:t>
      </w:r>
    </w:p>
    <w:p w14:paraId="0F9471ED" w14:textId="77777777" w:rsidR="002C4118" w:rsidRPr="00CE61DD" w:rsidRDefault="002C4118" w:rsidP="002C4118">
      <w:pPr>
        <w:pStyle w:val="SingleTxtG"/>
        <w:keepNext/>
      </w:pPr>
      <w:r>
        <w:rPr>
          <w:i/>
          <w:iCs/>
          <w:lang w:val="fr-FR"/>
        </w:rPr>
        <w:t>Paragraphe 2.20.4</w:t>
      </w:r>
      <w:r>
        <w:rPr>
          <w:lang w:val="fr-FR"/>
        </w:rPr>
        <w:t>, lire :</w:t>
      </w:r>
    </w:p>
    <w:p w14:paraId="4CE355A8" w14:textId="0C613055" w:rsidR="002C4118" w:rsidRPr="00CE61DD" w:rsidRDefault="002C4118" w:rsidP="00E23B96">
      <w:pPr>
        <w:pStyle w:val="SingleTxtG"/>
        <w:tabs>
          <w:tab w:val="clear" w:pos="1701"/>
          <w:tab w:val="left" w:pos="2300"/>
          <w:tab w:val="left" w:pos="2800"/>
        </w:tabs>
        <w:ind w:left="2268" w:hanging="1134"/>
        <w:rPr>
          <w:rFonts w:eastAsia="Gulim"/>
          <w:strike/>
        </w:rPr>
      </w:pPr>
      <w:r>
        <w:rPr>
          <w:lang w:val="fr-FR"/>
        </w:rPr>
        <w:t>« 2.20.4</w:t>
      </w:r>
      <w:r>
        <w:rPr>
          <w:lang w:val="fr-FR"/>
        </w:rPr>
        <w:tab/>
      </w:r>
      <w:r>
        <w:rPr>
          <w:b/>
          <w:bCs/>
          <w:lang w:val="fr-FR"/>
        </w:rPr>
        <w:t>Le diamètre nominal de la jante ;</w:t>
      </w:r>
      <w:r>
        <w:rPr>
          <w:lang w:val="fr-FR"/>
        </w:rPr>
        <w:t xml:space="preserve"> </w:t>
      </w:r>
      <w:r>
        <w:rPr>
          <w:strike/>
          <w:lang w:val="fr-FR"/>
        </w:rPr>
        <w:t xml:space="preserve">Un nombre conventionnel </w:t>
      </w:r>
      <w:r w:rsidR="00FD43A4">
        <w:rPr>
          <w:strike/>
          <w:lang w:val="fr-FR"/>
        </w:rPr>
        <w:t>“</w:t>
      </w:r>
      <w:r>
        <w:rPr>
          <w:strike/>
          <w:lang w:val="fr-FR"/>
        </w:rPr>
        <w:t xml:space="preserve">d </w:t>
      </w:r>
      <w:r w:rsidR="00FD43A4">
        <w:rPr>
          <w:strike/>
          <w:lang w:val="fr-FR"/>
        </w:rPr>
        <w:t>”</w:t>
      </w:r>
      <w:r>
        <w:rPr>
          <w:strike/>
          <w:lang w:val="fr-FR"/>
        </w:rPr>
        <w:t xml:space="preserve"> (le symbole </w:t>
      </w:r>
      <w:r w:rsidR="00FD43A4">
        <w:rPr>
          <w:strike/>
          <w:lang w:val="fr-FR"/>
        </w:rPr>
        <w:t>“</w:t>
      </w:r>
      <w:r>
        <w:rPr>
          <w:strike/>
          <w:lang w:val="fr-FR"/>
        </w:rPr>
        <w:t>d</w:t>
      </w:r>
      <w:r w:rsidR="00FD43A4">
        <w:rPr>
          <w:strike/>
          <w:lang w:val="fr-FR"/>
        </w:rPr>
        <w:t>”</w:t>
      </w:r>
      <w:r>
        <w:rPr>
          <w:strike/>
          <w:lang w:val="fr-FR"/>
        </w:rPr>
        <w:t>) caractérisant le diamètre nominal de la jante et correspondant à son diamètre exprimé soit par des codes (nombres inférieurs à 100) soit en millimètres (nombres supérieurs à 100).</w:t>
      </w:r>
      <w:r>
        <w:rPr>
          <w:lang w:val="fr-FR"/>
        </w:rPr>
        <w:t xml:space="preserve">  </w:t>
      </w:r>
      <w:r>
        <w:rPr>
          <w:strike/>
          <w:lang w:val="fr-FR"/>
        </w:rPr>
        <w:t>Les deux peuvent également figurer ensemble ;</w:t>
      </w:r>
      <w:r>
        <w:rPr>
          <w:lang w:val="fr-FR"/>
        </w:rPr>
        <w:t> ».</w:t>
      </w:r>
    </w:p>
    <w:p w14:paraId="4859EF96" w14:textId="77777777" w:rsidR="002C4118" w:rsidRPr="00CE61DD" w:rsidRDefault="002C4118" w:rsidP="002C4118">
      <w:pPr>
        <w:pStyle w:val="SingleTxtG"/>
        <w:keepNext/>
      </w:pPr>
      <w:r>
        <w:rPr>
          <w:i/>
          <w:iCs/>
          <w:lang w:val="fr-FR"/>
        </w:rPr>
        <w:t>Paragraphe 2.21</w:t>
      </w:r>
      <w:r>
        <w:rPr>
          <w:lang w:val="fr-FR"/>
        </w:rPr>
        <w:t>, lire :</w:t>
      </w:r>
    </w:p>
    <w:p w14:paraId="3D493A5D" w14:textId="1462C05D" w:rsidR="002C4118" w:rsidRPr="00CE61DD" w:rsidRDefault="002C4118" w:rsidP="00E23B96">
      <w:pPr>
        <w:pStyle w:val="SingleTxtG"/>
        <w:tabs>
          <w:tab w:val="clear" w:pos="1701"/>
          <w:tab w:val="left" w:pos="2300"/>
          <w:tab w:val="left" w:pos="2800"/>
        </w:tabs>
        <w:ind w:left="2268" w:hanging="1134"/>
        <w:rPr>
          <w:b/>
          <w:bCs/>
        </w:rPr>
      </w:pPr>
      <w:r>
        <w:rPr>
          <w:lang w:val="fr-FR"/>
        </w:rPr>
        <w:t>« 2.21</w:t>
      </w:r>
      <w:r>
        <w:rPr>
          <w:lang w:val="fr-FR"/>
        </w:rPr>
        <w:tab/>
      </w:r>
      <w:r w:rsidR="00FD43A4">
        <w:rPr>
          <w:lang w:val="fr-FR"/>
        </w:rPr>
        <w:t>“</w:t>
      </w:r>
      <w:r w:rsidRPr="00FD43A4">
        <w:rPr>
          <w:i/>
          <w:iCs/>
          <w:lang w:val="fr-FR"/>
        </w:rPr>
        <w:t>Diamètre nominal de la jante</w:t>
      </w:r>
      <w:r w:rsidR="00FD43A4">
        <w:rPr>
          <w:lang w:val="fr-FR"/>
        </w:rPr>
        <w:t>”</w:t>
      </w:r>
      <w:r>
        <w:rPr>
          <w:lang w:val="fr-FR"/>
        </w:rPr>
        <w:t xml:space="preserve">, </w:t>
      </w:r>
      <w:r>
        <w:rPr>
          <w:b/>
          <w:bCs/>
          <w:lang w:val="fr-FR"/>
        </w:rPr>
        <w:t xml:space="preserve">un nombre conventionnel caractérisant </w:t>
      </w:r>
      <w:r>
        <w:rPr>
          <w:lang w:val="fr-FR"/>
        </w:rPr>
        <w:t>le diamètre de la jante sur laquelle un pneumatique est destiné à être monté</w:t>
      </w:r>
      <w:r w:rsidR="00FD43A4">
        <w:rPr>
          <w:lang w:val="fr-FR"/>
        </w:rPr>
        <w:t> </w:t>
      </w:r>
      <w:r>
        <w:rPr>
          <w:lang w:val="fr-FR"/>
        </w:rPr>
        <w:t xml:space="preserve">; </w:t>
      </w:r>
      <w:r>
        <w:rPr>
          <w:b/>
          <w:bCs/>
          <w:lang w:val="fr-FR"/>
        </w:rPr>
        <w:t xml:space="preserve">ce diamètre est exprimé soit par des codes (nombres inférieurs à 100), soit en </w:t>
      </w:r>
      <w:r>
        <w:rPr>
          <w:b/>
          <w:bCs/>
          <w:lang w:val="fr-FR"/>
        </w:rPr>
        <w:lastRenderedPageBreak/>
        <w:t>millimètres (nombres supérieurs à 100), mais pas par une combinaison de ces deux éléments ;</w:t>
      </w:r>
    </w:p>
    <w:p w14:paraId="3D50D8B4" w14:textId="664B079B" w:rsidR="002C4118" w:rsidRPr="00FD43A4" w:rsidRDefault="002C4118" w:rsidP="00FD43A4">
      <w:pPr>
        <w:pStyle w:val="para"/>
        <w:ind w:right="962" w:firstLine="0"/>
        <w:rPr>
          <w:bCs/>
          <w:i/>
          <w:iCs/>
          <w:lang w:val="fr-CH"/>
        </w:rPr>
      </w:pPr>
      <w:r>
        <w:rPr>
          <w:lang w:val="fr-FR"/>
        </w:rPr>
        <w:tab/>
      </w:r>
      <w:r w:rsidR="00FD43A4">
        <w:rPr>
          <w:strike/>
          <w:lang w:val="fr-FR"/>
        </w:rPr>
        <w:t>“</w:t>
      </w:r>
      <w:r>
        <w:rPr>
          <w:i/>
          <w:iCs/>
          <w:strike/>
          <w:lang w:val="fr-FR"/>
        </w:rPr>
        <w:t>Diamètre nominal de la jante (d)</w:t>
      </w:r>
      <w:r w:rsidR="00FD43A4">
        <w:rPr>
          <w:strike/>
          <w:lang w:val="fr-FR"/>
        </w:rPr>
        <w:t>”</w:t>
      </w:r>
      <w:r>
        <w:rPr>
          <w:strike/>
          <w:lang w:val="fr-FR"/>
        </w:rPr>
        <w:t>, le diamètre de la jante sur laquelle un pneumatique est destiné à être monté</w:t>
      </w:r>
      <w:r>
        <w:rPr>
          <w:strike/>
          <w:vertAlign w:val="superscript"/>
          <w:lang w:val="fr-FR"/>
        </w:rPr>
        <w:t>3</w:t>
      </w:r>
      <w:r>
        <w:rPr>
          <w:strike/>
          <w:lang w:val="fr-FR"/>
        </w:rPr>
        <w:t> ;</w:t>
      </w:r>
      <w:r>
        <w:rPr>
          <w:lang w:val="fr-FR"/>
        </w:rPr>
        <w:t xml:space="preserve"> ».</w:t>
      </w:r>
    </w:p>
    <w:p w14:paraId="61963FD7" w14:textId="77777777" w:rsidR="002C4118" w:rsidRPr="00CE61DD" w:rsidRDefault="002C4118" w:rsidP="002C4118">
      <w:pPr>
        <w:pStyle w:val="SingleTxtG"/>
        <w:keepNext/>
        <w:rPr>
          <w:bCs/>
        </w:rPr>
      </w:pPr>
      <w:r w:rsidRPr="00FD43A4">
        <w:rPr>
          <w:i/>
          <w:iCs/>
          <w:lang w:val="fr-FR"/>
        </w:rPr>
        <w:t>Le</w:t>
      </w:r>
      <w:r>
        <w:rPr>
          <w:lang w:val="fr-FR"/>
        </w:rPr>
        <w:t xml:space="preserve"> </w:t>
      </w:r>
      <w:r>
        <w:rPr>
          <w:i/>
          <w:iCs/>
          <w:lang w:val="fr-FR"/>
        </w:rPr>
        <w:t>paragraphe 2.20.4.1</w:t>
      </w:r>
      <w:r>
        <w:rPr>
          <w:lang w:val="fr-FR"/>
        </w:rPr>
        <w:t xml:space="preserve"> devient le paragraphe 2.21.1 et se lit comme suit :</w:t>
      </w:r>
    </w:p>
    <w:p w14:paraId="38964DD1" w14:textId="7F5573D3" w:rsidR="002C4118" w:rsidRPr="003E7980" w:rsidRDefault="002C4118" w:rsidP="00FD43A4">
      <w:pPr>
        <w:pStyle w:val="SingleTxtG"/>
        <w:tabs>
          <w:tab w:val="clear" w:pos="1701"/>
          <w:tab w:val="left" w:pos="2300"/>
          <w:tab w:val="left" w:pos="2800"/>
        </w:tabs>
        <w:ind w:left="2268" w:hanging="1134"/>
      </w:pPr>
      <w:r>
        <w:rPr>
          <w:lang w:val="fr-FR"/>
        </w:rPr>
        <w:t>« 2.</w:t>
      </w:r>
      <w:r>
        <w:rPr>
          <w:strike/>
          <w:lang w:val="fr-FR"/>
        </w:rPr>
        <w:t>20.4.</w:t>
      </w:r>
      <w:r>
        <w:rPr>
          <w:b/>
          <w:bCs/>
          <w:lang w:val="fr-FR"/>
        </w:rPr>
        <w:t>21.</w:t>
      </w:r>
      <w:r>
        <w:rPr>
          <w:lang w:val="fr-FR"/>
        </w:rPr>
        <w:t>1</w:t>
      </w:r>
      <w:r>
        <w:rPr>
          <w:lang w:val="fr-FR"/>
        </w:rPr>
        <w:tab/>
      </w:r>
      <w:r>
        <w:rPr>
          <w:b/>
          <w:bCs/>
          <w:lang w:val="fr-FR"/>
        </w:rPr>
        <w:t xml:space="preserve">Si le diamètre nominal de la jante (symbole </w:t>
      </w:r>
      <w:r w:rsidR="00FD43A4">
        <w:rPr>
          <w:b/>
          <w:bCs/>
          <w:lang w:val="fr-FR"/>
        </w:rPr>
        <w:t>“</w:t>
      </w:r>
      <w:r>
        <w:rPr>
          <w:b/>
          <w:bCs/>
          <w:lang w:val="fr-FR"/>
        </w:rPr>
        <w:t> d</w:t>
      </w:r>
      <w:r w:rsidR="00FD43A4">
        <w:rPr>
          <w:b/>
          <w:bCs/>
          <w:lang w:val="fr-FR"/>
        </w:rPr>
        <w:t>”</w:t>
      </w:r>
      <w:r>
        <w:rPr>
          <w:b/>
          <w:bCs/>
          <w:lang w:val="fr-FR"/>
        </w:rPr>
        <w:t>) est exprimé à l’aide d’un code, les valeurs de ce symbole, exprimées en millimètres, sont les suivantes :</w:t>
      </w:r>
      <w:r>
        <w:rPr>
          <w:strike/>
          <w:lang w:val="fr-FR"/>
        </w:rPr>
        <w:t>Les valeurs des symboles “d” exprimées en mm sont indiquées ci-dessous :</w:t>
      </w:r>
    </w:p>
    <w:tbl>
      <w:tblPr>
        <w:tblW w:w="6237"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2966"/>
      </w:tblGrid>
      <w:tr w:rsidR="00FD43A4" w:rsidRPr="00FD43A4" w14:paraId="29F34BD4" w14:textId="77777777" w:rsidTr="00FD43A4">
        <w:trPr>
          <w:cantSplit/>
          <w:tblHeader/>
        </w:trPr>
        <w:tc>
          <w:tcPr>
            <w:tcW w:w="3271" w:type="dxa"/>
            <w:shd w:val="clear" w:color="auto" w:fill="auto"/>
            <w:vAlign w:val="bottom"/>
            <w:hideMark/>
          </w:tcPr>
          <w:p w14:paraId="61AC96C7" w14:textId="04B2E166" w:rsidR="002C4118" w:rsidRPr="00FD43A4" w:rsidRDefault="002C4118" w:rsidP="00FD43A4">
            <w:pPr>
              <w:suppressAutoHyphens w:val="0"/>
              <w:spacing w:before="40" w:after="40" w:line="240" w:lineRule="auto"/>
              <w:ind w:left="57" w:right="57"/>
              <w:rPr>
                <w:i/>
                <w:sz w:val="16"/>
              </w:rPr>
            </w:pPr>
            <w:r w:rsidRPr="00FD43A4">
              <w:rPr>
                <w:i/>
                <w:sz w:val="16"/>
                <w:lang w:val="fr-FR"/>
              </w:rPr>
              <w:t>Code du diamètre nominal de la jante</w:t>
            </w:r>
            <w:r w:rsidR="00FD43A4">
              <w:rPr>
                <w:i/>
                <w:sz w:val="16"/>
                <w:lang w:val="fr-FR"/>
              </w:rPr>
              <w:br/>
            </w:r>
            <w:r w:rsidRPr="00FD43A4">
              <w:rPr>
                <w:i/>
                <w:sz w:val="16"/>
                <w:lang w:val="fr-FR"/>
              </w:rPr>
              <w:t>(symbole “d”)</w:t>
            </w:r>
          </w:p>
        </w:tc>
        <w:tc>
          <w:tcPr>
            <w:tcW w:w="2966" w:type="dxa"/>
            <w:shd w:val="clear" w:color="auto" w:fill="auto"/>
            <w:vAlign w:val="bottom"/>
            <w:hideMark/>
          </w:tcPr>
          <w:p w14:paraId="55F81966" w14:textId="30CD32CC" w:rsidR="002C4118" w:rsidRPr="00FD43A4" w:rsidRDefault="002C4118" w:rsidP="00FD43A4">
            <w:pPr>
              <w:suppressAutoHyphens w:val="0"/>
              <w:spacing w:before="40" w:after="40" w:line="240" w:lineRule="auto"/>
              <w:ind w:left="57" w:right="57"/>
              <w:jc w:val="right"/>
              <w:rPr>
                <w:i/>
                <w:sz w:val="16"/>
              </w:rPr>
            </w:pPr>
            <w:r w:rsidRPr="00FD43A4">
              <w:rPr>
                <w:i/>
                <w:sz w:val="16"/>
                <w:lang w:val="fr-FR"/>
              </w:rPr>
              <w:t>Valeur du symbole “d”,</w:t>
            </w:r>
            <w:r w:rsidR="00FD43A4">
              <w:rPr>
                <w:i/>
                <w:sz w:val="16"/>
                <w:lang w:val="fr-FR"/>
              </w:rPr>
              <w:br/>
            </w:r>
            <w:r w:rsidRPr="00FD43A4">
              <w:rPr>
                <w:i/>
                <w:sz w:val="16"/>
                <w:lang w:val="fr-FR"/>
              </w:rPr>
              <w:t>exprimée en mm</w:t>
            </w:r>
          </w:p>
        </w:tc>
      </w:tr>
      <w:tr w:rsidR="00FD43A4" w:rsidRPr="00FD43A4" w14:paraId="66A29115" w14:textId="77777777" w:rsidTr="00FD43A4">
        <w:trPr>
          <w:cantSplit/>
        </w:trPr>
        <w:tc>
          <w:tcPr>
            <w:tcW w:w="3271" w:type="dxa"/>
            <w:shd w:val="clear" w:color="auto" w:fill="auto"/>
            <w:hideMark/>
          </w:tcPr>
          <w:p w14:paraId="75B0BB76"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8</w:t>
            </w:r>
          </w:p>
        </w:tc>
        <w:tc>
          <w:tcPr>
            <w:tcW w:w="2966" w:type="dxa"/>
            <w:shd w:val="clear" w:color="auto" w:fill="auto"/>
            <w:vAlign w:val="bottom"/>
            <w:hideMark/>
          </w:tcPr>
          <w:p w14:paraId="18148798"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203</w:t>
            </w:r>
          </w:p>
        </w:tc>
      </w:tr>
      <w:tr w:rsidR="00FD43A4" w:rsidRPr="00FD43A4" w14:paraId="4ED286E6" w14:textId="77777777" w:rsidTr="00FD43A4">
        <w:trPr>
          <w:cantSplit/>
        </w:trPr>
        <w:tc>
          <w:tcPr>
            <w:tcW w:w="3271" w:type="dxa"/>
            <w:shd w:val="clear" w:color="auto" w:fill="auto"/>
            <w:hideMark/>
          </w:tcPr>
          <w:p w14:paraId="05A4BBAF"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9</w:t>
            </w:r>
          </w:p>
        </w:tc>
        <w:tc>
          <w:tcPr>
            <w:tcW w:w="2966" w:type="dxa"/>
            <w:shd w:val="clear" w:color="auto" w:fill="auto"/>
            <w:vAlign w:val="bottom"/>
            <w:hideMark/>
          </w:tcPr>
          <w:p w14:paraId="1BC0CF04"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229</w:t>
            </w:r>
          </w:p>
        </w:tc>
      </w:tr>
      <w:tr w:rsidR="00FD43A4" w:rsidRPr="00FD43A4" w14:paraId="201ECE42" w14:textId="77777777" w:rsidTr="00FD43A4">
        <w:trPr>
          <w:cantSplit/>
        </w:trPr>
        <w:tc>
          <w:tcPr>
            <w:tcW w:w="3271" w:type="dxa"/>
            <w:shd w:val="clear" w:color="auto" w:fill="auto"/>
            <w:hideMark/>
          </w:tcPr>
          <w:p w14:paraId="7D8DF31A"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10</w:t>
            </w:r>
          </w:p>
        </w:tc>
        <w:tc>
          <w:tcPr>
            <w:tcW w:w="2966" w:type="dxa"/>
            <w:shd w:val="clear" w:color="auto" w:fill="auto"/>
            <w:vAlign w:val="bottom"/>
            <w:hideMark/>
          </w:tcPr>
          <w:p w14:paraId="49B42C93"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254</w:t>
            </w:r>
          </w:p>
        </w:tc>
      </w:tr>
      <w:tr w:rsidR="00FD43A4" w:rsidRPr="00FD43A4" w14:paraId="421B5542" w14:textId="77777777" w:rsidTr="00FD43A4">
        <w:trPr>
          <w:cantSplit/>
        </w:trPr>
        <w:tc>
          <w:tcPr>
            <w:tcW w:w="3271" w:type="dxa"/>
            <w:shd w:val="clear" w:color="auto" w:fill="auto"/>
            <w:hideMark/>
          </w:tcPr>
          <w:p w14:paraId="58DB7F0F"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11</w:t>
            </w:r>
          </w:p>
        </w:tc>
        <w:tc>
          <w:tcPr>
            <w:tcW w:w="2966" w:type="dxa"/>
            <w:shd w:val="clear" w:color="auto" w:fill="auto"/>
            <w:vAlign w:val="bottom"/>
            <w:hideMark/>
          </w:tcPr>
          <w:p w14:paraId="77A64E6B"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279</w:t>
            </w:r>
          </w:p>
        </w:tc>
      </w:tr>
      <w:tr w:rsidR="00FD43A4" w:rsidRPr="00FD43A4" w14:paraId="1398E469" w14:textId="77777777" w:rsidTr="00FD43A4">
        <w:trPr>
          <w:cantSplit/>
        </w:trPr>
        <w:tc>
          <w:tcPr>
            <w:tcW w:w="3271" w:type="dxa"/>
            <w:shd w:val="clear" w:color="auto" w:fill="auto"/>
            <w:hideMark/>
          </w:tcPr>
          <w:p w14:paraId="2DA29E84"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12</w:t>
            </w:r>
          </w:p>
        </w:tc>
        <w:tc>
          <w:tcPr>
            <w:tcW w:w="2966" w:type="dxa"/>
            <w:shd w:val="clear" w:color="auto" w:fill="auto"/>
            <w:vAlign w:val="bottom"/>
            <w:hideMark/>
          </w:tcPr>
          <w:p w14:paraId="52A80A1D"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305</w:t>
            </w:r>
          </w:p>
        </w:tc>
      </w:tr>
      <w:tr w:rsidR="00FD43A4" w:rsidRPr="00FD43A4" w14:paraId="6AFF6CF1" w14:textId="77777777" w:rsidTr="00FD43A4">
        <w:trPr>
          <w:cantSplit/>
        </w:trPr>
        <w:tc>
          <w:tcPr>
            <w:tcW w:w="3271" w:type="dxa"/>
            <w:shd w:val="clear" w:color="auto" w:fill="auto"/>
            <w:hideMark/>
          </w:tcPr>
          <w:p w14:paraId="6B7F5CD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13</w:t>
            </w:r>
          </w:p>
        </w:tc>
        <w:tc>
          <w:tcPr>
            <w:tcW w:w="2966" w:type="dxa"/>
            <w:shd w:val="clear" w:color="auto" w:fill="auto"/>
            <w:vAlign w:val="bottom"/>
            <w:hideMark/>
          </w:tcPr>
          <w:p w14:paraId="101AB0DB"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330</w:t>
            </w:r>
          </w:p>
        </w:tc>
      </w:tr>
      <w:tr w:rsidR="00FD43A4" w:rsidRPr="00FD43A4" w14:paraId="7ED8769D" w14:textId="77777777" w:rsidTr="00FD43A4">
        <w:trPr>
          <w:cantSplit/>
        </w:trPr>
        <w:tc>
          <w:tcPr>
            <w:tcW w:w="3271" w:type="dxa"/>
            <w:shd w:val="clear" w:color="auto" w:fill="auto"/>
            <w:hideMark/>
          </w:tcPr>
          <w:p w14:paraId="640339E8"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14</w:t>
            </w:r>
          </w:p>
        </w:tc>
        <w:tc>
          <w:tcPr>
            <w:tcW w:w="2966" w:type="dxa"/>
            <w:shd w:val="clear" w:color="auto" w:fill="auto"/>
            <w:vAlign w:val="bottom"/>
            <w:hideMark/>
          </w:tcPr>
          <w:p w14:paraId="6AD169E5"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356</w:t>
            </w:r>
          </w:p>
        </w:tc>
      </w:tr>
      <w:tr w:rsidR="00FD43A4" w:rsidRPr="00FD43A4" w14:paraId="249A17D6" w14:textId="77777777" w:rsidTr="00FD43A4">
        <w:trPr>
          <w:cantSplit/>
        </w:trPr>
        <w:tc>
          <w:tcPr>
            <w:tcW w:w="3271" w:type="dxa"/>
            <w:shd w:val="clear" w:color="auto" w:fill="auto"/>
            <w:hideMark/>
          </w:tcPr>
          <w:p w14:paraId="514B7220"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15</w:t>
            </w:r>
          </w:p>
        </w:tc>
        <w:tc>
          <w:tcPr>
            <w:tcW w:w="2966" w:type="dxa"/>
            <w:shd w:val="clear" w:color="auto" w:fill="auto"/>
            <w:vAlign w:val="bottom"/>
            <w:hideMark/>
          </w:tcPr>
          <w:p w14:paraId="566610A9"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381</w:t>
            </w:r>
          </w:p>
        </w:tc>
      </w:tr>
      <w:tr w:rsidR="00FD43A4" w:rsidRPr="00FD43A4" w14:paraId="764D45C0" w14:textId="77777777" w:rsidTr="00FD43A4">
        <w:trPr>
          <w:cantSplit/>
        </w:trPr>
        <w:tc>
          <w:tcPr>
            <w:tcW w:w="3271" w:type="dxa"/>
            <w:shd w:val="clear" w:color="auto" w:fill="auto"/>
            <w:hideMark/>
          </w:tcPr>
          <w:p w14:paraId="46912A8F"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16</w:t>
            </w:r>
          </w:p>
        </w:tc>
        <w:tc>
          <w:tcPr>
            <w:tcW w:w="2966" w:type="dxa"/>
            <w:shd w:val="clear" w:color="auto" w:fill="auto"/>
            <w:vAlign w:val="bottom"/>
            <w:hideMark/>
          </w:tcPr>
          <w:p w14:paraId="4A1A842B"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406</w:t>
            </w:r>
          </w:p>
        </w:tc>
      </w:tr>
      <w:tr w:rsidR="00FD43A4" w:rsidRPr="00FD43A4" w14:paraId="6A95B9AD" w14:textId="77777777" w:rsidTr="00FD43A4">
        <w:trPr>
          <w:cantSplit/>
        </w:trPr>
        <w:tc>
          <w:tcPr>
            <w:tcW w:w="3271" w:type="dxa"/>
            <w:shd w:val="clear" w:color="auto" w:fill="auto"/>
            <w:hideMark/>
          </w:tcPr>
          <w:p w14:paraId="0D79D8A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17</w:t>
            </w:r>
          </w:p>
        </w:tc>
        <w:tc>
          <w:tcPr>
            <w:tcW w:w="2966" w:type="dxa"/>
            <w:shd w:val="clear" w:color="auto" w:fill="auto"/>
            <w:vAlign w:val="bottom"/>
            <w:hideMark/>
          </w:tcPr>
          <w:p w14:paraId="167A3D7E"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432</w:t>
            </w:r>
          </w:p>
        </w:tc>
      </w:tr>
      <w:tr w:rsidR="00FD43A4" w:rsidRPr="00FD43A4" w14:paraId="6D4CD67B" w14:textId="77777777" w:rsidTr="00FD43A4">
        <w:trPr>
          <w:cantSplit/>
        </w:trPr>
        <w:tc>
          <w:tcPr>
            <w:tcW w:w="3271" w:type="dxa"/>
            <w:shd w:val="clear" w:color="auto" w:fill="auto"/>
            <w:hideMark/>
          </w:tcPr>
          <w:p w14:paraId="0D0116D0"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18</w:t>
            </w:r>
          </w:p>
        </w:tc>
        <w:tc>
          <w:tcPr>
            <w:tcW w:w="2966" w:type="dxa"/>
            <w:shd w:val="clear" w:color="auto" w:fill="auto"/>
            <w:vAlign w:val="bottom"/>
            <w:hideMark/>
          </w:tcPr>
          <w:p w14:paraId="7DD4F1CA"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457</w:t>
            </w:r>
          </w:p>
        </w:tc>
      </w:tr>
      <w:tr w:rsidR="00FD43A4" w:rsidRPr="00FD43A4" w14:paraId="309E1CD6" w14:textId="77777777" w:rsidTr="00FD43A4">
        <w:trPr>
          <w:cantSplit/>
        </w:trPr>
        <w:tc>
          <w:tcPr>
            <w:tcW w:w="3271" w:type="dxa"/>
            <w:shd w:val="clear" w:color="auto" w:fill="auto"/>
            <w:hideMark/>
          </w:tcPr>
          <w:p w14:paraId="37CD0F84"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19</w:t>
            </w:r>
          </w:p>
        </w:tc>
        <w:tc>
          <w:tcPr>
            <w:tcW w:w="2966" w:type="dxa"/>
            <w:shd w:val="clear" w:color="auto" w:fill="auto"/>
            <w:vAlign w:val="bottom"/>
            <w:hideMark/>
          </w:tcPr>
          <w:p w14:paraId="50D904E8"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483</w:t>
            </w:r>
          </w:p>
        </w:tc>
      </w:tr>
      <w:tr w:rsidR="00FD43A4" w:rsidRPr="00FD43A4" w14:paraId="02999B35" w14:textId="77777777" w:rsidTr="00FD43A4">
        <w:trPr>
          <w:cantSplit/>
        </w:trPr>
        <w:tc>
          <w:tcPr>
            <w:tcW w:w="3271" w:type="dxa"/>
            <w:shd w:val="clear" w:color="auto" w:fill="auto"/>
            <w:hideMark/>
          </w:tcPr>
          <w:p w14:paraId="3CC50E71"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20</w:t>
            </w:r>
          </w:p>
        </w:tc>
        <w:tc>
          <w:tcPr>
            <w:tcW w:w="2966" w:type="dxa"/>
            <w:shd w:val="clear" w:color="auto" w:fill="auto"/>
            <w:vAlign w:val="bottom"/>
            <w:hideMark/>
          </w:tcPr>
          <w:p w14:paraId="6EC7D093"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508</w:t>
            </w:r>
          </w:p>
        </w:tc>
      </w:tr>
      <w:tr w:rsidR="00FD43A4" w:rsidRPr="00FD43A4" w14:paraId="26F4D441" w14:textId="77777777" w:rsidTr="00FD43A4">
        <w:trPr>
          <w:cantSplit/>
        </w:trPr>
        <w:tc>
          <w:tcPr>
            <w:tcW w:w="3271" w:type="dxa"/>
            <w:shd w:val="clear" w:color="auto" w:fill="auto"/>
            <w:hideMark/>
          </w:tcPr>
          <w:p w14:paraId="59E3E0D9"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21</w:t>
            </w:r>
          </w:p>
        </w:tc>
        <w:tc>
          <w:tcPr>
            <w:tcW w:w="2966" w:type="dxa"/>
            <w:shd w:val="clear" w:color="auto" w:fill="auto"/>
            <w:vAlign w:val="bottom"/>
            <w:hideMark/>
          </w:tcPr>
          <w:p w14:paraId="1635BF33"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533</w:t>
            </w:r>
          </w:p>
        </w:tc>
      </w:tr>
      <w:tr w:rsidR="00FD43A4" w:rsidRPr="00FD43A4" w14:paraId="50563EF4" w14:textId="77777777" w:rsidTr="00FD43A4">
        <w:trPr>
          <w:cantSplit/>
        </w:trPr>
        <w:tc>
          <w:tcPr>
            <w:tcW w:w="3271" w:type="dxa"/>
            <w:shd w:val="clear" w:color="auto" w:fill="auto"/>
            <w:hideMark/>
          </w:tcPr>
          <w:p w14:paraId="197F9B74"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22</w:t>
            </w:r>
          </w:p>
        </w:tc>
        <w:tc>
          <w:tcPr>
            <w:tcW w:w="2966" w:type="dxa"/>
            <w:shd w:val="clear" w:color="auto" w:fill="auto"/>
            <w:vAlign w:val="bottom"/>
            <w:hideMark/>
          </w:tcPr>
          <w:p w14:paraId="4F7B82D0"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559</w:t>
            </w:r>
          </w:p>
        </w:tc>
      </w:tr>
      <w:tr w:rsidR="00FD43A4" w:rsidRPr="00FD43A4" w14:paraId="4B800F65" w14:textId="77777777" w:rsidTr="00FD43A4">
        <w:trPr>
          <w:cantSplit/>
        </w:trPr>
        <w:tc>
          <w:tcPr>
            <w:tcW w:w="3271" w:type="dxa"/>
            <w:shd w:val="clear" w:color="auto" w:fill="auto"/>
            <w:hideMark/>
          </w:tcPr>
          <w:p w14:paraId="17B9E4D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24</w:t>
            </w:r>
          </w:p>
        </w:tc>
        <w:tc>
          <w:tcPr>
            <w:tcW w:w="2966" w:type="dxa"/>
            <w:shd w:val="clear" w:color="auto" w:fill="auto"/>
            <w:vAlign w:val="bottom"/>
            <w:hideMark/>
          </w:tcPr>
          <w:p w14:paraId="518DE466"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610</w:t>
            </w:r>
          </w:p>
        </w:tc>
      </w:tr>
      <w:tr w:rsidR="00FD43A4" w:rsidRPr="00FD43A4" w14:paraId="39C96861" w14:textId="77777777" w:rsidTr="00FD43A4">
        <w:trPr>
          <w:cantSplit/>
        </w:trPr>
        <w:tc>
          <w:tcPr>
            <w:tcW w:w="3271" w:type="dxa"/>
            <w:shd w:val="clear" w:color="auto" w:fill="auto"/>
            <w:hideMark/>
          </w:tcPr>
          <w:p w14:paraId="0ADB7694"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25</w:t>
            </w:r>
          </w:p>
        </w:tc>
        <w:tc>
          <w:tcPr>
            <w:tcW w:w="2966" w:type="dxa"/>
            <w:shd w:val="clear" w:color="auto" w:fill="auto"/>
            <w:vAlign w:val="bottom"/>
            <w:hideMark/>
          </w:tcPr>
          <w:p w14:paraId="2060B9EC"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635</w:t>
            </w:r>
          </w:p>
        </w:tc>
      </w:tr>
      <w:tr w:rsidR="00FD43A4" w:rsidRPr="00FD43A4" w14:paraId="7C66A730" w14:textId="77777777" w:rsidTr="00FD43A4">
        <w:trPr>
          <w:cantSplit/>
        </w:trPr>
        <w:tc>
          <w:tcPr>
            <w:tcW w:w="3271" w:type="dxa"/>
            <w:shd w:val="clear" w:color="auto" w:fill="auto"/>
            <w:hideMark/>
          </w:tcPr>
          <w:p w14:paraId="7EB61C50"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26</w:t>
            </w:r>
          </w:p>
        </w:tc>
        <w:tc>
          <w:tcPr>
            <w:tcW w:w="2966" w:type="dxa"/>
            <w:shd w:val="clear" w:color="auto" w:fill="auto"/>
            <w:vAlign w:val="bottom"/>
            <w:hideMark/>
          </w:tcPr>
          <w:p w14:paraId="2B69296B"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660</w:t>
            </w:r>
          </w:p>
        </w:tc>
      </w:tr>
      <w:tr w:rsidR="00FD43A4" w:rsidRPr="00FD43A4" w14:paraId="1BD75A28" w14:textId="77777777" w:rsidTr="00FD43A4">
        <w:trPr>
          <w:cantSplit/>
        </w:trPr>
        <w:tc>
          <w:tcPr>
            <w:tcW w:w="3271" w:type="dxa"/>
            <w:shd w:val="clear" w:color="auto" w:fill="auto"/>
            <w:hideMark/>
          </w:tcPr>
          <w:p w14:paraId="0928DAEC"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28</w:t>
            </w:r>
          </w:p>
        </w:tc>
        <w:tc>
          <w:tcPr>
            <w:tcW w:w="2966" w:type="dxa"/>
            <w:shd w:val="clear" w:color="auto" w:fill="auto"/>
            <w:vAlign w:val="bottom"/>
            <w:hideMark/>
          </w:tcPr>
          <w:p w14:paraId="7F633439"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711</w:t>
            </w:r>
          </w:p>
        </w:tc>
      </w:tr>
      <w:tr w:rsidR="00FD43A4" w:rsidRPr="00FD43A4" w14:paraId="510D79C4" w14:textId="77777777" w:rsidTr="00FD43A4">
        <w:trPr>
          <w:cantSplit/>
        </w:trPr>
        <w:tc>
          <w:tcPr>
            <w:tcW w:w="3271" w:type="dxa"/>
            <w:shd w:val="clear" w:color="auto" w:fill="auto"/>
            <w:hideMark/>
          </w:tcPr>
          <w:p w14:paraId="2FAA764A"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30</w:t>
            </w:r>
          </w:p>
        </w:tc>
        <w:tc>
          <w:tcPr>
            <w:tcW w:w="2966" w:type="dxa"/>
            <w:shd w:val="clear" w:color="auto" w:fill="auto"/>
            <w:vAlign w:val="bottom"/>
            <w:hideMark/>
          </w:tcPr>
          <w:p w14:paraId="3988D2D8"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762</w:t>
            </w:r>
          </w:p>
        </w:tc>
      </w:tr>
      <w:tr w:rsidR="00FD43A4" w:rsidRPr="00FD43A4" w14:paraId="1C5FC808" w14:textId="77777777" w:rsidTr="00FD43A4">
        <w:trPr>
          <w:cantSplit/>
        </w:trPr>
        <w:tc>
          <w:tcPr>
            <w:tcW w:w="3271" w:type="dxa"/>
            <w:shd w:val="clear" w:color="auto" w:fill="auto"/>
            <w:hideMark/>
          </w:tcPr>
          <w:p w14:paraId="0D05311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32</w:t>
            </w:r>
          </w:p>
        </w:tc>
        <w:tc>
          <w:tcPr>
            <w:tcW w:w="2966" w:type="dxa"/>
            <w:shd w:val="clear" w:color="auto" w:fill="auto"/>
            <w:vAlign w:val="bottom"/>
            <w:hideMark/>
          </w:tcPr>
          <w:p w14:paraId="1B3A085E"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813</w:t>
            </w:r>
          </w:p>
        </w:tc>
      </w:tr>
      <w:tr w:rsidR="00FD43A4" w:rsidRPr="00FD43A4" w14:paraId="67D2605A" w14:textId="77777777" w:rsidTr="00FD43A4">
        <w:trPr>
          <w:cantSplit/>
        </w:trPr>
        <w:tc>
          <w:tcPr>
            <w:tcW w:w="3271" w:type="dxa"/>
            <w:shd w:val="clear" w:color="auto" w:fill="auto"/>
            <w:hideMark/>
          </w:tcPr>
          <w:p w14:paraId="21899221"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34</w:t>
            </w:r>
          </w:p>
        </w:tc>
        <w:tc>
          <w:tcPr>
            <w:tcW w:w="2966" w:type="dxa"/>
            <w:shd w:val="clear" w:color="auto" w:fill="auto"/>
            <w:vAlign w:val="bottom"/>
            <w:hideMark/>
          </w:tcPr>
          <w:p w14:paraId="35B7D0CF"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864</w:t>
            </w:r>
          </w:p>
        </w:tc>
      </w:tr>
      <w:tr w:rsidR="00FD43A4" w:rsidRPr="00FD43A4" w14:paraId="3AD9CF0E" w14:textId="77777777" w:rsidTr="00FD43A4">
        <w:trPr>
          <w:cantSplit/>
        </w:trPr>
        <w:tc>
          <w:tcPr>
            <w:tcW w:w="3271" w:type="dxa"/>
            <w:shd w:val="clear" w:color="auto" w:fill="auto"/>
            <w:hideMark/>
          </w:tcPr>
          <w:p w14:paraId="0CC73DA8"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36</w:t>
            </w:r>
          </w:p>
        </w:tc>
        <w:tc>
          <w:tcPr>
            <w:tcW w:w="2966" w:type="dxa"/>
            <w:shd w:val="clear" w:color="auto" w:fill="auto"/>
            <w:vAlign w:val="bottom"/>
            <w:hideMark/>
          </w:tcPr>
          <w:p w14:paraId="52950B28"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914</w:t>
            </w:r>
          </w:p>
        </w:tc>
      </w:tr>
      <w:tr w:rsidR="00FD43A4" w:rsidRPr="00FD43A4" w14:paraId="35E6E1F3" w14:textId="77777777" w:rsidTr="00FD43A4">
        <w:trPr>
          <w:cantSplit/>
        </w:trPr>
        <w:tc>
          <w:tcPr>
            <w:tcW w:w="3271" w:type="dxa"/>
            <w:shd w:val="clear" w:color="auto" w:fill="auto"/>
            <w:hideMark/>
          </w:tcPr>
          <w:p w14:paraId="50E9178A"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38</w:t>
            </w:r>
          </w:p>
        </w:tc>
        <w:tc>
          <w:tcPr>
            <w:tcW w:w="2966" w:type="dxa"/>
            <w:shd w:val="clear" w:color="auto" w:fill="auto"/>
            <w:vAlign w:val="bottom"/>
            <w:hideMark/>
          </w:tcPr>
          <w:p w14:paraId="1938DF9A"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965</w:t>
            </w:r>
          </w:p>
        </w:tc>
      </w:tr>
      <w:tr w:rsidR="00FD43A4" w:rsidRPr="00FD43A4" w14:paraId="2471EF75" w14:textId="77777777" w:rsidTr="00FD43A4">
        <w:trPr>
          <w:cantSplit/>
        </w:trPr>
        <w:tc>
          <w:tcPr>
            <w:tcW w:w="3271" w:type="dxa"/>
            <w:shd w:val="clear" w:color="auto" w:fill="auto"/>
            <w:hideMark/>
          </w:tcPr>
          <w:p w14:paraId="7576FA4C"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40</w:t>
            </w:r>
          </w:p>
        </w:tc>
        <w:tc>
          <w:tcPr>
            <w:tcW w:w="2966" w:type="dxa"/>
            <w:shd w:val="clear" w:color="auto" w:fill="auto"/>
            <w:vAlign w:val="bottom"/>
            <w:hideMark/>
          </w:tcPr>
          <w:p w14:paraId="706D1956"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1016</w:t>
            </w:r>
          </w:p>
        </w:tc>
      </w:tr>
      <w:tr w:rsidR="00FD43A4" w:rsidRPr="00FD43A4" w14:paraId="16F6F763" w14:textId="77777777" w:rsidTr="00FD43A4">
        <w:trPr>
          <w:cantSplit/>
        </w:trPr>
        <w:tc>
          <w:tcPr>
            <w:tcW w:w="3271" w:type="dxa"/>
            <w:shd w:val="clear" w:color="auto" w:fill="auto"/>
            <w:hideMark/>
          </w:tcPr>
          <w:p w14:paraId="41FC0EA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42</w:t>
            </w:r>
          </w:p>
        </w:tc>
        <w:tc>
          <w:tcPr>
            <w:tcW w:w="2966" w:type="dxa"/>
            <w:shd w:val="clear" w:color="auto" w:fill="auto"/>
            <w:vAlign w:val="bottom"/>
            <w:hideMark/>
          </w:tcPr>
          <w:p w14:paraId="7DCC055F"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1067</w:t>
            </w:r>
          </w:p>
        </w:tc>
      </w:tr>
      <w:tr w:rsidR="00FD43A4" w:rsidRPr="00FD43A4" w14:paraId="44FD85A4" w14:textId="77777777" w:rsidTr="00FD43A4">
        <w:trPr>
          <w:cantSplit/>
        </w:trPr>
        <w:tc>
          <w:tcPr>
            <w:tcW w:w="3271" w:type="dxa"/>
            <w:shd w:val="clear" w:color="auto" w:fill="auto"/>
            <w:hideMark/>
          </w:tcPr>
          <w:p w14:paraId="1B7D5DC5"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14,5</w:t>
            </w:r>
          </w:p>
        </w:tc>
        <w:tc>
          <w:tcPr>
            <w:tcW w:w="2966" w:type="dxa"/>
            <w:shd w:val="clear" w:color="auto" w:fill="auto"/>
            <w:vAlign w:val="bottom"/>
            <w:hideMark/>
          </w:tcPr>
          <w:p w14:paraId="33830903" w14:textId="77777777" w:rsidR="002C4118" w:rsidRPr="00FD43A4" w:rsidRDefault="002C4118" w:rsidP="00FD43A4">
            <w:pPr>
              <w:suppressAutoHyphens w:val="0"/>
              <w:spacing w:before="40" w:after="40" w:line="240" w:lineRule="auto"/>
              <w:ind w:left="57" w:right="57"/>
              <w:jc w:val="right"/>
              <w:rPr>
                <w:b/>
                <w:bCs/>
                <w:sz w:val="18"/>
                <w:szCs w:val="18"/>
              </w:rPr>
            </w:pPr>
            <w:r w:rsidRPr="00FD43A4">
              <w:rPr>
                <w:sz w:val="18"/>
                <w:lang w:val="fr-FR"/>
              </w:rPr>
              <w:t>368</w:t>
            </w:r>
          </w:p>
        </w:tc>
      </w:tr>
      <w:tr w:rsidR="00FD43A4" w:rsidRPr="00FD43A4" w14:paraId="1B69A3FF" w14:textId="77777777" w:rsidTr="00FD43A4">
        <w:trPr>
          <w:cantSplit/>
        </w:trPr>
        <w:tc>
          <w:tcPr>
            <w:tcW w:w="3271" w:type="dxa"/>
            <w:shd w:val="clear" w:color="auto" w:fill="auto"/>
            <w:hideMark/>
          </w:tcPr>
          <w:p w14:paraId="4CFCBE57"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16,5</w:t>
            </w:r>
          </w:p>
        </w:tc>
        <w:tc>
          <w:tcPr>
            <w:tcW w:w="2966" w:type="dxa"/>
            <w:shd w:val="clear" w:color="auto" w:fill="auto"/>
            <w:vAlign w:val="bottom"/>
            <w:hideMark/>
          </w:tcPr>
          <w:p w14:paraId="171F00AD"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419</w:t>
            </w:r>
          </w:p>
        </w:tc>
      </w:tr>
      <w:tr w:rsidR="00FD43A4" w:rsidRPr="00FD43A4" w14:paraId="0E828F29" w14:textId="77777777" w:rsidTr="00FD43A4">
        <w:trPr>
          <w:cantSplit/>
        </w:trPr>
        <w:tc>
          <w:tcPr>
            <w:tcW w:w="3271" w:type="dxa"/>
            <w:shd w:val="clear" w:color="auto" w:fill="auto"/>
            <w:hideMark/>
          </w:tcPr>
          <w:p w14:paraId="3EC53B7D"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17,5</w:t>
            </w:r>
          </w:p>
        </w:tc>
        <w:tc>
          <w:tcPr>
            <w:tcW w:w="2966" w:type="dxa"/>
            <w:shd w:val="clear" w:color="auto" w:fill="auto"/>
            <w:vAlign w:val="bottom"/>
            <w:hideMark/>
          </w:tcPr>
          <w:p w14:paraId="2F87F9B0"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445</w:t>
            </w:r>
          </w:p>
        </w:tc>
      </w:tr>
      <w:tr w:rsidR="00FD43A4" w:rsidRPr="00FD43A4" w14:paraId="297EE7EC" w14:textId="77777777" w:rsidTr="00FD43A4">
        <w:trPr>
          <w:cantSplit/>
        </w:trPr>
        <w:tc>
          <w:tcPr>
            <w:tcW w:w="3271" w:type="dxa"/>
            <w:shd w:val="clear" w:color="auto" w:fill="auto"/>
            <w:hideMark/>
          </w:tcPr>
          <w:p w14:paraId="41BAD08A"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19,5</w:t>
            </w:r>
          </w:p>
        </w:tc>
        <w:tc>
          <w:tcPr>
            <w:tcW w:w="2966" w:type="dxa"/>
            <w:shd w:val="clear" w:color="auto" w:fill="auto"/>
            <w:vAlign w:val="bottom"/>
            <w:hideMark/>
          </w:tcPr>
          <w:p w14:paraId="36DF2443"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495</w:t>
            </w:r>
          </w:p>
        </w:tc>
      </w:tr>
      <w:tr w:rsidR="00FD43A4" w:rsidRPr="00FD43A4" w14:paraId="41C60880" w14:textId="77777777" w:rsidTr="00FD43A4">
        <w:trPr>
          <w:cantSplit/>
        </w:trPr>
        <w:tc>
          <w:tcPr>
            <w:tcW w:w="3271" w:type="dxa"/>
            <w:shd w:val="clear" w:color="auto" w:fill="auto"/>
            <w:hideMark/>
          </w:tcPr>
          <w:p w14:paraId="04940A73"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20,5</w:t>
            </w:r>
          </w:p>
        </w:tc>
        <w:tc>
          <w:tcPr>
            <w:tcW w:w="2966" w:type="dxa"/>
            <w:shd w:val="clear" w:color="auto" w:fill="auto"/>
            <w:vAlign w:val="bottom"/>
            <w:hideMark/>
          </w:tcPr>
          <w:p w14:paraId="3E619CB8"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521</w:t>
            </w:r>
          </w:p>
        </w:tc>
      </w:tr>
      <w:tr w:rsidR="00FD43A4" w:rsidRPr="00FD43A4" w14:paraId="262DC339" w14:textId="77777777" w:rsidTr="00FD43A4">
        <w:trPr>
          <w:cantSplit/>
        </w:trPr>
        <w:tc>
          <w:tcPr>
            <w:tcW w:w="3271" w:type="dxa"/>
            <w:shd w:val="clear" w:color="auto" w:fill="auto"/>
            <w:hideMark/>
          </w:tcPr>
          <w:p w14:paraId="6540DF2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22,5</w:t>
            </w:r>
          </w:p>
        </w:tc>
        <w:tc>
          <w:tcPr>
            <w:tcW w:w="2966" w:type="dxa"/>
            <w:shd w:val="clear" w:color="auto" w:fill="auto"/>
            <w:vAlign w:val="bottom"/>
            <w:hideMark/>
          </w:tcPr>
          <w:p w14:paraId="04BEC8E6"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572</w:t>
            </w:r>
          </w:p>
        </w:tc>
      </w:tr>
      <w:tr w:rsidR="00FD43A4" w:rsidRPr="00FD43A4" w14:paraId="79A27FF8" w14:textId="77777777" w:rsidTr="00FD43A4">
        <w:trPr>
          <w:cantSplit/>
        </w:trPr>
        <w:tc>
          <w:tcPr>
            <w:tcW w:w="3271" w:type="dxa"/>
            <w:shd w:val="clear" w:color="auto" w:fill="auto"/>
            <w:hideMark/>
          </w:tcPr>
          <w:p w14:paraId="44A726D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24,5</w:t>
            </w:r>
          </w:p>
        </w:tc>
        <w:tc>
          <w:tcPr>
            <w:tcW w:w="2966" w:type="dxa"/>
            <w:shd w:val="clear" w:color="auto" w:fill="auto"/>
            <w:vAlign w:val="bottom"/>
            <w:hideMark/>
          </w:tcPr>
          <w:p w14:paraId="5B8ADF39"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622</w:t>
            </w:r>
          </w:p>
        </w:tc>
      </w:tr>
      <w:tr w:rsidR="00FD43A4" w:rsidRPr="00FD43A4" w14:paraId="32D0C370" w14:textId="77777777" w:rsidTr="00FD43A4">
        <w:trPr>
          <w:cantSplit/>
        </w:trPr>
        <w:tc>
          <w:tcPr>
            <w:tcW w:w="3271" w:type="dxa"/>
            <w:shd w:val="clear" w:color="auto" w:fill="auto"/>
            <w:hideMark/>
          </w:tcPr>
          <w:p w14:paraId="6A144D5E"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26,5</w:t>
            </w:r>
          </w:p>
        </w:tc>
        <w:tc>
          <w:tcPr>
            <w:tcW w:w="2966" w:type="dxa"/>
            <w:shd w:val="clear" w:color="auto" w:fill="auto"/>
            <w:vAlign w:val="bottom"/>
            <w:hideMark/>
          </w:tcPr>
          <w:p w14:paraId="27E90E27"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673</w:t>
            </w:r>
          </w:p>
        </w:tc>
      </w:tr>
      <w:tr w:rsidR="00FD43A4" w:rsidRPr="00FD43A4" w14:paraId="18F99746" w14:textId="77777777" w:rsidTr="00FD43A4">
        <w:trPr>
          <w:cantSplit/>
        </w:trPr>
        <w:tc>
          <w:tcPr>
            <w:tcW w:w="3271" w:type="dxa"/>
            <w:shd w:val="clear" w:color="auto" w:fill="auto"/>
            <w:hideMark/>
          </w:tcPr>
          <w:p w14:paraId="0DE66E4A"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28,5</w:t>
            </w:r>
          </w:p>
        </w:tc>
        <w:tc>
          <w:tcPr>
            <w:tcW w:w="2966" w:type="dxa"/>
            <w:shd w:val="clear" w:color="auto" w:fill="auto"/>
            <w:vAlign w:val="bottom"/>
            <w:hideMark/>
          </w:tcPr>
          <w:p w14:paraId="5C21D51D"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724</w:t>
            </w:r>
          </w:p>
        </w:tc>
      </w:tr>
      <w:tr w:rsidR="00FD43A4" w:rsidRPr="00FD43A4" w14:paraId="71D06704" w14:textId="77777777" w:rsidTr="00FD43A4">
        <w:trPr>
          <w:cantSplit/>
        </w:trPr>
        <w:tc>
          <w:tcPr>
            <w:tcW w:w="3271" w:type="dxa"/>
            <w:shd w:val="clear" w:color="auto" w:fill="auto"/>
            <w:hideMark/>
          </w:tcPr>
          <w:p w14:paraId="3A2D14D3" w14:textId="77777777" w:rsidR="002C4118" w:rsidRPr="00FD43A4" w:rsidRDefault="002C4118" w:rsidP="00FD43A4">
            <w:pPr>
              <w:suppressAutoHyphens w:val="0"/>
              <w:spacing w:before="40" w:after="40" w:line="240" w:lineRule="auto"/>
              <w:ind w:left="57" w:right="57"/>
              <w:rPr>
                <w:sz w:val="18"/>
                <w:szCs w:val="18"/>
              </w:rPr>
            </w:pPr>
            <w:r w:rsidRPr="00FD43A4">
              <w:rPr>
                <w:sz w:val="18"/>
                <w:lang w:val="fr-FR"/>
              </w:rPr>
              <w:t>30,5</w:t>
            </w:r>
          </w:p>
        </w:tc>
        <w:tc>
          <w:tcPr>
            <w:tcW w:w="2966" w:type="dxa"/>
            <w:shd w:val="clear" w:color="auto" w:fill="auto"/>
            <w:vAlign w:val="bottom"/>
            <w:hideMark/>
          </w:tcPr>
          <w:p w14:paraId="6E84A590" w14:textId="77777777" w:rsidR="002C4118" w:rsidRPr="00FD43A4" w:rsidRDefault="002C4118" w:rsidP="00FD43A4">
            <w:pPr>
              <w:suppressAutoHyphens w:val="0"/>
              <w:spacing w:before="40" w:after="40" w:line="240" w:lineRule="auto"/>
              <w:ind w:left="57" w:right="57"/>
              <w:jc w:val="right"/>
              <w:rPr>
                <w:sz w:val="18"/>
                <w:szCs w:val="18"/>
              </w:rPr>
            </w:pPr>
            <w:r w:rsidRPr="00FD43A4">
              <w:rPr>
                <w:sz w:val="18"/>
                <w:lang w:val="fr-FR"/>
              </w:rPr>
              <w:t>775</w:t>
            </w:r>
          </w:p>
        </w:tc>
      </w:tr>
    </w:tbl>
    <w:p w14:paraId="630CFF42" w14:textId="1EA83F56" w:rsidR="002C4118" w:rsidRDefault="00FD43A4" w:rsidP="00FD43A4">
      <w:pPr>
        <w:suppressAutoHyphens w:val="0"/>
        <w:spacing w:before="120" w:after="120"/>
        <w:ind w:left="2268" w:right="1134" w:hanging="1134"/>
        <w:jc w:val="right"/>
        <w:rPr>
          <w:lang w:val="en-GB"/>
        </w:rPr>
      </w:pPr>
      <w:r>
        <w:rPr>
          <w:lang w:val="fr-FR"/>
        </w:rPr>
        <w:t>».</w:t>
      </w:r>
    </w:p>
    <w:p w14:paraId="04A97C18" w14:textId="77777777" w:rsidR="002C4118" w:rsidRPr="00CE61DD" w:rsidRDefault="002C4118" w:rsidP="002C4118">
      <w:pPr>
        <w:pStyle w:val="SingleTxtG"/>
        <w:keepNext/>
      </w:pPr>
      <w:r>
        <w:rPr>
          <w:i/>
          <w:iCs/>
          <w:lang w:val="fr-FR"/>
        </w:rPr>
        <w:lastRenderedPageBreak/>
        <w:t>Paragraphe 2.36</w:t>
      </w:r>
      <w:r>
        <w:rPr>
          <w:lang w:val="fr-FR"/>
        </w:rPr>
        <w:t>, lire :</w:t>
      </w:r>
    </w:p>
    <w:p w14:paraId="750A5485" w14:textId="77777777" w:rsidR="002C4118" w:rsidRPr="00CE61DD" w:rsidRDefault="002C4118" w:rsidP="00E23B96">
      <w:pPr>
        <w:pStyle w:val="SingleTxtG"/>
        <w:tabs>
          <w:tab w:val="clear" w:pos="1701"/>
          <w:tab w:val="left" w:pos="2300"/>
          <w:tab w:val="left" w:pos="2800"/>
        </w:tabs>
        <w:ind w:left="2268" w:hanging="1134"/>
      </w:pPr>
      <w:r>
        <w:rPr>
          <w:lang w:val="fr-FR"/>
        </w:rPr>
        <w:t>« 2.36</w:t>
      </w:r>
      <w:r>
        <w:rPr>
          <w:lang w:val="fr-FR"/>
        </w:rPr>
        <w:tab/>
        <w:t>“</w:t>
      </w:r>
      <w:r>
        <w:rPr>
          <w:i/>
          <w:iCs/>
          <w:lang w:val="fr-FR"/>
        </w:rPr>
        <w:t>Description de service supplémentaire</w:t>
      </w:r>
      <w:r>
        <w:rPr>
          <w:lang w:val="fr-FR"/>
        </w:rPr>
        <w:t>”, une description de service</w:t>
      </w:r>
      <w:r>
        <w:rPr>
          <w:strike/>
          <w:lang w:val="fr-FR"/>
        </w:rPr>
        <w:t xml:space="preserve"> supplémentaire</w:t>
      </w:r>
      <w:r>
        <w:rPr>
          <w:lang w:val="fr-FR"/>
        </w:rPr>
        <w:t>, inscrite dans un cercle, définissant un type particulier de service (indice(s) de capacité de charge et symbole de la catégorie de vitesse) pour lequel le type de pneumatique est aussi autorisé outre la variation de charge applicable en fonction de la vitesse (voir annexe 8). ».</w:t>
      </w:r>
    </w:p>
    <w:p w14:paraId="28596E2D" w14:textId="77777777" w:rsidR="002C4118" w:rsidRPr="00CE61DD" w:rsidRDefault="002C4118" w:rsidP="002C4118">
      <w:pPr>
        <w:pStyle w:val="SingleTxtG"/>
        <w:keepNext/>
      </w:pPr>
      <w:r>
        <w:rPr>
          <w:i/>
          <w:iCs/>
          <w:lang w:val="fr-FR"/>
        </w:rPr>
        <w:t>Ajouter les nouveaux paragraphes 2.37 et 2.38</w:t>
      </w:r>
      <w:r>
        <w:rPr>
          <w:lang w:val="fr-FR"/>
        </w:rPr>
        <w:t>, libellés comme suit :</w:t>
      </w:r>
    </w:p>
    <w:p w14:paraId="09E47191" w14:textId="4690295B" w:rsidR="002C4118" w:rsidRPr="00CE61DD" w:rsidRDefault="002C4118" w:rsidP="00E23B96">
      <w:pPr>
        <w:pStyle w:val="SingleTxtG"/>
        <w:tabs>
          <w:tab w:val="clear" w:pos="1701"/>
          <w:tab w:val="left" w:pos="2300"/>
          <w:tab w:val="left" w:pos="2800"/>
        </w:tabs>
        <w:ind w:left="2268" w:hanging="1134"/>
        <w:rPr>
          <w:b/>
          <w:bCs/>
        </w:rPr>
      </w:pPr>
      <w:r>
        <w:rPr>
          <w:lang w:val="fr-FR"/>
        </w:rPr>
        <w:t>« </w:t>
      </w:r>
      <w:r>
        <w:rPr>
          <w:b/>
          <w:bCs/>
          <w:lang w:val="fr-FR"/>
        </w:rPr>
        <w:t>2.37</w:t>
      </w:r>
      <w:r>
        <w:rPr>
          <w:lang w:val="fr-FR"/>
        </w:rPr>
        <w:tab/>
      </w:r>
      <w:r w:rsidR="006722DC">
        <w:rPr>
          <w:b/>
          <w:bCs/>
          <w:lang w:val="fr-FR"/>
        </w:rPr>
        <w:t>“</w:t>
      </w:r>
      <w:r w:rsidRPr="006722DC">
        <w:rPr>
          <w:b/>
          <w:bCs/>
          <w:i/>
          <w:iCs/>
          <w:lang w:val="fr-FR"/>
        </w:rPr>
        <w:t>Rainures principales</w:t>
      </w:r>
      <w:r w:rsidR="006722DC">
        <w:rPr>
          <w:b/>
          <w:bCs/>
          <w:lang w:val="fr-FR"/>
        </w:rPr>
        <w:t>”</w:t>
      </w:r>
      <w:r>
        <w:rPr>
          <w:b/>
          <w:bCs/>
          <w:lang w:val="fr-FR"/>
        </w:rPr>
        <w:t>, les larges rainures situées dans la zone centrale de la bande de roulement (zone qui représente environ les trois quarts de la largeur de la bande) ;</w:t>
      </w:r>
    </w:p>
    <w:p w14:paraId="1BE58A84" w14:textId="40C325A0" w:rsidR="002C4118" w:rsidRPr="00CE61DD" w:rsidRDefault="002C4118" w:rsidP="00E23B96">
      <w:pPr>
        <w:pStyle w:val="SingleTxtG"/>
        <w:tabs>
          <w:tab w:val="clear" w:pos="1701"/>
          <w:tab w:val="left" w:pos="2300"/>
          <w:tab w:val="left" w:pos="2800"/>
        </w:tabs>
        <w:ind w:left="2268" w:hanging="1134"/>
        <w:rPr>
          <w:b/>
          <w:bCs/>
        </w:rPr>
      </w:pPr>
      <w:r>
        <w:rPr>
          <w:b/>
          <w:bCs/>
          <w:lang w:val="fr-FR"/>
        </w:rPr>
        <w:t>2.38</w:t>
      </w:r>
      <w:r>
        <w:rPr>
          <w:lang w:val="fr-FR"/>
        </w:rPr>
        <w:tab/>
      </w:r>
      <w:r w:rsidR="006722DC">
        <w:rPr>
          <w:b/>
          <w:bCs/>
          <w:lang w:val="fr-FR"/>
        </w:rPr>
        <w:t>“</w:t>
      </w:r>
      <w:r w:rsidRPr="006722DC">
        <w:rPr>
          <w:b/>
          <w:bCs/>
          <w:i/>
          <w:iCs/>
          <w:lang w:val="fr-FR"/>
        </w:rPr>
        <w:t>Profondeur de sculpture</w:t>
      </w:r>
      <w:r w:rsidR="006722DC">
        <w:rPr>
          <w:b/>
          <w:bCs/>
          <w:lang w:val="fr-FR"/>
        </w:rPr>
        <w:t>”</w:t>
      </w:r>
      <w:r>
        <w:rPr>
          <w:b/>
          <w:bCs/>
          <w:lang w:val="fr-FR"/>
        </w:rPr>
        <w:t>, la profondeur des rainures principales</w:t>
      </w:r>
      <w:r w:rsidR="006722DC">
        <w:rPr>
          <w:b/>
          <w:bCs/>
          <w:lang w:val="fr-FR"/>
        </w:rPr>
        <w:t> </w:t>
      </w:r>
      <w:r>
        <w:rPr>
          <w:b/>
          <w:bCs/>
          <w:lang w:val="fr-FR"/>
        </w:rPr>
        <w:t>;</w:t>
      </w:r>
      <w:r w:rsidR="006722DC">
        <w:rPr>
          <w:lang w:val="fr-FR"/>
        </w:rPr>
        <w:t> </w:t>
      </w:r>
      <w:r>
        <w:rPr>
          <w:lang w:val="fr-FR"/>
        </w:rPr>
        <w:t>».</w:t>
      </w:r>
    </w:p>
    <w:p w14:paraId="4FFF9E54" w14:textId="77777777" w:rsidR="002C4118" w:rsidRPr="00CE61DD" w:rsidRDefault="002C4118" w:rsidP="002C4118">
      <w:pPr>
        <w:pStyle w:val="SingleTxtG"/>
        <w:keepNext/>
      </w:pPr>
      <w:r>
        <w:rPr>
          <w:i/>
          <w:iCs/>
          <w:lang w:val="fr-FR"/>
        </w:rPr>
        <w:t>Ajouter les nouveaux paragraphes 2.39 et 2.39.1</w:t>
      </w:r>
      <w:r>
        <w:rPr>
          <w:lang w:val="fr-FR"/>
        </w:rPr>
        <w:t>, libellés comme suit :</w:t>
      </w:r>
    </w:p>
    <w:p w14:paraId="1C69D515" w14:textId="58315B27" w:rsidR="002C4118" w:rsidRPr="00CE61DD" w:rsidRDefault="002C4118" w:rsidP="00E23B96">
      <w:pPr>
        <w:pStyle w:val="SingleTxtG"/>
        <w:tabs>
          <w:tab w:val="clear" w:pos="1701"/>
          <w:tab w:val="left" w:pos="2300"/>
          <w:tab w:val="left" w:pos="2800"/>
        </w:tabs>
        <w:ind w:left="2268" w:hanging="1134"/>
        <w:rPr>
          <w:b/>
          <w:bCs/>
        </w:rPr>
      </w:pPr>
      <w:r>
        <w:rPr>
          <w:lang w:val="fr-FR"/>
        </w:rPr>
        <w:t>« </w:t>
      </w:r>
      <w:r>
        <w:rPr>
          <w:b/>
          <w:bCs/>
          <w:lang w:val="fr-FR"/>
        </w:rPr>
        <w:t>2.39</w:t>
      </w:r>
      <w:r>
        <w:rPr>
          <w:lang w:val="fr-FR"/>
        </w:rPr>
        <w:tab/>
      </w:r>
      <w:r w:rsidR="006722DC">
        <w:rPr>
          <w:b/>
          <w:bCs/>
          <w:lang w:val="fr-FR"/>
        </w:rPr>
        <w:t>“</w:t>
      </w:r>
      <w:r>
        <w:rPr>
          <w:b/>
          <w:bCs/>
          <w:i/>
          <w:iCs/>
          <w:lang w:val="fr-FR"/>
        </w:rPr>
        <w:t>Pneumatique pour essieux tirés</w:t>
      </w:r>
      <w:r w:rsidR="006722DC">
        <w:rPr>
          <w:b/>
          <w:bCs/>
          <w:lang w:val="fr-FR"/>
        </w:rPr>
        <w:t>”</w:t>
      </w:r>
      <w:r>
        <w:rPr>
          <w:b/>
          <w:bCs/>
          <w:lang w:val="fr-FR"/>
        </w:rPr>
        <w:t>, un pneumatique conçu pour les essieux de remorque et les essieux de véhicule à moteur autres que les essieux avant et moteur ;</w:t>
      </w:r>
    </w:p>
    <w:p w14:paraId="232054EE" w14:textId="7915FF60" w:rsidR="002C4118" w:rsidRPr="00CE61DD" w:rsidRDefault="002C4118" w:rsidP="00E23B96">
      <w:pPr>
        <w:pStyle w:val="SingleTxtG"/>
        <w:tabs>
          <w:tab w:val="clear" w:pos="1701"/>
          <w:tab w:val="left" w:pos="2300"/>
          <w:tab w:val="left" w:pos="2800"/>
        </w:tabs>
        <w:ind w:left="2268" w:hanging="1134"/>
        <w:rPr>
          <w:b/>
          <w:bCs/>
        </w:rPr>
      </w:pPr>
      <w:r>
        <w:rPr>
          <w:b/>
          <w:bCs/>
          <w:lang w:val="fr-FR"/>
        </w:rPr>
        <w:t>2.39.1</w:t>
      </w:r>
      <w:r>
        <w:rPr>
          <w:lang w:val="fr-FR"/>
        </w:rPr>
        <w:t xml:space="preserve"> </w:t>
      </w:r>
      <w:r>
        <w:rPr>
          <w:lang w:val="fr-FR"/>
        </w:rPr>
        <w:tab/>
      </w:r>
      <w:r w:rsidR="006722DC">
        <w:rPr>
          <w:b/>
          <w:bCs/>
          <w:lang w:val="fr-FR"/>
        </w:rPr>
        <w:t>“</w:t>
      </w:r>
      <w:r>
        <w:rPr>
          <w:b/>
          <w:bCs/>
          <w:i/>
          <w:iCs/>
          <w:lang w:val="fr-FR"/>
        </w:rPr>
        <w:t>Essieu avant</w:t>
      </w:r>
      <w:r w:rsidR="006722DC">
        <w:rPr>
          <w:b/>
          <w:bCs/>
          <w:lang w:val="fr-FR"/>
        </w:rPr>
        <w:t>”</w:t>
      </w:r>
      <w:r>
        <w:rPr>
          <w:b/>
          <w:bCs/>
          <w:lang w:val="fr-FR"/>
        </w:rPr>
        <w:t>, tout essieu situé en avant du centre du châssis et dont les roues sont commandées par le système de direction.</w:t>
      </w:r>
      <w:r>
        <w:rPr>
          <w:lang w:val="fr-FR"/>
        </w:rPr>
        <w:t> ».</w:t>
      </w:r>
    </w:p>
    <w:p w14:paraId="2A67012F" w14:textId="77777777" w:rsidR="002C4118" w:rsidRPr="00CE61DD" w:rsidRDefault="002C4118" w:rsidP="002C4118">
      <w:pPr>
        <w:pStyle w:val="SingleTxtG"/>
        <w:keepNext/>
      </w:pPr>
      <w:r>
        <w:rPr>
          <w:i/>
          <w:iCs/>
          <w:lang w:val="fr-FR"/>
        </w:rPr>
        <w:t>Paragraphe 3.1.15</w:t>
      </w:r>
      <w:r>
        <w:rPr>
          <w:lang w:val="fr-FR"/>
        </w:rPr>
        <w:t>, lire :</w:t>
      </w:r>
    </w:p>
    <w:p w14:paraId="4CA52FEE" w14:textId="32F05D6A" w:rsidR="002C4118" w:rsidRPr="003E7980" w:rsidRDefault="002C4118" w:rsidP="00E23B96">
      <w:pPr>
        <w:pStyle w:val="SingleTxtG"/>
        <w:tabs>
          <w:tab w:val="clear" w:pos="1701"/>
          <w:tab w:val="left" w:pos="2300"/>
          <w:tab w:val="left" w:pos="2800"/>
        </w:tabs>
        <w:ind w:left="2268" w:hanging="1134"/>
      </w:pPr>
      <w:r>
        <w:rPr>
          <w:lang w:val="fr-FR"/>
        </w:rPr>
        <w:t>« 3.1.15</w:t>
      </w:r>
      <w:r>
        <w:rPr>
          <w:lang w:val="fr-FR"/>
        </w:rPr>
        <w:tab/>
        <w:t xml:space="preserve">La mention </w:t>
      </w:r>
      <w:r w:rsidR="006722DC">
        <w:rPr>
          <w:lang w:val="fr-FR"/>
        </w:rPr>
        <w:t>“</w:t>
      </w:r>
      <w:r>
        <w:rPr>
          <w:lang w:val="fr-FR"/>
        </w:rPr>
        <w:t>FRT</w:t>
      </w:r>
      <w:r w:rsidR="006722DC">
        <w:rPr>
          <w:lang w:val="fr-FR"/>
        </w:rPr>
        <w:t>”</w:t>
      </w:r>
      <w:r>
        <w:rPr>
          <w:lang w:val="fr-FR"/>
        </w:rPr>
        <w:t xml:space="preserve"> </w:t>
      </w:r>
      <w:r>
        <w:rPr>
          <w:b/>
          <w:bCs/>
          <w:lang w:val="fr-FR"/>
        </w:rPr>
        <w:t>dans le cas des</w:t>
      </w:r>
      <w:r>
        <w:rPr>
          <w:lang w:val="fr-FR"/>
        </w:rPr>
        <w:t xml:space="preserve"> </w:t>
      </w:r>
      <w:r>
        <w:rPr>
          <w:strike/>
          <w:lang w:val="fr-FR"/>
        </w:rPr>
        <w:t>(</w:t>
      </w:r>
      <w:r>
        <w:rPr>
          <w:lang w:val="fr-FR"/>
        </w:rPr>
        <w:t>pneumatiques pour essieux tirés</w:t>
      </w:r>
      <w:r>
        <w:rPr>
          <w:strike/>
          <w:lang w:val="fr-FR"/>
        </w:rPr>
        <w:t>) pour les pneumatiques conçus pour les essieux de remorque et les essieux de véhicule automobile autres que les essieux directeurs et moteurs avant</w:t>
      </w:r>
      <w:r>
        <w:rPr>
          <w:lang w:val="fr-FR"/>
        </w:rPr>
        <w:t>. ».</w:t>
      </w:r>
    </w:p>
    <w:p w14:paraId="782C9EB7" w14:textId="5BF2F73D" w:rsidR="002C4118" w:rsidRPr="00CE61DD" w:rsidRDefault="002C4118" w:rsidP="002C4118">
      <w:pPr>
        <w:pStyle w:val="SingleTxtG"/>
        <w:keepNext/>
      </w:pPr>
      <w:r>
        <w:rPr>
          <w:i/>
          <w:iCs/>
          <w:lang w:val="fr-FR"/>
        </w:rPr>
        <w:t>Paragraphe 6.1.5.3.3</w:t>
      </w:r>
      <w:r>
        <w:rPr>
          <w:lang w:val="fr-FR"/>
        </w:rPr>
        <w:t xml:space="preserve">, lire : </w:t>
      </w:r>
    </w:p>
    <w:p w14:paraId="62D1C9D7" w14:textId="77777777" w:rsidR="002C4118" w:rsidRPr="00CE61DD" w:rsidRDefault="002C4118" w:rsidP="00E23B96">
      <w:pPr>
        <w:pStyle w:val="SingleTxtG"/>
        <w:tabs>
          <w:tab w:val="clear" w:pos="1701"/>
          <w:tab w:val="left" w:pos="2300"/>
          <w:tab w:val="left" w:pos="2800"/>
        </w:tabs>
        <w:ind w:left="2268" w:hanging="1134"/>
      </w:pPr>
      <w:r>
        <w:rPr>
          <w:lang w:val="fr-FR"/>
        </w:rPr>
        <w:t>« 6.1.5.3.3</w:t>
      </w:r>
      <w:r>
        <w:rPr>
          <w:lang w:val="fr-FR"/>
        </w:rPr>
        <w:tab/>
        <w:t>Pour les pneumatiques de la catégorie “pneumatique neige”, le diamètre extérieur ne doit pas dépasser la valeur suivante :</w:t>
      </w:r>
    </w:p>
    <w:p w14:paraId="25392495" w14:textId="00355D60" w:rsidR="002C4118" w:rsidRPr="00CE61DD" w:rsidRDefault="002C4118" w:rsidP="006722DC">
      <w:pPr>
        <w:pStyle w:val="SingleTxtG"/>
        <w:ind w:left="2268"/>
      </w:pPr>
      <w:proofErr w:type="spellStart"/>
      <w:r>
        <w:rPr>
          <w:lang w:val="fr-FR"/>
        </w:rPr>
        <w:t>D</w:t>
      </w:r>
      <w:r>
        <w:rPr>
          <w:vertAlign w:val="subscript"/>
          <w:lang w:val="fr-FR"/>
        </w:rPr>
        <w:t>max,snow</w:t>
      </w:r>
      <w:proofErr w:type="spellEnd"/>
      <w:r>
        <w:rPr>
          <w:lang w:val="fr-FR"/>
        </w:rPr>
        <w:t xml:space="preserve"> = 1,01 • </w:t>
      </w:r>
      <w:proofErr w:type="spellStart"/>
      <w:r>
        <w:rPr>
          <w:lang w:val="fr-FR"/>
        </w:rPr>
        <w:t>D</w:t>
      </w:r>
      <w:r>
        <w:rPr>
          <w:vertAlign w:val="subscript"/>
          <w:lang w:val="fr-FR"/>
        </w:rPr>
        <w:t>max</w:t>
      </w:r>
      <w:proofErr w:type="spellEnd"/>
      <w:r>
        <w:rPr>
          <w:lang w:val="fr-FR"/>
        </w:rPr>
        <w:tab/>
      </w:r>
      <w:r>
        <w:rPr>
          <w:lang w:val="fr-FR"/>
        </w:rPr>
        <w:tab/>
        <w:t>arrondie au mm près</w:t>
      </w:r>
    </w:p>
    <w:p w14:paraId="1C3D3C0D" w14:textId="25EC93C8" w:rsidR="002C4118" w:rsidRPr="00CE61DD" w:rsidRDefault="002C4118" w:rsidP="006722DC">
      <w:pPr>
        <w:pStyle w:val="SingleTxtG"/>
        <w:ind w:left="2268"/>
      </w:pPr>
      <w:r>
        <w:rPr>
          <w:lang w:val="fr-FR"/>
        </w:rPr>
        <w:t xml:space="preserve"> où </w:t>
      </w:r>
      <w:proofErr w:type="spellStart"/>
      <w:r>
        <w:rPr>
          <w:lang w:val="fr-FR"/>
        </w:rPr>
        <w:t>D</w:t>
      </w:r>
      <w:r>
        <w:rPr>
          <w:vertAlign w:val="subscript"/>
          <w:lang w:val="fr-FR"/>
        </w:rPr>
        <w:t>max</w:t>
      </w:r>
      <w:proofErr w:type="spellEnd"/>
      <w:r>
        <w:rPr>
          <w:vertAlign w:val="subscript"/>
          <w:lang w:val="fr-FR"/>
        </w:rPr>
        <w:t xml:space="preserve"> </w:t>
      </w:r>
      <w:r>
        <w:rPr>
          <w:lang w:val="fr-FR"/>
        </w:rPr>
        <w:t>est le diamètre extérieur maximal déterminé pour les pneumatiques normaux conformément aux dispositions ci-dessus. ».</w:t>
      </w:r>
    </w:p>
    <w:p w14:paraId="743582FB" w14:textId="77777777" w:rsidR="002C4118" w:rsidRPr="00CE61DD" w:rsidRDefault="002C4118" w:rsidP="002C4118">
      <w:pPr>
        <w:pStyle w:val="SingleTxtG"/>
        <w:keepNext/>
      </w:pPr>
      <w:r>
        <w:rPr>
          <w:i/>
          <w:iCs/>
          <w:lang w:val="fr-FR"/>
        </w:rPr>
        <w:t>Paragraphe 6.3.2</w:t>
      </w:r>
      <w:r>
        <w:rPr>
          <w:lang w:val="fr-FR"/>
        </w:rPr>
        <w:t>, lire :</w:t>
      </w:r>
    </w:p>
    <w:p w14:paraId="43EEC33B" w14:textId="774B5F9B" w:rsidR="002C4118" w:rsidRPr="00CE61DD" w:rsidRDefault="002C4118" w:rsidP="00E23B96">
      <w:pPr>
        <w:pStyle w:val="SingleTxtG"/>
        <w:tabs>
          <w:tab w:val="clear" w:pos="1701"/>
          <w:tab w:val="left" w:pos="2300"/>
          <w:tab w:val="left" w:pos="2800"/>
        </w:tabs>
        <w:ind w:left="2268" w:hanging="1134"/>
        <w:rPr>
          <w:bCs/>
        </w:rPr>
      </w:pPr>
      <w:r>
        <w:rPr>
          <w:lang w:val="fr-FR"/>
        </w:rPr>
        <w:t>« 6.3.2</w:t>
      </w:r>
      <w:r w:rsidR="00E23B96">
        <w:rPr>
          <w:lang w:val="fr-FR"/>
        </w:rPr>
        <w:tab/>
      </w:r>
      <w:r>
        <w:rPr>
          <w:lang w:val="fr-FR"/>
        </w:rPr>
        <w:t xml:space="preserve">Pour être classé dans la catégorie des pneumatiques tout-terrain professionnels, un pneumatique </w:t>
      </w:r>
      <w:r>
        <w:rPr>
          <w:b/>
          <w:bCs/>
          <w:lang w:val="fr-FR"/>
        </w:rPr>
        <w:t>à usage spécial</w:t>
      </w:r>
      <w:r>
        <w:rPr>
          <w:lang w:val="fr-FR"/>
        </w:rPr>
        <w:t xml:space="preserve"> doit </w:t>
      </w:r>
      <w:r>
        <w:rPr>
          <w:strike/>
          <w:lang w:val="fr-FR"/>
        </w:rPr>
        <w:t xml:space="preserve">présenter les caractéristiques suivantes </w:t>
      </w:r>
      <w:r>
        <w:rPr>
          <w:b/>
          <w:bCs/>
          <w:lang w:val="fr-FR"/>
        </w:rPr>
        <w:t>satisfaire à la prescription supplémentaire suivante</w:t>
      </w:r>
      <w:r>
        <w:rPr>
          <w:lang w:val="fr-FR"/>
        </w:rPr>
        <w:t xml:space="preserve"> :</w:t>
      </w:r>
    </w:p>
    <w:p w14:paraId="39C48593" w14:textId="77777777" w:rsidR="002C4118" w:rsidRPr="00CE61DD" w:rsidRDefault="002C4118" w:rsidP="00E23B96">
      <w:pPr>
        <w:pStyle w:val="SingleTxtG"/>
        <w:ind w:left="2835" w:hanging="567"/>
        <w:rPr>
          <w:b/>
        </w:rPr>
      </w:pPr>
      <w:r>
        <w:rPr>
          <w:lang w:val="fr-FR"/>
        </w:rPr>
        <w:t>a)</w:t>
      </w:r>
      <w:r>
        <w:rPr>
          <w:lang w:val="fr-FR"/>
        </w:rPr>
        <w:tab/>
        <w:t>Pour les pneumatiques de la classe C2</w:t>
      </w:r>
      <w:r>
        <w:rPr>
          <w:strike/>
          <w:lang w:val="fr-FR"/>
        </w:rPr>
        <w:t xml:space="preserve"> :</w:t>
      </w:r>
      <w:r>
        <w:rPr>
          <w:b/>
          <w:bCs/>
          <w:lang w:val="fr-FR"/>
        </w:rPr>
        <w:t>, la catégorie de vitesse maximale doit correspondre à une vitesse inférieure ou égale à 160 km/h (symbole Q) ;</w:t>
      </w:r>
    </w:p>
    <w:p w14:paraId="43453BC2" w14:textId="0653A82A" w:rsidR="002C4118" w:rsidRPr="00CE61DD" w:rsidRDefault="002C4118" w:rsidP="00E23B96">
      <w:pPr>
        <w:pStyle w:val="SingleTxtG"/>
        <w:ind w:left="2835"/>
        <w:rPr>
          <w:bCs/>
          <w:strike/>
        </w:rPr>
      </w:pPr>
      <w:r>
        <w:rPr>
          <w:strike/>
          <w:lang w:val="fr-FR"/>
        </w:rPr>
        <w:t>i)</w:t>
      </w:r>
      <w:r>
        <w:rPr>
          <w:lang w:val="fr-FR"/>
        </w:rPr>
        <w:tab/>
      </w:r>
      <w:r>
        <w:rPr>
          <w:strike/>
          <w:lang w:val="fr-FR"/>
        </w:rPr>
        <w:t>Une profondeur des sculptures ≥11 mm ;</w:t>
      </w:r>
    </w:p>
    <w:p w14:paraId="521255C5" w14:textId="52670CCD" w:rsidR="002C4118" w:rsidRPr="00CE61DD" w:rsidRDefault="002C4118" w:rsidP="00E23B96">
      <w:pPr>
        <w:pStyle w:val="SingleTxtG"/>
        <w:ind w:left="2835"/>
        <w:rPr>
          <w:bCs/>
          <w:strike/>
        </w:rPr>
      </w:pPr>
      <w:r>
        <w:rPr>
          <w:strike/>
          <w:lang w:val="fr-FR"/>
        </w:rPr>
        <w:t>ii)</w:t>
      </w:r>
      <w:r>
        <w:rPr>
          <w:lang w:val="fr-FR"/>
        </w:rPr>
        <w:tab/>
      </w:r>
      <w:r>
        <w:rPr>
          <w:strike/>
          <w:lang w:val="fr-FR"/>
        </w:rPr>
        <w:t>Un rapport rainures/parties pleines ≥35 % ;</w:t>
      </w:r>
    </w:p>
    <w:p w14:paraId="24714DAB" w14:textId="5663017E" w:rsidR="002C4118" w:rsidRPr="00CE61DD" w:rsidRDefault="002C4118" w:rsidP="00E23B96">
      <w:pPr>
        <w:pStyle w:val="SingleTxtG"/>
        <w:ind w:left="2835"/>
        <w:rPr>
          <w:bCs/>
          <w:strike/>
        </w:rPr>
      </w:pPr>
      <w:r>
        <w:rPr>
          <w:strike/>
          <w:lang w:val="fr-FR"/>
        </w:rPr>
        <w:t>iii)</w:t>
      </w:r>
      <w:r>
        <w:rPr>
          <w:lang w:val="fr-FR"/>
        </w:rPr>
        <w:tab/>
      </w:r>
      <w:r>
        <w:rPr>
          <w:strike/>
          <w:lang w:val="fr-FR"/>
        </w:rPr>
        <w:t>Un indice de vitesse maximale ≤Q ;</w:t>
      </w:r>
    </w:p>
    <w:p w14:paraId="29BD7090" w14:textId="578C9DB2" w:rsidR="002C4118" w:rsidRPr="00CE61DD" w:rsidRDefault="002C4118" w:rsidP="00E23B96">
      <w:pPr>
        <w:pStyle w:val="SingleTxtG"/>
        <w:ind w:left="2835" w:hanging="567"/>
        <w:rPr>
          <w:bCs/>
        </w:rPr>
      </w:pPr>
      <w:r>
        <w:rPr>
          <w:lang w:val="fr-FR"/>
        </w:rPr>
        <w:t>b)</w:t>
      </w:r>
      <w:r>
        <w:rPr>
          <w:lang w:val="fr-FR"/>
        </w:rPr>
        <w:tab/>
        <w:t>Pour les pneumatiques de la classe C3</w:t>
      </w:r>
      <w:r>
        <w:rPr>
          <w:strike/>
          <w:lang w:val="fr-FR"/>
        </w:rPr>
        <w:t xml:space="preserve"> :</w:t>
      </w:r>
      <w:r>
        <w:rPr>
          <w:b/>
          <w:bCs/>
          <w:lang w:val="fr-FR"/>
        </w:rPr>
        <w:t>, la catégorie de vitesse maximale doit correspondre à une vitesse inférieure ou égale à 110</w:t>
      </w:r>
      <w:r w:rsidR="006722DC">
        <w:rPr>
          <w:b/>
          <w:bCs/>
          <w:lang w:val="fr-FR"/>
        </w:rPr>
        <w:t> </w:t>
      </w:r>
      <w:r>
        <w:rPr>
          <w:b/>
          <w:bCs/>
          <w:lang w:val="fr-FR"/>
        </w:rPr>
        <w:t>km/h (symbole K).</w:t>
      </w:r>
    </w:p>
    <w:p w14:paraId="63941D2D" w14:textId="77777777" w:rsidR="002C4118" w:rsidRPr="00CE61DD" w:rsidRDefault="002C4118" w:rsidP="00E23B96">
      <w:pPr>
        <w:pStyle w:val="SingleTxtG"/>
        <w:ind w:left="2835"/>
        <w:rPr>
          <w:bCs/>
          <w:strike/>
        </w:rPr>
      </w:pPr>
      <w:r w:rsidRPr="003E7980">
        <w:rPr>
          <w:strike/>
          <w:lang w:val="fr-FR"/>
        </w:rPr>
        <w:t>i)</w:t>
      </w:r>
      <w:r w:rsidRPr="003E7980">
        <w:rPr>
          <w:strike/>
          <w:lang w:val="fr-FR"/>
        </w:rPr>
        <w:tab/>
      </w:r>
      <w:r>
        <w:rPr>
          <w:strike/>
          <w:lang w:val="fr-FR"/>
        </w:rPr>
        <w:t>Une profondeur des sculptures ≥ 16 mm ;</w:t>
      </w:r>
    </w:p>
    <w:p w14:paraId="44303185" w14:textId="77777777" w:rsidR="002C4118" w:rsidRPr="00CE61DD" w:rsidRDefault="002C4118" w:rsidP="00E23B96">
      <w:pPr>
        <w:pStyle w:val="SingleTxtG"/>
        <w:ind w:left="2835"/>
        <w:rPr>
          <w:bCs/>
          <w:strike/>
        </w:rPr>
      </w:pPr>
      <w:r>
        <w:rPr>
          <w:strike/>
          <w:lang w:val="fr-FR"/>
        </w:rPr>
        <w:t>ii)</w:t>
      </w:r>
      <w:r>
        <w:rPr>
          <w:lang w:val="fr-FR"/>
        </w:rPr>
        <w:tab/>
      </w:r>
      <w:r>
        <w:rPr>
          <w:strike/>
          <w:lang w:val="fr-FR"/>
        </w:rPr>
        <w:t>Un rapport rainures/parties pleines ≥ 35 % ;</w:t>
      </w:r>
    </w:p>
    <w:p w14:paraId="07E8A3EC" w14:textId="77777777" w:rsidR="002C4118" w:rsidRPr="003E7980" w:rsidRDefault="002C4118" w:rsidP="00E23B96">
      <w:pPr>
        <w:pStyle w:val="para"/>
        <w:ind w:firstLine="567"/>
        <w:rPr>
          <w:lang w:val="fr-CH"/>
        </w:rPr>
      </w:pPr>
      <w:r w:rsidRPr="003E7980">
        <w:rPr>
          <w:strike/>
          <w:lang w:val="fr-FR"/>
        </w:rPr>
        <w:t>iii)</w:t>
      </w:r>
      <w:r w:rsidRPr="003E7980">
        <w:rPr>
          <w:strike/>
          <w:lang w:val="fr-FR"/>
        </w:rPr>
        <w:tab/>
      </w:r>
      <w:r>
        <w:rPr>
          <w:strike/>
          <w:lang w:val="fr-FR"/>
        </w:rPr>
        <w:t>Un indice de vitesse maximale ≤ K.</w:t>
      </w:r>
      <w:r>
        <w:rPr>
          <w:lang w:val="fr-FR"/>
        </w:rPr>
        <w:t> ».</w:t>
      </w:r>
    </w:p>
    <w:p w14:paraId="02E537BB" w14:textId="77777777" w:rsidR="002C4118" w:rsidRPr="00CE61DD" w:rsidRDefault="002C4118" w:rsidP="00E23B96">
      <w:pPr>
        <w:pStyle w:val="SingleTxtG"/>
        <w:keepNext/>
      </w:pPr>
      <w:r>
        <w:rPr>
          <w:i/>
          <w:iCs/>
          <w:lang w:val="fr-FR"/>
        </w:rPr>
        <w:t>Annexe 1, ajouter le nouveau point 4.2.1,</w:t>
      </w:r>
      <w:r>
        <w:rPr>
          <w:lang w:val="fr-FR"/>
        </w:rPr>
        <w:t xml:space="preserve"> libellé comme suit :</w:t>
      </w:r>
    </w:p>
    <w:p w14:paraId="2E97ADBE" w14:textId="253F24DB" w:rsidR="002C4118" w:rsidRDefault="002C4118" w:rsidP="00E23B96">
      <w:pPr>
        <w:pStyle w:val="SingleTxtG"/>
        <w:tabs>
          <w:tab w:val="clear" w:pos="1701"/>
        </w:tabs>
        <w:ind w:left="2268" w:hanging="1134"/>
      </w:pPr>
      <w:r>
        <w:rPr>
          <w:lang w:val="fr-FR"/>
        </w:rPr>
        <w:t>« 4.2.1</w:t>
      </w:r>
      <w:r w:rsidR="00E23B96">
        <w:rPr>
          <w:lang w:val="fr-FR"/>
        </w:rPr>
        <w:tab/>
      </w:r>
      <w:r w:rsidRPr="00E23B96">
        <w:rPr>
          <w:b/>
          <w:bCs/>
          <w:lang w:val="fr-FR"/>
        </w:rPr>
        <w:t>Pour les pneumatiques à usage spécial, s’il s’agit d’un pneumatique tout</w:t>
      </w:r>
      <w:r w:rsidR="00E23B96">
        <w:rPr>
          <w:b/>
          <w:bCs/>
          <w:lang w:val="fr-FR"/>
        </w:rPr>
        <w:noBreakHyphen/>
      </w:r>
      <w:r w:rsidRPr="00E23B96">
        <w:rPr>
          <w:b/>
          <w:bCs/>
          <w:lang w:val="fr-FR"/>
        </w:rPr>
        <w:t>terrain professionnel : oui/non</w:t>
      </w:r>
      <w:r w:rsidRPr="00E23B96">
        <w:rPr>
          <w:b/>
          <w:bCs/>
          <w:sz w:val="18"/>
          <w:szCs w:val="18"/>
          <w:vertAlign w:val="superscript"/>
          <w:lang w:val="fr-FR"/>
        </w:rPr>
        <w:t>2</w:t>
      </w:r>
      <w:r>
        <w:rPr>
          <w:lang w:val="fr-FR"/>
        </w:rPr>
        <w:t> ».</w:t>
      </w:r>
    </w:p>
    <w:bookmarkEnd w:id="0"/>
    <w:p w14:paraId="0BF11D55" w14:textId="2E6C7AE3" w:rsidR="002C4118" w:rsidRPr="00CE61DD" w:rsidRDefault="002C4118" w:rsidP="002C4118">
      <w:pPr>
        <w:pStyle w:val="HChG"/>
        <w:rPr>
          <w:szCs w:val="28"/>
        </w:rPr>
      </w:pPr>
      <w:r>
        <w:rPr>
          <w:lang w:val="fr-FR"/>
        </w:rPr>
        <w:lastRenderedPageBreak/>
        <w:tab/>
      </w:r>
      <w:r>
        <w:rPr>
          <w:lang w:val="fr-FR"/>
        </w:rPr>
        <w:t>II.</w:t>
      </w:r>
      <w:r>
        <w:rPr>
          <w:lang w:val="fr-FR"/>
        </w:rPr>
        <w:tab/>
        <w:t>Justification</w:t>
      </w:r>
    </w:p>
    <w:p w14:paraId="3BFEFF0D" w14:textId="77777777" w:rsidR="002C4118" w:rsidRPr="003E7980" w:rsidRDefault="002C4118" w:rsidP="002C4118">
      <w:pPr>
        <w:pStyle w:val="SingleTxtG"/>
      </w:pPr>
      <w:r w:rsidRPr="003E7980">
        <w:t>1.</w:t>
      </w:r>
      <w:r w:rsidRPr="003E7980">
        <w:tab/>
      </w:r>
      <w:r>
        <w:rPr>
          <w:lang w:val="fr-FR"/>
        </w:rPr>
        <w:t>Il est proposé de faire référence à la Résolution d’ensemble sur la construction des véhicules (R.E.3) de façon générique dans la note de bas de page 1.</w:t>
      </w:r>
    </w:p>
    <w:p w14:paraId="408B5FE7" w14:textId="77777777" w:rsidR="002C4118" w:rsidRPr="003E7980" w:rsidRDefault="002C4118" w:rsidP="002C4118">
      <w:pPr>
        <w:pStyle w:val="SingleTxtG"/>
      </w:pPr>
      <w:r w:rsidRPr="003E7980">
        <w:t>2.</w:t>
      </w:r>
      <w:r w:rsidRPr="003E7980">
        <w:tab/>
      </w:r>
      <w:r>
        <w:rPr>
          <w:lang w:val="fr-FR"/>
        </w:rPr>
        <w:t>Des corrections d’ordre rédactionnel ont été apportées dans les définitions du type de pneumatique et de la description de service supplémentaire.</w:t>
      </w:r>
    </w:p>
    <w:p w14:paraId="3DEAF404" w14:textId="44AEEEDD" w:rsidR="002C4118" w:rsidRPr="003E7980" w:rsidRDefault="002C4118" w:rsidP="002C4118">
      <w:pPr>
        <w:pStyle w:val="SingleTxtG"/>
      </w:pPr>
      <w:r w:rsidRPr="003E7980">
        <w:t>3.</w:t>
      </w:r>
      <w:r w:rsidRPr="003E7980">
        <w:tab/>
      </w:r>
      <w:r>
        <w:rPr>
          <w:lang w:val="fr-FR"/>
        </w:rPr>
        <w:t xml:space="preserve">La définition du diamètre nominal de la jante a été précisée à des fins de cohérence avec la proposition destinée à modifier le Règlement ONU </w:t>
      </w:r>
      <w:r w:rsidR="006722DC" w:rsidRPr="006722DC">
        <w:rPr>
          <w:rFonts w:eastAsia="MS Mincho"/>
          <w:lang w:val="fr-FR"/>
        </w:rPr>
        <w:t>n</w:t>
      </w:r>
      <w:r w:rsidR="006722DC" w:rsidRPr="006722DC">
        <w:rPr>
          <w:rFonts w:eastAsia="MS Mincho"/>
          <w:vertAlign w:val="superscript"/>
          <w:lang w:val="fr-FR"/>
        </w:rPr>
        <w:t>o</w:t>
      </w:r>
      <w:r w:rsidR="006722DC">
        <w:rPr>
          <w:lang w:val="fr-FR"/>
        </w:rPr>
        <w:t> </w:t>
      </w:r>
      <w:r>
        <w:rPr>
          <w:lang w:val="fr-FR"/>
        </w:rPr>
        <w:t>30.</w:t>
      </w:r>
    </w:p>
    <w:p w14:paraId="79A001C9" w14:textId="6A0374F9" w:rsidR="002C4118" w:rsidRPr="006722DC" w:rsidRDefault="002C4118" w:rsidP="006722DC">
      <w:pPr>
        <w:pStyle w:val="SingleTxtG"/>
        <w:rPr>
          <w:lang w:val="fr-FR"/>
        </w:rPr>
      </w:pPr>
      <w:r w:rsidRPr="003E7980">
        <w:t>4.</w:t>
      </w:r>
      <w:r w:rsidRPr="003E7980">
        <w:tab/>
      </w:r>
      <w:r>
        <w:rPr>
          <w:lang w:val="fr-FR"/>
        </w:rPr>
        <w:t xml:space="preserve">Toujours dans la droite ligne de la proposition destinée à modifier le Règlement ONU </w:t>
      </w:r>
      <w:r w:rsidR="006722DC" w:rsidRPr="006722DC">
        <w:rPr>
          <w:rFonts w:eastAsia="MS Mincho"/>
          <w:lang w:val="fr-FR"/>
        </w:rPr>
        <w:t>n</w:t>
      </w:r>
      <w:r w:rsidR="006722DC" w:rsidRPr="006722DC">
        <w:rPr>
          <w:rFonts w:eastAsia="MS Mincho"/>
          <w:vertAlign w:val="superscript"/>
          <w:lang w:val="fr-FR"/>
        </w:rPr>
        <w:t>o</w:t>
      </w:r>
      <w:r w:rsidR="006722DC">
        <w:rPr>
          <w:lang w:val="fr-FR"/>
        </w:rPr>
        <w:t> </w:t>
      </w:r>
      <w:r>
        <w:rPr>
          <w:lang w:val="fr-FR"/>
        </w:rPr>
        <w:t>30, il est proposé de modifier la définition des rainures principales.</w:t>
      </w:r>
    </w:p>
    <w:p w14:paraId="0A716F0A" w14:textId="77777777" w:rsidR="002C4118" w:rsidRPr="003E7980" w:rsidRDefault="002C4118" w:rsidP="002C4118">
      <w:pPr>
        <w:pStyle w:val="SingleTxtG"/>
      </w:pPr>
      <w:r w:rsidRPr="003E7980">
        <w:t>5.</w:t>
      </w:r>
      <w:r w:rsidRPr="003E7980">
        <w:tab/>
      </w:r>
      <w:r>
        <w:rPr>
          <w:lang w:val="fr-FR"/>
        </w:rPr>
        <w:t>Il est proposé de définir le terme « profondeur de sculpture », employé dans les prescriptions relatives aux pneumatiques à usage spécial et aux pneumatiques tout-terrain professionnels.</w:t>
      </w:r>
    </w:p>
    <w:p w14:paraId="3CBD7F37" w14:textId="77777777" w:rsidR="002C4118" w:rsidRPr="003E7980" w:rsidRDefault="002C4118" w:rsidP="002C4118">
      <w:pPr>
        <w:pStyle w:val="SingleTxtG"/>
      </w:pPr>
      <w:r w:rsidRPr="003E7980">
        <w:t>6.</w:t>
      </w:r>
      <w:r w:rsidRPr="003E7980">
        <w:tab/>
      </w:r>
      <w:r>
        <w:rPr>
          <w:lang w:val="fr-FR"/>
        </w:rPr>
        <w:t xml:space="preserve">Comme suite aux propositions figurant dans les documents informels GRBP-80-03 et GRBP-80-26, il est proposé de définir les termes « pneumatique pour essieux tirés » et « essieu avant », ce qui suppose d’adapter les dispositions relatives au marquage en conséquence. </w:t>
      </w:r>
    </w:p>
    <w:p w14:paraId="4CC63DBE" w14:textId="77777777" w:rsidR="002C4118" w:rsidRPr="003E7980" w:rsidRDefault="002C4118" w:rsidP="002C4118">
      <w:pPr>
        <w:pStyle w:val="SingleTxtG"/>
      </w:pPr>
      <w:r w:rsidRPr="003E7980">
        <w:t>7.</w:t>
      </w:r>
      <w:r w:rsidRPr="003E7980">
        <w:tab/>
      </w:r>
      <w:r>
        <w:rPr>
          <w:lang w:val="fr-FR"/>
        </w:rPr>
        <w:t xml:space="preserve">La prescription applicable à </w:t>
      </w:r>
      <w:proofErr w:type="spellStart"/>
      <w:r>
        <w:rPr>
          <w:lang w:val="fr-FR"/>
        </w:rPr>
        <w:t>D</w:t>
      </w:r>
      <w:r>
        <w:rPr>
          <w:vertAlign w:val="subscript"/>
          <w:lang w:val="fr-FR"/>
        </w:rPr>
        <w:t>max</w:t>
      </w:r>
      <w:proofErr w:type="spellEnd"/>
      <w:r>
        <w:rPr>
          <w:lang w:val="fr-FR"/>
        </w:rPr>
        <w:t xml:space="preserve"> pour les pneumatiques neige est précisée.</w:t>
      </w:r>
    </w:p>
    <w:p w14:paraId="6C3B76EA" w14:textId="77777777" w:rsidR="002C4118" w:rsidRPr="00CE61DD" w:rsidRDefault="002C4118" w:rsidP="002C4118">
      <w:pPr>
        <w:pStyle w:val="SingleTxtG"/>
      </w:pPr>
      <w:r w:rsidRPr="00CE61DD">
        <w:t>8.</w:t>
      </w:r>
      <w:r w:rsidRPr="00CE61DD">
        <w:tab/>
      </w:r>
      <w:r>
        <w:rPr>
          <w:lang w:val="fr-FR"/>
        </w:rPr>
        <w:t>Il est proposé de simplifier le libellé des prescriptions relatives aux pneumatiques tout-terrain professionnels.</w:t>
      </w:r>
    </w:p>
    <w:p w14:paraId="404DE77E" w14:textId="2AD247D1" w:rsidR="002C4118" w:rsidRPr="00CE61DD" w:rsidRDefault="002C4118" w:rsidP="002C4118">
      <w:pPr>
        <w:pStyle w:val="SingleTxtG"/>
      </w:pPr>
      <w:r w:rsidRPr="00CE61DD">
        <w:t>9.</w:t>
      </w:r>
      <w:r w:rsidRPr="00CE61DD">
        <w:tab/>
      </w:r>
      <w:r>
        <w:rPr>
          <w:lang w:val="fr-FR"/>
        </w:rPr>
        <w:t xml:space="preserve">Enfin, un point permettant d’indiquer si un pneumatique à usage spécial est un pneumatique tout-terrain professionnel a été ajouté à la fiche de communication, à des fins d’harmonisation avec le Règlement ONU </w:t>
      </w:r>
      <w:r w:rsidR="00471A52" w:rsidRPr="00471A52">
        <w:rPr>
          <w:rFonts w:eastAsia="MS Mincho"/>
          <w:lang w:val="fr-FR"/>
        </w:rPr>
        <w:t>n</w:t>
      </w:r>
      <w:r w:rsidR="00471A52" w:rsidRPr="00471A52">
        <w:rPr>
          <w:rFonts w:eastAsia="MS Mincho"/>
          <w:vertAlign w:val="superscript"/>
          <w:lang w:val="fr-FR"/>
        </w:rPr>
        <w:t>o</w:t>
      </w:r>
      <w:r w:rsidR="00471A52">
        <w:rPr>
          <w:lang w:val="fr-FR"/>
        </w:rPr>
        <w:t> </w:t>
      </w:r>
      <w:r>
        <w:rPr>
          <w:lang w:val="fr-FR"/>
        </w:rPr>
        <w:t>30.</w:t>
      </w:r>
    </w:p>
    <w:p w14:paraId="2782D48C" w14:textId="6019F4D1" w:rsidR="00F9573C" w:rsidRPr="00471A52" w:rsidRDefault="00471A52" w:rsidP="00471A52">
      <w:pPr>
        <w:pStyle w:val="SingleTxtG"/>
        <w:spacing w:before="240" w:after="0"/>
        <w:jc w:val="center"/>
        <w:rPr>
          <w:u w:val="single"/>
        </w:rPr>
      </w:pPr>
      <w:r>
        <w:rPr>
          <w:u w:val="single"/>
        </w:rPr>
        <w:tab/>
      </w:r>
      <w:r>
        <w:rPr>
          <w:u w:val="single"/>
        </w:rPr>
        <w:tab/>
      </w:r>
      <w:r>
        <w:rPr>
          <w:u w:val="single"/>
        </w:rPr>
        <w:tab/>
      </w:r>
    </w:p>
    <w:sectPr w:rsidR="00F9573C" w:rsidRPr="00471A52" w:rsidSect="002C4118">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1FB04" w14:textId="77777777" w:rsidR="00373DB5" w:rsidRDefault="00373DB5" w:rsidP="00F95C08">
      <w:pPr>
        <w:spacing w:line="240" w:lineRule="auto"/>
      </w:pPr>
    </w:p>
  </w:endnote>
  <w:endnote w:type="continuationSeparator" w:id="0">
    <w:p w14:paraId="3231A054" w14:textId="77777777" w:rsidR="00373DB5" w:rsidRPr="00AC3823" w:rsidRDefault="00373DB5" w:rsidP="00AC3823">
      <w:pPr>
        <w:pStyle w:val="Pieddepage"/>
      </w:pPr>
    </w:p>
  </w:endnote>
  <w:endnote w:type="continuationNotice" w:id="1">
    <w:p w14:paraId="22CA4A5E" w14:textId="77777777" w:rsidR="00373DB5" w:rsidRDefault="00373D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6B5D" w14:textId="4C8880A0" w:rsidR="002C4118" w:rsidRPr="002C4118" w:rsidRDefault="002C4118" w:rsidP="002C4118">
    <w:pPr>
      <w:pStyle w:val="Pieddepage"/>
      <w:tabs>
        <w:tab w:val="right" w:pos="9638"/>
      </w:tabs>
    </w:pPr>
    <w:r w:rsidRPr="002C4118">
      <w:rPr>
        <w:b/>
        <w:sz w:val="18"/>
      </w:rPr>
      <w:fldChar w:fldCharType="begin"/>
    </w:r>
    <w:r w:rsidRPr="002C4118">
      <w:rPr>
        <w:b/>
        <w:sz w:val="18"/>
      </w:rPr>
      <w:instrText xml:space="preserve"> PAGE  \* MERGEFORMAT </w:instrText>
    </w:r>
    <w:r w:rsidRPr="002C4118">
      <w:rPr>
        <w:b/>
        <w:sz w:val="18"/>
      </w:rPr>
      <w:fldChar w:fldCharType="separate"/>
    </w:r>
    <w:r w:rsidRPr="002C4118">
      <w:rPr>
        <w:b/>
        <w:noProof/>
        <w:sz w:val="18"/>
      </w:rPr>
      <w:t>2</w:t>
    </w:r>
    <w:r w:rsidRPr="002C4118">
      <w:rPr>
        <w:b/>
        <w:sz w:val="18"/>
      </w:rPr>
      <w:fldChar w:fldCharType="end"/>
    </w:r>
    <w:r>
      <w:rPr>
        <w:b/>
        <w:sz w:val="18"/>
      </w:rPr>
      <w:tab/>
    </w:r>
    <w:r>
      <w:t>GE.24-22775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12F3" w14:textId="216A94A2" w:rsidR="002C4118" w:rsidRPr="002C4118" w:rsidRDefault="002C4118" w:rsidP="002C4118">
    <w:pPr>
      <w:pStyle w:val="Pieddepage"/>
      <w:tabs>
        <w:tab w:val="right" w:pos="9638"/>
      </w:tabs>
      <w:rPr>
        <w:b/>
        <w:sz w:val="18"/>
      </w:rPr>
    </w:pPr>
    <w:r>
      <w:t>GE.24-22775</w:t>
    </w:r>
    <w:r>
      <w:tab/>
    </w:r>
    <w:r w:rsidRPr="002C4118">
      <w:rPr>
        <w:b/>
        <w:sz w:val="18"/>
      </w:rPr>
      <w:fldChar w:fldCharType="begin"/>
    </w:r>
    <w:r w:rsidRPr="002C4118">
      <w:rPr>
        <w:b/>
        <w:sz w:val="18"/>
      </w:rPr>
      <w:instrText xml:space="preserve"> PAGE  \* MERGEFORMAT </w:instrText>
    </w:r>
    <w:r w:rsidRPr="002C4118">
      <w:rPr>
        <w:b/>
        <w:sz w:val="18"/>
      </w:rPr>
      <w:fldChar w:fldCharType="separate"/>
    </w:r>
    <w:r w:rsidRPr="002C4118">
      <w:rPr>
        <w:b/>
        <w:noProof/>
        <w:sz w:val="18"/>
      </w:rPr>
      <w:t>3</w:t>
    </w:r>
    <w:r w:rsidRPr="002C411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FA5F" w14:textId="2123EF3E" w:rsidR="007F20FA" w:rsidRPr="002C4118" w:rsidRDefault="002C4118" w:rsidP="002C4118">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5BBA42F" wp14:editId="6AE6233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24-22775  (F)</w:t>
    </w:r>
    <w:r>
      <w:rPr>
        <w:noProof/>
        <w:sz w:val="20"/>
      </w:rPr>
      <w:drawing>
        <wp:anchor distT="0" distB="0" distL="114300" distR="114300" simplePos="0" relativeHeight="251660288" behindDoc="0" locked="0" layoutInCell="1" allowOverlap="1" wp14:anchorId="2E98C997" wp14:editId="0F5DCB3B">
          <wp:simplePos x="0" y="0"/>
          <wp:positionH relativeFrom="margin">
            <wp:posOffset>5489575</wp:posOffset>
          </wp:positionH>
          <wp:positionV relativeFrom="margin">
            <wp:posOffset>8891905</wp:posOffset>
          </wp:positionV>
          <wp:extent cx="628650" cy="628650"/>
          <wp:effectExtent l="0" t="0" r="0" b="0"/>
          <wp:wrapNone/>
          <wp:docPr id="1385713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061224    061224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13426" w14:textId="77777777" w:rsidR="00373DB5" w:rsidRPr="00AC3823" w:rsidRDefault="00373DB5" w:rsidP="00AC3823">
      <w:pPr>
        <w:pStyle w:val="Pieddepage"/>
        <w:tabs>
          <w:tab w:val="right" w:pos="2155"/>
        </w:tabs>
        <w:spacing w:after="80" w:line="240" w:lineRule="atLeast"/>
        <w:ind w:left="680"/>
        <w:rPr>
          <w:u w:val="single"/>
        </w:rPr>
      </w:pPr>
      <w:r>
        <w:rPr>
          <w:u w:val="single"/>
        </w:rPr>
        <w:tab/>
      </w:r>
    </w:p>
  </w:footnote>
  <w:footnote w:type="continuationSeparator" w:id="0">
    <w:p w14:paraId="0B9A8242" w14:textId="77777777" w:rsidR="00373DB5" w:rsidRPr="00AC3823" w:rsidRDefault="00373DB5" w:rsidP="00AC3823">
      <w:pPr>
        <w:pStyle w:val="Pieddepage"/>
        <w:tabs>
          <w:tab w:val="right" w:pos="2155"/>
        </w:tabs>
        <w:spacing w:after="80" w:line="240" w:lineRule="atLeast"/>
        <w:ind w:left="680"/>
        <w:rPr>
          <w:u w:val="single"/>
        </w:rPr>
      </w:pPr>
      <w:r>
        <w:rPr>
          <w:u w:val="single"/>
        </w:rPr>
        <w:tab/>
      </w:r>
    </w:p>
  </w:footnote>
  <w:footnote w:type="continuationNotice" w:id="1">
    <w:p w14:paraId="77B3F012" w14:textId="77777777" w:rsidR="00373DB5" w:rsidRPr="00AC3823" w:rsidRDefault="00373DB5">
      <w:pPr>
        <w:spacing w:line="240" w:lineRule="auto"/>
        <w:rPr>
          <w:sz w:val="2"/>
          <w:szCs w:val="2"/>
        </w:rPr>
      </w:pPr>
    </w:p>
  </w:footnote>
  <w:footnote w:id="2">
    <w:p w14:paraId="51825C0A" w14:textId="77777777" w:rsidR="002C4118" w:rsidRDefault="002C4118" w:rsidP="002C4118">
      <w:pPr>
        <w:pStyle w:val="Notedebasdepage"/>
        <w:rPr>
          <w:lang w:val="fr-FR"/>
        </w:rPr>
      </w:pPr>
      <w:r>
        <w:rPr>
          <w:lang w:val="fr-FR"/>
        </w:rPr>
        <w:tab/>
      </w:r>
      <w:r w:rsidRPr="002C4118">
        <w:rPr>
          <w:sz w:val="20"/>
          <w:lang w:val="fr-FR"/>
        </w:rPr>
        <w:t>*</w:t>
      </w:r>
      <w:r>
        <w:rPr>
          <w:lang w:val="fr-FR"/>
        </w:rPr>
        <w:tab/>
        <w:t>Conformément au programme de travail du Comité des transports intérieurs pour 2025 tel qu’il figure dans le projet de budget-programme pour 2025 (A/79/6 (Sect. 20), tableau 20.6), le Forum mondial a pour mission d’élaborer, d’harmoniser et de mettre à jour les Règlements ONU en vue d’améliorer les caractéristiques fonctionnelles des véhicules. Le présent document est soumis en vertu de ce mandat.</w:t>
      </w:r>
    </w:p>
    <w:p w14:paraId="60FF71F0" w14:textId="77777777" w:rsidR="002C4118" w:rsidRPr="004973C8" w:rsidRDefault="002C4118" w:rsidP="002C4118">
      <w:pPr>
        <w:pStyle w:val="Notedebasdepage"/>
      </w:pPr>
    </w:p>
  </w:footnote>
  <w:footnote w:id="3">
    <w:p w14:paraId="07B6A99D" w14:textId="79BAAA15" w:rsidR="002C4118" w:rsidRPr="007E4ED3" w:rsidRDefault="002C4118" w:rsidP="002C4118">
      <w:pPr>
        <w:pStyle w:val="Notedebasdepage"/>
        <w:rPr>
          <w:strike/>
        </w:rPr>
      </w:pPr>
      <w:r w:rsidRPr="00963855">
        <w:rPr>
          <w:lang w:val="fr-FR"/>
        </w:rPr>
        <w:tab/>
      </w:r>
      <w:r w:rsidRPr="00416F25">
        <w:rPr>
          <w:rStyle w:val="Appelnotedebasdep"/>
        </w:rPr>
        <w:footnoteRef/>
      </w:r>
      <w:r>
        <w:rPr>
          <w:lang w:val="fr-FR"/>
        </w:rPr>
        <w:tab/>
        <w:t xml:space="preserve">Selon les définitions figurant dans la Résolution d’ensemble sur la construction des véhicules (R.E.3) </w:t>
      </w:r>
      <w:r>
        <w:rPr>
          <w:strike/>
          <w:lang w:val="fr-FR"/>
        </w:rPr>
        <w:t>(document ECE/TRANS/WP.29/78/Rev.2, par. 2)</w:t>
      </w:r>
      <w:r>
        <w:rPr>
          <w:lang w:val="fr-FR"/>
        </w:rPr>
        <w:t xml:space="preserve">. </w:t>
      </w:r>
      <w:r>
        <w:rPr>
          <w:strike/>
          <w:lang w:val="fr-FR"/>
        </w:rPr>
        <w:t xml:space="preserve">- </w:t>
      </w:r>
      <w:hyperlink r:id="rId1" w:history="1">
        <w:r w:rsidRPr="00FD43A4">
          <w:rPr>
            <w:rStyle w:val="Lienhypertexte"/>
            <w:strike/>
            <w:lang w:val="fr-FR"/>
          </w:rPr>
          <w:t>www.unece.org/trans/main/wp29/wp29wgs/wp29gen/wp29resolutions.html</w:t>
        </w:r>
      </w:hyperlink>
      <w:r w:rsidR="00FD43A4">
        <w:rPr>
          <w:strike/>
          <w:lang w:val="fr-FR"/>
        </w:rPr>
        <w:t>.</w:t>
      </w:r>
      <w:r>
        <w:rPr>
          <w:lang w:val="fr-FR"/>
        </w:rPr>
        <w:t xml:space="preserve"> </w:t>
      </w:r>
    </w:p>
  </w:footnote>
  <w:footnote w:id="4">
    <w:p w14:paraId="5862D2C5" w14:textId="7DE6396A" w:rsidR="002C4118" w:rsidRPr="00124FB8" w:rsidRDefault="002C4118" w:rsidP="00FD43A4">
      <w:pPr>
        <w:pStyle w:val="Notedebasdepage"/>
      </w:pPr>
      <w:r w:rsidRPr="00963855">
        <w:rPr>
          <w:lang w:val="fr-FR"/>
        </w:rPr>
        <w:tab/>
      </w:r>
      <w:r w:rsidRPr="00416F25">
        <w:rPr>
          <w:rStyle w:val="Appelnotedebasdep"/>
        </w:rPr>
        <w:footnoteRef/>
      </w:r>
      <w:r>
        <w:rPr>
          <w:lang w:val="fr-FR"/>
        </w:rPr>
        <w:tab/>
        <w:t>Le présent Règlement établit des prescriptions applicables aux pneumatiques en tant que composants.  Il ne limite pas leur montage à une catégorie de véhicules en particulier.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C804" w14:textId="4849D9A7" w:rsidR="002C4118" w:rsidRPr="002C4118" w:rsidRDefault="002C4118">
    <w:pPr>
      <w:pStyle w:val="En-tte"/>
    </w:pPr>
    <w:fldSimple w:instr=" TITLE  \* MERGEFORMAT ">
      <w:r>
        <w:t>ECE/TRANS/WP.29/GRBP/2025/10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5B77" w14:textId="2B75AF61" w:rsidR="002C4118" w:rsidRPr="002C4118" w:rsidRDefault="002C4118" w:rsidP="002C4118">
    <w:pPr>
      <w:pStyle w:val="En-tte"/>
      <w:jc w:val="right"/>
    </w:pPr>
    <w:fldSimple w:instr=" TITLE  \* MERGEFORMAT ">
      <w:r>
        <w:t>ECE/TRANS/WP.29/GRBP/2025/10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B5"/>
    <w:rsid w:val="00017F94"/>
    <w:rsid w:val="00023842"/>
    <w:rsid w:val="000334F9"/>
    <w:rsid w:val="00045FEB"/>
    <w:rsid w:val="0007796D"/>
    <w:rsid w:val="000B7790"/>
    <w:rsid w:val="00111F2F"/>
    <w:rsid w:val="0014365E"/>
    <w:rsid w:val="00143C66"/>
    <w:rsid w:val="00176178"/>
    <w:rsid w:val="001772E5"/>
    <w:rsid w:val="001F525A"/>
    <w:rsid w:val="00201148"/>
    <w:rsid w:val="00202F81"/>
    <w:rsid w:val="00223272"/>
    <w:rsid w:val="0024779E"/>
    <w:rsid w:val="00257168"/>
    <w:rsid w:val="002672D9"/>
    <w:rsid w:val="002744B8"/>
    <w:rsid w:val="002832AC"/>
    <w:rsid w:val="002C4118"/>
    <w:rsid w:val="002D7C93"/>
    <w:rsid w:val="00305801"/>
    <w:rsid w:val="00373DB5"/>
    <w:rsid w:val="003916DE"/>
    <w:rsid w:val="00421996"/>
    <w:rsid w:val="00441C3B"/>
    <w:rsid w:val="00446FE5"/>
    <w:rsid w:val="00452396"/>
    <w:rsid w:val="00471A52"/>
    <w:rsid w:val="00477EB2"/>
    <w:rsid w:val="004837D8"/>
    <w:rsid w:val="004E2EED"/>
    <w:rsid w:val="004E468C"/>
    <w:rsid w:val="005505B7"/>
    <w:rsid w:val="00573BE5"/>
    <w:rsid w:val="00586ED3"/>
    <w:rsid w:val="00596AA9"/>
    <w:rsid w:val="00660E98"/>
    <w:rsid w:val="006722DC"/>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18B4"/>
    <w:rsid w:val="00C97039"/>
    <w:rsid w:val="00D3439C"/>
    <w:rsid w:val="00D377B7"/>
    <w:rsid w:val="00D7622E"/>
    <w:rsid w:val="00DB1831"/>
    <w:rsid w:val="00DD3BFD"/>
    <w:rsid w:val="00DF6678"/>
    <w:rsid w:val="00E0299A"/>
    <w:rsid w:val="00E23B96"/>
    <w:rsid w:val="00E85C74"/>
    <w:rsid w:val="00EA6547"/>
    <w:rsid w:val="00ED7237"/>
    <w:rsid w:val="00EE0DB7"/>
    <w:rsid w:val="00EF2E22"/>
    <w:rsid w:val="00F35BAF"/>
    <w:rsid w:val="00F660DF"/>
    <w:rsid w:val="00F94664"/>
    <w:rsid w:val="00F9573C"/>
    <w:rsid w:val="00F95C08"/>
    <w:rsid w:val="00FD43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6AC4"/>
  <w15:docId w15:val="{A35C1963-A21C-48AD-ACE4-FC2C58B3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2C4118"/>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2C4118"/>
    <w:rPr>
      <w:rFonts w:ascii="Times New Roman" w:eastAsiaTheme="minorHAnsi" w:hAnsi="Times New Roman" w:cs="Times New Roman"/>
      <w:sz w:val="20"/>
      <w:szCs w:val="20"/>
      <w:lang w:eastAsia="en-US"/>
    </w:rPr>
  </w:style>
  <w:style w:type="character" w:customStyle="1" w:styleId="HChGChar">
    <w:name w:val="_ H _Ch_G Char"/>
    <w:link w:val="HChG"/>
    <w:rsid w:val="002C4118"/>
    <w:rPr>
      <w:rFonts w:ascii="Times New Roman" w:eastAsiaTheme="minorHAnsi" w:hAnsi="Times New Roman" w:cs="Times New Roman"/>
      <w:b/>
      <w:sz w:val="28"/>
      <w:szCs w:val="20"/>
      <w:lang w:eastAsia="en-US"/>
    </w:rPr>
  </w:style>
  <w:style w:type="paragraph" w:customStyle="1" w:styleId="para">
    <w:name w:val="para"/>
    <w:basedOn w:val="Normal"/>
    <w:link w:val="paraChar"/>
    <w:qFormat/>
    <w:rsid w:val="002C4118"/>
    <w:pPr>
      <w:spacing w:after="120"/>
      <w:ind w:left="2268" w:right="1134" w:hanging="1134"/>
      <w:jc w:val="both"/>
    </w:pPr>
    <w:rPr>
      <w:lang w:val="en-GB"/>
    </w:rPr>
  </w:style>
  <w:style w:type="character" w:customStyle="1" w:styleId="paraChar">
    <w:name w:val="para Char"/>
    <w:link w:val="para"/>
    <w:rsid w:val="002C4118"/>
    <w:rPr>
      <w:rFonts w:ascii="Times New Roman" w:eastAsiaTheme="minorHAnsi" w:hAnsi="Times New Roman" w:cs="Times New Roman"/>
      <w:sz w:val="20"/>
      <w:szCs w:val="20"/>
      <w:lang w:val="en-GB" w:eastAsia="en-US"/>
    </w:rPr>
  </w:style>
  <w:style w:type="character" w:styleId="Mentionnonrsolue">
    <w:name w:val="Unresolved Mention"/>
    <w:basedOn w:val="Policepardfaut"/>
    <w:uiPriority w:val="99"/>
    <w:semiHidden/>
    <w:unhideWhenUsed/>
    <w:rsid w:val="00FD4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file:///\\conf-share1\LS\FRA\COMMON\FINAL\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091293D-C2E1-48D5-8442-632D04860D6B}"/>
</file>

<file path=customXml/itemProps2.xml><?xml version="1.0" encoding="utf-8"?>
<ds:datastoreItem xmlns:ds="http://schemas.openxmlformats.org/officeDocument/2006/customXml" ds:itemID="{4638309A-2FED-4DEE-A169-1F3CA91D6F9F}"/>
</file>

<file path=customXml/itemProps3.xml><?xml version="1.0" encoding="utf-8"?>
<ds:datastoreItem xmlns:ds="http://schemas.openxmlformats.org/officeDocument/2006/customXml" ds:itemID="{FC2F661C-042F-4A2B-ABBF-25B842E313F3}"/>
</file>

<file path=docProps/app.xml><?xml version="1.0" encoding="utf-8"?>
<Properties xmlns="http://schemas.openxmlformats.org/officeDocument/2006/extended-properties" xmlns:vt="http://schemas.openxmlformats.org/officeDocument/2006/docPropsVTypes">
  <Template>ECE_TRANS.dotm</Template>
  <TotalTime>1</TotalTime>
  <Pages>5</Pages>
  <Words>1035</Words>
  <Characters>7245</Characters>
  <Application>Microsoft Office Word</Application>
  <DocSecurity>0</DocSecurity>
  <Lines>603</Lines>
  <Paragraphs>331</Paragraphs>
  <ScaleCrop>false</ScaleCrop>
  <HeadingPairs>
    <vt:vector size="2" baseType="variant">
      <vt:variant>
        <vt:lpstr>Titre</vt:lpstr>
      </vt:variant>
      <vt:variant>
        <vt:i4>1</vt:i4>
      </vt:variant>
    </vt:vector>
  </HeadingPairs>
  <TitlesOfParts>
    <vt:vector size="1" baseType="lpstr">
      <vt:lpstr>ECE/TRANS/WP.29/GRBP/2025/10</vt:lpstr>
    </vt:vector>
  </TitlesOfParts>
  <Company>DCM</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ECE/TRANS/WP.29/GRBP/2025/10</dc:title>
  <dc:subject/>
  <dc:creator>Nathalie VITTOZ</dc:creator>
  <cp:keywords/>
  <cp:lastModifiedBy>Nathalie VITTOZ</cp:lastModifiedBy>
  <cp:revision>2</cp:revision>
  <cp:lastPrinted>2014-05-14T10:59:00Z</cp:lastPrinted>
  <dcterms:created xsi:type="dcterms:W3CDTF">2024-12-06T12:40:00Z</dcterms:created>
  <dcterms:modified xsi:type="dcterms:W3CDTF">2024-12-06T12:40:00Z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