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0875" w14:textId="6DFAAFDF" w:rsidR="00032D32" w:rsidRPr="005D3295" w:rsidRDefault="00B52263" w:rsidP="00032D32">
      <w:pPr>
        <w:pStyle w:val="HChG"/>
        <w:ind w:left="1124" w:right="1138" w:firstLine="0"/>
      </w:pPr>
      <w:r w:rsidRPr="005D3295">
        <w:rPr>
          <w:szCs w:val="28"/>
        </w:rPr>
        <w:tab/>
        <w:t xml:space="preserve">Proposal for </w:t>
      </w:r>
      <w:r w:rsidR="005D3295">
        <w:rPr>
          <w:szCs w:val="28"/>
        </w:rPr>
        <w:t>A</w:t>
      </w:r>
      <w:r w:rsidRPr="005D3295">
        <w:rPr>
          <w:szCs w:val="28"/>
        </w:rPr>
        <w:t>mendments to</w:t>
      </w:r>
      <w:r w:rsidR="00EC0225">
        <w:rPr>
          <w:szCs w:val="28"/>
        </w:rPr>
        <w:t xml:space="preserve"> </w:t>
      </w:r>
      <w:r w:rsidR="00B82C17" w:rsidRPr="00B82C17">
        <w:rPr>
          <w:szCs w:val="28"/>
        </w:rPr>
        <w:t>Supplement 1 to the 06 Series of Amendments to UN Regulation No. 46 (Devices for indirect vision)</w:t>
      </w:r>
      <w:r w:rsidR="00657A57">
        <w:rPr>
          <w:szCs w:val="28"/>
        </w:rPr>
        <w:t xml:space="preserve">, </w:t>
      </w:r>
      <w:r w:rsidR="009D347E" w:rsidRPr="009D347E">
        <w:rPr>
          <w:bCs/>
          <w:szCs w:val="28"/>
        </w:rPr>
        <w:t>ECE/TRANS/WP.29/2024/101</w:t>
      </w:r>
    </w:p>
    <w:p w14:paraId="63C72895" w14:textId="698BF1F7" w:rsidR="00657A57" w:rsidRPr="009528A7" w:rsidRDefault="00032D32" w:rsidP="00657A57">
      <w:pPr>
        <w:pStyle w:val="H1G"/>
        <w:tabs>
          <w:tab w:val="clear" w:pos="851"/>
        </w:tabs>
        <w:ind w:firstLine="567"/>
        <w:rPr>
          <w:rFonts w:asciiTheme="majorBidi" w:hAnsiTheme="majorBidi" w:cstheme="majorBidi"/>
          <w:noProof/>
          <w:vertAlign w:val="superscript"/>
        </w:rPr>
      </w:pPr>
      <w:r w:rsidRPr="005D3295">
        <w:tab/>
      </w:r>
      <w:r w:rsidR="00657A57" w:rsidRPr="009528A7">
        <w:rPr>
          <w:rFonts w:asciiTheme="majorBidi" w:hAnsiTheme="majorBidi" w:cstheme="majorBidi"/>
          <w:noProof/>
        </w:rPr>
        <w:t xml:space="preserve">Submitted by </w:t>
      </w:r>
      <w:r w:rsidR="00657A57" w:rsidRPr="00B16467">
        <w:rPr>
          <w:rFonts w:asciiTheme="majorBidi" w:hAnsiTheme="majorBidi" w:cstheme="majorBidi"/>
          <w:noProof/>
        </w:rPr>
        <w:t>the Working Party on General Safety Provisions</w:t>
      </w:r>
    </w:p>
    <w:p w14:paraId="6A6CC2B4" w14:textId="77777777" w:rsidR="00657A57" w:rsidRPr="00CE714B" w:rsidRDefault="00657A57" w:rsidP="00657A57">
      <w:pPr>
        <w:tabs>
          <w:tab w:val="left" w:pos="8505"/>
        </w:tabs>
        <w:ind w:left="1134" w:right="1134" w:firstLine="567"/>
        <w:jc w:val="both"/>
        <w:rPr>
          <w:rFonts w:asciiTheme="majorBidi" w:hAnsiTheme="majorBidi" w:cstheme="majorBidi"/>
          <w:noProof/>
        </w:rPr>
      </w:pPr>
      <w:r w:rsidRPr="00CE714B">
        <w:rPr>
          <w:rFonts w:asciiTheme="majorBidi" w:hAnsiTheme="majorBidi" w:cstheme="majorBidi"/>
          <w:noProof/>
        </w:rPr>
        <w:t>GRSG adopted, at its 128</w:t>
      </w:r>
      <w:r>
        <w:rPr>
          <w:rFonts w:asciiTheme="majorBidi" w:hAnsiTheme="majorBidi" w:cstheme="majorBidi"/>
          <w:noProof/>
        </w:rPr>
        <w:t>t</w:t>
      </w:r>
      <w:r w:rsidRPr="00CE714B">
        <w:rPr>
          <w:rFonts w:asciiTheme="majorBidi" w:hAnsiTheme="majorBidi" w:cstheme="majorBidi"/>
          <w:noProof/>
        </w:rPr>
        <w:t xml:space="preserve">h session in October 2024, the following modifications to </w:t>
      </w:r>
    </w:p>
    <w:p w14:paraId="697666C7" w14:textId="68A020A0" w:rsidR="00657A57" w:rsidRPr="009528A7" w:rsidRDefault="00657A57" w:rsidP="00657A57">
      <w:pPr>
        <w:pStyle w:val="SingleTxtG"/>
        <w:rPr>
          <w:noProof/>
        </w:rPr>
      </w:pPr>
      <w:r w:rsidRPr="00CE714B">
        <w:rPr>
          <w:noProof/>
        </w:rPr>
        <w:t>ECE/TRANS/WP.29/2024/</w:t>
      </w:r>
      <w:r w:rsidR="00302A70">
        <w:rPr>
          <w:noProof/>
        </w:rPr>
        <w:t>101</w:t>
      </w:r>
      <w:r w:rsidRPr="00CE714B">
        <w:rPr>
          <w:noProof/>
        </w:rPr>
        <w:t xml:space="preserve">. </w:t>
      </w:r>
      <w:r w:rsidRPr="009A0380">
        <w:rPr>
          <w:noProof/>
        </w:rPr>
        <w:t xml:space="preserve">This document is based on </w:t>
      </w:r>
      <w:r w:rsidR="00302A70" w:rsidRPr="00F56399">
        <w:t>GRSG-127-04-Rev.2</w:t>
      </w:r>
      <w:r w:rsidR="00302A70" w:rsidRPr="00F1523C">
        <w:t xml:space="preserve">, as </w:t>
      </w:r>
      <w:r w:rsidR="00302A70">
        <w:t>reproduced</w:t>
      </w:r>
      <w:r w:rsidR="00302A70" w:rsidRPr="00F1523C">
        <w:t xml:space="preserve"> by annex II to the report</w:t>
      </w:r>
      <w:r w:rsidR="00302A70">
        <w:t xml:space="preserve"> and on ECE/TRANS/WP.29/GRSG/2024/21 as amended by para. 12 to the report</w:t>
      </w:r>
      <w:r>
        <w:rPr>
          <w:rFonts w:hint="eastAsia"/>
          <w:noProof/>
          <w:lang w:eastAsia="ja-JP"/>
        </w:rPr>
        <w:t xml:space="preserve"> and </w:t>
      </w:r>
      <w:r w:rsidRPr="00CE714B">
        <w:rPr>
          <w:noProof/>
        </w:rPr>
        <w:t>GRSG recommends that the World Forum for Harmonization of Vehicle Regulations (WP.29) and the Administrative Committee of the 1958 Agreement (AC.1) adopt ECE/TRANS/WP.29/2024/</w:t>
      </w:r>
      <w:r>
        <w:rPr>
          <w:noProof/>
        </w:rPr>
        <w:t>101</w:t>
      </w:r>
      <w:r w:rsidRPr="00CE714B">
        <w:rPr>
          <w:noProof/>
        </w:rPr>
        <w:t xml:space="preserve"> together with the proposals below:</w:t>
      </w:r>
    </w:p>
    <w:p w14:paraId="6F2C889A" w14:textId="77777777" w:rsidR="00572D08" w:rsidRPr="005D3295" w:rsidRDefault="00572D08" w:rsidP="00657A57">
      <w:pPr>
        <w:pStyle w:val="SingleTxtG"/>
        <w:rPr>
          <w:iCs/>
        </w:rPr>
      </w:pPr>
      <w:r w:rsidRPr="00657A57">
        <w:rPr>
          <w:i/>
          <w:iCs/>
        </w:rPr>
        <w:t>Paragraph 16.1.1.4.1.</w:t>
      </w:r>
      <w:r w:rsidRPr="00787BDF">
        <w:t>, amend to read</w:t>
      </w:r>
      <w:r w:rsidRPr="00787BDF">
        <w:rPr>
          <w:iCs/>
        </w:rPr>
        <w:t>:</w:t>
      </w:r>
    </w:p>
    <w:p w14:paraId="1A8176E8" w14:textId="70E53C4C" w:rsidR="00572D08" w:rsidRPr="005D3295" w:rsidRDefault="00214B4E" w:rsidP="00572D08">
      <w:pPr>
        <w:spacing w:after="120"/>
        <w:ind w:left="2268" w:right="1134" w:hanging="1134"/>
        <w:jc w:val="both"/>
      </w:pPr>
      <w:r w:rsidRPr="005D3295">
        <w:t>"</w:t>
      </w:r>
      <w:bookmarkStart w:id="0" w:name="_Hlk171326440"/>
      <w:r w:rsidR="00572D08" w:rsidRPr="005D3295">
        <w:t>16.1.1.4.1.</w:t>
      </w:r>
      <w:bookmarkEnd w:id="0"/>
      <w:r w:rsidR="00572D08" w:rsidRPr="005D3295">
        <w:tab/>
        <w:t xml:space="preserve">The provisions of paragraph 16.1.1.4. do not apply to vehicles, if: </w:t>
      </w:r>
    </w:p>
    <w:p w14:paraId="73BB589A" w14:textId="6C34C749" w:rsidR="00572D08" w:rsidRPr="00657A57" w:rsidRDefault="00572D08" w:rsidP="00572D08">
      <w:pPr>
        <w:tabs>
          <w:tab w:val="left" w:pos="8505"/>
        </w:tabs>
        <w:spacing w:after="120"/>
        <w:ind w:left="2835" w:right="1134" w:hanging="567"/>
        <w:jc w:val="both"/>
      </w:pPr>
      <w:r w:rsidRPr="005D3295">
        <w:t>-</w:t>
      </w:r>
      <w:r w:rsidRPr="005D3295">
        <w:tab/>
        <w:t>they are equipped with a feature specifically to enable the de</w:t>
      </w:r>
      <w:r w:rsidRPr="005D3295">
        <w:rPr>
          <w:b/>
        </w:rPr>
        <w:t>-</w:t>
      </w:r>
      <w:r w:rsidRPr="005D3295">
        <w:t xml:space="preserve">energization of the electrical circuits according to the </w:t>
      </w:r>
      <w:r w:rsidR="00214B4E" w:rsidRPr="005D3295">
        <w:t>"</w:t>
      </w:r>
      <w:r w:rsidRPr="005D3295">
        <w:t>Agreement concerning the International Carriage of Dangerous Goods by Road (ADR)</w:t>
      </w:r>
      <w:r w:rsidR="00214B4E" w:rsidRPr="005D3295">
        <w:t>"</w:t>
      </w:r>
      <w:r w:rsidRPr="005D3295">
        <w:t>;</w:t>
      </w:r>
      <w:r w:rsidRPr="00657A57">
        <w:t xml:space="preserve"> and</w:t>
      </w:r>
    </w:p>
    <w:p w14:paraId="7543003B" w14:textId="77777777" w:rsidR="00572D08" w:rsidRPr="00657A57" w:rsidRDefault="00572D08" w:rsidP="00572D08">
      <w:pPr>
        <w:tabs>
          <w:tab w:val="left" w:pos="8505"/>
        </w:tabs>
        <w:spacing w:after="120"/>
        <w:ind w:left="2835" w:right="1134" w:hanging="567"/>
        <w:jc w:val="both"/>
      </w:pPr>
      <w:r w:rsidRPr="00657A57">
        <w:t>-</w:t>
      </w:r>
      <w:r w:rsidRPr="00657A57">
        <w:tab/>
        <w:t>the de-energization is activated; and</w:t>
      </w:r>
    </w:p>
    <w:p w14:paraId="266CD40B" w14:textId="77777777" w:rsidR="00572D08" w:rsidRPr="00657A57" w:rsidRDefault="00572D08" w:rsidP="00572D08">
      <w:pPr>
        <w:tabs>
          <w:tab w:val="left" w:pos="8505"/>
        </w:tabs>
        <w:spacing w:after="120"/>
        <w:ind w:left="2835" w:right="1134" w:hanging="567"/>
        <w:jc w:val="both"/>
      </w:pPr>
      <w:r w:rsidRPr="00657A57">
        <w:t>-</w:t>
      </w:r>
      <w:r w:rsidRPr="00657A57">
        <w:tab/>
        <w:t xml:space="preserve">they have a control device for the feature to enable the de-energization of the electrical circuits, installed outside of the cabin; and </w:t>
      </w:r>
    </w:p>
    <w:p w14:paraId="40E937F9" w14:textId="0BC5527F" w:rsidR="00572D08" w:rsidRPr="00657A57" w:rsidRDefault="00572D08" w:rsidP="00657A57">
      <w:pPr>
        <w:tabs>
          <w:tab w:val="left" w:pos="8505"/>
        </w:tabs>
        <w:spacing w:after="120"/>
        <w:ind w:left="2835" w:right="1134" w:hanging="567"/>
        <w:jc w:val="both"/>
      </w:pPr>
      <w:r w:rsidRPr="00657A57">
        <w:t>-</w:t>
      </w:r>
      <w:r w:rsidRPr="00657A57">
        <w:tab/>
        <w:t xml:space="preserve">the impact of the activation of the </w:t>
      </w:r>
      <w:r w:rsidR="00D17EED" w:rsidRPr="00657A57">
        <w:t>feature to enable the de-energization of the electrical circuits</w:t>
      </w:r>
      <w:r w:rsidR="00D17EED" w:rsidRPr="00657A57" w:rsidDel="00D17EED">
        <w:t xml:space="preserve"> </w:t>
      </w:r>
      <w:r w:rsidRPr="00657A57">
        <w:t>shall be described in the user’s manual including the advice that the actuation of the control device outside is preferred.</w:t>
      </w:r>
      <w:r w:rsidR="00214B4E" w:rsidRPr="00657A57">
        <w:t>"</w:t>
      </w:r>
    </w:p>
    <w:p w14:paraId="3C69B427" w14:textId="79A95682" w:rsidR="00572D08" w:rsidRPr="005D3295" w:rsidRDefault="00214B4E" w:rsidP="00214B4E">
      <w:pPr>
        <w:spacing w:before="240"/>
        <w:jc w:val="center"/>
        <w:rPr>
          <w:u w:val="single"/>
        </w:rPr>
      </w:pPr>
      <w:r w:rsidRPr="005D3295">
        <w:rPr>
          <w:u w:val="single"/>
        </w:rPr>
        <w:tab/>
      </w:r>
      <w:r w:rsidRPr="005D3295">
        <w:rPr>
          <w:u w:val="single"/>
        </w:rPr>
        <w:tab/>
      </w:r>
      <w:r w:rsidRPr="005D3295">
        <w:rPr>
          <w:u w:val="single"/>
        </w:rPr>
        <w:tab/>
      </w:r>
    </w:p>
    <w:p w14:paraId="5FD774F1" w14:textId="77777777" w:rsidR="001C6663" w:rsidRPr="005D3295" w:rsidRDefault="001C6663" w:rsidP="00595520"/>
    <w:sectPr w:rsidR="001C6663" w:rsidRPr="005D3295" w:rsidSect="005D32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804A" w14:textId="77777777" w:rsidR="008E1D68" w:rsidRDefault="008E1D68"/>
  </w:endnote>
  <w:endnote w:type="continuationSeparator" w:id="0">
    <w:p w14:paraId="4B837F2A" w14:textId="77777777" w:rsidR="008E1D68" w:rsidRDefault="008E1D68"/>
  </w:endnote>
  <w:endnote w:type="continuationNotice" w:id="1">
    <w:p w14:paraId="6A480473" w14:textId="77777777" w:rsidR="008E1D68" w:rsidRDefault="008E1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E5FE" w14:textId="142355C4" w:rsidR="001F5400" w:rsidRDefault="006F1069" w:rsidP="00E52667">
    <w:pPr>
      <w:pStyle w:val="Footer"/>
      <w:tabs>
        <w:tab w:val="right" w:pos="9638"/>
      </w:tabs>
    </w:pPr>
    <w:r w:rsidRPr="006F1069">
      <w:rPr>
        <w:b/>
        <w:sz w:val="18"/>
      </w:rPr>
      <w:fldChar w:fldCharType="begin"/>
    </w:r>
    <w:r w:rsidRPr="006F1069">
      <w:rPr>
        <w:b/>
        <w:sz w:val="18"/>
      </w:rPr>
      <w:instrText xml:space="preserve"> PAGE  \* MERGEFORMAT </w:instrText>
    </w:r>
    <w:r w:rsidRPr="006F1069">
      <w:rPr>
        <w:b/>
        <w:sz w:val="18"/>
      </w:rPr>
      <w:fldChar w:fldCharType="separate"/>
    </w:r>
    <w:r w:rsidRPr="006F1069">
      <w:rPr>
        <w:b/>
        <w:noProof/>
        <w:sz w:val="18"/>
      </w:rPr>
      <w:t>2</w:t>
    </w:r>
    <w:r w:rsidRPr="006F1069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E3E8" w14:textId="090D26B7" w:rsidR="001F5400" w:rsidRDefault="006F1069" w:rsidP="00E52667">
    <w:pPr>
      <w:pStyle w:val="Footer"/>
      <w:tabs>
        <w:tab w:val="right" w:pos="9638"/>
      </w:tabs>
    </w:pPr>
    <w:r>
      <w:tab/>
    </w:r>
    <w:r w:rsidRPr="006F1069">
      <w:rPr>
        <w:b/>
        <w:sz w:val="18"/>
      </w:rPr>
      <w:fldChar w:fldCharType="begin"/>
    </w:r>
    <w:r w:rsidRPr="006F1069">
      <w:rPr>
        <w:b/>
        <w:sz w:val="18"/>
      </w:rPr>
      <w:instrText xml:space="preserve"> PAGE  \* MERGEFORMAT </w:instrText>
    </w:r>
    <w:r w:rsidRPr="006F1069">
      <w:rPr>
        <w:b/>
        <w:sz w:val="18"/>
      </w:rPr>
      <w:fldChar w:fldCharType="separate"/>
    </w:r>
    <w:r w:rsidRPr="006F1069">
      <w:rPr>
        <w:b/>
        <w:noProof/>
        <w:sz w:val="18"/>
      </w:rPr>
      <w:t>3</w:t>
    </w:r>
    <w:r w:rsidRPr="006F106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7AF6" w14:textId="201F9541" w:rsidR="006A5EDA" w:rsidRPr="00657A57" w:rsidRDefault="006A5EDA" w:rsidP="006A5EDA">
    <w:pPr>
      <w:pStyle w:val="Footer"/>
      <w:ind w:right="1134"/>
      <w:rPr>
        <w:sz w:val="20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FEA8" w14:textId="77777777" w:rsidR="008E1D68" w:rsidRPr="000B175B" w:rsidRDefault="008E1D6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41F8C03" w14:textId="77777777" w:rsidR="008E1D68" w:rsidRPr="00FC68B7" w:rsidRDefault="008E1D6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054A7D4" w14:textId="77777777" w:rsidR="008E1D68" w:rsidRDefault="008E1D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7073" w14:textId="559CC4BE" w:rsidR="006F1069" w:rsidRPr="00F158A2" w:rsidRDefault="00F158A2" w:rsidP="00F158A2">
    <w:pPr>
      <w:pStyle w:val="Header"/>
    </w:pPr>
    <w:r w:rsidRPr="00F158A2">
      <w:t>GRSG-128-XX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9BF8" w14:textId="6AFAE463" w:rsidR="006F1069" w:rsidRPr="006F1069" w:rsidRDefault="00482542" w:rsidP="006F1069">
    <w:pPr>
      <w:pStyle w:val="Header"/>
      <w:jc w:val="right"/>
    </w:pPr>
    <w:r>
      <w:t>ECE/TRANS/WP.29/GRSG/2024/40</w:t>
    </w:r>
  </w:p>
  <w:p w14:paraId="7F5D5A1D" w14:textId="77777777" w:rsidR="001F5400" w:rsidRDefault="001F54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5245"/>
    </w:tblGrid>
    <w:tr w:rsidR="00657A57" w:rsidRPr="00DD5F08" w14:paraId="57F3AE0B" w14:textId="77777777" w:rsidTr="00657A57">
      <w:tc>
        <w:tcPr>
          <w:tcW w:w="4253" w:type="dxa"/>
          <w:hideMark/>
        </w:tcPr>
        <w:p w14:paraId="5B8BB6C6" w14:textId="77777777" w:rsidR="00657A57" w:rsidRPr="00DD5F08" w:rsidRDefault="00657A57" w:rsidP="00657A57">
          <w:pP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kern w:val="2"/>
            </w:rPr>
          </w:pPr>
          <w:r w:rsidRPr="00DD5F08">
            <w:rPr>
              <w:rFonts w:eastAsia="Calibri"/>
              <w:kern w:val="2"/>
            </w:rPr>
            <w:t xml:space="preserve">Submitted by </w:t>
          </w:r>
          <w:r w:rsidRPr="00B16467">
            <w:rPr>
              <w:rFonts w:eastAsia="Calibri"/>
              <w:kern w:val="2"/>
            </w:rPr>
            <w:t>the Working Party on General Safety Provisions</w:t>
          </w:r>
        </w:p>
      </w:tc>
      <w:tc>
        <w:tcPr>
          <w:tcW w:w="5245" w:type="dxa"/>
          <w:hideMark/>
        </w:tcPr>
        <w:p w14:paraId="19EFC424" w14:textId="46C05E42" w:rsidR="00657A57" w:rsidRPr="00B05F09" w:rsidRDefault="00657A57" w:rsidP="00302A70">
          <w:pPr>
            <w:spacing w:line="240" w:lineRule="auto"/>
            <w:ind w:left="1594"/>
            <w:jc w:val="right"/>
            <w:rPr>
              <w:rFonts w:eastAsia="Calibri"/>
              <w:b/>
              <w:bCs/>
              <w:kern w:val="2"/>
            </w:rPr>
          </w:pPr>
          <w:r w:rsidRPr="00B05F09">
            <w:rPr>
              <w:rFonts w:eastAsia="Calibri"/>
              <w:kern w:val="2"/>
              <w:u w:val="single"/>
            </w:rPr>
            <w:t xml:space="preserve">Informal document </w:t>
          </w:r>
          <w:r w:rsidRPr="00B05F09">
            <w:rPr>
              <w:rFonts w:eastAsia="Calibri"/>
              <w:b/>
              <w:bCs/>
              <w:kern w:val="2"/>
            </w:rPr>
            <w:t>GRSG-1</w:t>
          </w:r>
          <w:r w:rsidRPr="00B05F09">
            <w:rPr>
              <w:rFonts w:eastAsia="Calibri" w:hint="eastAsia"/>
              <w:b/>
              <w:bCs/>
              <w:kern w:val="2"/>
            </w:rPr>
            <w:t>94</w:t>
          </w:r>
          <w:r w:rsidRPr="00B05F09">
            <w:rPr>
              <w:rFonts w:eastAsia="Calibri"/>
              <w:b/>
              <w:bCs/>
              <w:kern w:val="2"/>
            </w:rPr>
            <w:t>-1</w:t>
          </w:r>
          <w:r>
            <w:rPr>
              <w:rFonts w:eastAsia="Calibri"/>
              <w:b/>
              <w:bCs/>
              <w:kern w:val="2"/>
            </w:rPr>
            <w:t>2</w:t>
          </w:r>
          <w:r w:rsidR="00302A70">
            <w:rPr>
              <w:rFonts w:eastAsia="Calibri"/>
              <w:b/>
              <w:bCs/>
              <w:kern w:val="2"/>
            </w:rPr>
            <w:t>-Rev.1</w:t>
          </w:r>
        </w:p>
        <w:p w14:paraId="1E44565F" w14:textId="77777777" w:rsidR="00657A57" w:rsidRPr="00B05F09" w:rsidRDefault="00657A57" w:rsidP="00657A57">
          <w:pPr>
            <w:tabs>
              <w:tab w:val="right" w:pos="9072"/>
            </w:tabs>
            <w:spacing w:line="240" w:lineRule="auto"/>
            <w:ind w:left="1735" w:right="-111"/>
            <w:jc w:val="right"/>
            <w:rPr>
              <w:rFonts w:eastAsia="Calibri"/>
              <w:kern w:val="2"/>
            </w:rPr>
          </w:pPr>
          <w:r w:rsidRPr="00B05F09">
            <w:rPr>
              <w:rFonts w:eastAsia="Calibri"/>
              <w:kern w:val="2"/>
            </w:rPr>
            <w:t>(1</w:t>
          </w:r>
          <w:r w:rsidRPr="00B05F09">
            <w:rPr>
              <w:rFonts w:eastAsia="Calibri" w:hint="eastAsia"/>
              <w:kern w:val="2"/>
            </w:rPr>
            <w:t>94th WP.29</w:t>
          </w:r>
          <w:r w:rsidRPr="00B05F09">
            <w:rPr>
              <w:rFonts w:eastAsia="Calibri"/>
              <w:kern w:val="2"/>
            </w:rPr>
            <w:t xml:space="preserve">, </w:t>
          </w:r>
          <w:r w:rsidRPr="00B05F09">
            <w:rPr>
              <w:rFonts w:eastAsia="Calibri" w:hint="eastAsia"/>
              <w:kern w:val="2"/>
            </w:rPr>
            <w:t>12</w:t>
          </w:r>
          <w:r w:rsidRPr="00B05F09">
            <w:rPr>
              <w:rFonts w:eastAsia="Calibri"/>
              <w:kern w:val="2"/>
            </w:rPr>
            <w:t>–</w:t>
          </w:r>
          <w:r w:rsidRPr="00B05F09">
            <w:rPr>
              <w:rFonts w:eastAsia="Calibri" w:hint="eastAsia"/>
              <w:kern w:val="2"/>
            </w:rPr>
            <w:t>15</w:t>
          </w:r>
          <w:r w:rsidRPr="00B05F09">
            <w:rPr>
              <w:rFonts w:eastAsia="Calibri"/>
              <w:kern w:val="2"/>
            </w:rPr>
            <w:t xml:space="preserve"> November 2024</w:t>
          </w:r>
        </w:p>
        <w:p w14:paraId="3EB24451" w14:textId="5051331D" w:rsidR="00657A57" w:rsidRPr="00514A02" w:rsidRDefault="00657A57" w:rsidP="00657A57">
          <w:pPr>
            <w:tabs>
              <w:tab w:val="center" w:pos="4536"/>
              <w:tab w:val="right" w:pos="9072"/>
            </w:tabs>
            <w:spacing w:line="240" w:lineRule="auto"/>
            <w:ind w:left="1735"/>
            <w:jc w:val="right"/>
            <w:rPr>
              <w:b/>
              <w:bCs/>
              <w:kern w:val="2"/>
              <w:lang w:eastAsia="ja-JP"/>
            </w:rPr>
          </w:pPr>
          <w:r w:rsidRPr="00B05F09">
            <w:rPr>
              <w:rFonts w:eastAsia="Calibri"/>
              <w:kern w:val="2"/>
            </w:rPr>
            <w:t>Agenda item 4</w:t>
          </w:r>
          <w:r w:rsidRPr="00B05F09">
            <w:rPr>
              <w:rFonts w:eastAsia="Calibri" w:hint="eastAsia"/>
              <w:kern w:val="2"/>
            </w:rPr>
            <w:t>.7.</w:t>
          </w:r>
          <w:r>
            <w:rPr>
              <w:rFonts w:eastAsia="Calibri"/>
              <w:kern w:val="2"/>
            </w:rPr>
            <w:t>5</w:t>
          </w:r>
          <w:r w:rsidR="00564B81">
            <w:rPr>
              <w:rFonts w:eastAsia="Calibri"/>
              <w:kern w:val="2"/>
            </w:rPr>
            <w:t>.</w:t>
          </w:r>
          <w:r w:rsidRPr="00B05F09">
            <w:rPr>
              <w:rFonts w:hint="eastAsia"/>
              <w:kern w:val="2"/>
              <w:lang w:eastAsia="ja-JP"/>
            </w:rPr>
            <w:t>)</w:t>
          </w:r>
        </w:p>
      </w:tc>
    </w:tr>
  </w:tbl>
  <w:p w14:paraId="28CA7F1B" w14:textId="77777777" w:rsidR="00026C00" w:rsidRPr="00E70A7B" w:rsidRDefault="00026C00" w:rsidP="00D531C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8416724"/>
    <w:multiLevelType w:val="hybridMultilevel"/>
    <w:tmpl w:val="44D62D4C"/>
    <w:lvl w:ilvl="0" w:tplc="23A03108">
      <w:start w:val="1"/>
      <w:numFmt w:val="decimal"/>
      <w:lvlText w:val="%1)"/>
      <w:lvlJc w:val="left"/>
      <w:pPr>
        <w:ind w:left="1080" w:hanging="360"/>
      </w:pPr>
    </w:lvl>
    <w:lvl w:ilvl="1" w:tplc="8BFE0E50">
      <w:start w:val="1"/>
      <w:numFmt w:val="decimal"/>
      <w:lvlText w:val="%2)"/>
      <w:lvlJc w:val="left"/>
      <w:pPr>
        <w:ind w:left="1080" w:hanging="360"/>
      </w:pPr>
    </w:lvl>
    <w:lvl w:ilvl="2" w:tplc="99249D38">
      <w:start w:val="1"/>
      <w:numFmt w:val="decimal"/>
      <w:lvlText w:val="%3)"/>
      <w:lvlJc w:val="left"/>
      <w:pPr>
        <w:ind w:left="1080" w:hanging="360"/>
      </w:pPr>
    </w:lvl>
    <w:lvl w:ilvl="3" w:tplc="04F0EA66">
      <w:start w:val="1"/>
      <w:numFmt w:val="decimal"/>
      <w:lvlText w:val="%4)"/>
      <w:lvlJc w:val="left"/>
      <w:pPr>
        <w:ind w:left="1080" w:hanging="360"/>
      </w:pPr>
    </w:lvl>
    <w:lvl w:ilvl="4" w:tplc="D930C430">
      <w:start w:val="1"/>
      <w:numFmt w:val="decimal"/>
      <w:lvlText w:val="%5)"/>
      <w:lvlJc w:val="left"/>
      <w:pPr>
        <w:ind w:left="1080" w:hanging="360"/>
      </w:pPr>
    </w:lvl>
    <w:lvl w:ilvl="5" w:tplc="22A8D946">
      <w:start w:val="1"/>
      <w:numFmt w:val="decimal"/>
      <w:lvlText w:val="%6)"/>
      <w:lvlJc w:val="left"/>
      <w:pPr>
        <w:ind w:left="1080" w:hanging="360"/>
      </w:pPr>
    </w:lvl>
    <w:lvl w:ilvl="6" w:tplc="0668032C">
      <w:start w:val="1"/>
      <w:numFmt w:val="decimal"/>
      <w:lvlText w:val="%7)"/>
      <w:lvlJc w:val="left"/>
      <w:pPr>
        <w:ind w:left="1080" w:hanging="360"/>
      </w:pPr>
    </w:lvl>
    <w:lvl w:ilvl="7" w:tplc="184EB1C8">
      <w:start w:val="1"/>
      <w:numFmt w:val="decimal"/>
      <w:lvlText w:val="%8)"/>
      <w:lvlJc w:val="left"/>
      <w:pPr>
        <w:ind w:left="1080" w:hanging="360"/>
      </w:pPr>
    </w:lvl>
    <w:lvl w:ilvl="8" w:tplc="DCF899D4">
      <w:start w:val="1"/>
      <w:numFmt w:val="decimal"/>
      <w:lvlText w:val="%9)"/>
      <w:lvlJc w:val="left"/>
      <w:pPr>
        <w:ind w:left="1080" w:hanging="360"/>
      </w:pPr>
    </w:lvl>
  </w:abstractNum>
  <w:abstractNum w:abstractNumId="18" w15:restartNumberingAfterBreak="0">
    <w:nsid w:val="648A3F90"/>
    <w:multiLevelType w:val="hybridMultilevel"/>
    <w:tmpl w:val="1520DD28"/>
    <w:lvl w:ilvl="0" w:tplc="CD0853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38A"/>
    <w:multiLevelType w:val="hybridMultilevel"/>
    <w:tmpl w:val="61162190"/>
    <w:lvl w:ilvl="0" w:tplc="0407000F">
      <w:start w:val="1"/>
      <w:numFmt w:val="decimal"/>
      <w:lvlText w:val="%1."/>
      <w:lvlJc w:val="left"/>
      <w:pPr>
        <w:ind w:left="1854" w:hanging="360"/>
      </w:pPr>
    </w:lvl>
    <w:lvl w:ilvl="1" w:tplc="04070019">
      <w:start w:val="1"/>
      <w:numFmt w:val="lowerLetter"/>
      <w:lvlText w:val="%2."/>
      <w:lvlJc w:val="left"/>
      <w:pPr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401803603">
    <w:abstractNumId w:val="1"/>
  </w:num>
  <w:num w:numId="2" w16cid:durableId="365906420">
    <w:abstractNumId w:val="0"/>
  </w:num>
  <w:num w:numId="3" w16cid:durableId="1940526240">
    <w:abstractNumId w:val="2"/>
  </w:num>
  <w:num w:numId="4" w16cid:durableId="450174056">
    <w:abstractNumId w:val="3"/>
  </w:num>
  <w:num w:numId="5" w16cid:durableId="42873933">
    <w:abstractNumId w:val="8"/>
  </w:num>
  <w:num w:numId="6" w16cid:durableId="983394968">
    <w:abstractNumId w:val="9"/>
  </w:num>
  <w:num w:numId="7" w16cid:durableId="327829487">
    <w:abstractNumId w:val="7"/>
  </w:num>
  <w:num w:numId="8" w16cid:durableId="1824006183">
    <w:abstractNumId w:val="6"/>
  </w:num>
  <w:num w:numId="9" w16cid:durableId="1908879186">
    <w:abstractNumId w:val="5"/>
  </w:num>
  <w:num w:numId="10" w16cid:durableId="1495339073">
    <w:abstractNumId w:val="4"/>
  </w:num>
  <w:num w:numId="11" w16cid:durableId="1767841358">
    <w:abstractNumId w:val="15"/>
  </w:num>
  <w:num w:numId="12" w16cid:durableId="786697716">
    <w:abstractNumId w:val="14"/>
  </w:num>
  <w:num w:numId="13" w16cid:durableId="109784993">
    <w:abstractNumId w:val="10"/>
  </w:num>
  <w:num w:numId="14" w16cid:durableId="883564511">
    <w:abstractNumId w:val="12"/>
  </w:num>
  <w:num w:numId="15" w16cid:durableId="20673491">
    <w:abstractNumId w:val="16"/>
  </w:num>
  <w:num w:numId="16" w16cid:durableId="455950833">
    <w:abstractNumId w:val="13"/>
  </w:num>
  <w:num w:numId="17" w16cid:durableId="1724332828">
    <w:abstractNumId w:val="19"/>
  </w:num>
  <w:num w:numId="18" w16cid:durableId="663629173">
    <w:abstractNumId w:val="20"/>
  </w:num>
  <w:num w:numId="19" w16cid:durableId="178854138">
    <w:abstractNumId w:val="11"/>
  </w:num>
  <w:num w:numId="20" w16cid:durableId="548298037">
    <w:abstractNumId w:val="21"/>
  </w:num>
  <w:num w:numId="21" w16cid:durableId="1828665416">
    <w:abstractNumId w:val="17"/>
  </w:num>
  <w:num w:numId="22" w16cid:durableId="106148933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69"/>
    <w:rsid w:val="00002A7D"/>
    <w:rsid w:val="000038A8"/>
    <w:rsid w:val="00005DF3"/>
    <w:rsid w:val="00006790"/>
    <w:rsid w:val="00013BB4"/>
    <w:rsid w:val="0001660E"/>
    <w:rsid w:val="0002570F"/>
    <w:rsid w:val="00026C00"/>
    <w:rsid w:val="00027624"/>
    <w:rsid w:val="00032D32"/>
    <w:rsid w:val="00035EB5"/>
    <w:rsid w:val="00040994"/>
    <w:rsid w:val="00050F6B"/>
    <w:rsid w:val="00061498"/>
    <w:rsid w:val="00063711"/>
    <w:rsid w:val="00063D1C"/>
    <w:rsid w:val="000678CD"/>
    <w:rsid w:val="00067DDB"/>
    <w:rsid w:val="00072C8C"/>
    <w:rsid w:val="000802FA"/>
    <w:rsid w:val="00081CE0"/>
    <w:rsid w:val="00084D30"/>
    <w:rsid w:val="00090320"/>
    <w:rsid w:val="000931C0"/>
    <w:rsid w:val="00094F5F"/>
    <w:rsid w:val="00097003"/>
    <w:rsid w:val="00097A69"/>
    <w:rsid w:val="000A2E09"/>
    <w:rsid w:val="000B0679"/>
    <w:rsid w:val="000B175B"/>
    <w:rsid w:val="000B3A0F"/>
    <w:rsid w:val="000D10AF"/>
    <w:rsid w:val="000E0415"/>
    <w:rsid w:val="000E6892"/>
    <w:rsid w:val="000F7715"/>
    <w:rsid w:val="001405C4"/>
    <w:rsid w:val="00140C5C"/>
    <w:rsid w:val="0014409A"/>
    <w:rsid w:val="001564BB"/>
    <w:rsid w:val="0015696E"/>
    <w:rsid w:val="00156B99"/>
    <w:rsid w:val="0015746B"/>
    <w:rsid w:val="001576F5"/>
    <w:rsid w:val="00161984"/>
    <w:rsid w:val="00166124"/>
    <w:rsid w:val="001766B7"/>
    <w:rsid w:val="00184DDA"/>
    <w:rsid w:val="001900CD"/>
    <w:rsid w:val="001A0452"/>
    <w:rsid w:val="001A2071"/>
    <w:rsid w:val="001A31C8"/>
    <w:rsid w:val="001B0F7D"/>
    <w:rsid w:val="001B4B04"/>
    <w:rsid w:val="001B5875"/>
    <w:rsid w:val="001C4B9C"/>
    <w:rsid w:val="001C6663"/>
    <w:rsid w:val="001C6C54"/>
    <w:rsid w:val="001C7895"/>
    <w:rsid w:val="001D24FF"/>
    <w:rsid w:val="001D26DF"/>
    <w:rsid w:val="001D42CB"/>
    <w:rsid w:val="001E5F42"/>
    <w:rsid w:val="001F1599"/>
    <w:rsid w:val="001F19C4"/>
    <w:rsid w:val="001F5400"/>
    <w:rsid w:val="00203EFC"/>
    <w:rsid w:val="002043F0"/>
    <w:rsid w:val="00211E0B"/>
    <w:rsid w:val="00214B4E"/>
    <w:rsid w:val="00217FB1"/>
    <w:rsid w:val="00232575"/>
    <w:rsid w:val="002364DD"/>
    <w:rsid w:val="00245083"/>
    <w:rsid w:val="00247258"/>
    <w:rsid w:val="00252DF5"/>
    <w:rsid w:val="00255A84"/>
    <w:rsid w:val="00257CAC"/>
    <w:rsid w:val="00261098"/>
    <w:rsid w:val="0027237A"/>
    <w:rsid w:val="00275EEE"/>
    <w:rsid w:val="002974E9"/>
    <w:rsid w:val="002A306B"/>
    <w:rsid w:val="002A3FEE"/>
    <w:rsid w:val="002A4497"/>
    <w:rsid w:val="002A7F94"/>
    <w:rsid w:val="002B109A"/>
    <w:rsid w:val="002B4BAC"/>
    <w:rsid w:val="002B4EC2"/>
    <w:rsid w:val="002C66E0"/>
    <w:rsid w:val="002C6D45"/>
    <w:rsid w:val="002D6E53"/>
    <w:rsid w:val="002E4C85"/>
    <w:rsid w:val="002F046D"/>
    <w:rsid w:val="002F3023"/>
    <w:rsid w:val="002F464F"/>
    <w:rsid w:val="002F6BC3"/>
    <w:rsid w:val="00301764"/>
    <w:rsid w:val="00302A70"/>
    <w:rsid w:val="003229D8"/>
    <w:rsid w:val="00322FC4"/>
    <w:rsid w:val="0032701F"/>
    <w:rsid w:val="0032788C"/>
    <w:rsid w:val="003307DF"/>
    <w:rsid w:val="003345D5"/>
    <w:rsid w:val="00336C97"/>
    <w:rsid w:val="00337F88"/>
    <w:rsid w:val="0034116E"/>
    <w:rsid w:val="00342432"/>
    <w:rsid w:val="00347C10"/>
    <w:rsid w:val="0035223F"/>
    <w:rsid w:val="0035294E"/>
    <w:rsid w:val="00352D4B"/>
    <w:rsid w:val="003551CD"/>
    <w:rsid w:val="0035638C"/>
    <w:rsid w:val="003848F4"/>
    <w:rsid w:val="00387475"/>
    <w:rsid w:val="00390A56"/>
    <w:rsid w:val="00394646"/>
    <w:rsid w:val="003A4247"/>
    <w:rsid w:val="003A46BB"/>
    <w:rsid w:val="003A4EC7"/>
    <w:rsid w:val="003A7295"/>
    <w:rsid w:val="003B054F"/>
    <w:rsid w:val="003B1F60"/>
    <w:rsid w:val="003C2CC4"/>
    <w:rsid w:val="003D4B23"/>
    <w:rsid w:val="003E278A"/>
    <w:rsid w:val="00400EDE"/>
    <w:rsid w:val="00413520"/>
    <w:rsid w:val="00414AC9"/>
    <w:rsid w:val="004325CB"/>
    <w:rsid w:val="00440A07"/>
    <w:rsid w:val="00447939"/>
    <w:rsid w:val="0045096E"/>
    <w:rsid w:val="00460412"/>
    <w:rsid w:val="00462722"/>
    <w:rsid w:val="00462880"/>
    <w:rsid w:val="00476F24"/>
    <w:rsid w:val="00482542"/>
    <w:rsid w:val="004A5D33"/>
    <w:rsid w:val="004B4E03"/>
    <w:rsid w:val="004C55B0"/>
    <w:rsid w:val="004F6BA0"/>
    <w:rsid w:val="00503066"/>
    <w:rsid w:val="00503BEA"/>
    <w:rsid w:val="00504836"/>
    <w:rsid w:val="005142D9"/>
    <w:rsid w:val="00533616"/>
    <w:rsid w:val="00535ABA"/>
    <w:rsid w:val="0053768B"/>
    <w:rsid w:val="005420F2"/>
    <w:rsid w:val="0054285C"/>
    <w:rsid w:val="00555D5C"/>
    <w:rsid w:val="00564B81"/>
    <w:rsid w:val="0056775E"/>
    <w:rsid w:val="00572D08"/>
    <w:rsid w:val="00580A55"/>
    <w:rsid w:val="00584173"/>
    <w:rsid w:val="00585FFB"/>
    <w:rsid w:val="00595520"/>
    <w:rsid w:val="005A44B9"/>
    <w:rsid w:val="005B1BA0"/>
    <w:rsid w:val="005B3DB3"/>
    <w:rsid w:val="005C0268"/>
    <w:rsid w:val="005D15CA"/>
    <w:rsid w:val="005D166B"/>
    <w:rsid w:val="005D3295"/>
    <w:rsid w:val="005E7FE1"/>
    <w:rsid w:val="005F08DF"/>
    <w:rsid w:val="005F3066"/>
    <w:rsid w:val="005F3E61"/>
    <w:rsid w:val="006016C5"/>
    <w:rsid w:val="00604DDD"/>
    <w:rsid w:val="006107D6"/>
    <w:rsid w:val="006115CC"/>
    <w:rsid w:val="00611FC4"/>
    <w:rsid w:val="006176FB"/>
    <w:rsid w:val="00630FCB"/>
    <w:rsid w:val="00640B26"/>
    <w:rsid w:val="00641648"/>
    <w:rsid w:val="00646961"/>
    <w:rsid w:val="006500C8"/>
    <w:rsid w:val="0065766B"/>
    <w:rsid w:val="00657A57"/>
    <w:rsid w:val="00657FD3"/>
    <w:rsid w:val="00662BEA"/>
    <w:rsid w:val="0067278D"/>
    <w:rsid w:val="006770B2"/>
    <w:rsid w:val="006857D8"/>
    <w:rsid w:val="00686A48"/>
    <w:rsid w:val="0068763C"/>
    <w:rsid w:val="006926D6"/>
    <w:rsid w:val="006940E1"/>
    <w:rsid w:val="00695432"/>
    <w:rsid w:val="006970F7"/>
    <w:rsid w:val="006A3C72"/>
    <w:rsid w:val="006A3D16"/>
    <w:rsid w:val="006A5EDA"/>
    <w:rsid w:val="006A7392"/>
    <w:rsid w:val="006B03A1"/>
    <w:rsid w:val="006B3450"/>
    <w:rsid w:val="006B67D9"/>
    <w:rsid w:val="006C5535"/>
    <w:rsid w:val="006D0589"/>
    <w:rsid w:val="006E564B"/>
    <w:rsid w:val="006E7154"/>
    <w:rsid w:val="006F1069"/>
    <w:rsid w:val="007003CD"/>
    <w:rsid w:val="0070701E"/>
    <w:rsid w:val="00717CF5"/>
    <w:rsid w:val="0072618C"/>
    <w:rsid w:val="0072632A"/>
    <w:rsid w:val="00727AE3"/>
    <w:rsid w:val="00731F8F"/>
    <w:rsid w:val="00732BC7"/>
    <w:rsid w:val="007358E8"/>
    <w:rsid w:val="007359AE"/>
    <w:rsid w:val="00736ECE"/>
    <w:rsid w:val="0074533B"/>
    <w:rsid w:val="0074725F"/>
    <w:rsid w:val="00753891"/>
    <w:rsid w:val="0075722D"/>
    <w:rsid w:val="007643BC"/>
    <w:rsid w:val="00765565"/>
    <w:rsid w:val="00772834"/>
    <w:rsid w:val="00780C68"/>
    <w:rsid w:val="00787BDF"/>
    <w:rsid w:val="007959FE"/>
    <w:rsid w:val="007A0CF1"/>
    <w:rsid w:val="007B0841"/>
    <w:rsid w:val="007B6BA5"/>
    <w:rsid w:val="007C0620"/>
    <w:rsid w:val="007C3390"/>
    <w:rsid w:val="007C42D8"/>
    <w:rsid w:val="007C4F4B"/>
    <w:rsid w:val="007D28CC"/>
    <w:rsid w:val="007D6F65"/>
    <w:rsid w:val="007D7362"/>
    <w:rsid w:val="007D7BCB"/>
    <w:rsid w:val="007E32B6"/>
    <w:rsid w:val="007F5CE2"/>
    <w:rsid w:val="007F6611"/>
    <w:rsid w:val="00810BAC"/>
    <w:rsid w:val="00814C29"/>
    <w:rsid w:val="008161D7"/>
    <w:rsid w:val="008175E9"/>
    <w:rsid w:val="00820B18"/>
    <w:rsid w:val="008242D7"/>
    <w:rsid w:val="0082577B"/>
    <w:rsid w:val="00825CB5"/>
    <w:rsid w:val="008522A9"/>
    <w:rsid w:val="008541D0"/>
    <w:rsid w:val="00863F08"/>
    <w:rsid w:val="00864B3B"/>
    <w:rsid w:val="00866893"/>
    <w:rsid w:val="00866F02"/>
    <w:rsid w:val="00867D18"/>
    <w:rsid w:val="00871F9A"/>
    <w:rsid w:val="00871FD5"/>
    <w:rsid w:val="0088172E"/>
    <w:rsid w:val="00881EFA"/>
    <w:rsid w:val="008879CB"/>
    <w:rsid w:val="0089076D"/>
    <w:rsid w:val="00892C67"/>
    <w:rsid w:val="00896490"/>
    <w:rsid w:val="008979B1"/>
    <w:rsid w:val="008A6B25"/>
    <w:rsid w:val="008A6C4F"/>
    <w:rsid w:val="008A6FBC"/>
    <w:rsid w:val="008B2095"/>
    <w:rsid w:val="008B389E"/>
    <w:rsid w:val="008D045E"/>
    <w:rsid w:val="008D3065"/>
    <w:rsid w:val="008D3F25"/>
    <w:rsid w:val="008D4D82"/>
    <w:rsid w:val="008E0E46"/>
    <w:rsid w:val="008E1D68"/>
    <w:rsid w:val="008E7116"/>
    <w:rsid w:val="008F1046"/>
    <w:rsid w:val="008F143B"/>
    <w:rsid w:val="008F3882"/>
    <w:rsid w:val="008F4B7C"/>
    <w:rsid w:val="008F6729"/>
    <w:rsid w:val="00902306"/>
    <w:rsid w:val="0091725C"/>
    <w:rsid w:val="0092556A"/>
    <w:rsid w:val="0092580E"/>
    <w:rsid w:val="00926E47"/>
    <w:rsid w:val="00947162"/>
    <w:rsid w:val="009561E0"/>
    <w:rsid w:val="009610D0"/>
    <w:rsid w:val="0096375C"/>
    <w:rsid w:val="009662E6"/>
    <w:rsid w:val="0097095E"/>
    <w:rsid w:val="0097152B"/>
    <w:rsid w:val="0098592B"/>
    <w:rsid w:val="00985FC4"/>
    <w:rsid w:val="00990766"/>
    <w:rsid w:val="00991261"/>
    <w:rsid w:val="009964C4"/>
    <w:rsid w:val="009A4174"/>
    <w:rsid w:val="009A6E11"/>
    <w:rsid w:val="009A7B81"/>
    <w:rsid w:val="009B011B"/>
    <w:rsid w:val="009B7EB7"/>
    <w:rsid w:val="009C1504"/>
    <w:rsid w:val="009D01C0"/>
    <w:rsid w:val="009D347E"/>
    <w:rsid w:val="009D6A08"/>
    <w:rsid w:val="009E0A16"/>
    <w:rsid w:val="009E6CB7"/>
    <w:rsid w:val="009E7970"/>
    <w:rsid w:val="009F0AD4"/>
    <w:rsid w:val="009F2EAC"/>
    <w:rsid w:val="009F50AC"/>
    <w:rsid w:val="009F57E3"/>
    <w:rsid w:val="00A039D4"/>
    <w:rsid w:val="00A06E3D"/>
    <w:rsid w:val="00A077A2"/>
    <w:rsid w:val="00A10F4F"/>
    <w:rsid w:val="00A11067"/>
    <w:rsid w:val="00A11941"/>
    <w:rsid w:val="00A1704A"/>
    <w:rsid w:val="00A256F1"/>
    <w:rsid w:val="00A36AC2"/>
    <w:rsid w:val="00A425EB"/>
    <w:rsid w:val="00A57B61"/>
    <w:rsid w:val="00A638A5"/>
    <w:rsid w:val="00A67CEC"/>
    <w:rsid w:val="00A72F22"/>
    <w:rsid w:val="00A733BC"/>
    <w:rsid w:val="00A748A6"/>
    <w:rsid w:val="00A76A69"/>
    <w:rsid w:val="00A879A4"/>
    <w:rsid w:val="00A91A65"/>
    <w:rsid w:val="00AA0FF8"/>
    <w:rsid w:val="00AC0F2C"/>
    <w:rsid w:val="00AC502A"/>
    <w:rsid w:val="00AD507D"/>
    <w:rsid w:val="00AE184E"/>
    <w:rsid w:val="00AE1E26"/>
    <w:rsid w:val="00AF25F1"/>
    <w:rsid w:val="00AF3011"/>
    <w:rsid w:val="00AF58C1"/>
    <w:rsid w:val="00B02BE8"/>
    <w:rsid w:val="00B03A9D"/>
    <w:rsid w:val="00B04A3F"/>
    <w:rsid w:val="00B05DA4"/>
    <w:rsid w:val="00B06643"/>
    <w:rsid w:val="00B15055"/>
    <w:rsid w:val="00B20551"/>
    <w:rsid w:val="00B215E7"/>
    <w:rsid w:val="00B30179"/>
    <w:rsid w:val="00B31E0B"/>
    <w:rsid w:val="00B33FC7"/>
    <w:rsid w:val="00B37B15"/>
    <w:rsid w:val="00B4162A"/>
    <w:rsid w:val="00B45C02"/>
    <w:rsid w:val="00B5045D"/>
    <w:rsid w:val="00B52263"/>
    <w:rsid w:val="00B63795"/>
    <w:rsid w:val="00B70484"/>
    <w:rsid w:val="00B70B63"/>
    <w:rsid w:val="00B72A1E"/>
    <w:rsid w:val="00B76FC6"/>
    <w:rsid w:val="00B81E12"/>
    <w:rsid w:val="00B82C17"/>
    <w:rsid w:val="00B86AF6"/>
    <w:rsid w:val="00B9105D"/>
    <w:rsid w:val="00BA2DE6"/>
    <w:rsid w:val="00BA339B"/>
    <w:rsid w:val="00BB23CC"/>
    <w:rsid w:val="00BB5AD4"/>
    <w:rsid w:val="00BC1E7E"/>
    <w:rsid w:val="00BC4BE6"/>
    <w:rsid w:val="00BC74E9"/>
    <w:rsid w:val="00BD116F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BF5A54"/>
    <w:rsid w:val="00BF66C8"/>
    <w:rsid w:val="00C044E2"/>
    <w:rsid w:val="00C048CB"/>
    <w:rsid w:val="00C066F3"/>
    <w:rsid w:val="00C161D2"/>
    <w:rsid w:val="00C21B2F"/>
    <w:rsid w:val="00C22ED5"/>
    <w:rsid w:val="00C463DD"/>
    <w:rsid w:val="00C600A9"/>
    <w:rsid w:val="00C745C3"/>
    <w:rsid w:val="00C753FA"/>
    <w:rsid w:val="00C75F75"/>
    <w:rsid w:val="00C978F5"/>
    <w:rsid w:val="00CA24A4"/>
    <w:rsid w:val="00CA5112"/>
    <w:rsid w:val="00CB348D"/>
    <w:rsid w:val="00CB49CE"/>
    <w:rsid w:val="00CB66E1"/>
    <w:rsid w:val="00CC4B63"/>
    <w:rsid w:val="00CD044F"/>
    <w:rsid w:val="00CD28A8"/>
    <w:rsid w:val="00CD46F5"/>
    <w:rsid w:val="00CE4A8F"/>
    <w:rsid w:val="00CF071D"/>
    <w:rsid w:val="00CF3259"/>
    <w:rsid w:val="00D0123D"/>
    <w:rsid w:val="00D15B04"/>
    <w:rsid w:val="00D17EED"/>
    <w:rsid w:val="00D2031B"/>
    <w:rsid w:val="00D25FE2"/>
    <w:rsid w:val="00D316A9"/>
    <w:rsid w:val="00D37DA9"/>
    <w:rsid w:val="00D406A7"/>
    <w:rsid w:val="00D41AE9"/>
    <w:rsid w:val="00D42CDD"/>
    <w:rsid w:val="00D43252"/>
    <w:rsid w:val="00D44D86"/>
    <w:rsid w:val="00D50B7D"/>
    <w:rsid w:val="00D52012"/>
    <w:rsid w:val="00D56BDC"/>
    <w:rsid w:val="00D66CBA"/>
    <w:rsid w:val="00D6715F"/>
    <w:rsid w:val="00D704E5"/>
    <w:rsid w:val="00D72727"/>
    <w:rsid w:val="00D978C6"/>
    <w:rsid w:val="00DA0956"/>
    <w:rsid w:val="00DA357F"/>
    <w:rsid w:val="00DA3E12"/>
    <w:rsid w:val="00DC18AD"/>
    <w:rsid w:val="00DC19FA"/>
    <w:rsid w:val="00DD08CB"/>
    <w:rsid w:val="00DD6C17"/>
    <w:rsid w:val="00DE16AA"/>
    <w:rsid w:val="00DE1CD7"/>
    <w:rsid w:val="00DF7CAE"/>
    <w:rsid w:val="00E01D4E"/>
    <w:rsid w:val="00E04F0A"/>
    <w:rsid w:val="00E244EB"/>
    <w:rsid w:val="00E25BD0"/>
    <w:rsid w:val="00E36099"/>
    <w:rsid w:val="00E423C0"/>
    <w:rsid w:val="00E4384E"/>
    <w:rsid w:val="00E52667"/>
    <w:rsid w:val="00E563D8"/>
    <w:rsid w:val="00E6414C"/>
    <w:rsid w:val="00E65AFE"/>
    <w:rsid w:val="00E67F46"/>
    <w:rsid w:val="00E7260F"/>
    <w:rsid w:val="00E8702D"/>
    <w:rsid w:val="00E905F4"/>
    <w:rsid w:val="00E91693"/>
    <w:rsid w:val="00E916A9"/>
    <w:rsid w:val="00E916DE"/>
    <w:rsid w:val="00E925AD"/>
    <w:rsid w:val="00E96630"/>
    <w:rsid w:val="00EA014A"/>
    <w:rsid w:val="00EC0225"/>
    <w:rsid w:val="00EC266D"/>
    <w:rsid w:val="00ED18DC"/>
    <w:rsid w:val="00ED6201"/>
    <w:rsid w:val="00ED7A2A"/>
    <w:rsid w:val="00EF1D7F"/>
    <w:rsid w:val="00F0137E"/>
    <w:rsid w:val="00F04E44"/>
    <w:rsid w:val="00F158A2"/>
    <w:rsid w:val="00F1663B"/>
    <w:rsid w:val="00F21786"/>
    <w:rsid w:val="00F25D06"/>
    <w:rsid w:val="00F31CFF"/>
    <w:rsid w:val="00F3742B"/>
    <w:rsid w:val="00F41FDB"/>
    <w:rsid w:val="00F436BD"/>
    <w:rsid w:val="00F50597"/>
    <w:rsid w:val="00F56D63"/>
    <w:rsid w:val="00F57928"/>
    <w:rsid w:val="00F609A9"/>
    <w:rsid w:val="00F61731"/>
    <w:rsid w:val="00F67D1D"/>
    <w:rsid w:val="00F80C99"/>
    <w:rsid w:val="00F867EC"/>
    <w:rsid w:val="00F91B2B"/>
    <w:rsid w:val="00FC03CD"/>
    <w:rsid w:val="00FC0646"/>
    <w:rsid w:val="00FC68B7"/>
    <w:rsid w:val="00FD7700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82DC3"/>
  <w15:docId w15:val="{24FC0162-209B-420C-A839-74ABA01E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AD4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link w:val="FooterChar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032D32"/>
    <w:rPr>
      <w:lang w:val="en-GB"/>
    </w:rPr>
  </w:style>
  <w:style w:type="character" w:customStyle="1" w:styleId="HChGChar">
    <w:name w:val="_ H _Ch_G Char"/>
    <w:link w:val="HChG"/>
    <w:qFormat/>
    <w:rsid w:val="00032D32"/>
    <w:rPr>
      <w:b/>
      <w:sz w:val="28"/>
      <w:lang w:val="en-GB"/>
    </w:rPr>
  </w:style>
  <w:style w:type="character" w:customStyle="1" w:styleId="H1GChar">
    <w:name w:val="_ H_1_G Char"/>
    <w:link w:val="H1G"/>
    <w:locked/>
    <w:rsid w:val="00032D32"/>
    <w:rPr>
      <w:b/>
      <w:sz w:val="24"/>
      <w:lang w:val="en-GB"/>
    </w:rPr>
  </w:style>
  <w:style w:type="character" w:customStyle="1" w:styleId="HeaderChar">
    <w:name w:val="Header Char"/>
    <w:aliases w:val="6_G Char"/>
    <w:link w:val="Header"/>
    <w:rsid w:val="00572D08"/>
    <w:rPr>
      <w:b/>
      <w:sz w:val="18"/>
      <w:lang w:val="en-GB"/>
    </w:rPr>
  </w:style>
  <w:style w:type="paragraph" w:styleId="NormalWeb">
    <w:name w:val="Normal (Web)"/>
    <w:basedOn w:val="Normal"/>
    <w:uiPriority w:val="99"/>
    <w:rsid w:val="00572D08"/>
    <w:pPr>
      <w:suppressAutoHyphens/>
    </w:pPr>
    <w:rPr>
      <w:sz w:val="24"/>
      <w:szCs w:val="24"/>
      <w:lang w:eastAsia="en-US"/>
    </w:rPr>
  </w:style>
  <w:style w:type="character" w:customStyle="1" w:styleId="FooterChar">
    <w:name w:val="Footer Char"/>
    <w:aliases w:val="3_G Char"/>
    <w:link w:val="Footer"/>
    <w:rsid w:val="00572D08"/>
    <w:rPr>
      <w:sz w:val="16"/>
      <w:lang w:val="en-GB"/>
    </w:rPr>
  </w:style>
  <w:style w:type="paragraph" w:styleId="ListParagraph">
    <w:name w:val="List Paragraph"/>
    <w:basedOn w:val="Normal"/>
    <w:uiPriority w:val="34"/>
    <w:qFormat/>
    <w:rsid w:val="00572D08"/>
    <w:pPr>
      <w:suppressAutoHyphens/>
      <w:ind w:left="720"/>
      <w:contextualSpacing/>
    </w:pPr>
    <w:rPr>
      <w:rFonts w:eastAsia="MS Mincho"/>
    </w:rPr>
  </w:style>
  <w:style w:type="character" w:customStyle="1" w:styleId="Flietext">
    <w:name w:val="Fließtext_"/>
    <w:basedOn w:val="DefaultParagraphFont"/>
    <w:link w:val="Flietext0"/>
    <w:rsid w:val="00572D08"/>
    <w:rPr>
      <w:b/>
      <w:bCs/>
    </w:rPr>
  </w:style>
  <w:style w:type="paragraph" w:customStyle="1" w:styleId="Flietext0">
    <w:name w:val="Fließtext"/>
    <w:basedOn w:val="Normal"/>
    <w:link w:val="Flietext"/>
    <w:rsid w:val="00572D08"/>
    <w:pPr>
      <w:widowControl w:val="0"/>
      <w:spacing w:after="120" w:line="240" w:lineRule="auto"/>
    </w:pPr>
    <w:rPr>
      <w:b/>
      <w:bCs/>
      <w:lang w:val="fr-FR"/>
    </w:rPr>
  </w:style>
  <w:style w:type="paragraph" w:styleId="BodyText">
    <w:name w:val="Body Text"/>
    <w:basedOn w:val="Normal"/>
    <w:link w:val="BodyTextChar"/>
    <w:uiPriority w:val="1"/>
    <w:qFormat/>
    <w:rsid w:val="00DD6C17"/>
    <w:pPr>
      <w:widowControl w:val="0"/>
      <w:autoSpaceDE w:val="0"/>
      <w:autoSpaceDN w:val="0"/>
      <w:spacing w:line="240" w:lineRule="auto"/>
    </w:pPr>
    <w:rPr>
      <w:rFonts w:ascii="Courier New" w:eastAsia="Courier New" w:hAnsi="Courier New" w:cs="Courier New"/>
      <w:sz w:val="17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D6C17"/>
    <w:rPr>
      <w:rFonts w:ascii="Courier New" w:eastAsia="Courier New" w:hAnsi="Courier New" w:cs="Courier New"/>
      <w:sz w:val="17"/>
      <w:szCs w:val="17"/>
      <w:lang w:val="en-US" w:eastAsia="en-US"/>
    </w:rPr>
  </w:style>
  <w:style w:type="paragraph" w:styleId="Date">
    <w:name w:val="Date"/>
    <w:basedOn w:val="Normal"/>
    <w:next w:val="Normal"/>
    <w:link w:val="DateChar"/>
    <w:semiHidden/>
    <w:rsid w:val="0074725F"/>
  </w:style>
  <w:style w:type="character" w:customStyle="1" w:styleId="DateChar">
    <w:name w:val="Date Char"/>
    <w:basedOn w:val="DefaultParagraphFont"/>
    <w:link w:val="Date"/>
    <w:semiHidden/>
    <w:rsid w:val="0074725F"/>
    <w:rPr>
      <w:lang w:val="en-GB"/>
    </w:rPr>
  </w:style>
  <w:style w:type="paragraph" w:styleId="Revision">
    <w:name w:val="Revision"/>
    <w:hidden/>
    <w:uiPriority w:val="99"/>
    <w:semiHidden/>
    <w:rsid w:val="005D3295"/>
    <w:pPr>
      <w:spacing w:line="240" w:lineRule="auto"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4509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096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45096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0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096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4EA0-C78D-4E50-9082-F1D6827E6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1</TotalTime>
  <Pages>1</Pages>
  <Words>366</Words>
  <Characters>1076</Characters>
  <Application>Microsoft Office Word</Application>
  <DocSecurity>0</DocSecurity>
  <Lines>59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ECE/TRANS/WP.29/GRSG/2024/40</vt:lpstr>
      <vt:lpstr/>
    </vt:vector>
  </TitlesOfParts>
  <Company>CSD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ECE/TRANS/WP.29/GRSG/2024/40</dc:title>
  <dc:subject>2413370</dc:subject>
  <dc:creator>Edoardo Gianotti</dc:creator>
  <cp:keywords/>
  <dc:description/>
  <cp:lastModifiedBy>Edoardo Gianotti</cp:lastModifiedBy>
  <cp:revision>2</cp:revision>
  <cp:lastPrinted>2024-07-22T09:52:00Z</cp:lastPrinted>
  <dcterms:created xsi:type="dcterms:W3CDTF">2024-11-11T10:13:00Z</dcterms:created>
  <dcterms:modified xsi:type="dcterms:W3CDTF">2024-11-11T10:13:00Z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