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9639"/>
      </w:tblGrid>
      <w:tr w:rsidR="00EF0D81" w:rsidRPr="0099001C" w14:paraId="27324BBB" w14:textId="77777777" w:rsidTr="000D5782">
        <w:trPr>
          <w:cantSplit/>
          <w:trHeight w:hRule="exact" w:val="851"/>
        </w:trPr>
        <w:tc>
          <w:tcPr>
            <w:tcW w:w="9639" w:type="dxa"/>
            <w:tcBorders>
              <w:bottom w:val="single" w:sz="4" w:space="0" w:color="auto"/>
            </w:tcBorders>
            <w:vAlign w:val="bottom"/>
          </w:tcPr>
          <w:p w14:paraId="56EB97FB" w14:textId="285D1A18" w:rsidR="00EF0D81" w:rsidRPr="0099001C" w:rsidRDefault="00EF0D81" w:rsidP="00E76D3E">
            <w:pPr>
              <w:jc w:val="right"/>
              <w:rPr>
                <w:b/>
                <w:sz w:val="40"/>
                <w:szCs w:val="40"/>
              </w:rPr>
            </w:pPr>
            <w:r w:rsidRPr="0099001C">
              <w:rPr>
                <w:b/>
                <w:sz w:val="40"/>
                <w:szCs w:val="40"/>
              </w:rPr>
              <w:t>UN/SCE</w:t>
            </w:r>
            <w:r w:rsidR="00D66F58">
              <w:rPr>
                <w:b/>
                <w:sz w:val="40"/>
                <w:szCs w:val="40"/>
              </w:rPr>
              <w:t>TDG</w:t>
            </w:r>
            <w:r w:rsidRPr="0099001C">
              <w:rPr>
                <w:b/>
                <w:sz w:val="40"/>
                <w:szCs w:val="40"/>
              </w:rPr>
              <w:t>/</w:t>
            </w:r>
            <w:r w:rsidR="00D66F58">
              <w:rPr>
                <w:b/>
                <w:sz w:val="40"/>
                <w:szCs w:val="40"/>
              </w:rPr>
              <w:t>65</w:t>
            </w:r>
            <w:r w:rsidRPr="0099001C">
              <w:rPr>
                <w:b/>
                <w:sz w:val="40"/>
                <w:szCs w:val="40"/>
              </w:rPr>
              <w:t>/INF.</w:t>
            </w:r>
            <w:r w:rsidR="008C2D7B">
              <w:rPr>
                <w:b/>
                <w:sz w:val="40"/>
                <w:szCs w:val="40"/>
              </w:rPr>
              <w:t>62</w:t>
            </w:r>
          </w:p>
        </w:tc>
      </w:tr>
      <w:tr w:rsidR="00EF0D81" w14:paraId="4980032E" w14:textId="77777777" w:rsidTr="0010630E">
        <w:trPr>
          <w:cantSplit/>
          <w:trHeight w:hRule="exact" w:val="2846"/>
        </w:trPr>
        <w:tc>
          <w:tcPr>
            <w:tcW w:w="9639" w:type="dxa"/>
            <w:tcBorders>
              <w:top w:val="single" w:sz="4" w:space="0" w:color="auto"/>
            </w:tcBorders>
          </w:tcPr>
          <w:p w14:paraId="4F900CB7" w14:textId="77777777" w:rsidR="00EF0D81" w:rsidRPr="00691F20" w:rsidRDefault="00EF0D81" w:rsidP="000D5782">
            <w:pPr>
              <w:spacing w:before="120"/>
              <w:rPr>
                <w:b/>
                <w:sz w:val="24"/>
                <w:szCs w:val="24"/>
                <w:lang w:val="en-US"/>
              </w:rPr>
            </w:pPr>
            <w:r w:rsidRPr="00691F20">
              <w:rPr>
                <w:b/>
                <w:sz w:val="24"/>
                <w:szCs w:val="24"/>
                <w:lang w:val="en-US"/>
              </w:rPr>
              <w:t>Committee of Experts on the Transport of Dangerous Goods</w:t>
            </w:r>
            <w:r w:rsidRPr="00691F20">
              <w:rPr>
                <w:b/>
                <w:sz w:val="24"/>
                <w:szCs w:val="24"/>
                <w:lang w:val="en-US"/>
              </w:rPr>
              <w:br/>
              <w:t>and on the Globally Harmonized System of Classification</w:t>
            </w:r>
            <w:r w:rsidRPr="00691F20">
              <w:rPr>
                <w:b/>
                <w:sz w:val="24"/>
                <w:szCs w:val="24"/>
                <w:lang w:val="en-US"/>
              </w:rPr>
              <w:br/>
              <w:t>and Labelling of Chemicals</w:t>
            </w:r>
          </w:p>
          <w:p w14:paraId="6444A2C4" w14:textId="3F86B37A" w:rsidR="00EF0D81" w:rsidRPr="009F0F06" w:rsidRDefault="00642618" w:rsidP="000D5782">
            <w:pPr>
              <w:tabs>
                <w:tab w:val="right" w:pos="9300"/>
              </w:tabs>
              <w:spacing w:before="120"/>
              <w:rPr>
                <w:rFonts w:ascii="Helv" w:hAnsi="Helv" w:cs="Helv"/>
                <w:b/>
                <w:color w:val="000000"/>
                <w:lang w:val="en-US"/>
              </w:rPr>
            </w:pPr>
            <w:r w:rsidRPr="006500BA">
              <w:rPr>
                <w:b/>
              </w:rPr>
              <w:t xml:space="preserve">Sub-Committee of Experts on the </w:t>
            </w:r>
            <w:r>
              <w:rPr>
                <w:b/>
              </w:rPr>
              <w:t>Transport of Dangerous Goods</w:t>
            </w:r>
            <w:r>
              <w:rPr>
                <w:b/>
                <w:lang w:val="en-US"/>
              </w:rPr>
              <w:t xml:space="preserve"> </w:t>
            </w:r>
            <w:r w:rsidR="00EF0D81">
              <w:rPr>
                <w:b/>
                <w:lang w:val="en-US"/>
              </w:rPr>
              <w:tab/>
            </w:r>
            <w:r w:rsidR="009D13E6">
              <w:rPr>
                <w:b/>
                <w:lang w:val="en-US"/>
              </w:rPr>
              <w:t>2</w:t>
            </w:r>
            <w:r w:rsidR="00F61630">
              <w:rPr>
                <w:b/>
                <w:lang w:val="en-US"/>
              </w:rPr>
              <w:t>8</w:t>
            </w:r>
            <w:r w:rsidR="008D3C1D">
              <w:rPr>
                <w:b/>
                <w:lang w:val="en-US"/>
              </w:rPr>
              <w:t xml:space="preserve"> </w:t>
            </w:r>
            <w:r w:rsidR="00EC5CED">
              <w:rPr>
                <w:b/>
                <w:lang w:val="en-US"/>
              </w:rPr>
              <w:t>November</w:t>
            </w:r>
            <w:r w:rsidR="001F3957">
              <w:rPr>
                <w:b/>
                <w:lang w:val="en-US"/>
              </w:rPr>
              <w:t xml:space="preserve"> 202</w:t>
            </w:r>
            <w:r w:rsidR="00EC5CED">
              <w:rPr>
                <w:b/>
                <w:lang w:val="en-US"/>
              </w:rPr>
              <w:t>4</w:t>
            </w:r>
          </w:p>
          <w:p w14:paraId="382534B0" w14:textId="0C90F122" w:rsidR="00EF0D81" w:rsidRPr="006E39A4" w:rsidRDefault="00642618" w:rsidP="000D5782">
            <w:pPr>
              <w:spacing w:before="120"/>
              <w:rPr>
                <w:b/>
              </w:rPr>
            </w:pPr>
            <w:r>
              <w:rPr>
                <w:b/>
              </w:rPr>
              <w:t>Sixty-fifth</w:t>
            </w:r>
            <w:r w:rsidR="00EF0D81" w:rsidRPr="006E39A4">
              <w:rPr>
                <w:b/>
              </w:rPr>
              <w:t xml:space="preserve"> session</w:t>
            </w:r>
          </w:p>
          <w:p w14:paraId="0663049B" w14:textId="564E3B2B" w:rsidR="00EF0D81" w:rsidRPr="006E39A4" w:rsidRDefault="00EF0D81" w:rsidP="000D5782">
            <w:r w:rsidRPr="006E39A4">
              <w:t>Geneva,</w:t>
            </w:r>
            <w:r w:rsidR="00642618">
              <w:t xml:space="preserve"> 25 November-3 December</w:t>
            </w:r>
            <w:r>
              <w:t xml:space="preserve"> </w:t>
            </w:r>
            <w:r w:rsidR="001F3957">
              <w:t>202</w:t>
            </w:r>
            <w:r w:rsidR="00EC5CED">
              <w:t>4</w:t>
            </w:r>
          </w:p>
          <w:p w14:paraId="1FB4586C" w14:textId="1C38B8AA" w:rsidR="00EF0D81" w:rsidRDefault="00EF0D81" w:rsidP="000D5782">
            <w:r w:rsidRPr="006E39A4">
              <w:t xml:space="preserve">Item </w:t>
            </w:r>
            <w:r w:rsidR="005B18F8">
              <w:t>4 (a)</w:t>
            </w:r>
            <w:r w:rsidR="00EC5CED">
              <w:t xml:space="preserve"> </w:t>
            </w:r>
            <w:r w:rsidRPr="006E39A4">
              <w:t>of the provisional agenda</w:t>
            </w:r>
          </w:p>
          <w:p w14:paraId="30C38846" w14:textId="77777777" w:rsidR="00AC61E5" w:rsidRPr="002170A9" w:rsidRDefault="00AC61E5" w:rsidP="00AC61E5">
            <w:pPr>
              <w:rPr>
                <w:b/>
                <w:bCs/>
              </w:rPr>
            </w:pPr>
            <w:r w:rsidRPr="002170A9">
              <w:rPr>
                <w:b/>
                <w:bCs/>
              </w:rPr>
              <w:t>Electric storage systems:</w:t>
            </w:r>
          </w:p>
          <w:p w14:paraId="584FA7D1" w14:textId="77777777" w:rsidR="00AC61E5" w:rsidRDefault="00AC61E5" w:rsidP="00AC61E5">
            <w:pPr>
              <w:rPr>
                <w:b/>
                <w:bCs/>
              </w:rPr>
            </w:pPr>
            <w:r>
              <w:rPr>
                <w:b/>
                <w:bCs/>
              </w:rPr>
              <w:t>t</w:t>
            </w:r>
            <w:r w:rsidRPr="002170A9">
              <w:rPr>
                <w:b/>
                <w:bCs/>
              </w:rPr>
              <w:t>esting of lithium batteries</w:t>
            </w:r>
          </w:p>
          <w:p w14:paraId="703C045B" w14:textId="77777777" w:rsidR="00EF0D81" w:rsidRDefault="00EF0D81" w:rsidP="00F61630"/>
        </w:tc>
      </w:tr>
    </w:tbl>
    <w:p w14:paraId="1D31BAB3" w14:textId="77777777" w:rsidR="009B514C" w:rsidRPr="00F5561C" w:rsidRDefault="00EF0D81" w:rsidP="009B514C">
      <w:pPr>
        <w:pStyle w:val="HChG"/>
        <w:rPr>
          <w:color w:val="000000" w:themeColor="text1"/>
        </w:rPr>
      </w:pPr>
      <w:r w:rsidRPr="00F66549">
        <w:rPr>
          <w:rFonts w:eastAsia="MS Mincho"/>
        </w:rPr>
        <w:tab/>
      </w:r>
      <w:r w:rsidRPr="00F66549">
        <w:rPr>
          <w:rFonts w:eastAsia="MS Mincho"/>
        </w:rPr>
        <w:tab/>
      </w:r>
      <w:r w:rsidR="009B514C">
        <w:t xml:space="preserve">Lithium battery test and definition of “rupture” in section 38.3 of the </w:t>
      </w:r>
      <w:r w:rsidR="009B514C" w:rsidRPr="00C26B04">
        <w:t>Manual of Tests and Criteria</w:t>
      </w:r>
    </w:p>
    <w:p w14:paraId="17D422B2" w14:textId="7F3CBF1F" w:rsidR="009B514C" w:rsidRDefault="009B514C" w:rsidP="009B514C">
      <w:pPr>
        <w:pStyle w:val="H1G"/>
        <w:rPr>
          <w:rFonts w:asciiTheme="majorBidi" w:hAnsiTheme="majorBidi" w:cstheme="majorBidi"/>
          <w:color w:val="000000" w:themeColor="text1"/>
        </w:rPr>
      </w:pPr>
      <w:r>
        <w:rPr>
          <w:rFonts w:asciiTheme="majorBidi" w:hAnsiTheme="majorBidi" w:cstheme="majorBidi"/>
        </w:rPr>
        <w:tab/>
      </w:r>
      <w:r>
        <w:rPr>
          <w:rFonts w:asciiTheme="majorBidi" w:hAnsiTheme="majorBidi" w:cstheme="majorBidi"/>
        </w:rPr>
        <w:tab/>
      </w:r>
      <w:r>
        <w:rPr>
          <w:lang w:val="en-US"/>
        </w:rPr>
        <w:t>Submitted</w:t>
      </w:r>
      <w:r w:rsidRPr="00372A88">
        <w:rPr>
          <w:lang w:val="en-US"/>
        </w:rPr>
        <w:t xml:space="preserve"> by</w:t>
      </w:r>
      <w:r>
        <w:rPr>
          <w:lang w:val="en-US"/>
        </w:rPr>
        <w:t xml:space="preserve"> the Rechargeable Battery Association (PRBA) and </w:t>
      </w:r>
      <w:r w:rsidRPr="002D66BF">
        <w:rPr>
          <w:lang w:val="en-US"/>
        </w:rPr>
        <w:t>the Advanced Rechargeable &amp; Lithium Batteries Association (RECHARGE)</w:t>
      </w:r>
    </w:p>
    <w:p w14:paraId="4043CCF2" w14:textId="74A107BA" w:rsidR="009B514C" w:rsidRDefault="0063783B" w:rsidP="0063783B">
      <w:pPr>
        <w:pStyle w:val="HChG"/>
      </w:pPr>
      <w:r>
        <w:tab/>
        <w:t>I.</w:t>
      </w:r>
      <w:r>
        <w:tab/>
      </w:r>
      <w:r w:rsidR="009B514C" w:rsidRPr="0063783B">
        <w:t>In</w:t>
      </w:r>
      <w:r>
        <w:t>t</w:t>
      </w:r>
      <w:r w:rsidR="009B514C" w:rsidRPr="0063783B">
        <w:t>roduction</w:t>
      </w:r>
    </w:p>
    <w:p w14:paraId="041A484B" w14:textId="4459FEFE" w:rsidR="009B514C" w:rsidRDefault="0063783B" w:rsidP="0063783B">
      <w:pPr>
        <w:pStyle w:val="SingleTxtG"/>
      </w:pPr>
      <w:r>
        <w:t>1.</w:t>
      </w:r>
      <w:r>
        <w:tab/>
      </w:r>
      <w:r w:rsidR="009B514C" w:rsidRPr="0063783B">
        <w:t>Following</w:t>
      </w:r>
      <w:r w:rsidR="009B514C">
        <w:t xml:space="preserve"> the </w:t>
      </w:r>
      <w:r>
        <w:t>sixty-fifth</w:t>
      </w:r>
      <w:r w:rsidR="009B514C">
        <w:t xml:space="preserve"> session discussion, an informal </w:t>
      </w:r>
      <w:r w:rsidR="004052D2">
        <w:t>document</w:t>
      </w:r>
      <w:r w:rsidR="009B514C">
        <w:t xml:space="preserve"> is proposed to improve the definition of “rupture” in the </w:t>
      </w:r>
      <w:r w:rsidR="009B514C" w:rsidRPr="004052D2">
        <w:rPr>
          <w:i/>
          <w:iCs/>
        </w:rPr>
        <w:t>Manuel of Tests and Criteria</w:t>
      </w:r>
      <w:r w:rsidR="009B514C">
        <w:t xml:space="preserve"> section 38.3.2.3.</w:t>
      </w:r>
    </w:p>
    <w:p w14:paraId="7F5419B1" w14:textId="28832F5F" w:rsidR="009B514C" w:rsidRDefault="0063783B" w:rsidP="0063783B">
      <w:pPr>
        <w:pStyle w:val="SingleTxtG"/>
      </w:pPr>
      <w:r>
        <w:t>2.</w:t>
      </w:r>
      <w:r>
        <w:tab/>
      </w:r>
      <w:r w:rsidR="009B514C">
        <w:t xml:space="preserve">The change in the main </w:t>
      </w:r>
      <w:r w:rsidR="009B514C" w:rsidRPr="0063783B">
        <w:t>text</w:t>
      </w:r>
      <w:r w:rsidR="009B514C">
        <w:t xml:space="preserve"> is removed, as it was perceived by some </w:t>
      </w:r>
      <w:r w:rsidR="00414064">
        <w:t>experts</w:t>
      </w:r>
      <w:r w:rsidR="009B514C">
        <w:t xml:space="preserve"> as changing the scope of the definition. It is considered that the precision in the note only, is a sufficient clarification.</w:t>
      </w:r>
    </w:p>
    <w:p w14:paraId="586AA132" w14:textId="624E37B7" w:rsidR="009B514C" w:rsidRPr="0063783B" w:rsidRDefault="0063783B" w:rsidP="0063783B">
      <w:pPr>
        <w:pStyle w:val="SingleTxtG"/>
      </w:pPr>
      <w:r w:rsidRPr="0063783B">
        <w:t>3.</w:t>
      </w:r>
      <w:r w:rsidRPr="0063783B">
        <w:tab/>
      </w:r>
      <w:r w:rsidR="009B514C" w:rsidRPr="0063783B">
        <w:t>The text of the note is maintained, as a mean to help clarifying the definition word “exposure” used in the definition.</w:t>
      </w:r>
    </w:p>
    <w:p w14:paraId="0DB6EBC9" w14:textId="0B80ABDF" w:rsidR="009B514C" w:rsidRPr="0063783B" w:rsidRDefault="0063783B" w:rsidP="0063783B">
      <w:pPr>
        <w:pStyle w:val="SingleTxtG"/>
      </w:pPr>
      <w:r w:rsidRPr="0063783B">
        <w:t>4.</w:t>
      </w:r>
      <w:r w:rsidRPr="0063783B">
        <w:tab/>
      </w:r>
      <w:r w:rsidR="009B514C" w:rsidRPr="0063783B">
        <w:t>For a battery not fully enclosed by its casing, when a cover bulges or flexes from expansion, the already exposed internal cell components will be more exposed visually and it is unclear if this additional exposure would be interpreted as a rupture.</w:t>
      </w:r>
    </w:p>
    <w:p w14:paraId="3D8031B8" w14:textId="77D8CE61" w:rsidR="009B514C" w:rsidRPr="0063783B" w:rsidRDefault="009B514C" w:rsidP="0063783B">
      <w:pPr>
        <w:pStyle w:val="SingleTxtG"/>
      </w:pPr>
      <w:r w:rsidRPr="0063783B">
        <w:t>5.</w:t>
      </w:r>
      <w:r w:rsidRPr="0063783B">
        <w:tab/>
        <w:t>The note clarif</w:t>
      </w:r>
      <w:r w:rsidR="00414064">
        <w:t>ies</w:t>
      </w:r>
      <w:r w:rsidRPr="0063783B">
        <w:t xml:space="preserve"> where the professional should focus their attention to determine whether there is a rupture or not after the test. It </w:t>
      </w:r>
      <w:r w:rsidR="00987B52">
        <w:t xml:space="preserve">also </w:t>
      </w:r>
      <w:r w:rsidRPr="0063783B">
        <w:t>clarifies that the mere fact of having cells exposed prior to the test is not a concern per se. The determination of the failure should be made on the base of the assessment of a change after test. The important question is: is it more exposed material fate the test, compared to the initial situation</w:t>
      </w:r>
      <w:r w:rsidR="00987B52">
        <w:t>?</w:t>
      </w:r>
    </w:p>
    <w:p w14:paraId="7A00466B" w14:textId="77777777" w:rsidR="009B514C" w:rsidRPr="0063783B" w:rsidRDefault="009B514C" w:rsidP="0063783B">
      <w:pPr>
        <w:pStyle w:val="SingleTxtG"/>
      </w:pPr>
      <w:r w:rsidRPr="0063783B">
        <w:t>6.</w:t>
      </w:r>
      <w:r w:rsidRPr="0063783B">
        <w:tab/>
        <w:t>To help clarify the definition of rupture and provide for consistent interpretations across various battery types, PRBA proposes a change to the definition of rupture in 38.3.2.3.</w:t>
      </w:r>
    </w:p>
    <w:p w14:paraId="779A6A42" w14:textId="28796D72" w:rsidR="009B514C" w:rsidRDefault="009B514C" w:rsidP="009B514C">
      <w:pPr>
        <w:pStyle w:val="HChG"/>
      </w:pPr>
      <w:r>
        <w:tab/>
      </w:r>
      <w:r w:rsidR="004052D2">
        <w:t>II.</w:t>
      </w:r>
      <w:r w:rsidR="004052D2">
        <w:tab/>
      </w:r>
      <w:r>
        <w:t>Proposal</w:t>
      </w:r>
    </w:p>
    <w:p w14:paraId="79EB5BB0" w14:textId="1E78E290" w:rsidR="009B514C" w:rsidRDefault="00C57528" w:rsidP="009B514C">
      <w:pPr>
        <w:pStyle w:val="SingleTxtG"/>
      </w:pPr>
      <w:r>
        <w:t>7</w:t>
      </w:r>
      <w:r w:rsidR="009B514C">
        <w:t>.</w:t>
      </w:r>
      <w:r w:rsidR="009B514C">
        <w:tab/>
        <w:t>The Sub-Committee is invited to amend the definition of rupture in paragraph 38.3.2.3 of the Manual of Tests and Criteria as follows</w:t>
      </w:r>
      <w:r w:rsidR="009B514C" w:rsidRPr="00D71243">
        <w:t xml:space="preserve"> </w:t>
      </w:r>
      <w:r w:rsidR="009B514C">
        <w:t xml:space="preserve">(new text is </w:t>
      </w:r>
      <w:r w:rsidR="009B514C" w:rsidRPr="00174A86">
        <w:rPr>
          <w:u w:val="single"/>
        </w:rPr>
        <w:t>underlined</w:t>
      </w:r>
      <w:r w:rsidR="009B514C">
        <w:t xml:space="preserve">, deleted text in </w:t>
      </w:r>
      <w:r w:rsidR="009B514C" w:rsidRPr="00174A86">
        <w:rPr>
          <w:strike/>
        </w:rPr>
        <w:t>strikethrough</w:t>
      </w:r>
      <w:r w:rsidR="009B514C">
        <w:t>):</w:t>
      </w:r>
    </w:p>
    <w:p w14:paraId="55295690" w14:textId="1E985DAB" w:rsidR="009B514C" w:rsidRPr="00963759" w:rsidRDefault="009B514C" w:rsidP="009B514C">
      <w:pPr>
        <w:pStyle w:val="SingleTxtG"/>
        <w:ind w:left="1701"/>
        <w:rPr>
          <w:strike/>
          <w:lang w:val="en-US"/>
        </w:rPr>
      </w:pPr>
      <w:r>
        <w:t>“</w:t>
      </w:r>
      <w:r w:rsidRPr="003100B0">
        <w:rPr>
          <w:lang w:val="en-US"/>
        </w:rPr>
        <w:t>Rupture means the mechanical failure of a cell container or battery case induced by an internal or external cause, resulting in exposure or spillage but not ejection of solid materials</w:t>
      </w:r>
      <w:r w:rsidRPr="00963759">
        <w:rPr>
          <w:lang w:val="en-US"/>
        </w:rPr>
        <w:t>.</w:t>
      </w:r>
      <w:r>
        <w:rPr>
          <w:lang w:val="en-US"/>
        </w:rPr>
        <w:t xml:space="preserve"> </w:t>
      </w:r>
    </w:p>
    <w:p w14:paraId="6FDFB5E1" w14:textId="6179D1DE" w:rsidR="00A13774" w:rsidRDefault="009B514C" w:rsidP="00A13774">
      <w:pPr>
        <w:pStyle w:val="SingleTxtG"/>
        <w:rPr>
          <w:u w:val="single"/>
        </w:rPr>
      </w:pPr>
      <w:r w:rsidRPr="00A13774">
        <w:rPr>
          <w:b/>
          <w:bCs/>
          <w:i/>
          <w:iCs/>
          <w:u w:val="single"/>
        </w:rPr>
        <w:t>NOTE</w:t>
      </w:r>
      <w:r w:rsidRPr="00A13774">
        <w:rPr>
          <w:i/>
          <w:iCs/>
          <w:u w:val="single"/>
        </w:rPr>
        <w:t>:</w:t>
      </w:r>
      <w:r w:rsidRPr="005A79AB">
        <w:rPr>
          <w:u w:val="single"/>
        </w:rPr>
        <w:t xml:space="preserve"> In the case of a battery that is not fully enclosed by its casing and the cells are exposed by design prior to the tests, “exposure” means an increased visibility of components that are exposed beyond that of the original design of the battery</w:t>
      </w:r>
      <w:r w:rsidRPr="00C57528">
        <w:t>.”</w:t>
      </w:r>
    </w:p>
    <w:p w14:paraId="19752437" w14:textId="77777777" w:rsidR="00A13774" w:rsidRDefault="00A13774">
      <w:pPr>
        <w:suppressAutoHyphens w:val="0"/>
        <w:spacing w:after="200" w:line="276" w:lineRule="auto"/>
        <w:rPr>
          <w:u w:val="single"/>
        </w:rPr>
      </w:pPr>
      <w:r>
        <w:rPr>
          <w:u w:val="single"/>
        </w:rPr>
        <w:br w:type="page"/>
      </w:r>
    </w:p>
    <w:p w14:paraId="49B392F6" w14:textId="77777777" w:rsidR="00C321B1" w:rsidRPr="00445711" w:rsidRDefault="00C321B1" w:rsidP="00C321B1">
      <w:pPr>
        <w:pStyle w:val="HChG"/>
      </w:pPr>
      <w:r>
        <w:lastRenderedPageBreak/>
        <w:t>Annex</w:t>
      </w:r>
    </w:p>
    <w:p w14:paraId="0919BC6B" w14:textId="77777777" w:rsidR="00C321B1" w:rsidRPr="00445711" w:rsidRDefault="00C321B1" w:rsidP="00A13774">
      <w:pPr>
        <w:pStyle w:val="HChG"/>
      </w:pPr>
      <w:r>
        <w:tab/>
      </w:r>
      <w:r>
        <w:tab/>
      </w:r>
      <w:r w:rsidRPr="00445711">
        <w:t xml:space="preserve">Reference definitions of </w:t>
      </w:r>
      <w:r>
        <w:t>r</w:t>
      </w:r>
      <w:r w:rsidRPr="00445711">
        <w:t>upture from various battery industry standards</w:t>
      </w:r>
    </w:p>
    <w:p w14:paraId="3B5DFF35" w14:textId="77777777" w:rsidR="00C321B1" w:rsidRPr="00445711" w:rsidRDefault="00C321B1" w:rsidP="00C321B1">
      <w:pPr>
        <w:pStyle w:val="SingleTxtG"/>
      </w:pPr>
      <w:r w:rsidRPr="00445711">
        <w:rPr>
          <w:b/>
          <w:bCs/>
          <w:u w:val="single"/>
        </w:rPr>
        <w:t>UN ECE R100:</w:t>
      </w:r>
      <w:r w:rsidRPr="00445711">
        <w:rPr>
          <w:b/>
          <w:bCs/>
        </w:rPr>
        <w:t xml:space="preserve"> </w:t>
      </w:r>
      <w:r w:rsidRPr="00445711">
        <w:t>Rupture means opening(s) through the casing of any functional cell assembly created or enlarged by an event, large enough for a 12mm diameter test finger (IPXXB) to penetrate and make contact with live parts.</w:t>
      </w:r>
    </w:p>
    <w:p w14:paraId="20145FC9" w14:textId="77777777" w:rsidR="00C321B1" w:rsidRPr="00445711" w:rsidRDefault="00C321B1" w:rsidP="00C321B1">
      <w:pPr>
        <w:pStyle w:val="SingleTxtG"/>
      </w:pPr>
      <w:r w:rsidRPr="00445711">
        <w:rPr>
          <w:b/>
          <w:bCs/>
          <w:u w:val="single"/>
        </w:rPr>
        <w:t xml:space="preserve">ISO 1649-1: </w:t>
      </w:r>
      <w:r w:rsidRPr="00445711">
        <w:t>loss of mechanical integrity of an enclosure resulting in openings not fulfilling protection degree IPXXB according to ISO 20653</w:t>
      </w:r>
    </w:p>
    <w:p w14:paraId="48AB5917" w14:textId="77777777" w:rsidR="00C321B1" w:rsidRPr="00445711" w:rsidRDefault="00C321B1" w:rsidP="00C321B1">
      <w:pPr>
        <w:pStyle w:val="SingleTxtG"/>
        <w:jc w:val="left"/>
      </w:pPr>
      <w:r w:rsidRPr="00445711">
        <w:rPr>
          <w:b/>
          <w:bCs/>
          <w:u w:val="single"/>
        </w:rPr>
        <w:t xml:space="preserve">IEC 62281:  </w:t>
      </w:r>
      <w:r w:rsidRPr="00445711">
        <w:t>A rupture is considered to have occurred if a cell container or battery case has mechanically failed, resulting in expulsion of gas or spillage of liquids but not forcible ejection of solid materials</w:t>
      </w:r>
      <w:r>
        <w:t>.</w:t>
      </w:r>
    </w:p>
    <w:p w14:paraId="7085B499" w14:textId="77777777" w:rsidR="00C321B1" w:rsidRPr="00445711" w:rsidRDefault="00C321B1" w:rsidP="00C321B1">
      <w:pPr>
        <w:pStyle w:val="SingleTxtG"/>
      </w:pPr>
      <w:r w:rsidRPr="00445711">
        <w:rPr>
          <w:b/>
          <w:bCs/>
          <w:u w:val="single"/>
        </w:rPr>
        <w:t>IEC 62133</w:t>
      </w:r>
      <w:r w:rsidRPr="00445711">
        <w:t>: mechanical failure of a cell container or battery case induced by an internal or external cause, resulting in exposure or spillage but not ejection of materials. It should be noted that IEC 62133 appears to provide an exception for rupture “exposure” in 7.2.2 Case stress at high ambient temperature (battery). The exception would appear to exempt battery designs not fully enclosed by its casings:</w:t>
      </w:r>
    </w:p>
    <w:p w14:paraId="546E4B57" w14:textId="77777777" w:rsidR="00C321B1" w:rsidRPr="00445711" w:rsidRDefault="00C321B1" w:rsidP="00C321B1">
      <w:pPr>
        <w:pStyle w:val="SingleTxtG"/>
        <w:ind w:left="1701"/>
      </w:pPr>
      <w:r>
        <w:t>“</w:t>
      </w:r>
      <w:r w:rsidRPr="00445711">
        <w:t>7.2.2.a) Requirement: Internal components of batteries shall not be exposed during use at high temperature. This requirement only applies to batteries with a moulded case.</w:t>
      </w:r>
      <w:r>
        <w:t>”</w:t>
      </w:r>
    </w:p>
    <w:p w14:paraId="264D28E4" w14:textId="77777777" w:rsidR="00C321B1" w:rsidRPr="00445711" w:rsidRDefault="00C321B1" w:rsidP="00C321B1">
      <w:pPr>
        <w:pStyle w:val="SingleTxtG"/>
      </w:pPr>
      <w:r w:rsidRPr="00445711">
        <w:rPr>
          <w:b/>
          <w:bCs/>
          <w:u w:val="single"/>
        </w:rPr>
        <w:t>ANSI C18.3</w:t>
      </w:r>
      <w:r w:rsidRPr="00445711">
        <w:t>: a mechanical failure of a cell container or battery case, resulting in an expulsion of gas or spillage of liquids but not ejection of solid materials.</w:t>
      </w:r>
    </w:p>
    <w:p w14:paraId="792675F6" w14:textId="77777777" w:rsidR="00C321B1" w:rsidRDefault="00C321B1" w:rsidP="00C321B1">
      <w:pPr>
        <w:rPr>
          <w:u w:val="single"/>
        </w:rPr>
      </w:pPr>
      <w:r>
        <w:rPr>
          <w:u w:val="single"/>
        </w:rPr>
        <w:br w:type="page"/>
      </w:r>
    </w:p>
    <w:p w14:paraId="538854FA" w14:textId="4C81F63E" w:rsidR="00C321B1" w:rsidRPr="003A35FE" w:rsidRDefault="00C321B1" w:rsidP="00C321B1">
      <w:pPr>
        <w:pStyle w:val="H1G"/>
      </w:pPr>
      <w:r w:rsidRPr="003A35FE">
        <w:lastRenderedPageBreak/>
        <w:t>Example photos</w:t>
      </w:r>
      <w:r w:rsidR="0052436B">
        <w:rPr>
          <w:rStyle w:val="FootnoteReference"/>
        </w:rPr>
        <w:footnoteReference w:id="2"/>
      </w:r>
    </w:p>
    <w:p w14:paraId="3030E957" w14:textId="77777777" w:rsidR="00C321B1" w:rsidRPr="00445711" w:rsidRDefault="00C321B1" w:rsidP="00C321B1">
      <w:pPr>
        <w:kinsoku w:val="0"/>
        <w:overflowPunct w:val="0"/>
        <w:autoSpaceDE w:val="0"/>
        <w:autoSpaceDN w:val="0"/>
        <w:adjustRightInd w:val="0"/>
        <w:snapToGrid w:val="0"/>
        <w:spacing w:before="240"/>
        <w:rPr>
          <w:u w:val="single"/>
        </w:rPr>
      </w:pPr>
    </w:p>
    <w:tbl>
      <w:tblPr>
        <w:tblStyle w:val="TableGrid"/>
        <w:tblW w:w="0" w:type="auto"/>
        <w:tblLook w:val="04A0" w:firstRow="1" w:lastRow="0" w:firstColumn="1" w:lastColumn="0" w:noHBand="0" w:noVBand="1"/>
      </w:tblPr>
      <w:tblGrid>
        <w:gridCol w:w="4675"/>
        <w:gridCol w:w="4860"/>
      </w:tblGrid>
      <w:tr w:rsidR="00C321B1" w:rsidRPr="00445711" w14:paraId="31F8350C" w14:textId="77777777" w:rsidTr="00F96774">
        <w:trPr>
          <w:trHeight w:val="2875"/>
        </w:trPr>
        <w:tc>
          <w:tcPr>
            <w:tcW w:w="4675" w:type="dxa"/>
          </w:tcPr>
          <w:p w14:paraId="5F74855F" w14:textId="77777777" w:rsidR="00C321B1" w:rsidRPr="00445711" w:rsidRDefault="00C321B1" w:rsidP="00F96774">
            <w:pPr>
              <w:keepNext/>
              <w:kinsoku w:val="0"/>
              <w:overflowPunct w:val="0"/>
              <w:autoSpaceDE w:val="0"/>
              <w:autoSpaceDN w:val="0"/>
              <w:adjustRightInd w:val="0"/>
              <w:snapToGrid w:val="0"/>
              <w:spacing w:before="240"/>
              <w:jc w:val="center"/>
            </w:pPr>
            <w:r w:rsidRPr="00445711">
              <w:rPr>
                <w:noProof/>
                <w:u w:val="single"/>
              </w:rPr>
              <w:drawing>
                <wp:inline distT="0" distB="0" distL="0" distR="0" wp14:anchorId="222F7E6F" wp14:editId="131229BD">
                  <wp:extent cx="2809875" cy="1199692"/>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31090"/>
                          <a:stretch/>
                        </pic:blipFill>
                        <pic:spPr bwMode="auto">
                          <a:xfrm>
                            <a:off x="0" y="0"/>
                            <a:ext cx="2835497" cy="1210632"/>
                          </a:xfrm>
                          <a:prstGeom prst="rect">
                            <a:avLst/>
                          </a:prstGeom>
                          <a:noFill/>
                          <a:ln>
                            <a:noFill/>
                          </a:ln>
                          <a:extLst>
                            <a:ext uri="{53640926-AAD7-44D8-BBD7-CCE9431645EC}">
                              <a14:shadowObscured xmlns:a14="http://schemas.microsoft.com/office/drawing/2010/main"/>
                            </a:ext>
                          </a:extLst>
                        </pic:spPr>
                      </pic:pic>
                    </a:graphicData>
                  </a:graphic>
                </wp:inline>
              </w:drawing>
            </w:r>
          </w:p>
          <w:p w14:paraId="142D7464" w14:textId="77777777" w:rsidR="00C321B1" w:rsidRPr="00445711" w:rsidRDefault="00C321B1" w:rsidP="00F96774">
            <w:pPr>
              <w:kinsoku w:val="0"/>
              <w:overflowPunct w:val="0"/>
              <w:autoSpaceDE w:val="0"/>
              <w:autoSpaceDN w:val="0"/>
              <w:adjustRightInd w:val="0"/>
              <w:snapToGrid w:val="0"/>
              <w:spacing w:line="240" w:lineRule="auto"/>
              <w:jc w:val="center"/>
              <w:rPr>
                <w:i/>
                <w:iCs/>
                <w:color w:val="1F497D" w:themeColor="text2"/>
                <w:sz w:val="18"/>
                <w:szCs w:val="18"/>
              </w:rPr>
            </w:pPr>
            <w:bookmarkStart w:id="0" w:name="_Ref166142033"/>
            <w:r w:rsidRPr="00445711">
              <w:rPr>
                <w:i/>
                <w:iCs/>
                <w:color w:val="1F497D" w:themeColor="text2"/>
                <w:sz w:val="18"/>
                <w:szCs w:val="18"/>
              </w:rPr>
              <w:t xml:space="preserve">Figure </w:t>
            </w:r>
            <w:r w:rsidRPr="00445711">
              <w:rPr>
                <w:i/>
                <w:iCs/>
                <w:color w:val="1F497D" w:themeColor="text2"/>
                <w:sz w:val="18"/>
                <w:szCs w:val="18"/>
              </w:rPr>
              <w:fldChar w:fldCharType="begin"/>
            </w:r>
            <w:r w:rsidRPr="00445711">
              <w:rPr>
                <w:i/>
                <w:iCs/>
                <w:color w:val="1F497D" w:themeColor="text2"/>
                <w:sz w:val="18"/>
                <w:szCs w:val="18"/>
              </w:rPr>
              <w:instrText xml:space="preserve"> SEQ Figure \* ARABIC </w:instrText>
            </w:r>
            <w:r w:rsidRPr="00445711">
              <w:rPr>
                <w:i/>
                <w:iCs/>
                <w:color w:val="1F497D" w:themeColor="text2"/>
                <w:sz w:val="18"/>
                <w:szCs w:val="18"/>
              </w:rPr>
              <w:fldChar w:fldCharType="separate"/>
            </w:r>
            <w:r>
              <w:rPr>
                <w:i/>
                <w:iCs/>
                <w:noProof/>
                <w:color w:val="1F497D" w:themeColor="text2"/>
                <w:sz w:val="18"/>
                <w:szCs w:val="18"/>
              </w:rPr>
              <w:t>1</w:t>
            </w:r>
            <w:r w:rsidRPr="00445711">
              <w:rPr>
                <w:i/>
                <w:iCs/>
                <w:color w:val="1F497D" w:themeColor="text2"/>
                <w:sz w:val="18"/>
                <w:szCs w:val="18"/>
              </w:rPr>
              <w:fldChar w:fldCharType="end"/>
            </w:r>
            <w:bookmarkEnd w:id="0"/>
          </w:p>
          <w:p w14:paraId="2ED6E2DE" w14:textId="77777777" w:rsidR="00C321B1" w:rsidRPr="00445711" w:rsidRDefault="00C321B1" w:rsidP="00F96774">
            <w:pPr>
              <w:kinsoku w:val="0"/>
              <w:overflowPunct w:val="0"/>
              <w:autoSpaceDE w:val="0"/>
              <w:autoSpaceDN w:val="0"/>
              <w:adjustRightInd w:val="0"/>
              <w:snapToGrid w:val="0"/>
              <w:spacing w:line="240" w:lineRule="auto"/>
              <w:jc w:val="center"/>
              <w:rPr>
                <w:i/>
                <w:iCs/>
                <w:color w:val="1F497D" w:themeColor="text2"/>
                <w:sz w:val="18"/>
                <w:szCs w:val="18"/>
                <w:u w:val="single"/>
              </w:rPr>
            </w:pPr>
            <w:r w:rsidRPr="00445711">
              <w:rPr>
                <w:i/>
                <w:iCs/>
                <w:color w:val="1F497D" w:themeColor="text2"/>
                <w:sz w:val="18"/>
                <w:szCs w:val="18"/>
              </w:rPr>
              <w:t>Battery with bulging resulting in internal cells exposed meets definition of rupture.</w:t>
            </w:r>
          </w:p>
        </w:tc>
        <w:tc>
          <w:tcPr>
            <w:tcW w:w="4860" w:type="dxa"/>
          </w:tcPr>
          <w:p w14:paraId="04CA1D84" w14:textId="77777777" w:rsidR="00C321B1" w:rsidRPr="00445711" w:rsidRDefault="00C321B1" w:rsidP="00F96774">
            <w:pPr>
              <w:keepNext/>
              <w:kinsoku w:val="0"/>
              <w:overflowPunct w:val="0"/>
              <w:autoSpaceDE w:val="0"/>
              <w:autoSpaceDN w:val="0"/>
              <w:adjustRightInd w:val="0"/>
              <w:snapToGrid w:val="0"/>
              <w:spacing w:before="240"/>
              <w:jc w:val="center"/>
            </w:pPr>
            <w:r w:rsidRPr="00445711">
              <w:rPr>
                <w:noProof/>
                <w:u w:val="single"/>
              </w:rPr>
              <w:drawing>
                <wp:inline distT="0" distB="0" distL="0" distR="0" wp14:anchorId="3AD80117" wp14:editId="0BAEA97F">
                  <wp:extent cx="2654935" cy="1185062"/>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7983" t="26309" r="7598" b="27870"/>
                          <a:stretch/>
                        </pic:blipFill>
                        <pic:spPr bwMode="auto">
                          <a:xfrm>
                            <a:off x="0" y="0"/>
                            <a:ext cx="2702909" cy="1206476"/>
                          </a:xfrm>
                          <a:prstGeom prst="rect">
                            <a:avLst/>
                          </a:prstGeom>
                          <a:noFill/>
                          <a:ln>
                            <a:noFill/>
                          </a:ln>
                          <a:extLst>
                            <a:ext uri="{53640926-AAD7-44D8-BBD7-CCE9431645EC}">
                              <a14:shadowObscured xmlns:a14="http://schemas.microsoft.com/office/drawing/2010/main"/>
                            </a:ext>
                          </a:extLst>
                        </pic:spPr>
                      </pic:pic>
                    </a:graphicData>
                  </a:graphic>
                </wp:inline>
              </w:drawing>
            </w:r>
          </w:p>
          <w:p w14:paraId="58DB13A3" w14:textId="77777777" w:rsidR="00C321B1" w:rsidRPr="00445711" w:rsidRDefault="00C321B1" w:rsidP="00F96774">
            <w:pPr>
              <w:kinsoku w:val="0"/>
              <w:overflowPunct w:val="0"/>
              <w:autoSpaceDE w:val="0"/>
              <w:autoSpaceDN w:val="0"/>
              <w:adjustRightInd w:val="0"/>
              <w:snapToGrid w:val="0"/>
              <w:spacing w:line="240" w:lineRule="auto"/>
              <w:jc w:val="center"/>
              <w:rPr>
                <w:i/>
                <w:iCs/>
                <w:color w:val="1F497D" w:themeColor="text2"/>
                <w:sz w:val="18"/>
                <w:szCs w:val="18"/>
              </w:rPr>
            </w:pPr>
            <w:bookmarkStart w:id="1" w:name="_Ref166141976"/>
            <w:r w:rsidRPr="00445711">
              <w:rPr>
                <w:i/>
                <w:iCs/>
                <w:color w:val="1F497D" w:themeColor="text2"/>
                <w:sz w:val="18"/>
                <w:szCs w:val="18"/>
              </w:rPr>
              <w:t xml:space="preserve">Figure </w:t>
            </w:r>
            <w:r w:rsidRPr="00445711">
              <w:rPr>
                <w:i/>
                <w:iCs/>
                <w:color w:val="1F497D" w:themeColor="text2"/>
                <w:sz w:val="18"/>
                <w:szCs w:val="18"/>
              </w:rPr>
              <w:fldChar w:fldCharType="begin"/>
            </w:r>
            <w:r w:rsidRPr="00445711">
              <w:rPr>
                <w:i/>
                <w:iCs/>
                <w:color w:val="1F497D" w:themeColor="text2"/>
                <w:sz w:val="18"/>
                <w:szCs w:val="18"/>
              </w:rPr>
              <w:instrText xml:space="preserve"> SEQ Figure \* ARABIC </w:instrText>
            </w:r>
            <w:r w:rsidRPr="00445711">
              <w:rPr>
                <w:i/>
                <w:iCs/>
                <w:color w:val="1F497D" w:themeColor="text2"/>
                <w:sz w:val="18"/>
                <w:szCs w:val="18"/>
              </w:rPr>
              <w:fldChar w:fldCharType="separate"/>
            </w:r>
            <w:r>
              <w:rPr>
                <w:i/>
                <w:iCs/>
                <w:noProof/>
                <w:color w:val="1F497D" w:themeColor="text2"/>
                <w:sz w:val="18"/>
                <w:szCs w:val="18"/>
              </w:rPr>
              <w:t>2</w:t>
            </w:r>
            <w:r w:rsidRPr="00445711">
              <w:rPr>
                <w:i/>
                <w:iCs/>
                <w:color w:val="1F497D" w:themeColor="text2"/>
                <w:sz w:val="18"/>
                <w:szCs w:val="18"/>
              </w:rPr>
              <w:fldChar w:fldCharType="end"/>
            </w:r>
            <w:bookmarkEnd w:id="1"/>
          </w:p>
          <w:p w14:paraId="678D4761" w14:textId="77777777" w:rsidR="00C321B1" w:rsidRPr="00445711" w:rsidRDefault="00C321B1" w:rsidP="00F96774">
            <w:pPr>
              <w:kinsoku w:val="0"/>
              <w:overflowPunct w:val="0"/>
              <w:autoSpaceDE w:val="0"/>
              <w:autoSpaceDN w:val="0"/>
              <w:adjustRightInd w:val="0"/>
              <w:snapToGrid w:val="0"/>
              <w:spacing w:line="240" w:lineRule="auto"/>
              <w:jc w:val="center"/>
              <w:rPr>
                <w:i/>
                <w:iCs/>
                <w:color w:val="1F497D" w:themeColor="text2"/>
                <w:sz w:val="18"/>
                <w:szCs w:val="18"/>
                <w:u w:val="single"/>
              </w:rPr>
            </w:pPr>
            <w:r w:rsidRPr="00445711">
              <w:rPr>
                <w:i/>
                <w:iCs/>
                <w:color w:val="1F497D" w:themeColor="text2"/>
                <w:sz w:val="18"/>
                <w:szCs w:val="18"/>
              </w:rPr>
              <w:t xml:space="preserve">Battery with bulging (no cells exposed) would </w:t>
            </w:r>
            <w:r w:rsidRPr="00445711">
              <w:rPr>
                <w:i/>
                <w:iCs/>
                <w:color w:val="1F497D" w:themeColor="text2"/>
                <w:sz w:val="18"/>
                <w:szCs w:val="18"/>
                <w:u w:val="single"/>
              </w:rPr>
              <w:t>not</w:t>
            </w:r>
            <w:r w:rsidRPr="00445711">
              <w:rPr>
                <w:i/>
                <w:iCs/>
                <w:color w:val="1F497D" w:themeColor="text2"/>
                <w:sz w:val="18"/>
                <w:szCs w:val="18"/>
              </w:rPr>
              <w:t xml:space="preserve"> meet definition of rupture</w:t>
            </w:r>
          </w:p>
        </w:tc>
      </w:tr>
      <w:tr w:rsidR="00C321B1" w:rsidRPr="00445711" w14:paraId="0C35F2E6" w14:textId="77777777" w:rsidTr="00F96774">
        <w:tc>
          <w:tcPr>
            <w:tcW w:w="4675" w:type="dxa"/>
          </w:tcPr>
          <w:p w14:paraId="1A17DAEA" w14:textId="77777777" w:rsidR="00C321B1" w:rsidRPr="00445711" w:rsidRDefault="00C321B1" w:rsidP="00F96774">
            <w:pPr>
              <w:keepNext/>
              <w:kinsoku w:val="0"/>
              <w:overflowPunct w:val="0"/>
              <w:autoSpaceDE w:val="0"/>
              <w:autoSpaceDN w:val="0"/>
              <w:adjustRightInd w:val="0"/>
              <w:snapToGrid w:val="0"/>
              <w:spacing w:before="240"/>
              <w:jc w:val="center"/>
            </w:pPr>
            <w:r w:rsidRPr="00445711">
              <w:rPr>
                <w:noProof/>
                <w:u w:val="single"/>
              </w:rPr>
              <w:drawing>
                <wp:inline distT="0" distB="0" distL="0" distR="0" wp14:anchorId="46A93452" wp14:editId="6448F6B1">
                  <wp:extent cx="2518614" cy="168249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47304" cy="1701661"/>
                          </a:xfrm>
                          <a:prstGeom prst="rect">
                            <a:avLst/>
                          </a:prstGeom>
                          <a:noFill/>
                          <a:ln>
                            <a:noFill/>
                          </a:ln>
                        </pic:spPr>
                      </pic:pic>
                    </a:graphicData>
                  </a:graphic>
                </wp:inline>
              </w:drawing>
            </w:r>
          </w:p>
          <w:p w14:paraId="2035F669" w14:textId="77777777" w:rsidR="00C321B1" w:rsidRPr="00445711" w:rsidRDefault="00C321B1" w:rsidP="00F96774">
            <w:pPr>
              <w:kinsoku w:val="0"/>
              <w:overflowPunct w:val="0"/>
              <w:autoSpaceDE w:val="0"/>
              <w:autoSpaceDN w:val="0"/>
              <w:adjustRightInd w:val="0"/>
              <w:snapToGrid w:val="0"/>
              <w:spacing w:line="240" w:lineRule="auto"/>
              <w:jc w:val="center"/>
              <w:rPr>
                <w:i/>
                <w:iCs/>
                <w:color w:val="1F497D" w:themeColor="text2"/>
                <w:sz w:val="18"/>
                <w:szCs w:val="18"/>
              </w:rPr>
            </w:pPr>
            <w:bookmarkStart w:id="2" w:name="_Ref166142003"/>
            <w:r w:rsidRPr="00445711">
              <w:rPr>
                <w:i/>
                <w:iCs/>
                <w:color w:val="1F497D" w:themeColor="text2"/>
                <w:sz w:val="18"/>
                <w:szCs w:val="18"/>
              </w:rPr>
              <w:t xml:space="preserve">Figure </w:t>
            </w:r>
            <w:r w:rsidRPr="00445711">
              <w:rPr>
                <w:i/>
                <w:iCs/>
                <w:color w:val="1F497D" w:themeColor="text2"/>
                <w:sz w:val="18"/>
                <w:szCs w:val="18"/>
              </w:rPr>
              <w:fldChar w:fldCharType="begin"/>
            </w:r>
            <w:r w:rsidRPr="00445711">
              <w:rPr>
                <w:i/>
                <w:iCs/>
                <w:color w:val="1F497D" w:themeColor="text2"/>
                <w:sz w:val="18"/>
                <w:szCs w:val="18"/>
              </w:rPr>
              <w:instrText xml:space="preserve"> SEQ Figure \* ARABIC </w:instrText>
            </w:r>
            <w:r w:rsidRPr="00445711">
              <w:rPr>
                <w:i/>
                <w:iCs/>
                <w:color w:val="1F497D" w:themeColor="text2"/>
                <w:sz w:val="18"/>
                <w:szCs w:val="18"/>
              </w:rPr>
              <w:fldChar w:fldCharType="separate"/>
            </w:r>
            <w:r>
              <w:rPr>
                <w:i/>
                <w:iCs/>
                <w:noProof/>
                <w:color w:val="1F497D" w:themeColor="text2"/>
                <w:sz w:val="18"/>
                <w:szCs w:val="18"/>
              </w:rPr>
              <w:t>3</w:t>
            </w:r>
            <w:r w:rsidRPr="00445711">
              <w:rPr>
                <w:i/>
                <w:iCs/>
                <w:color w:val="1F497D" w:themeColor="text2"/>
                <w:sz w:val="18"/>
                <w:szCs w:val="18"/>
              </w:rPr>
              <w:fldChar w:fldCharType="end"/>
            </w:r>
            <w:bookmarkEnd w:id="2"/>
          </w:p>
          <w:p w14:paraId="513AE4D9" w14:textId="77777777" w:rsidR="00C321B1" w:rsidRPr="00445711" w:rsidRDefault="00C321B1" w:rsidP="00F96774">
            <w:pPr>
              <w:kinsoku w:val="0"/>
              <w:overflowPunct w:val="0"/>
              <w:autoSpaceDE w:val="0"/>
              <w:autoSpaceDN w:val="0"/>
              <w:adjustRightInd w:val="0"/>
              <w:snapToGrid w:val="0"/>
              <w:spacing w:line="240" w:lineRule="auto"/>
              <w:jc w:val="center"/>
              <w:rPr>
                <w:i/>
                <w:iCs/>
                <w:color w:val="1F497D" w:themeColor="text2"/>
                <w:sz w:val="18"/>
                <w:szCs w:val="18"/>
                <w:u w:val="single"/>
              </w:rPr>
            </w:pPr>
            <w:r w:rsidRPr="00445711">
              <w:rPr>
                <w:i/>
                <w:iCs/>
                <w:color w:val="1F497D" w:themeColor="text2"/>
                <w:sz w:val="18"/>
                <w:szCs w:val="18"/>
              </w:rPr>
              <w:t>Example Battery Module with cells exposed by design</w:t>
            </w:r>
          </w:p>
        </w:tc>
        <w:tc>
          <w:tcPr>
            <w:tcW w:w="4860" w:type="dxa"/>
          </w:tcPr>
          <w:p w14:paraId="5B6A3657" w14:textId="77777777" w:rsidR="00C321B1" w:rsidRPr="00445711" w:rsidRDefault="00C321B1" w:rsidP="00F96774">
            <w:pPr>
              <w:keepNext/>
              <w:kinsoku w:val="0"/>
              <w:overflowPunct w:val="0"/>
              <w:autoSpaceDE w:val="0"/>
              <w:autoSpaceDN w:val="0"/>
              <w:adjustRightInd w:val="0"/>
              <w:snapToGrid w:val="0"/>
              <w:spacing w:before="240"/>
              <w:jc w:val="center"/>
            </w:pPr>
            <w:r w:rsidRPr="00445711">
              <w:rPr>
                <w:noProof/>
                <w:u w:val="single"/>
              </w:rPr>
              <w:drawing>
                <wp:inline distT="0" distB="0" distL="0" distR="0" wp14:anchorId="5E2CDA63" wp14:editId="79C2EBFE">
                  <wp:extent cx="2788285" cy="165933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4159" r="12912"/>
                          <a:stretch/>
                        </pic:blipFill>
                        <pic:spPr bwMode="auto">
                          <a:xfrm>
                            <a:off x="0" y="0"/>
                            <a:ext cx="2868190" cy="1706888"/>
                          </a:xfrm>
                          <a:prstGeom prst="rect">
                            <a:avLst/>
                          </a:prstGeom>
                          <a:noFill/>
                          <a:ln>
                            <a:noFill/>
                          </a:ln>
                          <a:extLst>
                            <a:ext uri="{53640926-AAD7-44D8-BBD7-CCE9431645EC}">
                              <a14:shadowObscured xmlns:a14="http://schemas.microsoft.com/office/drawing/2010/main"/>
                            </a:ext>
                          </a:extLst>
                        </pic:spPr>
                      </pic:pic>
                    </a:graphicData>
                  </a:graphic>
                </wp:inline>
              </w:drawing>
            </w:r>
          </w:p>
          <w:p w14:paraId="14B39BD2" w14:textId="77777777" w:rsidR="00C321B1" w:rsidRPr="00445711" w:rsidRDefault="00C321B1" w:rsidP="00F96774">
            <w:pPr>
              <w:kinsoku w:val="0"/>
              <w:overflowPunct w:val="0"/>
              <w:autoSpaceDE w:val="0"/>
              <w:autoSpaceDN w:val="0"/>
              <w:adjustRightInd w:val="0"/>
              <w:snapToGrid w:val="0"/>
              <w:spacing w:line="240" w:lineRule="auto"/>
              <w:jc w:val="center"/>
              <w:rPr>
                <w:i/>
                <w:iCs/>
                <w:color w:val="1F497D" w:themeColor="text2"/>
                <w:sz w:val="18"/>
                <w:szCs w:val="18"/>
              </w:rPr>
            </w:pPr>
            <w:bookmarkStart w:id="3" w:name="_Ref166142006"/>
            <w:r w:rsidRPr="00445711">
              <w:rPr>
                <w:i/>
                <w:iCs/>
                <w:color w:val="1F497D" w:themeColor="text2"/>
                <w:sz w:val="18"/>
                <w:szCs w:val="18"/>
              </w:rPr>
              <w:t xml:space="preserve">Figure </w:t>
            </w:r>
            <w:r w:rsidRPr="00445711">
              <w:rPr>
                <w:i/>
                <w:iCs/>
                <w:color w:val="1F497D" w:themeColor="text2"/>
                <w:sz w:val="18"/>
                <w:szCs w:val="18"/>
              </w:rPr>
              <w:fldChar w:fldCharType="begin"/>
            </w:r>
            <w:r w:rsidRPr="00445711">
              <w:rPr>
                <w:i/>
                <w:iCs/>
                <w:color w:val="1F497D" w:themeColor="text2"/>
                <w:sz w:val="18"/>
                <w:szCs w:val="18"/>
              </w:rPr>
              <w:instrText xml:space="preserve"> SEQ Figure \* ARABIC </w:instrText>
            </w:r>
            <w:r w:rsidRPr="00445711">
              <w:rPr>
                <w:i/>
                <w:iCs/>
                <w:color w:val="1F497D" w:themeColor="text2"/>
                <w:sz w:val="18"/>
                <w:szCs w:val="18"/>
              </w:rPr>
              <w:fldChar w:fldCharType="separate"/>
            </w:r>
            <w:r>
              <w:rPr>
                <w:i/>
                <w:iCs/>
                <w:noProof/>
                <w:color w:val="1F497D" w:themeColor="text2"/>
                <w:sz w:val="18"/>
                <w:szCs w:val="18"/>
              </w:rPr>
              <w:t>4</w:t>
            </w:r>
            <w:r w:rsidRPr="00445711">
              <w:rPr>
                <w:i/>
                <w:iCs/>
                <w:color w:val="1F497D" w:themeColor="text2"/>
                <w:sz w:val="18"/>
                <w:szCs w:val="18"/>
              </w:rPr>
              <w:fldChar w:fldCharType="end"/>
            </w:r>
            <w:bookmarkEnd w:id="3"/>
          </w:p>
          <w:p w14:paraId="496D9690" w14:textId="77777777" w:rsidR="00C321B1" w:rsidRPr="00445711" w:rsidRDefault="00C321B1" w:rsidP="00F96774">
            <w:pPr>
              <w:kinsoku w:val="0"/>
              <w:overflowPunct w:val="0"/>
              <w:autoSpaceDE w:val="0"/>
              <w:autoSpaceDN w:val="0"/>
              <w:adjustRightInd w:val="0"/>
              <w:snapToGrid w:val="0"/>
              <w:spacing w:line="240" w:lineRule="auto"/>
              <w:jc w:val="center"/>
              <w:rPr>
                <w:i/>
                <w:iCs/>
                <w:color w:val="1F497D" w:themeColor="text2"/>
                <w:sz w:val="18"/>
                <w:szCs w:val="18"/>
                <w:u w:val="single"/>
              </w:rPr>
            </w:pPr>
            <w:r w:rsidRPr="00445711">
              <w:rPr>
                <w:i/>
                <w:iCs/>
                <w:color w:val="1F497D" w:themeColor="text2"/>
                <w:sz w:val="18"/>
                <w:szCs w:val="18"/>
              </w:rPr>
              <w:t>2nd Example Battery Module with cells exposed by design</w:t>
            </w:r>
          </w:p>
        </w:tc>
      </w:tr>
      <w:tr w:rsidR="00C321B1" w:rsidRPr="00445711" w14:paraId="5F4982E5" w14:textId="77777777" w:rsidTr="00F96774">
        <w:tc>
          <w:tcPr>
            <w:tcW w:w="9535" w:type="dxa"/>
            <w:gridSpan w:val="2"/>
          </w:tcPr>
          <w:p w14:paraId="0CB41A34" w14:textId="77777777" w:rsidR="00C321B1" w:rsidRDefault="00C321B1" w:rsidP="00F96774">
            <w:pPr>
              <w:keepNext/>
              <w:kinsoku w:val="0"/>
              <w:overflowPunct w:val="0"/>
              <w:autoSpaceDE w:val="0"/>
              <w:autoSpaceDN w:val="0"/>
              <w:adjustRightInd w:val="0"/>
              <w:snapToGrid w:val="0"/>
              <w:spacing w:before="240"/>
              <w:jc w:val="center"/>
              <w:rPr>
                <w:noProof/>
                <w:u w:val="single"/>
              </w:rPr>
            </w:pPr>
            <w:r w:rsidRPr="00445711">
              <w:rPr>
                <w:noProof/>
              </w:rPr>
              <w:drawing>
                <wp:inline distT="0" distB="0" distL="0" distR="0" wp14:anchorId="45E45BEB" wp14:editId="64A72EE5">
                  <wp:extent cx="2871022" cy="1609107"/>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07116" cy="1629337"/>
                          </a:xfrm>
                          <a:prstGeom prst="rect">
                            <a:avLst/>
                          </a:prstGeom>
                          <a:noFill/>
                          <a:ln>
                            <a:noFill/>
                          </a:ln>
                        </pic:spPr>
                      </pic:pic>
                    </a:graphicData>
                  </a:graphic>
                </wp:inline>
              </w:drawing>
            </w:r>
          </w:p>
          <w:p w14:paraId="745DFCA7" w14:textId="77777777" w:rsidR="00C321B1" w:rsidRPr="00445711" w:rsidRDefault="00C321B1" w:rsidP="00F96774">
            <w:pPr>
              <w:kinsoku w:val="0"/>
              <w:overflowPunct w:val="0"/>
              <w:autoSpaceDE w:val="0"/>
              <w:autoSpaceDN w:val="0"/>
              <w:adjustRightInd w:val="0"/>
              <w:snapToGrid w:val="0"/>
              <w:spacing w:line="240" w:lineRule="auto"/>
              <w:jc w:val="center"/>
              <w:rPr>
                <w:i/>
                <w:iCs/>
                <w:color w:val="1F497D" w:themeColor="text2"/>
                <w:sz w:val="18"/>
                <w:szCs w:val="18"/>
              </w:rPr>
            </w:pPr>
            <w:r w:rsidRPr="00445711">
              <w:rPr>
                <w:i/>
                <w:iCs/>
                <w:color w:val="1F497D" w:themeColor="text2"/>
                <w:sz w:val="18"/>
                <w:szCs w:val="18"/>
              </w:rPr>
              <w:t xml:space="preserve">Figure </w:t>
            </w:r>
            <w:r>
              <w:rPr>
                <w:i/>
                <w:iCs/>
                <w:color w:val="1F497D" w:themeColor="text2"/>
                <w:sz w:val="18"/>
                <w:szCs w:val="18"/>
              </w:rPr>
              <w:t>5</w:t>
            </w:r>
          </w:p>
          <w:p w14:paraId="54B2829C" w14:textId="77777777" w:rsidR="00C321B1" w:rsidRPr="00445711" w:rsidRDefault="00C321B1" w:rsidP="00F96774">
            <w:pPr>
              <w:keepNext/>
              <w:kinsoku w:val="0"/>
              <w:overflowPunct w:val="0"/>
              <w:autoSpaceDE w:val="0"/>
              <w:autoSpaceDN w:val="0"/>
              <w:adjustRightInd w:val="0"/>
              <w:snapToGrid w:val="0"/>
              <w:jc w:val="center"/>
              <w:rPr>
                <w:noProof/>
                <w:u w:val="single"/>
              </w:rPr>
            </w:pPr>
            <w:r>
              <w:rPr>
                <w:i/>
                <w:iCs/>
                <w:color w:val="1F497D" w:themeColor="text2"/>
                <w:sz w:val="18"/>
                <w:szCs w:val="18"/>
              </w:rPr>
              <w:t>3rd</w:t>
            </w:r>
            <w:r w:rsidRPr="00445711">
              <w:rPr>
                <w:i/>
                <w:iCs/>
                <w:color w:val="1F497D" w:themeColor="text2"/>
                <w:sz w:val="18"/>
                <w:szCs w:val="18"/>
              </w:rPr>
              <w:t xml:space="preserve"> Example Battery Module with cells exposed by design</w:t>
            </w:r>
          </w:p>
        </w:tc>
      </w:tr>
    </w:tbl>
    <w:p w14:paraId="71830AC9" w14:textId="77777777" w:rsidR="009B514C" w:rsidRDefault="009B514C" w:rsidP="009B514C"/>
    <w:p w14:paraId="38D08253" w14:textId="32246F9D" w:rsidR="00C321B1" w:rsidRPr="00C321B1" w:rsidRDefault="00C321B1" w:rsidP="00C321B1">
      <w:pPr>
        <w:spacing w:before="240"/>
        <w:jc w:val="center"/>
        <w:rPr>
          <w:u w:val="single"/>
        </w:rPr>
      </w:pPr>
      <w:r>
        <w:rPr>
          <w:u w:val="single"/>
        </w:rPr>
        <w:tab/>
      </w:r>
      <w:r>
        <w:rPr>
          <w:u w:val="single"/>
        </w:rPr>
        <w:tab/>
      </w:r>
      <w:r>
        <w:rPr>
          <w:u w:val="single"/>
        </w:rPr>
        <w:tab/>
      </w:r>
    </w:p>
    <w:p w14:paraId="6EF0E4EB" w14:textId="2A8B0236" w:rsidR="00BF6190" w:rsidRDefault="00BF6190"/>
    <w:sectPr w:rsidR="00BF6190" w:rsidSect="000A7807">
      <w:headerReference w:type="default" r:id="rId16"/>
      <w:footerReference w:type="default" r:id="rId17"/>
      <w:pgSz w:w="11907" w:h="16840" w:code="9"/>
      <w:pgMar w:top="1418" w:right="1134" w:bottom="1134" w:left="1134" w:header="851"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04CD78" w14:textId="77777777" w:rsidR="00D90D4E" w:rsidRDefault="00D90D4E" w:rsidP="00203584">
      <w:pPr>
        <w:spacing w:line="240" w:lineRule="auto"/>
      </w:pPr>
      <w:r>
        <w:separator/>
      </w:r>
    </w:p>
  </w:endnote>
  <w:endnote w:type="continuationSeparator" w:id="0">
    <w:p w14:paraId="3959E3FA" w14:textId="77777777" w:rsidR="00D90D4E" w:rsidRDefault="00D90D4E" w:rsidP="00203584">
      <w:pPr>
        <w:spacing w:line="240" w:lineRule="auto"/>
      </w:pPr>
      <w:r>
        <w:continuationSeparator/>
      </w:r>
    </w:p>
  </w:endnote>
  <w:endnote w:type="continuationNotice" w:id="1">
    <w:p w14:paraId="320D9762" w14:textId="77777777" w:rsidR="00D90D4E" w:rsidRDefault="00D90D4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
    <w:altName w:val="Arial"/>
    <w:panose1 w:val="020B060402020203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bCs/>
        <w:sz w:val="18"/>
        <w:szCs w:val="18"/>
      </w:rPr>
      <w:id w:val="692498913"/>
      <w:docPartObj>
        <w:docPartGallery w:val="Page Numbers (Bottom of Page)"/>
        <w:docPartUnique/>
      </w:docPartObj>
    </w:sdtPr>
    <w:sdtEndPr>
      <w:rPr>
        <w:noProof/>
      </w:rPr>
    </w:sdtEndPr>
    <w:sdtContent>
      <w:p w14:paraId="713D892E" w14:textId="6EE260CD" w:rsidR="00B15F72" w:rsidRPr="00B15F72" w:rsidRDefault="00B15F72">
        <w:pPr>
          <w:pStyle w:val="Footer"/>
          <w:rPr>
            <w:b/>
            <w:bCs/>
            <w:sz w:val="18"/>
            <w:szCs w:val="18"/>
          </w:rPr>
        </w:pPr>
        <w:r w:rsidRPr="00B15F72">
          <w:rPr>
            <w:b/>
            <w:bCs/>
            <w:sz w:val="18"/>
            <w:szCs w:val="18"/>
          </w:rPr>
          <w:fldChar w:fldCharType="begin"/>
        </w:r>
        <w:r w:rsidRPr="00B15F72">
          <w:rPr>
            <w:b/>
            <w:bCs/>
            <w:sz w:val="18"/>
            <w:szCs w:val="18"/>
          </w:rPr>
          <w:instrText xml:space="preserve"> PAGE   \* MERGEFORMAT </w:instrText>
        </w:r>
        <w:r w:rsidRPr="00B15F72">
          <w:rPr>
            <w:b/>
            <w:bCs/>
            <w:sz w:val="18"/>
            <w:szCs w:val="18"/>
          </w:rPr>
          <w:fldChar w:fldCharType="separate"/>
        </w:r>
        <w:r w:rsidR="00F4343B">
          <w:rPr>
            <w:b/>
            <w:bCs/>
            <w:noProof/>
            <w:sz w:val="18"/>
            <w:szCs w:val="18"/>
          </w:rPr>
          <w:t>2</w:t>
        </w:r>
        <w:r w:rsidRPr="00B15F72">
          <w:rPr>
            <w:b/>
            <w:bCs/>
            <w:noProof/>
            <w:sz w:val="18"/>
            <w:szCs w:val="18"/>
          </w:rPr>
          <w:fldChar w:fldCharType="end"/>
        </w:r>
      </w:p>
    </w:sdtContent>
  </w:sdt>
  <w:p w14:paraId="70C926A4" w14:textId="77777777" w:rsidR="00B15F72" w:rsidRDefault="00B15F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756296" w14:textId="77777777" w:rsidR="00D90D4E" w:rsidRDefault="00D90D4E" w:rsidP="00203584">
      <w:pPr>
        <w:spacing w:line="240" w:lineRule="auto"/>
      </w:pPr>
      <w:r>
        <w:separator/>
      </w:r>
    </w:p>
  </w:footnote>
  <w:footnote w:type="continuationSeparator" w:id="0">
    <w:p w14:paraId="51A6332A" w14:textId="77777777" w:rsidR="00D90D4E" w:rsidRDefault="00D90D4E" w:rsidP="00203584">
      <w:pPr>
        <w:spacing w:line="240" w:lineRule="auto"/>
      </w:pPr>
      <w:r>
        <w:continuationSeparator/>
      </w:r>
    </w:p>
  </w:footnote>
  <w:footnote w:type="continuationNotice" w:id="1">
    <w:p w14:paraId="2565C438" w14:textId="77777777" w:rsidR="00D90D4E" w:rsidRDefault="00D90D4E">
      <w:pPr>
        <w:spacing w:line="240" w:lineRule="auto"/>
      </w:pPr>
    </w:p>
  </w:footnote>
  <w:footnote w:id="2">
    <w:p w14:paraId="34685FCC" w14:textId="77777777" w:rsidR="0052436B" w:rsidRPr="007F6C5F" w:rsidRDefault="0052436B" w:rsidP="0052436B">
      <w:pPr>
        <w:pStyle w:val="FootnoteText"/>
        <w:tabs>
          <w:tab w:val="right" w:pos="851"/>
        </w:tabs>
        <w:jc w:val="both"/>
        <w:rPr>
          <w:i/>
          <w:iCs/>
          <w:lang w:val="en-US"/>
        </w:rPr>
      </w:pPr>
      <w:r>
        <w:tab/>
      </w:r>
      <w:r>
        <w:rPr>
          <w:rStyle w:val="FootnoteReference"/>
        </w:rPr>
        <w:footnoteRef/>
      </w:r>
      <w:r>
        <w:tab/>
      </w:r>
      <w:r w:rsidRPr="003A35FE">
        <w:rPr>
          <w:b/>
          <w:bCs/>
          <w:i/>
          <w:iCs/>
        </w:rPr>
        <w:t>Note by the secretariat:</w:t>
      </w:r>
      <w:r w:rsidRPr="003A35FE">
        <w:rPr>
          <w:i/>
          <w:iCs/>
        </w:rPr>
        <w:t xml:space="preserve"> The author of the document gave the authorization to use the materials contained in the section for the purpose of the discussion at the sixty-fifth session of the Sub-Committee of Experts on the Transport of Dangerous Goods. For reproduction permission and all other issues, please contact: </w:t>
      </w:r>
      <w:hyperlink r:id="rId1" w:history="1">
        <w:r w:rsidRPr="003A35FE">
          <w:rPr>
            <w:rStyle w:val="Hyperlink"/>
            <w:i/>
            <w:iCs/>
            <w:lang w:val="en-US"/>
          </w:rPr>
          <w:t>MBoolish@wiley.law</w:t>
        </w:r>
      </w:hyperlink>
      <w:r w:rsidRPr="003A35FE">
        <w:rPr>
          <w:i/>
          <w:iCs/>
        </w:rPr>
        <w:t>.</w:t>
      </w:r>
    </w:p>
    <w:p w14:paraId="30D07A7F" w14:textId="40DF1D91" w:rsidR="0052436B" w:rsidRPr="0052436B" w:rsidRDefault="0052436B" w:rsidP="0052436B">
      <w:pPr>
        <w:pStyle w:val="FootnoteText"/>
        <w:widowControl w:val="0"/>
        <w:tabs>
          <w:tab w:val="right" w:pos="1020"/>
        </w:tabs>
        <w:spacing w:line="220" w:lineRule="exact"/>
        <w:ind w:left="1134" w:right="1134" w:hanging="1134"/>
        <w:rPr>
          <w:lang w:val="fr-CH"/>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6A670" w14:textId="2120E4C8" w:rsidR="00570FE1" w:rsidRPr="00B15F72" w:rsidRDefault="00570FE1" w:rsidP="00B15F72">
    <w:pPr>
      <w:pStyle w:val="Header"/>
      <w:pBdr>
        <w:bottom w:val="single" w:sz="4" w:space="1" w:color="auto"/>
      </w:pBdr>
      <w:rPr>
        <w:b/>
        <w:bCs/>
        <w:lang w:val="fr-CH"/>
      </w:rPr>
    </w:pPr>
    <w:r w:rsidRPr="00B15F72">
      <w:rPr>
        <w:b/>
        <w:bCs/>
        <w:lang w:val="fr-CH"/>
      </w:rPr>
      <w:t>UN/SCE</w:t>
    </w:r>
    <w:r w:rsidR="00D66F58">
      <w:rPr>
        <w:b/>
        <w:bCs/>
        <w:lang w:val="fr-CH"/>
      </w:rPr>
      <w:t>TDG</w:t>
    </w:r>
    <w:r w:rsidRPr="00B15F72">
      <w:rPr>
        <w:b/>
        <w:bCs/>
        <w:lang w:val="fr-CH"/>
      </w:rPr>
      <w:t>/</w:t>
    </w:r>
    <w:r w:rsidR="00D66F58">
      <w:rPr>
        <w:b/>
        <w:bCs/>
        <w:lang w:val="fr-CH"/>
      </w:rPr>
      <w:t>65</w:t>
    </w:r>
    <w:r w:rsidRPr="00B15F72">
      <w:rPr>
        <w:b/>
        <w:bCs/>
        <w:lang w:val="fr-CH"/>
      </w:rPr>
      <w:t>/INF</w:t>
    </w:r>
    <w:r w:rsidR="00B15F72" w:rsidRPr="00B15F72">
      <w:rPr>
        <w:b/>
        <w:bCs/>
        <w:lang w:val="fr-CH"/>
      </w:rPr>
      <w:t>.</w:t>
    </w:r>
    <w:r w:rsidR="004052D2">
      <w:rPr>
        <w:b/>
        <w:bCs/>
        <w:lang w:val="fr-CH"/>
      </w:rPr>
      <w:t>62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507E0"/>
    <w:multiLevelType w:val="hybridMultilevel"/>
    <w:tmpl w:val="2BB8AAB2"/>
    <w:lvl w:ilvl="0" w:tplc="2A66EA0A">
      <w:start w:val="1"/>
      <w:numFmt w:val="upperRoman"/>
      <w:lvlText w:val="%1."/>
      <w:lvlJc w:val="left"/>
      <w:pPr>
        <w:ind w:left="1210" w:hanging="85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 w15:restartNumberingAfterBreak="0">
    <w:nsid w:val="1CCA26CB"/>
    <w:multiLevelType w:val="hybridMultilevel"/>
    <w:tmpl w:val="096E3D8C"/>
    <w:lvl w:ilvl="0" w:tplc="ACB88A66">
      <w:start w:val="1"/>
      <w:numFmt w:val="decimal"/>
      <w:lvlText w:val="%1."/>
      <w:lvlJc w:val="left"/>
      <w:pPr>
        <w:ind w:left="1704" w:hanging="57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 w15:restartNumberingAfterBreak="0">
    <w:nsid w:val="45BB4BD4"/>
    <w:multiLevelType w:val="hybridMultilevel"/>
    <w:tmpl w:val="51CC6256"/>
    <w:lvl w:ilvl="0" w:tplc="BEC64472">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 w15:restartNumberingAfterBreak="0">
    <w:nsid w:val="46E924F6"/>
    <w:multiLevelType w:val="hybridMultilevel"/>
    <w:tmpl w:val="6BECB8D8"/>
    <w:lvl w:ilvl="0" w:tplc="0C30FF4A">
      <w:start w:val="1"/>
      <w:numFmt w:val="decimal"/>
      <w:lvlText w:val="%1."/>
      <w:lvlJc w:val="left"/>
      <w:pPr>
        <w:ind w:left="1699" w:hanging="565"/>
      </w:pPr>
      <w:rPr>
        <w:rFonts w:hint="default"/>
      </w:rPr>
    </w:lvl>
    <w:lvl w:ilvl="1" w:tplc="080C0019" w:tentative="1">
      <w:start w:val="1"/>
      <w:numFmt w:val="lowerLetter"/>
      <w:lvlText w:val="%2."/>
      <w:lvlJc w:val="left"/>
      <w:pPr>
        <w:ind w:left="2214" w:hanging="360"/>
      </w:pPr>
    </w:lvl>
    <w:lvl w:ilvl="2" w:tplc="080C001B" w:tentative="1">
      <w:start w:val="1"/>
      <w:numFmt w:val="lowerRoman"/>
      <w:lvlText w:val="%3."/>
      <w:lvlJc w:val="right"/>
      <w:pPr>
        <w:ind w:left="2934" w:hanging="180"/>
      </w:pPr>
    </w:lvl>
    <w:lvl w:ilvl="3" w:tplc="080C000F" w:tentative="1">
      <w:start w:val="1"/>
      <w:numFmt w:val="decimal"/>
      <w:lvlText w:val="%4."/>
      <w:lvlJc w:val="left"/>
      <w:pPr>
        <w:ind w:left="3654" w:hanging="360"/>
      </w:pPr>
    </w:lvl>
    <w:lvl w:ilvl="4" w:tplc="080C0019" w:tentative="1">
      <w:start w:val="1"/>
      <w:numFmt w:val="lowerLetter"/>
      <w:lvlText w:val="%5."/>
      <w:lvlJc w:val="left"/>
      <w:pPr>
        <w:ind w:left="4374" w:hanging="360"/>
      </w:pPr>
    </w:lvl>
    <w:lvl w:ilvl="5" w:tplc="080C001B" w:tentative="1">
      <w:start w:val="1"/>
      <w:numFmt w:val="lowerRoman"/>
      <w:lvlText w:val="%6."/>
      <w:lvlJc w:val="right"/>
      <w:pPr>
        <w:ind w:left="5094" w:hanging="180"/>
      </w:pPr>
    </w:lvl>
    <w:lvl w:ilvl="6" w:tplc="080C000F" w:tentative="1">
      <w:start w:val="1"/>
      <w:numFmt w:val="decimal"/>
      <w:lvlText w:val="%7."/>
      <w:lvlJc w:val="left"/>
      <w:pPr>
        <w:ind w:left="5814" w:hanging="360"/>
      </w:pPr>
    </w:lvl>
    <w:lvl w:ilvl="7" w:tplc="080C0019" w:tentative="1">
      <w:start w:val="1"/>
      <w:numFmt w:val="lowerLetter"/>
      <w:lvlText w:val="%8."/>
      <w:lvlJc w:val="left"/>
      <w:pPr>
        <w:ind w:left="6534" w:hanging="360"/>
      </w:pPr>
    </w:lvl>
    <w:lvl w:ilvl="8" w:tplc="080C001B" w:tentative="1">
      <w:start w:val="1"/>
      <w:numFmt w:val="lowerRoman"/>
      <w:lvlText w:val="%9."/>
      <w:lvlJc w:val="right"/>
      <w:pPr>
        <w:ind w:left="7254" w:hanging="180"/>
      </w:pPr>
    </w:lvl>
  </w:abstractNum>
  <w:abstractNum w:abstractNumId="4" w15:restartNumberingAfterBreak="0">
    <w:nsid w:val="5B8966FE"/>
    <w:multiLevelType w:val="hybridMultilevel"/>
    <w:tmpl w:val="488A6C64"/>
    <w:lvl w:ilvl="0" w:tplc="920C4F1C">
      <w:start w:val="1"/>
      <w:numFmt w:val="upperRoman"/>
      <w:lvlText w:val="%1."/>
      <w:lvlJc w:val="left"/>
      <w:pPr>
        <w:ind w:left="1210" w:hanging="85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5" w15:restartNumberingAfterBreak="0">
    <w:nsid w:val="5F0D3F8C"/>
    <w:multiLevelType w:val="hybridMultilevel"/>
    <w:tmpl w:val="2ABE4888"/>
    <w:lvl w:ilvl="0" w:tplc="04090011">
      <w:start w:val="1"/>
      <w:numFmt w:val="decimal"/>
      <w:lvlText w:val="%1)"/>
      <w:lvlJc w:val="left"/>
      <w:pPr>
        <w:ind w:left="2061" w:hanging="360"/>
      </w:p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6" w15:restartNumberingAfterBreak="0">
    <w:nsid w:val="7D951850"/>
    <w:multiLevelType w:val="hybridMultilevel"/>
    <w:tmpl w:val="630AFE74"/>
    <w:lvl w:ilvl="0" w:tplc="15F814A6">
      <w:start w:val="1"/>
      <w:numFmt w:val="lowerLetter"/>
      <w:lvlText w:val="(%1)"/>
      <w:lvlJc w:val="left"/>
      <w:pPr>
        <w:ind w:left="2271" w:hanging="57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num w:numId="1" w16cid:durableId="1664116371">
    <w:abstractNumId w:val="2"/>
  </w:num>
  <w:num w:numId="2" w16cid:durableId="1561937628">
    <w:abstractNumId w:val="1"/>
  </w:num>
  <w:num w:numId="3" w16cid:durableId="397099500">
    <w:abstractNumId w:val="5"/>
  </w:num>
  <w:num w:numId="4" w16cid:durableId="2072264412">
    <w:abstractNumId w:val="6"/>
  </w:num>
  <w:num w:numId="5" w16cid:durableId="761805627">
    <w:abstractNumId w:val="3"/>
  </w:num>
  <w:num w:numId="6" w16cid:durableId="1793283532">
    <w:abstractNumId w:val="4"/>
  </w:num>
  <w:num w:numId="7" w16cid:durableId="1161653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567"/>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0D81"/>
    <w:rsid w:val="00001EDA"/>
    <w:rsid w:val="00002EAC"/>
    <w:rsid w:val="000068C0"/>
    <w:rsid w:val="000106B9"/>
    <w:rsid w:val="000151B4"/>
    <w:rsid w:val="00015CE8"/>
    <w:rsid w:val="00020662"/>
    <w:rsid w:val="00021E29"/>
    <w:rsid w:val="00025C11"/>
    <w:rsid w:val="00027D95"/>
    <w:rsid w:val="0004012A"/>
    <w:rsid w:val="00041A98"/>
    <w:rsid w:val="00041BF7"/>
    <w:rsid w:val="00063616"/>
    <w:rsid w:val="00064720"/>
    <w:rsid w:val="0007007F"/>
    <w:rsid w:val="00070993"/>
    <w:rsid w:val="000722F7"/>
    <w:rsid w:val="000724E3"/>
    <w:rsid w:val="000736C5"/>
    <w:rsid w:val="000800FD"/>
    <w:rsid w:val="00086E13"/>
    <w:rsid w:val="000873C3"/>
    <w:rsid w:val="00091570"/>
    <w:rsid w:val="00091B98"/>
    <w:rsid w:val="0009606F"/>
    <w:rsid w:val="00097624"/>
    <w:rsid w:val="000A6520"/>
    <w:rsid w:val="000A7807"/>
    <w:rsid w:val="000B17DB"/>
    <w:rsid w:val="000B405A"/>
    <w:rsid w:val="000C30A7"/>
    <w:rsid w:val="000C530F"/>
    <w:rsid w:val="000C55DB"/>
    <w:rsid w:val="000C727E"/>
    <w:rsid w:val="000D469A"/>
    <w:rsid w:val="000D56E3"/>
    <w:rsid w:val="000D5782"/>
    <w:rsid w:val="000D77A1"/>
    <w:rsid w:val="000E0FF2"/>
    <w:rsid w:val="000E5585"/>
    <w:rsid w:val="000E69B9"/>
    <w:rsid w:val="000F3F3C"/>
    <w:rsid w:val="000F4956"/>
    <w:rsid w:val="000F74D7"/>
    <w:rsid w:val="0010630E"/>
    <w:rsid w:val="00112440"/>
    <w:rsid w:val="0012055B"/>
    <w:rsid w:val="001210C7"/>
    <w:rsid w:val="00123480"/>
    <w:rsid w:val="00125A56"/>
    <w:rsid w:val="00130F0D"/>
    <w:rsid w:val="00137144"/>
    <w:rsid w:val="0015114B"/>
    <w:rsid w:val="001603DA"/>
    <w:rsid w:val="00165248"/>
    <w:rsid w:val="00166903"/>
    <w:rsid w:val="00172950"/>
    <w:rsid w:val="0017421F"/>
    <w:rsid w:val="001746BF"/>
    <w:rsid w:val="00176DBE"/>
    <w:rsid w:val="00185FDB"/>
    <w:rsid w:val="001876D8"/>
    <w:rsid w:val="001931DE"/>
    <w:rsid w:val="001A0A6A"/>
    <w:rsid w:val="001A34A6"/>
    <w:rsid w:val="001A725F"/>
    <w:rsid w:val="001C6C57"/>
    <w:rsid w:val="001E2247"/>
    <w:rsid w:val="001E4C86"/>
    <w:rsid w:val="001E5D1C"/>
    <w:rsid w:val="001E7040"/>
    <w:rsid w:val="001F0449"/>
    <w:rsid w:val="001F0FE4"/>
    <w:rsid w:val="001F3957"/>
    <w:rsid w:val="001F4464"/>
    <w:rsid w:val="00203584"/>
    <w:rsid w:val="002132F5"/>
    <w:rsid w:val="0021479B"/>
    <w:rsid w:val="00227318"/>
    <w:rsid w:val="00241AF9"/>
    <w:rsid w:val="00246ABD"/>
    <w:rsid w:val="00267F3B"/>
    <w:rsid w:val="002779D2"/>
    <w:rsid w:val="00291992"/>
    <w:rsid w:val="002921C1"/>
    <w:rsid w:val="00293CEE"/>
    <w:rsid w:val="00295944"/>
    <w:rsid w:val="0029647F"/>
    <w:rsid w:val="002B4967"/>
    <w:rsid w:val="002C14FD"/>
    <w:rsid w:val="002C2031"/>
    <w:rsid w:val="002C5C5B"/>
    <w:rsid w:val="002D27CF"/>
    <w:rsid w:val="002D3360"/>
    <w:rsid w:val="002D7683"/>
    <w:rsid w:val="002E1751"/>
    <w:rsid w:val="002E5EB6"/>
    <w:rsid w:val="002F1D0F"/>
    <w:rsid w:val="002F2186"/>
    <w:rsid w:val="00300F1D"/>
    <w:rsid w:val="003018B2"/>
    <w:rsid w:val="00320505"/>
    <w:rsid w:val="00321778"/>
    <w:rsid w:val="003265C8"/>
    <w:rsid w:val="00333CA6"/>
    <w:rsid w:val="0033763B"/>
    <w:rsid w:val="00340648"/>
    <w:rsid w:val="003448EF"/>
    <w:rsid w:val="003525DD"/>
    <w:rsid w:val="003548BF"/>
    <w:rsid w:val="00354EB9"/>
    <w:rsid w:val="0036026F"/>
    <w:rsid w:val="003638B6"/>
    <w:rsid w:val="00366CAD"/>
    <w:rsid w:val="003672EF"/>
    <w:rsid w:val="00367868"/>
    <w:rsid w:val="00372B43"/>
    <w:rsid w:val="00373B3B"/>
    <w:rsid w:val="003756FE"/>
    <w:rsid w:val="00384FAD"/>
    <w:rsid w:val="00386215"/>
    <w:rsid w:val="003908A8"/>
    <w:rsid w:val="003A0A6D"/>
    <w:rsid w:val="003C23B4"/>
    <w:rsid w:val="003C50F7"/>
    <w:rsid w:val="003D09FD"/>
    <w:rsid w:val="003D2352"/>
    <w:rsid w:val="003D5009"/>
    <w:rsid w:val="003F2B14"/>
    <w:rsid w:val="003F36D5"/>
    <w:rsid w:val="003F3E93"/>
    <w:rsid w:val="003F585F"/>
    <w:rsid w:val="004024DC"/>
    <w:rsid w:val="00404F46"/>
    <w:rsid w:val="004052D2"/>
    <w:rsid w:val="00411E68"/>
    <w:rsid w:val="00414064"/>
    <w:rsid w:val="00424D74"/>
    <w:rsid w:val="00431CC4"/>
    <w:rsid w:val="00436053"/>
    <w:rsid w:val="00436BD3"/>
    <w:rsid w:val="00437989"/>
    <w:rsid w:val="00440DD5"/>
    <w:rsid w:val="00443D2B"/>
    <w:rsid w:val="0044508C"/>
    <w:rsid w:val="004472C4"/>
    <w:rsid w:val="00451A2F"/>
    <w:rsid w:val="00456504"/>
    <w:rsid w:val="004578D4"/>
    <w:rsid w:val="0046610B"/>
    <w:rsid w:val="00471019"/>
    <w:rsid w:val="004719E8"/>
    <w:rsid w:val="00471A50"/>
    <w:rsid w:val="00473A72"/>
    <w:rsid w:val="00480BEA"/>
    <w:rsid w:val="0049209D"/>
    <w:rsid w:val="004A59A6"/>
    <w:rsid w:val="004B0F57"/>
    <w:rsid w:val="004B50D5"/>
    <w:rsid w:val="004B60A0"/>
    <w:rsid w:val="004C0FB3"/>
    <w:rsid w:val="004C229F"/>
    <w:rsid w:val="004D0125"/>
    <w:rsid w:val="004E3CC4"/>
    <w:rsid w:val="004F0726"/>
    <w:rsid w:val="00500E46"/>
    <w:rsid w:val="00512714"/>
    <w:rsid w:val="0052436B"/>
    <w:rsid w:val="00543080"/>
    <w:rsid w:val="00543703"/>
    <w:rsid w:val="00543B95"/>
    <w:rsid w:val="00556D99"/>
    <w:rsid w:val="00566AB4"/>
    <w:rsid w:val="00570FE1"/>
    <w:rsid w:val="00572D0E"/>
    <w:rsid w:val="00581038"/>
    <w:rsid w:val="00584FE2"/>
    <w:rsid w:val="00585D5C"/>
    <w:rsid w:val="0058670B"/>
    <w:rsid w:val="005945FA"/>
    <w:rsid w:val="00595167"/>
    <w:rsid w:val="005A28CD"/>
    <w:rsid w:val="005A79AB"/>
    <w:rsid w:val="005B18F8"/>
    <w:rsid w:val="005B453C"/>
    <w:rsid w:val="005B5C7B"/>
    <w:rsid w:val="005C2082"/>
    <w:rsid w:val="005C3A8B"/>
    <w:rsid w:val="005D2AB0"/>
    <w:rsid w:val="005D42CB"/>
    <w:rsid w:val="005D4FFD"/>
    <w:rsid w:val="005D590F"/>
    <w:rsid w:val="005D5A1E"/>
    <w:rsid w:val="005E03A0"/>
    <w:rsid w:val="005E4322"/>
    <w:rsid w:val="005F139B"/>
    <w:rsid w:val="005F161C"/>
    <w:rsid w:val="005F68AF"/>
    <w:rsid w:val="005F78AC"/>
    <w:rsid w:val="0060128B"/>
    <w:rsid w:val="006021A6"/>
    <w:rsid w:val="00610495"/>
    <w:rsid w:val="00615FED"/>
    <w:rsid w:val="0062123D"/>
    <w:rsid w:val="00621594"/>
    <w:rsid w:val="00630D0C"/>
    <w:rsid w:val="0063296F"/>
    <w:rsid w:val="00632AE5"/>
    <w:rsid w:val="0063783B"/>
    <w:rsid w:val="0064031E"/>
    <w:rsid w:val="0064194B"/>
    <w:rsid w:val="00642618"/>
    <w:rsid w:val="0064581B"/>
    <w:rsid w:val="00655375"/>
    <w:rsid w:val="006602DF"/>
    <w:rsid w:val="00664474"/>
    <w:rsid w:val="00673BB6"/>
    <w:rsid w:val="00681C24"/>
    <w:rsid w:val="0068334B"/>
    <w:rsid w:val="00694377"/>
    <w:rsid w:val="00694D62"/>
    <w:rsid w:val="006A6E42"/>
    <w:rsid w:val="006B00AF"/>
    <w:rsid w:val="006B1C47"/>
    <w:rsid w:val="006B21D5"/>
    <w:rsid w:val="006B241C"/>
    <w:rsid w:val="006B2916"/>
    <w:rsid w:val="006B4CF8"/>
    <w:rsid w:val="006C14E1"/>
    <w:rsid w:val="006D4A31"/>
    <w:rsid w:val="006D56BE"/>
    <w:rsid w:val="006D5921"/>
    <w:rsid w:val="006D73E4"/>
    <w:rsid w:val="006E4A6A"/>
    <w:rsid w:val="006E5B79"/>
    <w:rsid w:val="006E5C5A"/>
    <w:rsid w:val="006F4017"/>
    <w:rsid w:val="006F7ABC"/>
    <w:rsid w:val="00700ABE"/>
    <w:rsid w:val="00702906"/>
    <w:rsid w:val="007068C2"/>
    <w:rsid w:val="007153D2"/>
    <w:rsid w:val="00721288"/>
    <w:rsid w:val="007253B9"/>
    <w:rsid w:val="007313B5"/>
    <w:rsid w:val="00733342"/>
    <w:rsid w:val="00734580"/>
    <w:rsid w:val="00735F24"/>
    <w:rsid w:val="007379C5"/>
    <w:rsid w:val="00760605"/>
    <w:rsid w:val="0077465C"/>
    <w:rsid w:val="00777AFA"/>
    <w:rsid w:val="00781DDD"/>
    <w:rsid w:val="0079696E"/>
    <w:rsid w:val="00797CFD"/>
    <w:rsid w:val="007B4F0C"/>
    <w:rsid w:val="007C7831"/>
    <w:rsid w:val="007D06A0"/>
    <w:rsid w:val="007D0C95"/>
    <w:rsid w:val="007D7290"/>
    <w:rsid w:val="007F7110"/>
    <w:rsid w:val="00800D54"/>
    <w:rsid w:val="008079E9"/>
    <w:rsid w:val="0081062F"/>
    <w:rsid w:val="00812A81"/>
    <w:rsid w:val="00814029"/>
    <w:rsid w:val="008161E3"/>
    <w:rsid w:val="00840B37"/>
    <w:rsid w:val="00851A02"/>
    <w:rsid w:val="008560C3"/>
    <w:rsid w:val="0085674F"/>
    <w:rsid w:val="00856D26"/>
    <w:rsid w:val="008672B8"/>
    <w:rsid w:val="008705BF"/>
    <w:rsid w:val="00877DD4"/>
    <w:rsid w:val="008905C4"/>
    <w:rsid w:val="00890977"/>
    <w:rsid w:val="00896B52"/>
    <w:rsid w:val="00897C66"/>
    <w:rsid w:val="008A4DDD"/>
    <w:rsid w:val="008A51F0"/>
    <w:rsid w:val="008B3FF1"/>
    <w:rsid w:val="008B43E8"/>
    <w:rsid w:val="008C2D7B"/>
    <w:rsid w:val="008C2F09"/>
    <w:rsid w:val="008C5C8B"/>
    <w:rsid w:val="008D15C3"/>
    <w:rsid w:val="008D3C1D"/>
    <w:rsid w:val="008E3714"/>
    <w:rsid w:val="008F0381"/>
    <w:rsid w:val="008F08AE"/>
    <w:rsid w:val="009009F3"/>
    <w:rsid w:val="00902640"/>
    <w:rsid w:val="00905F95"/>
    <w:rsid w:val="00906EC7"/>
    <w:rsid w:val="00914479"/>
    <w:rsid w:val="00915E95"/>
    <w:rsid w:val="00916A1C"/>
    <w:rsid w:val="00927183"/>
    <w:rsid w:val="009275DC"/>
    <w:rsid w:val="00927FB7"/>
    <w:rsid w:val="00941DC7"/>
    <w:rsid w:val="00942943"/>
    <w:rsid w:val="00947C80"/>
    <w:rsid w:val="0095027A"/>
    <w:rsid w:val="00960B73"/>
    <w:rsid w:val="00964600"/>
    <w:rsid w:val="00964DB3"/>
    <w:rsid w:val="0096536A"/>
    <w:rsid w:val="00967F54"/>
    <w:rsid w:val="00971E3D"/>
    <w:rsid w:val="009769FE"/>
    <w:rsid w:val="00976EBB"/>
    <w:rsid w:val="009808E7"/>
    <w:rsid w:val="00980DF0"/>
    <w:rsid w:val="00984379"/>
    <w:rsid w:val="00987B52"/>
    <w:rsid w:val="00990121"/>
    <w:rsid w:val="009A4B51"/>
    <w:rsid w:val="009A721E"/>
    <w:rsid w:val="009B3FEF"/>
    <w:rsid w:val="009B514C"/>
    <w:rsid w:val="009C3E1E"/>
    <w:rsid w:val="009C452E"/>
    <w:rsid w:val="009C522C"/>
    <w:rsid w:val="009D0D86"/>
    <w:rsid w:val="009D13E6"/>
    <w:rsid w:val="009D2966"/>
    <w:rsid w:val="009F6591"/>
    <w:rsid w:val="00A04853"/>
    <w:rsid w:val="00A069B3"/>
    <w:rsid w:val="00A06FA3"/>
    <w:rsid w:val="00A07A61"/>
    <w:rsid w:val="00A11D78"/>
    <w:rsid w:val="00A13774"/>
    <w:rsid w:val="00A15C07"/>
    <w:rsid w:val="00A23870"/>
    <w:rsid w:val="00A3459F"/>
    <w:rsid w:val="00A34D19"/>
    <w:rsid w:val="00A355CC"/>
    <w:rsid w:val="00A359E5"/>
    <w:rsid w:val="00A37075"/>
    <w:rsid w:val="00A416E9"/>
    <w:rsid w:val="00A42B3E"/>
    <w:rsid w:val="00A431C6"/>
    <w:rsid w:val="00A45A83"/>
    <w:rsid w:val="00A4609C"/>
    <w:rsid w:val="00A60B83"/>
    <w:rsid w:val="00A6348E"/>
    <w:rsid w:val="00A63CDF"/>
    <w:rsid w:val="00A75A1F"/>
    <w:rsid w:val="00A76480"/>
    <w:rsid w:val="00A81C63"/>
    <w:rsid w:val="00A81EDB"/>
    <w:rsid w:val="00A85DB3"/>
    <w:rsid w:val="00AA0289"/>
    <w:rsid w:val="00AA7E49"/>
    <w:rsid w:val="00AB1072"/>
    <w:rsid w:val="00AB548F"/>
    <w:rsid w:val="00AC0DFB"/>
    <w:rsid w:val="00AC61E5"/>
    <w:rsid w:val="00AE08EB"/>
    <w:rsid w:val="00AE1A09"/>
    <w:rsid w:val="00AE282C"/>
    <w:rsid w:val="00AE73D9"/>
    <w:rsid w:val="00AF6D86"/>
    <w:rsid w:val="00B05ACE"/>
    <w:rsid w:val="00B127AA"/>
    <w:rsid w:val="00B15F72"/>
    <w:rsid w:val="00B23AF9"/>
    <w:rsid w:val="00B25231"/>
    <w:rsid w:val="00B2723C"/>
    <w:rsid w:val="00B37481"/>
    <w:rsid w:val="00B3760B"/>
    <w:rsid w:val="00B41968"/>
    <w:rsid w:val="00B42A47"/>
    <w:rsid w:val="00B42CB8"/>
    <w:rsid w:val="00B45D7A"/>
    <w:rsid w:val="00B61A3B"/>
    <w:rsid w:val="00B668CA"/>
    <w:rsid w:val="00B72FE5"/>
    <w:rsid w:val="00B84376"/>
    <w:rsid w:val="00B91288"/>
    <w:rsid w:val="00BB4EB0"/>
    <w:rsid w:val="00BB74E1"/>
    <w:rsid w:val="00BC21A7"/>
    <w:rsid w:val="00BC593D"/>
    <w:rsid w:val="00BD086F"/>
    <w:rsid w:val="00BD3C34"/>
    <w:rsid w:val="00BD532E"/>
    <w:rsid w:val="00BE0042"/>
    <w:rsid w:val="00BE0EA6"/>
    <w:rsid w:val="00BE1FA4"/>
    <w:rsid w:val="00BF6190"/>
    <w:rsid w:val="00C0258D"/>
    <w:rsid w:val="00C0330F"/>
    <w:rsid w:val="00C0385B"/>
    <w:rsid w:val="00C1152B"/>
    <w:rsid w:val="00C12E23"/>
    <w:rsid w:val="00C21AE3"/>
    <w:rsid w:val="00C25D78"/>
    <w:rsid w:val="00C26282"/>
    <w:rsid w:val="00C321B1"/>
    <w:rsid w:val="00C32486"/>
    <w:rsid w:val="00C33E77"/>
    <w:rsid w:val="00C40176"/>
    <w:rsid w:val="00C43907"/>
    <w:rsid w:val="00C5461B"/>
    <w:rsid w:val="00C569F4"/>
    <w:rsid w:val="00C57528"/>
    <w:rsid w:val="00C65B39"/>
    <w:rsid w:val="00C65F6D"/>
    <w:rsid w:val="00C7083D"/>
    <w:rsid w:val="00C751F4"/>
    <w:rsid w:val="00C7713E"/>
    <w:rsid w:val="00C8432F"/>
    <w:rsid w:val="00C85331"/>
    <w:rsid w:val="00C8628F"/>
    <w:rsid w:val="00CA184F"/>
    <w:rsid w:val="00CA6715"/>
    <w:rsid w:val="00CA73D0"/>
    <w:rsid w:val="00CB323F"/>
    <w:rsid w:val="00CD42DC"/>
    <w:rsid w:val="00CD70C1"/>
    <w:rsid w:val="00CE4714"/>
    <w:rsid w:val="00CF3F91"/>
    <w:rsid w:val="00D01B62"/>
    <w:rsid w:val="00D02056"/>
    <w:rsid w:val="00D062DF"/>
    <w:rsid w:val="00D132EA"/>
    <w:rsid w:val="00D3223C"/>
    <w:rsid w:val="00D40033"/>
    <w:rsid w:val="00D40462"/>
    <w:rsid w:val="00D4395D"/>
    <w:rsid w:val="00D4532E"/>
    <w:rsid w:val="00D50725"/>
    <w:rsid w:val="00D559EB"/>
    <w:rsid w:val="00D62D54"/>
    <w:rsid w:val="00D66F58"/>
    <w:rsid w:val="00D724BB"/>
    <w:rsid w:val="00D73D34"/>
    <w:rsid w:val="00D825E6"/>
    <w:rsid w:val="00D82B7B"/>
    <w:rsid w:val="00D90D4E"/>
    <w:rsid w:val="00D9436E"/>
    <w:rsid w:val="00DA7448"/>
    <w:rsid w:val="00DA7467"/>
    <w:rsid w:val="00DC5197"/>
    <w:rsid w:val="00DD3735"/>
    <w:rsid w:val="00DD6259"/>
    <w:rsid w:val="00DF1AFD"/>
    <w:rsid w:val="00DF3705"/>
    <w:rsid w:val="00DF4430"/>
    <w:rsid w:val="00DF6B2B"/>
    <w:rsid w:val="00E0474E"/>
    <w:rsid w:val="00E054F6"/>
    <w:rsid w:val="00E11618"/>
    <w:rsid w:val="00E16F65"/>
    <w:rsid w:val="00E20A5D"/>
    <w:rsid w:val="00E37A0E"/>
    <w:rsid w:val="00E44FAB"/>
    <w:rsid w:val="00E57A82"/>
    <w:rsid w:val="00E632B8"/>
    <w:rsid w:val="00E64098"/>
    <w:rsid w:val="00E66943"/>
    <w:rsid w:val="00E75739"/>
    <w:rsid w:val="00E76D3E"/>
    <w:rsid w:val="00E77751"/>
    <w:rsid w:val="00E81527"/>
    <w:rsid w:val="00E833CF"/>
    <w:rsid w:val="00E877DD"/>
    <w:rsid w:val="00E911A3"/>
    <w:rsid w:val="00E94AD5"/>
    <w:rsid w:val="00E96C4C"/>
    <w:rsid w:val="00EA0BCA"/>
    <w:rsid w:val="00EA7A22"/>
    <w:rsid w:val="00EB482C"/>
    <w:rsid w:val="00EC3FDA"/>
    <w:rsid w:val="00EC5CED"/>
    <w:rsid w:val="00ED4094"/>
    <w:rsid w:val="00EF0D81"/>
    <w:rsid w:val="00EF11EF"/>
    <w:rsid w:val="00EF53FD"/>
    <w:rsid w:val="00F03C6D"/>
    <w:rsid w:val="00F04159"/>
    <w:rsid w:val="00F0689D"/>
    <w:rsid w:val="00F15E8F"/>
    <w:rsid w:val="00F24774"/>
    <w:rsid w:val="00F31E2D"/>
    <w:rsid w:val="00F37398"/>
    <w:rsid w:val="00F4343B"/>
    <w:rsid w:val="00F61630"/>
    <w:rsid w:val="00F760D9"/>
    <w:rsid w:val="00F77CF4"/>
    <w:rsid w:val="00F835EE"/>
    <w:rsid w:val="00FA0465"/>
    <w:rsid w:val="00FA18F4"/>
    <w:rsid w:val="00FB246D"/>
    <w:rsid w:val="00FC3F12"/>
    <w:rsid w:val="00FC6661"/>
    <w:rsid w:val="00FD3974"/>
    <w:rsid w:val="00FD70FB"/>
    <w:rsid w:val="00FF2DC4"/>
    <w:rsid w:val="00FF336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437698"/>
  <w15:docId w15:val="{9D41F716-E6CE-4B81-B411-58F053B73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0D81"/>
    <w:pPr>
      <w:suppressAutoHyphens/>
      <w:spacing w:after="0" w:line="240" w:lineRule="atLeast"/>
    </w:pPr>
    <w:rPr>
      <w:rFonts w:ascii="Times New Roman" w:eastAsia="Times New Roman" w:hAnsi="Times New Roman"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1"/>
    <w:qFormat/>
    <w:rsid w:val="00EF0D81"/>
    <w:pPr>
      <w:spacing w:after="120"/>
      <w:ind w:left="1134" w:right="1134"/>
      <w:jc w:val="both"/>
    </w:pPr>
  </w:style>
  <w:style w:type="paragraph" w:customStyle="1" w:styleId="HChG">
    <w:name w:val="_ H _Ch_G"/>
    <w:basedOn w:val="Normal"/>
    <w:next w:val="Normal"/>
    <w:link w:val="HChGChar"/>
    <w:qFormat/>
    <w:rsid w:val="00EF0D81"/>
    <w:pPr>
      <w:keepNext/>
      <w:keepLines/>
      <w:tabs>
        <w:tab w:val="right" w:pos="851"/>
      </w:tabs>
      <w:spacing w:before="360" w:after="240" w:line="300" w:lineRule="exact"/>
      <w:ind w:left="1134" w:right="1134" w:hanging="1134"/>
    </w:pPr>
    <w:rPr>
      <w:b/>
      <w:sz w:val="28"/>
    </w:rPr>
  </w:style>
  <w:style w:type="character" w:styleId="Hyperlink">
    <w:name w:val="Hyperlink"/>
    <w:uiPriority w:val="99"/>
    <w:rsid w:val="00EF0D81"/>
    <w:rPr>
      <w:color w:val="auto"/>
      <w:u w:val="none"/>
    </w:rPr>
  </w:style>
  <w:style w:type="paragraph" w:customStyle="1" w:styleId="H1G">
    <w:name w:val="_ H_1_G"/>
    <w:basedOn w:val="Normal"/>
    <w:next w:val="Normal"/>
    <w:link w:val="H1GChar"/>
    <w:qFormat/>
    <w:rsid w:val="00EF0D81"/>
    <w:pPr>
      <w:keepNext/>
      <w:keepLines/>
      <w:tabs>
        <w:tab w:val="right" w:pos="851"/>
      </w:tabs>
      <w:spacing w:before="360" w:after="240" w:line="270" w:lineRule="exact"/>
      <w:ind w:left="1134" w:right="1134" w:hanging="1134"/>
    </w:pPr>
    <w:rPr>
      <w:b/>
      <w:sz w:val="24"/>
    </w:rPr>
  </w:style>
  <w:style w:type="character" w:customStyle="1" w:styleId="HChGChar">
    <w:name w:val="_ H _Ch_G Char"/>
    <w:link w:val="HChG"/>
    <w:qFormat/>
    <w:rsid w:val="00EF0D81"/>
    <w:rPr>
      <w:rFonts w:ascii="Times New Roman" w:eastAsia="Times New Roman" w:hAnsi="Times New Roman" w:cs="Times New Roman"/>
      <w:b/>
      <w:sz w:val="28"/>
      <w:szCs w:val="20"/>
      <w:lang w:val="en-GB"/>
    </w:rPr>
  </w:style>
  <w:style w:type="character" w:customStyle="1" w:styleId="SingleTxtGChar1">
    <w:name w:val="_ Single Txt_G Char1"/>
    <w:link w:val="SingleTxtG"/>
    <w:locked/>
    <w:rsid w:val="00EF0D81"/>
    <w:rPr>
      <w:rFonts w:ascii="Times New Roman" w:eastAsia="Times New Roman" w:hAnsi="Times New Roman" w:cs="Times New Roman"/>
      <w:sz w:val="20"/>
      <w:szCs w:val="20"/>
      <w:lang w:val="en-GB"/>
    </w:rPr>
  </w:style>
  <w:style w:type="paragraph" w:styleId="BalloonText">
    <w:name w:val="Balloon Text"/>
    <w:basedOn w:val="Normal"/>
    <w:link w:val="BalloonTextChar"/>
    <w:uiPriority w:val="99"/>
    <w:semiHidden/>
    <w:unhideWhenUsed/>
    <w:rsid w:val="00EF0D8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0D81"/>
    <w:rPr>
      <w:rFonts w:ascii="Tahoma" w:eastAsia="Times New Roman" w:hAnsi="Tahoma" w:cs="Tahoma"/>
      <w:sz w:val="16"/>
      <w:szCs w:val="16"/>
      <w:lang w:val="en-GB"/>
    </w:rPr>
  </w:style>
  <w:style w:type="paragraph" w:styleId="Header">
    <w:name w:val="header"/>
    <w:aliases w:val="6_G"/>
    <w:basedOn w:val="Normal"/>
    <w:link w:val="HeaderChar"/>
    <w:unhideWhenUsed/>
    <w:qFormat/>
    <w:rsid w:val="00203584"/>
    <w:pPr>
      <w:tabs>
        <w:tab w:val="center" w:pos="4680"/>
        <w:tab w:val="right" w:pos="9360"/>
      </w:tabs>
      <w:spacing w:line="240" w:lineRule="auto"/>
    </w:pPr>
  </w:style>
  <w:style w:type="character" w:customStyle="1" w:styleId="HeaderChar">
    <w:name w:val="Header Char"/>
    <w:aliases w:val="6_G Char"/>
    <w:basedOn w:val="DefaultParagraphFont"/>
    <w:link w:val="Header"/>
    <w:rsid w:val="00203584"/>
    <w:rPr>
      <w:rFonts w:ascii="Times New Roman" w:eastAsia="Times New Roman" w:hAnsi="Times New Roman" w:cs="Times New Roman"/>
      <w:sz w:val="20"/>
      <w:szCs w:val="20"/>
      <w:lang w:val="en-GB"/>
    </w:rPr>
  </w:style>
  <w:style w:type="paragraph" w:styleId="Footer">
    <w:name w:val="footer"/>
    <w:basedOn w:val="Normal"/>
    <w:link w:val="FooterChar"/>
    <w:uiPriority w:val="99"/>
    <w:unhideWhenUsed/>
    <w:rsid w:val="00203584"/>
    <w:pPr>
      <w:tabs>
        <w:tab w:val="center" w:pos="4680"/>
        <w:tab w:val="right" w:pos="9360"/>
      </w:tabs>
      <w:spacing w:line="240" w:lineRule="auto"/>
    </w:pPr>
  </w:style>
  <w:style w:type="character" w:customStyle="1" w:styleId="FooterChar">
    <w:name w:val="Footer Char"/>
    <w:basedOn w:val="DefaultParagraphFont"/>
    <w:link w:val="Footer"/>
    <w:uiPriority w:val="99"/>
    <w:rsid w:val="00203584"/>
    <w:rPr>
      <w:rFonts w:ascii="Times New Roman" w:eastAsia="Times New Roman" w:hAnsi="Times New Roman" w:cs="Times New Roman"/>
      <w:sz w:val="20"/>
      <w:szCs w:val="20"/>
      <w:lang w:val="en-GB"/>
    </w:rPr>
  </w:style>
  <w:style w:type="paragraph" w:styleId="NormalWeb">
    <w:name w:val="Normal (Web)"/>
    <w:basedOn w:val="Normal"/>
    <w:uiPriority w:val="99"/>
    <w:semiHidden/>
    <w:unhideWhenUsed/>
    <w:rsid w:val="00C1152B"/>
    <w:pPr>
      <w:suppressAutoHyphens w:val="0"/>
      <w:spacing w:before="100" w:beforeAutospacing="1" w:after="100" w:afterAutospacing="1" w:line="240" w:lineRule="auto"/>
    </w:pPr>
    <w:rPr>
      <w:rFonts w:eastAsiaTheme="minorHAnsi"/>
      <w:sz w:val="24"/>
      <w:szCs w:val="24"/>
      <w:lang w:val="en-US"/>
    </w:rPr>
  </w:style>
  <w:style w:type="character" w:customStyle="1" w:styleId="SingleTxtGChar">
    <w:name w:val="_ Single Txt_G Char"/>
    <w:qFormat/>
    <w:rsid w:val="007F7110"/>
    <w:rPr>
      <w:lang w:eastAsia="en-US"/>
    </w:rPr>
  </w:style>
  <w:style w:type="paragraph" w:styleId="FootnoteText">
    <w:name w:val="footnote text"/>
    <w:aliases w:val="5_G"/>
    <w:basedOn w:val="Normal"/>
    <w:link w:val="FootnoteTextChar"/>
    <w:unhideWhenUsed/>
    <w:qFormat/>
    <w:rsid w:val="00E64098"/>
    <w:pPr>
      <w:spacing w:line="240" w:lineRule="auto"/>
    </w:pPr>
  </w:style>
  <w:style w:type="character" w:customStyle="1" w:styleId="FootnoteTextChar">
    <w:name w:val="Footnote Text Char"/>
    <w:aliases w:val="5_G Char"/>
    <w:basedOn w:val="DefaultParagraphFont"/>
    <w:link w:val="FootnoteText"/>
    <w:rsid w:val="00E64098"/>
    <w:rPr>
      <w:rFonts w:ascii="Times New Roman" w:eastAsia="Times New Roman" w:hAnsi="Times New Roman" w:cs="Times New Roman"/>
      <w:sz w:val="20"/>
      <w:szCs w:val="20"/>
      <w:lang w:val="en-GB"/>
    </w:rPr>
  </w:style>
  <w:style w:type="character" w:styleId="FootnoteReference">
    <w:name w:val="footnote reference"/>
    <w:aliases w:val="4_G"/>
    <w:basedOn w:val="DefaultParagraphFont"/>
    <w:unhideWhenUsed/>
    <w:qFormat/>
    <w:rsid w:val="00E64098"/>
    <w:rPr>
      <w:vertAlign w:val="superscript"/>
    </w:rPr>
  </w:style>
  <w:style w:type="character" w:styleId="CommentReference">
    <w:name w:val="annotation reference"/>
    <w:basedOn w:val="DefaultParagraphFont"/>
    <w:uiPriority w:val="99"/>
    <w:semiHidden/>
    <w:unhideWhenUsed/>
    <w:rsid w:val="00A81EDB"/>
    <w:rPr>
      <w:sz w:val="16"/>
      <w:szCs w:val="16"/>
    </w:rPr>
  </w:style>
  <w:style w:type="paragraph" w:styleId="CommentText">
    <w:name w:val="annotation text"/>
    <w:basedOn w:val="Normal"/>
    <w:link w:val="CommentTextChar"/>
    <w:uiPriority w:val="99"/>
    <w:unhideWhenUsed/>
    <w:rsid w:val="00A81EDB"/>
    <w:pPr>
      <w:spacing w:line="240" w:lineRule="auto"/>
    </w:pPr>
  </w:style>
  <w:style w:type="character" w:customStyle="1" w:styleId="CommentTextChar">
    <w:name w:val="Comment Text Char"/>
    <w:basedOn w:val="DefaultParagraphFont"/>
    <w:link w:val="CommentText"/>
    <w:uiPriority w:val="99"/>
    <w:rsid w:val="00A81ED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A81EDB"/>
    <w:rPr>
      <w:b/>
      <w:bCs/>
    </w:rPr>
  </w:style>
  <w:style w:type="character" w:customStyle="1" w:styleId="CommentSubjectChar">
    <w:name w:val="Comment Subject Char"/>
    <w:basedOn w:val="CommentTextChar"/>
    <w:link w:val="CommentSubject"/>
    <w:uiPriority w:val="99"/>
    <w:semiHidden/>
    <w:rsid w:val="00A81EDB"/>
    <w:rPr>
      <w:rFonts w:ascii="Times New Roman" w:eastAsia="Times New Roman" w:hAnsi="Times New Roman" w:cs="Times New Roman"/>
      <w:b/>
      <w:bCs/>
      <w:sz w:val="20"/>
      <w:szCs w:val="20"/>
      <w:lang w:val="en-GB"/>
    </w:rPr>
  </w:style>
  <w:style w:type="paragraph" w:styleId="Revision">
    <w:name w:val="Revision"/>
    <w:hidden/>
    <w:uiPriority w:val="99"/>
    <w:semiHidden/>
    <w:rsid w:val="00424D74"/>
    <w:pPr>
      <w:spacing w:after="0" w:line="240" w:lineRule="auto"/>
    </w:pPr>
    <w:rPr>
      <w:rFonts w:ascii="Times New Roman" w:eastAsia="Times New Roman" w:hAnsi="Times New Roman" w:cs="Times New Roman"/>
      <w:sz w:val="20"/>
      <w:szCs w:val="20"/>
      <w:lang w:val="en-GB"/>
    </w:rPr>
  </w:style>
  <w:style w:type="table" w:styleId="TableGrid">
    <w:name w:val="Table Grid"/>
    <w:basedOn w:val="TableNormal"/>
    <w:rsid w:val="009C45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B74E1"/>
    <w:rPr>
      <w:color w:val="605E5C"/>
      <w:shd w:val="clear" w:color="auto" w:fill="E1DFDD"/>
    </w:rPr>
  </w:style>
  <w:style w:type="character" w:customStyle="1" w:styleId="H1GChar">
    <w:name w:val="_ H_1_G Char"/>
    <w:link w:val="H1G"/>
    <w:qFormat/>
    <w:rsid w:val="009B514C"/>
    <w:rPr>
      <w:rFonts w:ascii="Times New Roman" w:eastAsia="Times New Roman" w:hAnsi="Times New Roman" w:cs="Times New Roman"/>
      <w:b/>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045884">
      <w:bodyDiv w:val="1"/>
      <w:marLeft w:val="0"/>
      <w:marRight w:val="0"/>
      <w:marTop w:val="0"/>
      <w:marBottom w:val="0"/>
      <w:divBdr>
        <w:top w:val="none" w:sz="0" w:space="0" w:color="auto"/>
        <w:left w:val="none" w:sz="0" w:space="0" w:color="auto"/>
        <w:bottom w:val="none" w:sz="0" w:space="0" w:color="auto"/>
        <w:right w:val="none" w:sz="0" w:space="0" w:color="auto"/>
      </w:divBdr>
    </w:div>
    <w:div w:id="1856993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5.jpe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_rels/footnotes.xml.rels><?xml version="1.0" encoding="UTF-8" standalone="yes"?>
<Relationships xmlns="http://schemas.openxmlformats.org/package/2006/relationships"><Relationship Id="rId1" Type="http://schemas.openxmlformats.org/officeDocument/2006/relationships/hyperlink" Target="mailto:MBoolish@wiley.la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9" ma:contentTypeDescription="Create a new document." ma:contentTypeScope="" ma:versionID="957983f112ff70deb4ba3514eaba81b6">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226e8c697896011a9f0e61e90df53f9c"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Props1.xml><?xml version="1.0" encoding="utf-8"?>
<ds:datastoreItem xmlns:ds="http://schemas.openxmlformats.org/officeDocument/2006/customXml" ds:itemID="{195123E7-C4CC-4AF5-A682-9528BB4A44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01E6B1-9F67-4A82-BB1F-86B2E350E48A}">
  <ds:schemaRefs>
    <ds:schemaRef ds:uri="http://schemas.openxmlformats.org/officeDocument/2006/bibliography"/>
  </ds:schemaRefs>
</ds:datastoreItem>
</file>

<file path=customXml/itemProps3.xml><?xml version="1.0" encoding="utf-8"?>
<ds:datastoreItem xmlns:ds="http://schemas.openxmlformats.org/officeDocument/2006/customXml" ds:itemID="{5E215D2B-13B6-4E7D-8026-491D4FE789D8}">
  <ds:schemaRefs>
    <ds:schemaRef ds:uri="http://schemas.microsoft.com/sharepoint/v3/contenttype/forms"/>
  </ds:schemaRefs>
</ds:datastoreItem>
</file>

<file path=customXml/itemProps4.xml><?xml version="1.0" encoding="utf-8"?>
<ds:datastoreItem xmlns:ds="http://schemas.openxmlformats.org/officeDocument/2006/customXml" ds:itemID="{1F89024B-0574-4F30-8633-99F531FE5875}">
  <ds:schemaRefs>
    <ds:schemaRef ds:uri="http://schemas.microsoft.com/office/2006/metadata/properties"/>
    <ds:schemaRef ds:uri="http://schemas.microsoft.com/office/infopath/2007/PartnerControls"/>
    <ds:schemaRef ds:uri="acccb6d4-dbe5-46d2-b4d3-5733603d8cc6"/>
    <ds:schemaRef ds:uri="985ec44e-1bab-4c0b-9df0-6ba128686fc9"/>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Normal.dotm</Template>
  <TotalTime>5</TotalTime>
  <Pages>3</Pages>
  <Words>685</Words>
  <Characters>3907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Holmes, Deana - OSHA</dc:creator>
  <cp:keywords/>
  <dc:description/>
  <cp:lastModifiedBy>Final Romain Hubert</cp:lastModifiedBy>
  <cp:revision>8</cp:revision>
  <cp:lastPrinted>2024-11-26T16:32:00Z</cp:lastPrinted>
  <dcterms:created xsi:type="dcterms:W3CDTF">2024-11-28T09:14:00Z</dcterms:created>
  <dcterms:modified xsi:type="dcterms:W3CDTF">2024-11-28T10:28:00Z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MediaServiceImageTags">
    <vt:lpwstr/>
  </property>
  <property fmtid="{D5CDD505-2E9C-101B-9397-08002B2CF9AE}" pid="4" name="Office_x0020_of_x0020_Origin">
    <vt:lpwstr/>
  </property>
  <property fmtid="{D5CDD505-2E9C-101B-9397-08002B2CF9AE}" pid="5" name="gba66df640194346a5267c50f24d4797">
    <vt:lpwstr/>
  </property>
  <property fmtid="{D5CDD505-2E9C-101B-9397-08002B2CF9AE}" pid="6" name="Office of Origin">
    <vt:lpwstr/>
  </property>
</Properties>
</file>