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EF0D81" w:rsidRPr="0099001C" w14:paraId="27324BBB" w14:textId="77777777" w:rsidTr="000D5782">
        <w:trPr>
          <w:cantSplit/>
          <w:trHeight w:hRule="exact" w:val="851"/>
        </w:trPr>
        <w:tc>
          <w:tcPr>
            <w:tcW w:w="9639" w:type="dxa"/>
            <w:tcBorders>
              <w:bottom w:val="single" w:sz="4" w:space="0" w:color="auto"/>
            </w:tcBorders>
            <w:vAlign w:val="bottom"/>
          </w:tcPr>
          <w:p w14:paraId="56EB97FB" w14:textId="1C2C8046" w:rsidR="00EF0D81" w:rsidRPr="0099001C" w:rsidRDefault="00EF0D81" w:rsidP="00E76D3E">
            <w:pPr>
              <w:jc w:val="right"/>
              <w:rPr>
                <w:b/>
                <w:sz w:val="40"/>
                <w:szCs w:val="40"/>
              </w:rPr>
            </w:pPr>
            <w:r w:rsidRPr="0099001C">
              <w:rPr>
                <w:b/>
                <w:sz w:val="40"/>
                <w:szCs w:val="40"/>
              </w:rPr>
              <w:t>UN/SCEGHS/</w:t>
            </w:r>
            <w:r w:rsidR="00D73D34">
              <w:rPr>
                <w:b/>
                <w:sz w:val="40"/>
                <w:szCs w:val="40"/>
              </w:rPr>
              <w:t>4</w:t>
            </w:r>
            <w:r w:rsidR="00EC5CED">
              <w:rPr>
                <w:b/>
                <w:sz w:val="40"/>
                <w:szCs w:val="40"/>
              </w:rPr>
              <w:t>7</w:t>
            </w:r>
            <w:r w:rsidRPr="0099001C">
              <w:rPr>
                <w:b/>
                <w:sz w:val="40"/>
                <w:szCs w:val="40"/>
              </w:rPr>
              <w:t>/INF.</w:t>
            </w:r>
            <w:r w:rsidR="009D13E6">
              <w:rPr>
                <w:b/>
                <w:sz w:val="40"/>
                <w:szCs w:val="40"/>
              </w:rPr>
              <w:t>29</w:t>
            </w:r>
          </w:p>
        </w:tc>
      </w:tr>
      <w:tr w:rsidR="00EF0D81" w14:paraId="4980032E" w14:textId="77777777" w:rsidTr="0010630E">
        <w:trPr>
          <w:cantSplit/>
          <w:trHeight w:hRule="exact" w:val="2846"/>
        </w:trPr>
        <w:tc>
          <w:tcPr>
            <w:tcW w:w="9639" w:type="dxa"/>
            <w:tcBorders>
              <w:top w:val="single" w:sz="4" w:space="0" w:color="auto"/>
            </w:tcBorders>
          </w:tcPr>
          <w:p w14:paraId="4F900CB7" w14:textId="77777777" w:rsidR="00EF0D81" w:rsidRPr="00691F20" w:rsidRDefault="00EF0D81" w:rsidP="000D5782">
            <w:pPr>
              <w:spacing w:before="120"/>
              <w:rPr>
                <w:b/>
                <w:sz w:val="24"/>
                <w:szCs w:val="24"/>
                <w:lang w:val="en-US"/>
              </w:rPr>
            </w:pPr>
            <w:r w:rsidRPr="00691F20">
              <w:rPr>
                <w:b/>
                <w:sz w:val="24"/>
                <w:szCs w:val="24"/>
                <w:lang w:val="en-US"/>
              </w:rPr>
              <w:t>Committee of Experts on the Transport of Dangerous Goods</w:t>
            </w:r>
            <w:r w:rsidRPr="00691F20">
              <w:rPr>
                <w:b/>
                <w:sz w:val="24"/>
                <w:szCs w:val="24"/>
                <w:lang w:val="en-US"/>
              </w:rPr>
              <w:br/>
              <w:t>and on the Globally Harmonized System of Classification</w:t>
            </w:r>
            <w:r w:rsidRPr="00691F20">
              <w:rPr>
                <w:b/>
                <w:sz w:val="24"/>
                <w:szCs w:val="24"/>
                <w:lang w:val="en-US"/>
              </w:rPr>
              <w:br/>
              <w:t>and Labelling of Chemicals</w:t>
            </w:r>
          </w:p>
          <w:p w14:paraId="6444A2C4" w14:textId="21F46E40" w:rsidR="00EF0D81" w:rsidRPr="009F0F06" w:rsidRDefault="00EF0D81" w:rsidP="000D5782">
            <w:pPr>
              <w:tabs>
                <w:tab w:val="right" w:pos="9300"/>
              </w:tabs>
              <w:spacing w:before="120"/>
              <w:rPr>
                <w:rFonts w:ascii="Helv" w:hAnsi="Helv" w:cs="Helv"/>
                <w:b/>
                <w:color w:val="000000"/>
                <w:lang w:val="en-US"/>
              </w:rPr>
            </w:pPr>
            <w:r w:rsidRPr="00691F20">
              <w:rPr>
                <w:b/>
                <w:lang w:val="en-US"/>
              </w:rPr>
              <w:t>Sub-Committee of Experts on the Globally Harmonized</w:t>
            </w:r>
            <w:r w:rsidRPr="00691F20">
              <w:rPr>
                <w:b/>
                <w:lang w:val="en-US"/>
              </w:rPr>
              <w:br/>
              <w:t>System of Classification and Labelling of Chemicals</w:t>
            </w:r>
            <w:r>
              <w:rPr>
                <w:b/>
                <w:lang w:val="en-US"/>
              </w:rPr>
              <w:tab/>
            </w:r>
            <w:r w:rsidR="009D13E6">
              <w:rPr>
                <w:b/>
                <w:lang w:val="en-US"/>
              </w:rPr>
              <w:t>26</w:t>
            </w:r>
            <w:r w:rsidR="008D3C1D">
              <w:rPr>
                <w:b/>
                <w:lang w:val="en-US"/>
              </w:rPr>
              <w:t xml:space="preserve"> </w:t>
            </w:r>
            <w:r w:rsidR="00EC5CED">
              <w:rPr>
                <w:b/>
                <w:lang w:val="en-US"/>
              </w:rPr>
              <w:t>November</w:t>
            </w:r>
            <w:r w:rsidR="001F3957">
              <w:rPr>
                <w:b/>
                <w:lang w:val="en-US"/>
              </w:rPr>
              <w:t xml:space="preserve"> 202</w:t>
            </w:r>
            <w:r w:rsidR="00EC5CED">
              <w:rPr>
                <w:b/>
                <w:lang w:val="en-US"/>
              </w:rPr>
              <w:t>4</w:t>
            </w:r>
          </w:p>
          <w:p w14:paraId="382534B0" w14:textId="61A49061" w:rsidR="00EF0D81" w:rsidRPr="006E39A4" w:rsidRDefault="00DF4430" w:rsidP="000D5782">
            <w:pPr>
              <w:spacing w:before="120"/>
              <w:rPr>
                <w:b/>
              </w:rPr>
            </w:pPr>
            <w:r>
              <w:rPr>
                <w:b/>
              </w:rPr>
              <w:t>Forty-</w:t>
            </w:r>
            <w:r w:rsidR="00EC5CED">
              <w:rPr>
                <w:b/>
              </w:rPr>
              <w:t>seventh</w:t>
            </w:r>
            <w:r w:rsidR="00EF0D81" w:rsidRPr="006E39A4">
              <w:rPr>
                <w:b/>
              </w:rPr>
              <w:t xml:space="preserve"> session</w:t>
            </w:r>
          </w:p>
          <w:p w14:paraId="0663049B" w14:textId="620426B9" w:rsidR="00EF0D81" w:rsidRPr="006E39A4" w:rsidRDefault="00EF0D81" w:rsidP="000D5782">
            <w:r w:rsidRPr="006E39A4">
              <w:t xml:space="preserve">Geneva, </w:t>
            </w:r>
            <w:r w:rsidR="00EC5CED">
              <w:t>4</w:t>
            </w:r>
            <w:r w:rsidR="001F3957">
              <w:t>-</w:t>
            </w:r>
            <w:r w:rsidR="00EC5CED">
              <w:t>6</w:t>
            </w:r>
            <w:r>
              <w:t xml:space="preserve"> December </w:t>
            </w:r>
            <w:r w:rsidR="001F3957">
              <w:t>202</w:t>
            </w:r>
            <w:r w:rsidR="00EC5CED">
              <w:t>4</w:t>
            </w:r>
          </w:p>
          <w:p w14:paraId="1FB4586C" w14:textId="2D97FCF0" w:rsidR="00EF0D81" w:rsidRDefault="00EF0D81" w:rsidP="000D5782">
            <w:r w:rsidRPr="006E39A4">
              <w:t xml:space="preserve">Item </w:t>
            </w:r>
            <w:r w:rsidR="00EC5CED">
              <w:t xml:space="preserve">5 </w:t>
            </w:r>
            <w:r w:rsidRPr="006E39A4">
              <w:t>of the provisional agenda</w:t>
            </w:r>
          </w:p>
          <w:p w14:paraId="64B0DDDB" w14:textId="1AE96900" w:rsidR="00EF0D81" w:rsidRPr="009E7ABD" w:rsidRDefault="00EF0D81" w:rsidP="000D5782">
            <w:pPr>
              <w:rPr>
                <w:b/>
              </w:rPr>
            </w:pPr>
            <w:r>
              <w:rPr>
                <w:b/>
              </w:rPr>
              <w:t xml:space="preserve">Programme of work for </w:t>
            </w:r>
            <w:r w:rsidR="001F3957">
              <w:rPr>
                <w:b/>
              </w:rPr>
              <w:t>202</w:t>
            </w:r>
            <w:r w:rsidR="00EC5CED">
              <w:rPr>
                <w:b/>
              </w:rPr>
              <w:t>5</w:t>
            </w:r>
            <w:r>
              <w:rPr>
                <w:b/>
              </w:rPr>
              <w:t>–</w:t>
            </w:r>
            <w:r w:rsidR="001F3957">
              <w:rPr>
                <w:b/>
              </w:rPr>
              <w:t>202</w:t>
            </w:r>
            <w:r w:rsidR="00EC5CED">
              <w:rPr>
                <w:b/>
              </w:rPr>
              <w:t>6</w:t>
            </w:r>
          </w:p>
          <w:p w14:paraId="703C045B" w14:textId="77777777" w:rsidR="00EF0D81" w:rsidRDefault="00EF0D81" w:rsidP="000D5782">
            <w:pPr>
              <w:spacing w:line="240" w:lineRule="exact"/>
            </w:pPr>
          </w:p>
        </w:tc>
      </w:tr>
    </w:tbl>
    <w:p w14:paraId="4F06D9BF" w14:textId="00B9EC9D" w:rsidR="00EF0D81" w:rsidRPr="00FB246D" w:rsidRDefault="00EF0D81" w:rsidP="00FB246D">
      <w:pPr>
        <w:pStyle w:val="HChG"/>
        <w:rPr>
          <w:rFonts w:eastAsia="MS Mincho"/>
        </w:rPr>
      </w:pPr>
      <w:r w:rsidRPr="00F66549">
        <w:rPr>
          <w:rFonts w:eastAsia="MS Mincho"/>
        </w:rPr>
        <w:tab/>
      </w:r>
      <w:r w:rsidRPr="00F66549">
        <w:rPr>
          <w:rFonts w:eastAsia="MS Mincho"/>
        </w:rPr>
        <w:tab/>
      </w:r>
      <w:r w:rsidR="00EC5CED" w:rsidRPr="00FB246D">
        <w:rPr>
          <w:rFonts w:eastAsia="MS Mincho"/>
        </w:rPr>
        <w:t>P</w:t>
      </w:r>
      <w:r w:rsidRPr="00FB246D">
        <w:rPr>
          <w:rFonts w:eastAsia="MS Mincho"/>
        </w:rPr>
        <w:t xml:space="preserve">roposal for the ongoing work of the informal </w:t>
      </w:r>
      <w:r w:rsidR="005C3A8B" w:rsidRPr="00FB246D">
        <w:rPr>
          <w:rFonts w:eastAsia="MS Mincho"/>
        </w:rPr>
        <w:t xml:space="preserve">working </w:t>
      </w:r>
      <w:r w:rsidRPr="00FB246D">
        <w:rPr>
          <w:rFonts w:eastAsia="MS Mincho"/>
        </w:rPr>
        <w:t>group on practical classification issues</w:t>
      </w:r>
    </w:p>
    <w:p w14:paraId="54DC4CA7" w14:textId="77861F6F" w:rsidR="00EF0D81" w:rsidRPr="00FB246D" w:rsidRDefault="00EF0D81" w:rsidP="00FB246D">
      <w:pPr>
        <w:pStyle w:val="H1G"/>
        <w:rPr>
          <w:rFonts w:eastAsia="MS Mincho"/>
          <w:highlight w:val="yellow"/>
        </w:rPr>
      </w:pPr>
      <w:r w:rsidRPr="00F66549">
        <w:rPr>
          <w:rFonts w:eastAsia="MS Mincho"/>
        </w:rPr>
        <w:tab/>
      </w:r>
      <w:r w:rsidRPr="00F66549">
        <w:rPr>
          <w:rFonts w:eastAsia="MS Mincho"/>
        </w:rPr>
        <w:tab/>
      </w:r>
      <w:r w:rsidRPr="00FB246D">
        <w:rPr>
          <w:rFonts w:eastAsia="MS Mincho"/>
        </w:rPr>
        <w:t xml:space="preserve">Transmitted by the expert from the United States of America on behalf of the informal </w:t>
      </w:r>
      <w:r w:rsidR="0096536A" w:rsidRPr="00FB246D">
        <w:rPr>
          <w:rFonts w:eastAsia="MS Mincho"/>
        </w:rPr>
        <w:t>working</w:t>
      </w:r>
      <w:r w:rsidRPr="00FB246D">
        <w:rPr>
          <w:rFonts w:eastAsia="MS Mincho"/>
        </w:rPr>
        <w:t xml:space="preserve"> group</w:t>
      </w:r>
    </w:p>
    <w:p w14:paraId="22757B76" w14:textId="77777777" w:rsidR="00EF0D81" w:rsidRPr="00FB246D" w:rsidRDefault="00EF0D81" w:rsidP="00FB246D">
      <w:pPr>
        <w:pStyle w:val="HChG"/>
      </w:pPr>
      <w:r w:rsidRPr="00FB246D">
        <w:tab/>
      </w:r>
      <w:r w:rsidRPr="00FB246D">
        <w:tab/>
        <w:t>Purpose</w:t>
      </w:r>
    </w:p>
    <w:p w14:paraId="4A20CCCD" w14:textId="3B05C260" w:rsidR="007068C2" w:rsidRPr="007068C2" w:rsidRDefault="003C50F7" w:rsidP="007068C2">
      <w:pPr>
        <w:pStyle w:val="SingleTxtG"/>
        <w:tabs>
          <w:tab w:val="left" w:pos="1701"/>
        </w:tabs>
      </w:pPr>
      <w:r>
        <w:t>1.</w:t>
      </w:r>
      <w:r>
        <w:tab/>
      </w:r>
      <w:r w:rsidR="00EF0D81" w:rsidRPr="002429C2">
        <w:t xml:space="preserve">The purpose of this paper is to </w:t>
      </w:r>
      <w:r w:rsidR="0062123D">
        <w:t xml:space="preserve">provide </w:t>
      </w:r>
      <w:r w:rsidR="00EF0D81" w:rsidRPr="002429C2">
        <w:t xml:space="preserve">a proposal for the ongoing work </w:t>
      </w:r>
      <w:r w:rsidR="003672EF">
        <w:t xml:space="preserve">of the </w:t>
      </w:r>
      <w:r w:rsidR="00A15C07">
        <w:t>Practical Classification Issues (PCI)</w:t>
      </w:r>
      <w:r w:rsidR="00A76480">
        <w:t xml:space="preserve"> </w:t>
      </w:r>
      <w:r w:rsidR="005C3A8B">
        <w:t xml:space="preserve">informal </w:t>
      </w:r>
      <w:r w:rsidR="003672EF">
        <w:t>working gr</w:t>
      </w:r>
      <w:r w:rsidR="00581038">
        <w:t>oup</w:t>
      </w:r>
      <w:r w:rsidR="001746BF">
        <w:t xml:space="preserve"> </w:t>
      </w:r>
      <w:r w:rsidR="00A15C07">
        <w:t xml:space="preserve">(IWG) </w:t>
      </w:r>
      <w:r w:rsidR="001746BF">
        <w:t>for the 202</w:t>
      </w:r>
      <w:r w:rsidR="008705BF">
        <w:t>5</w:t>
      </w:r>
      <w:r w:rsidR="001746BF">
        <w:t>-202</w:t>
      </w:r>
      <w:r w:rsidR="008705BF">
        <w:t>6</w:t>
      </w:r>
      <w:r w:rsidR="001746BF">
        <w:t xml:space="preserve"> biennium</w:t>
      </w:r>
      <w:r w:rsidR="00EF0D81" w:rsidRPr="002429C2">
        <w:t>.</w:t>
      </w:r>
      <w:r w:rsidR="007068C2">
        <w:t xml:space="preserve"> Additionally,</w:t>
      </w:r>
      <w:r w:rsidR="007068C2" w:rsidRPr="007068C2">
        <w:t xml:space="preserve"> the annex of this document contains a table with the status of completed and discontinued work items</w:t>
      </w:r>
      <w:r w:rsidR="007068C2">
        <w:t xml:space="preserve"> from the 2023-2024 biennium</w:t>
      </w:r>
      <w:r w:rsidR="007068C2" w:rsidRPr="007068C2">
        <w:t>.</w:t>
      </w:r>
    </w:p>
    <w:p w14:paraId="08237E7B" w14:textId="7F558034" w:rsidR="00EF0D81" w:rsidRPr="00F66549" w:rsidRDefault="007068C2" w:rsidP="00EF0D81">
      <w:pPr>
        <w:pStyle w:val="HChG"/>
      </w:pPr>
      <w:r>
        <w:tab/>
      </w:r>
      <w:r>
        <w:tab/>
      </w:r>
      <w:r w:rsidR="00EF0D81" w:rsidRPr="00F66549">
        <w:t>Proposal for ongoing work</w:t>
      </w:r>
    </w:p>
    <w:p w14:paraId="54B7D74D" w14:textId="57C955AF" w:rsidR="00EF0D81" w:rsidRPr="002429C2" w:rsidRDefault="009A721E" w:rsidP="003C50F7">
      <w:pPr>
        <w:pStyle w:val="SingleTxtG"/>
        <w:tabs>
          <w:tab w:val="left" w:pos="1701"/>
        </w:tabs>
      </w:pPr>
      <w:r>
        <w:t>2</w:t>
      </w:r>
      <w:r w:rsidR="003C50F7" w:rsidRPr="002429C2">
        <w:t>.</w:t>
      </w:r>
      <w:r w:rsidR="003C50F7" w:rsidRPr="002429C2">
        <w:tab/>
      </w:r>
      <w:r w:rsidR="00EF0D81" w:rsidRPr="002429C2">
        <w:t xml:space="preserve">The </w:t>
      </w:r>
      <w:r w:rsidR="00A15C07">
        <w:t>PCI IWG</w:t>
      </w:r>
      <w:r w:rsidR="00437989">
        <w:t xml:space="preserve"> proposes for the </w:t>
      </w:r>
      <w:r w:rsidR="006B241C">
        <w:t>202</w:t>
      </w:r>
      <w:r w:rsidR="00A15C07">
        <w:t>5</w:t>
      </w:r>
      <w:r w:rsidR="00D50725">
        <w:t>-</w:t>
      </w:r>
      <w:r w:rsidR="006B241C">
        <w:t>202</w:t>
      </w:r>
      <w:r w:rsidR="00A15C07">
        <w:t>6</w:t>
      </w:r>
      <w:r w:rsidR="006B241C">
        <w:t xml:space="preserve"> </w:t>
      </w:r>
      <w:r w:rsidR="00437989">
        <w:t xml:space="preserve">biennium </w:t>
      </w:r>
      <w:r w:rsidR="00E37A0E">
        <w:t>the following items:</w:t>
      </w:r>
    </w:p>
    <w:p w14:paraId="0ADD4EC8" w14:textId="7580ECC9" w:rsidR="0007007F" w:rsidRPr="00437989" w:rsidRDefault="003C50F7" w:rsidP="00366CAD">
      <w:pPr>
        <w:pStyle w:val="SingleTxtG"/>
        <w:ind w:left="2410" w:hanging="709"/>
      </w:pPr>
      <w:r>
        <w:t>Item 2</w:t>
      </w:r>
      <w:r w:rsidRPr="00437989">
        <w:tab/>
      </w:r>
      <w:r w:rsidR="00B25231">
        <w:t xml:space="preserve">Consider the need for the development of additional guidance/example(s) illustrating the application of the bridging principles. This would include </w:t>
      </w:r>
      <w:r w:rsidR="00F31E2D">
        <w:t xml:space="preserve">examples that show when bridging can and cannot be applied based on the available information on a similar tested mixture in combination with information on the ingredients of mixtures.  </w:t>
      </w:r>
    </w:p>
    <w:p w14:paraId="6D193103" w14:textId="3D6D6516" w:rsidR="00C1152B" w:rsidRDefault="00366CAD" w:rsidP="00366CAD">
      <w:pPr>
        <w:pStyle w:val="SingleTxtG"/>
        <w:ind w:left="2410" w:hanging="709"/>
      </w:pPr>
      <w:r>
        <w:t>Item 3</w:t>
      </w:r>
      <w:r w:rsidR="003C50F7">
        <w:tab/>
      </w:r>
      <w:r w:rsidR="00CD42DC">
        <w:t xml:space="preserve">Taking into account the scope of applicability of additivity and its limitations, consider whether it should be possible to apply additivity in certain cases to other health hazards, for which additivity is currently not explicitly mentioned, and if so, how to clarify this in the GHS (see rationale in </w:t>
      </w:r>
      <w:r w:rsidR="00A6348E">
        <w:t xml:space="preserve">informal document </w:t>
      </w:r>
      <w:r w:rsidR="00CD42DC">
        <w:t>INF.35</w:t>
      </w:r>
      <w:r w:rsidR="0012055B">
        <w:t xml:space="preserve">, </w:t>
      </w:r>
      <w:r w:rsidR="00AB1072">
        <w:t>thirty-second session</w:t>
      </w:r>
      <w:r w:rsidR="00CD42DC">
        <w:t>)</w:t>
      </w:r>
      <w:r w:rsidR="0012055B">
        <w:rPr>
          <w:rStyle w:val="FootnoteReference"/>
        </w:rPr>
        <w:footnoteReference w:id="2"/>
      </w:r>
      <w:r w:rsidR="00CD42DC">
        <w:t>.</w:t>
      </w:r>
    </w:p>
    <w:p w14:paraId="4EC198DC" w14:textId="59A8F697" w:rsidR="007F7110" w:rsidRPr="00D3223C" w:rsidRDefault="00F24774" w:rsidP="00BD086F">
      <w:pPr>
        <w:pStyle w:val="SingleTxtG"/>
        <w:ind w:left="2410" w:hanging="709"/>
      </w:pPr>
      <w:r>
        <w:t>Item 4</w:t>
      </w:r>
      <w:r w:rsidR="003C50F7" w:rsidRPr="00D3223C">
        <w:tab/>
      </w:r>
      <w:r w:rsidR="007F7110" w:rsidRPr="00D3223C">
        <w:t>Develop and propose a scientifically sound procedure for the tiered approach for classification of mixtures in chapters 3.2 to 3.4 allowing use of the available data in the</w:t>
      </w:r>
      <w:r w:rsidR="00D40033" w:rsidRPr="00D3223C">
        <w:t xml:space="preserve"> most appropriate possible way (see </w:t>
      </w:r>
      <w:r w:rsidR="00AB1072" w:rsidRPr="00D3223C">
        <w:t xml:space="preserve">informal document </w:t>
      </w:r>
      <w:r w:rsidR="00D40033" w:rsidRPr="00300F1D">
        <w:t>INF.23</w:t>
      </w:r>
      <w:r w:rsidR="002C14FD" w:rsidRPr="00300F1D">
        <w:t>,</w:t>
      </w:r>
      <w:r w:rsidR="005F139B" w:rsidRPr="00300F1D">
        <w:t xml:space="preserve"> </w:t>
      </w:r>
      <w:r w:rsidR="009275DC" w:rsidRPr="00300F1D">
        <w:t xml:space="preserve">thirty-ninth </w:t>
      </w:r>
      <w:r w:rsidR="005F139B" w:rsidRPr="00300F1D">
        <w:t xml:space="preserve"> session</w:t>
      </w:r>
      <w:r w:rsidR="002C14FD" w:rsidRPr="00300F1D">
        <w:rPr>
          <w:rStyle w:val="FootnoteReference"/>
        </w:rPr>
        <w:footnoteReference w:id="3"/>
      </w:r>
      <w:r w:rsidR="005F139B" w:rsidRPr="00300F1D">
        <w:t xml:space="preserve">, </w:t>
      </w:r>
      <w:r w:rsidR="00D40033" w:rsidRPr="00300F1D">
        <w:t xml:space="preserve"> for proposed workstreams). </w:t>
      </w:r>
      <w:r w:rsidR="007F7110" w:rsidRPr="00300F1D">
        <w:t>A preliminary evaluation</w:t>
      </w:r>
      <w:r w:rsidR="007F7110" w:rsidRPr="00D3223C">
        <w:t xml:space="preserve"> will be conducted: </w:t>
      </w:r>
    </w:p>
    <w:p w14:paraId="741208B6" w14:textId="233713FB" w:rsidR="007F7110" w:rsidRPr="00D3223C" w:rsidRDefault="007F7110" w:rsidP="00BD086F">
      <w:pPr>
        <w:pStyle w:val="SingleTxtG"/>
        <w:ind w:left="2835" w:hanging="425"/>
      </w:pPr>
      <w:r w:rsidRPr="00D3223C">
        <w:lastRenderedPageBreak/>
        <w:t>(</w:t>
      </w:r>
      <w:proofErr w:type="spellStart"/>
      <w:r w:rsidR="00AB1072" w:rsidRPr="00D3223C">
        <w:t>i</w:t>
      </w:r>
      <w:proofErr w:type="spellEnd"/>
      <w:r w:rsidRPr="00D3223C">
        <w:t>)</w:t>
      </w:r>
      <w:r w:rsidRPr="00D3223C">
        <w:tab/>
        <w:t>including an analysis of the present strategies for all health hazards and aiming at identifying when and how bridging principles are best to be considered in the classification process;</w:t>
      </w:r>
    </w:p>
    <w:p w14:paraId="72E51152" w14:textId="7B992621" w:rsidR="007F7110" w:rsidRPr="00D3223C" w:rsidRDefault="007F7110" w:rsidP="00BD086F">
      <w:pPr>
        <w:pStyle w:val="SingleTxtG"/>
        <w:ind w:left="2835" w:hanging="425"/>
      </w:pPr>
      <w:r w:rsidRPr="00D3223C">
        <w:t>(</w:t>
      </w:r>
      <w:r w:rsidR="00AB1072" w:rsidRPr="00D3223C">
        <w:t>ii</w:t>
      </w:r>
      <w:r w:rsidRPr="00D3223C">
        <w:t>)</w:t>
      </w:r>
      <w:r w:rsidRPr="00D3223C">
        <w:tab/>
        <w:t>defining which requirements need to apply to data from similar mixtures to be useful for bridging purposes;</w:t>
      </w:r>
    </w:p>
    <w:p w14:paraId="33B461A5" w14:textId="21678957" w:rsidR="007F7110" w:rsidRPr="00D3223C" w:rsidRDefault="007F7110" w:rsidP="00BD086F">
      <w:pPr>
        <w:pStyle w:val="SingleTxtG"/>
        <w:ind w:left="2835" w:hanging="425"/>
      </w:pPr>
      <w:r w:rsidRPr="00D3223C">
        <w:t>(</w:t>
      </w:r>
      <w:r w:rsidR="00AB1072" w:rsidRPr="00D3223C">
        <w:t>iii</w:t>
      </w:r>
      <w:r w:rsidRPr="00D3223C">
        <w:t>)</w:t>
      </w:r>
      <w:r w:rsidRPr="00D3223C">
        <w:tab/>
        <w:t xml:space="preserve">exploring by comparison with the relevant sections of </w:t>
      </w:r>
      <w:r w:rsidR="00976EBB">
        <w:t>c</w:t>
      </w:r>
      <w:r w:rsidRPr="00D3223C">
        <w:t>hapter 1.3, to which extent improvements of the classification process for mixtures in chapters</w:t>
      </w:r>
      <w:r w:rsidR="00D3223C" w:rsidRPr="00D3223C">
        <w:t> </w:t>
      </w:r>
      <w:r w:rsidRPr="00D3223C">
        <w:t xml:space="preserve">3.2 to 3.4 are compatible with the rules in </w:t>
      </w:r>
      <w:r w:rsidR="00694377">
        <w:t>c</w:t>
      </w:r>
      <w:r w:rsidRPr="00D3223C">
        <w:t>hapter 1.3.</w:t>
      </w:r>
      <w:r w:rsidR="00D40033" w:rsidRPr="00D3223C">
        <w:t xml:space="preserve">  </w:t>
      </w:r>
      <w:r w:rsidRPr="00D3223C">
        <w:t>If deemed necessary, options for improvement will be identified and proposed.</w:t>
      </w:r>
      <w:r w:rsidR="00D40033" w:rsidRPr="00D3223C">
        <w:t xml:space="preserve"> </w:t>
      </w:r>
    </w:p>
    <w:p w14:paraId="70B78981" w14:textId="158B577A" w:rsidR="00063616" w:rsidRDefault="00BD086F" w:rsidP="00BD086F">
      <w:pPr>
        <w:pStyle w:val="SingleTxtG"/>
        <w:ind w:left="2410" w:hanging="709"/>
      </w:pPr>
      <w:r>
        <w:t xml:space="preserve">Item 6 </w:t>
      </w:r>
      <w:r w:rsidR="003C50F7">
        <w:tab/>
      </w:r>
      <w:r w:rsidR="00063616">
        <w:t>Ta</w:t>
      </w:r>
      <w:r w:rsidR="00063616" w:rsidRPr="00C32486">
        <w:t xml:space="preserve">king into consideration that </w:t>
      </w:r>
      <w:r w:rsidR="00976EBB">
        <w:t>a</w:t>
      </w:r>
      <w:r w:rsidR="00063616" w:rsidRPr="00C32486">
        <w:t>nnex 8 has not been updated since 2003</w:t>
      </w:r>
      <w:r w:rsidR="00063616">
        <w:t>,</w:t>
      </w:r>
      <w:r w:rsidR="00063616" w:rsidRPr="00C32486">
        <w:t xml:space="preserve"> the PCI will review </w:t>
      </w:r>
      <w:r w:rsidR="00976EBB">
        <w:t>a</w:t>
      </w:r>
      <w:r w:rsidR="00063616" w:rsidRPr="00C32486">
        <w:t>nnex 8 and discuss the best approach moving forward.  The group should consider if examples are still relevant</w:t>
      </w:r>
      <w:r w:rsidR="00063616">
        <w:t>,</w:t>
      </w:r>
      <w:r w:rsidR="00063616" w:rsidRPr="00C32486">
        <w:t xml:space="preserve"> or if </w:t>
      </w:r>
      <w:r w:rsidR="00735F24">
        <w:t>a</w:t>
      </w:r>
      <w:r w:rsidR="00063616" w:rsidRPr="00C32486">
        <w:t xml:space="preserve">nnex 8 can be deleted.  </w:t>
      </w:r>
      <w:r w:rsidR="00063616" w:rsidRPr="009009F3">
        <w:t>If the group decides examples are still relevant then it will either update</w:t>
      </w:r>
      <w:r w:rsidR="00063616">
        <w:t xml:space="preserve"> </w:t>
      </w:r>
      <w:r w:rsidR="00735F24">
        <w:t>a</w:t>
      </w:r>
      <w:r w:rsidR="00063616" w:rsidRPr="009009F3">
        <w:t xml:space="preserve">nnex 8 or prepare examples for inclusion </w:t>
      </w:r>
      <w:r w:rsidR="00063616">
        <w:t>o</w:t>
      </w:r>
      <w:r w:rsidR="00063616" w:rsidRPr="009009F3">
        <w:t xml:space="preserve">n the </w:t>
      </w:r>
      <w:r w:rsidR="00063616">
        <w:t>GHS Sub-</w:t>
      </w:r>
      <w:r w:rsidR="00735F24">
        <w:t>C</w:t>
      </w:r>
      <w:r w:rsidR="00063616">
        <w:t>ommittee’s “</w:t>
      </w:r>
      <w:r w:rsidR="00063616" w:rsidRPr="009009F3">
        <w:t>Guidance on the application of GHS criteria</w:t>
      </w:r>
      <w:r w:rsidR="00063616">
        <w:t>”</w:t>
      </w:r>
      <w:r w:rsidR="00063616" w:rsidRPr="009009F3">
        <w:t xml:space="preserve"> web</w:t>
      </w:r>
      <w:r w:rsidR="00735F24">
        <w:t>page</w:t>
      </w:r>
      <w:r w:rsidR="00063616" w:rsidRPr="009009F3">
        <w:t>, following the</w:t>
      </w:r>
      <w:r w:rsidR="008079E9">
        <w:t xml:space="preserve"> previous</w:t>
      </w:r>
      <w:r w:rsidR="00063616" w:rsidRPr="009009F3">
        <w:t xml:space="preserve"> approach used </w:t>
      </w:r>
      <w:r w:rsidR="00436053">
        <w:t xml:space="preserve">by the PCI </w:t>
      </w:r>
      <w:r w:rsidR="00F03C6D">
        <w:t xml:space="preserve">for </w:t>
      </w:r>
      <w:r w:rsidR="00063616" w:rsidRPr="009009F3">
        <w:t>mixtures examples. </w:t>
      </w:r>
    </w:p>
    <w:p w14:paraId="02176A99" w14:textId="10E520D9" w:rsidR="00CE4714" w:rsidRDefault="00CE4714" w:rsidP="00BD086F">
      <w:pPr>
        <w:pStyle w:val="SingleTxtG"/>
        <w:ind w:left="2410" w:hanging="709"/>
      </w:pPr>
      <w:r>
        <w:t>Item 7</w:t>
      </w:r>
      <w:r>
        <w:tab/>
      </w:r>
      <w:r w:rsidR="0068334B">
        <w:t xml:space="preserve">Review of the use of human data for the classification of skin sensitizers in </w:t>
      </w:r>
      <w:r w:rsidR="00735F24">
        <w:t>c</w:t>
      </w:r>
      <w:r w:rsidR="0068334B">
        <w:t>hapter 3.4 of the GHS</w:t>
      </w:r>
      <w:r w:rsidR="00543080">
        <w:t xml:space="preserve"> (see</w:t>
      </w:r>
      <w:r w:rsidR="00295944">
        <w:t xml:space="preserve"> </w:t>
      </w:r>
      <w:r w:rsidR="00295944" w:rsidRPr="00295944">
        <w:t>INF.14</w:t>
      </w:r>
      <w:r w:rsidR="00735F24">
        <w:t>, 43</w:t>
      </w:r>
      <w:r w:rsidR="00735F24" w:rsidRPr="00735F24">
        <w:rPr>
          <w:vertAlign w:val="superscript"/>
        </w:rPr>
        <w:t>rd</w:t>
      </w:r>
      <w:r w:rsidR="00735F24">
        <w:t xml:space="preserve"> session</w:t>
      </w:r>
      <w:r w:rsidR="00295944" w:rsidRPr="00295944">
        <w:t>)</w:t>
      </w:r>
      <w:r w:rsidR="00176DBE">
        <w:rPr>
          <w:rStyle w:val="FootnoteReference"/>
        </w:rPr>
        <w:footnoteReference w:id="4"/>
      </w:r>
      <w:r w:rsidR="00DD6259">
        <w:t>.</w:t>
      </w:r>
    </w:p>
    <w:p w14:paraId="7A7A217E" w14:textId="444952E9" w:rsidR="00EF0D81" w:rsidRPr="00F66549" w:rsidRDefault="00A416E9" w:rsidP="00A416E9">
      <w:pPr>
        <w:pStyle w:val="HChG"/>
      </w:pPr>
      <w:r>
        <w:tab/>
      </w:r>
      <w:r>
        <w:tab/>
      </w:r>
      <w:r w:rsidR="00EF0D81" w:rsidRPr="00F66549">
        <w:t>Conclusion</w:t>
      </w:r>
    </w:p>
    <w:p w14:paraId="3A63E412" w14:textId="402F011A" w:rsidR="00EF0D81" w:rsidRDefault="009A721E" w:rsidP="00DF1AFD">
      <w:pPr>
        <w:pStyle w:val="SingleTxtG"/>
        <w:tabs>
          <w:tab w:val="left" w:pos="1701"/>
        </w:tabs>
      </w:pPr>
      <w:r>
        <w:t>3</w:t>
      </w:r>
      <w:r w:rsidR="003C50F7">
        <w:t>.</w:t>
      </w:r>
      <w:r w:rsidR="003C50F7">
        <w:tab/>
      </w:r>
      <w:r w:rsidR="00EF0D81" w:rsidRPr="00F66549">
        <w:t xml:space="preserve">The </w:t>
      </w:r>
      <w:r w:rsidR="00C8432F">
        <w:t xml:space="preserve">PCI </w:t>
      </w:r>
      <w:r w:rsidR="00DD6259">
        <w:t>IWG</w:t>
      </w:r>
      <w:r w:rsidR="00EF0D81" w:rsidRPr="00F66549">
        <w:t xml:space="preserve"> proposes these items for the </w:t>
      </w:r>
      <w:r w:rsidR="00EF0D81">
        <w:t>next</w:t>
      </w:r>
      <w:r w:rsidR="00EF0D81" w:rsidRPr="00F66549">
        <w:t xml:space="preserve"> biennium and </w:t>
      </w:r>
      <w:r w:rsidR="00C8432F">
        <w:t>invites</w:t>
      </w:r>
      <w:r w:rsidR="00EF0D81" w:rsidRPr="00F66549">
        <w:t xml:space="preserve"> the Sub</w:t>
      </w:r>
      <w:r w:rsidR="00EF0D81">
        <w:t>-C</w:t>
      </w:r>
      <w:r w:rsidR="00EF0D81" w:rsidRPr="00F66549">
        <w:t xml:space="preserve">ommittee </w:t>
      </w:r>
      <w:r w:rsidR="00C8432F">
        <w:t xml:space="preserve">to consider the recommended program of </w:t>
      </w:r>
      <w:r w:rsidR="00EF0D81" w:rsidRPr="00F66549">
        <w:t>work.</w:t>
      </w:r>
    </w:p>
    <w:p w14:paraId="597D3707" w14:textId="77777777" w:rsidR="009C452E" w:rsidRDefault="009C452E" w:rsidP="003C50F7">
      <w:pPr>
        <w:pStyle w:val="SingleTxtG"/>
        <w:tabs>
          <w:tab w:val="left" w:pos="1701"/>
        </w:tabs>
        <w:ind w:left="1704" w:hanging="570"/>
      </w:pPr>
    </w:p>
    <w:p w14:paraId="0D527E2F" w14:textId="0C50BADB" w:rsidR="009C452E" w:rsidRDefault="00A416E9" w:rsidP="00A416E9">
      <w:pPr>
        <w:suppressAutoHyphens w:val="0"/>
        <w:spacing w:after="200" w:line="276" w:lineRule="auto"/>
      </w:pPr>
      <w:r>
        <w:br w:type="page"/>
      </w:r>
    </w:p>
    <w:p w14:paraId="329340DD" w14:textId="55D2302B" w:rsidR="009C452E" w:rsidRPr="007253B9" w:rsidRDefault="00CB323F" w:rsidP="007253B9">
      <w:pPr>
        <w:pStyle w:val="HChG"/>
      </w:pPr>
      <w:r w:rsidRPr="007253B9">
        <w:lastRenderedPageBreak/>
        <w:tab/>
      </w:r>
      <w:r w:rsidR="007253B9">
        <w:tab/>
      </w:r>
      <w:r w:rsidR="009C452E" w:rsidRPr="007253B9">
        <w:t>Annex</w:t>
      </w:r>
    </w:p>
    <w:p w14:paraId="40B119A3" w14:textId="473138FC" w:rsidR="008D15C3" w:rsidRPr="007253B9" w:rsidRDefault="007253B9" w:rsidP="007253B9">
      <w:pPr>
        <w:pStyle w:val="HChG"/>
      </w:pPr>
      <w:r>
        <w:tab/>
      </w:r>
      <w:r>
        <w:tab/>
      </w:r>
      <w:r w:rsidR="007068C2" w:rsidRPr="007253B9">
        <w:t xml:space="preserve">Status of </w:t>
      </w:r>
      <w:r w:rsidR="00CB323F" w:rsidRPr="007253B9">
        <w:t>c</w:t>
      </w:r>
      <w:r w:rsidR="007068C2" w:rsidRPr="007253B9">
        <w:t xml:space="preserve">ompleted and </w:t>
      </w:r>
      <w:r w:rsidR="00CB323F" w:rsidRPr="007253B9">
        <w:t>d</w:t>
      </w:r>
      <w:r w:rsidR="007068C2" w:rsidRPr="007253B9">
        <w:t xml:space="preserve">iscontinued </w:t>
      </w:r>
      <w:r w:rsidR="00CB323F" w:rsidRPr="007253B9">
        <w:t>w</w:t>
      </w:r>
      <w:r w:rsidR="007068C2" w:rsidRPr="007253B9">
        <w:t xml:space="preserve">ork </w:t>
      </w:r>
      <w:r w:rsidR="00CB323F" w:rsidRPr="007253B9">
        <w:t>i</w:t>
      </w:r>
      <w:r w:rsidR="007068C2" w:rsidRPr="007253B9">
        <w:t>tems</w:t>
      </w:r>
      <w:r w:rsidR="00CB323F" w:rsidRPr="007253B9">
        <w:t xml:space="preserve"> </w:t>
      </w:r>
      <w:r w:rsidR="00AE73D9">
        <w:t>(2023-2024)</w:t>
      </w:r>
    </w:p>
    <w:tbl>
      <w:tblPr>
        <w:tblStyle w:val="TableGrid"/>
        <w:tblW w:w="7938" w:type="dxa"/>
        <w:tblInd w:w="1129" w:type="dxa"/>
        <w:tblLook w:val="04A0" w:firstRow="1" w:lastRow="0" w:firstColumn="1" w:lastColumn="0" w:noHBand="0" w:noVBand="1"/>
      </w:tblPr>
      <w:tblGrid>
        <w:gridCol w:w="616"/>
        <w:gridCol w:w="4346"/>
        <w:gridCol w:w="2976"/>
      </w:tblGrid>
      <w:tr w:rsidR="009C452E" w:rsidRPr="008C5C8B" w14:paraId="68BB4E7D" w14:textId="77777777" w:rsidTr="009C522C">
        <w:tc>
          <w:tcPr>
            <w:tcW w:w="616" w:type="dxa"/>
          </w:tcPr>
          <w:p w14:paraId="016CE96E" w14:textId="6995E365" w:rsidR="009C452E" w:rsidRPr="008C5C8B" w:rsidRDefault="009C452E" w:rsidP="00F31E2D">
            <w:pPr>
              <w:pStyle w:val="SingleTxtG"/>
              <w:ind w:left="0" w:right="0"/>
              <w:jc w:val="center"/>
              <w:rPr>
                <w:b/>
                <w:bCs/>
              </w:rPr>
            </w:pPr>
            <w:r w:rsidRPr="008C5C8B">
              <w:rPr>
                <w:b/>
                <w:bCs/>
              </w:rPr>
              <w:t>Item</w:t>
            </w:r>
          </w:p>
        </w:tc>
        <w:tc>
          <w:tcPr>
            <w:tcW w:w="4346" w:type="dxa"/>
          </w:tcPr>
          <w:p w14:paraId="4A43CAB2" w14:textId="2C6073A5" w:rsidR="009C452E" w:rsidRPr="008C5C8B" w:rsidRDefault="009C452E" w:rsidP="009C452E">
            <w:pPr>
              <w:pStyle w:val="SingleTxtG"/>
              <w:tabs>
                <w:tab w:val="left" w:pos="1701"/>
              </w:tabs>
              <w:ind w:left="0"/>
              <w:jc w:val="center"/>
              <w:rPr>
                <w:b/>
                <w:bCs/>
              </w:rPr>
            </w:pPr>
            <w:r w:rsidRPr="008C5C8B">
              <w:rPr>
                <w:b/>
                <w:bCs/>
              </w:rPr>
              <w:t>Description</w:t>
            </w:r>
          </w:p>
        </w:tc>
        <w:tc>
          <w:tcPr>
            <w:tcW w:w="2976" w:type="dxa"/>
          </w:tcPr>
          <w:p w14:paraId="25C3EF2D" w14:textId="6EE9BE86" w:rsidR="009C452E" w:rsidRPr="008C5C8B" w:rsidRDefault="009C452E" w:rsidP="009C452E">
            <w:pPr>
              <w:pStyle w:val="SingleTxtG"/>
              <w:tabs>
                <w:tab w:val="left" w:pos="1701"/>
              </w:tabs>
              <w:ind w:left="0" w:right="45"/>
              <w:jc w:val="center"/>
              <w:rPr>
                <w:b/>
                <w:bCs/>
              </w:rPr>
            </w:pPr>
            <w:r w:rsidRPr="008C5C8B">
              <w:rPr>
                <w:b/>
                <w:bCs/>
              </w:rPr>
              <w:t>Status</w:t>
            </w:r>
          </w:p>
        </w:tc>
      </w:tr>
      <w:tr w:rsidR="009C452E" w:rsidRPr="008C5C8B" w14:paraId="1CD4EA90" w14:textId="77777777" w:rsidTr="009C522C">
        <w:tc>
          <w:tcPr>
            <w:tcW w:w="616" w:type="dxa"/>
          </w:tcPr>
          <w:p w14:paraId="74BEF3A3" w14:textId="4A8CD7EB" w:rsidR="009C452E" w:rsidRPr="008C5C8B" w:rsidRDefault="009C452E" w:rsidP="00F31E2D">
            <w:pPr>
              <w:pStyle w:val="SingleTxtG"/>
              <w:spacing w:after="0"/>
              <w:ind w:left="0" w:right="0"/>
              <w:jc w:val="center"/>
            </w:pPr>
            <w:r w:rsidRPr="008C5C8B">
              <w:t>1</w:t>
            </w:r>
          </w:p>
        </w:tc>
        <w:tc>
          <w:tcPr>
            <w:tcW w:w="4346" w:type="dxa"/>
          </w:tcPr>
          <w:p w14:paraId="5C95B970" w14:textId="48E61883" w:rsidR="009C452E" w:rsidRPr="008C5C8B" w:rsidRDefault="009C452E" w:rsidP="009C452E">
            <w:pPr>
              <w:pStyle w:val="SingleTxtG"/>
              <w:tabs>
                <w:tab w:val="left" w:pos="1701"/>
              </w:tabs>
              <w:ind w:left="0" w:right="0"/>
              <w:jc w:val="left"/>
            </w:pPr>
            <w:r w:rsidRPr="008C5C8B">
              <w:t>Consider the need to include in GHS Annex 11 hazard communication associated with the hazards of flammable vapours created in the headspace (the unfilled space left above the contents in a sealed container) for solid and liquid substances or mixtures.</w:t>
            </w:r>
          </w:p>
        </w:tc>
        <w:tc>
          <w:tcPr>
            <w:tcW w:w="2976" w:type="dxa"/>
          </w:tcPr>
          <w:p w14:paraId="76F7D5E0" w14:textId="515E220D" w:rsidR="009C452E" w:rsidRPr="008C5C8B" w:rsidRDefault="00F31E2D" w:rsidP="005C2082">
            <w:pPr>
              <w:pStyle w:val="SingleTxtG"/>
              <w:tabs>
                <w:tab w:val="left" w:pos="1701"/>
              </w:tabs>
              <w:ind w:left="0" w:right="-105"/>
              <w:jc w:val="left"/>
            </w:pPr>
            <w:r w:rsidRPr="008C5C8B">
              <w:rPr>
                <w:b/>
                <w:bCs/>
              </w:rPr>
              <w:t>Discontinued</w:t>
            </w:r>
            <w:r w:rsidRPr="008C5C8B">
              <w:t xml:space="preserve">:  </w:t>
            </w:r>
            <w:r w:rsidR="008C5C8B">
              <w:br/>
            </w:r>
            <w:r w:rsidR="00E877DD" w:rsidRPr="008C5C8B">
              <w:t>The U</w:t>
            </w:r>
            <w:r w:rsidR="00A11D78">
              <w:t>nited States of America</w:t>
            </w:r>
            <w:r w:rsidR="00E877DD" w:rsidRPr="008C5C8B">
              <w:t xml:space="preserve"> and China are leading a group of interested parties to address substances and mixtures that emit a flammable vapour or gas in use and storage.</w:t>
            </w:r>
          </w:p>
        </w:tc>
      </w:tr>
      <w:tr w:rsidR="009C452E" w:rsidRPr="008C5C8B" w14:paraId="0F0DE11F" w14:textId="77777777" w:rsidTr="009C522C">
        <w:tc>
          <w:tcPr>
            <w:tcW w:w="616" w:type="dxa"/>
          </w:tcPr>
          <w:p w14:paraId="2F375747" w14:textId="0EF5B217" w:rsidR="009C452E" w:rsidRPr="008C5C8B" w:rsidRDefault="009C452E" w:rsidP="00F31E2D">
            <w:pPr>
              <w:pStyle w:val="SingleTxtG"/>
              <w:spacing w:after="0"/>
              <w:ind w:left="0" w:right="0"/>
              <w:jc w:val="center"/>
            </w:pPr>
            <w:r w:rsidRPr="008C5C8B">
              <w:t>5</w:t>
            </w:r>
          </w:p>
        </w:tc>
        <w:tc>
          <w:tcPr>
            <w:tcW w:w="4346" w:type="dxa"/>
          </w:tcPr>
          <w:p w14:paraId="791C04C6" w14:textId="53FC3E7A" w:rsidR="009C452E" w:rsidRPr="008C5C8B" w:rsidRDefault="009C452E" w:rsidP="009C452E">
            <w:pPr>
              <w:pStyle w:val="SingleTxtG"/>
              <w:tabs>
                <w:tab w:val="left" w:pos="1701"/>
              </w:tabs>
              <w:ind w:left="0" w:right="-22"/>
            </w:pPr>
            <w:r w:rsidRPr="008C5C8B">
              <w:t xml:space="preserve">Asphyxiation is a well-known hazard in the workplace and is not currently included in the GHS.  Consider developing a global approach to addressing simple asphyxiants in Annex 11 of the GHS.  </w:t>
            </w:r>
          </w:p>
        </w:tc>
        <w:tc>
          <w:tcPr>
            <w:tcW w:w="2976" w:type="dxa"/>
          </w:tcPr>
          <w:p w14:paraId="42F012CB" w14:textId="2D709754" w:rsidR="009C452E" w:rsidRPr="008C5C8B" w:rsidRDefault="009C452E" w:rsidP="008C5C8B">
            <w:pPr>
              <w:pStyle w:val="SingleTxtG"/>
              <w:spacing w:after="0" w:line="240" w:lineRule="auto"/>
              <w:ind w:left="0" w:right="0"/>
              <w:jc w:val="left"/>
            </w:pPr>
            <w:r w:rsidRPr="008C5C8B">
              <w:rPr>
                <w:b/>
                <w:bCs/>
              </w:rPr>
              <w:t>Completed</w:t>
            </w:r>
            <w:r w:rsidR="00F31E2D" w:rsidRPr="008C5C8B">
              <w:t>:</w:t>
            </w:r>
            <w:r w:rsidRPr="008C5C8B">
              <w:t xml:space="preserve"> </w:t>
            </w:r>
            <w:r w:rsidR="007253B9" w:rsidRPr="008C5C8B">
              <w:br/>
            </w:r>
            <w:r w:rsidR="00F31E2D" w:rsidRPr="008C5C8B">
              <w:t>S</w:t>
            </w:r>
            <w:r w:rsidRPr="008C5C8B">
              <w:t>ee</w:t>
            </w:r>
            <w:r w:rsidR="008C5C8B">
              <w:t xml:space="preserve"> </w:t>
            </w:r>
            <w:r w:rsidRPr="008C5C8B">
              <w:rPr>
                <w:lang w:val="en-US"/>
              </w:rPr>
              <w:t>ST/SG/AC.10/C.4/2024/18</w:t>
            </w:r>
          </w:p>
        </w:tc>
      </w:tr>
    </w:tbl>
    <w:p w14:paraId="253165C6" w14:textId="44B9B730" w:rsidR="00471A50" w:rsidRPr="00570FE1" w:rsidRDefault="00570FE1" w:rsidP="00570FE1">
      <w:pPr>
        <w:spacing w:before="240"/>
        <w:jc w:val="center"/>
        <w:rPr>
          <w:u w:val="single"/>
        </w:rPr>
      </w:pPr>
      <w:r>
        <w:rPr>
          <w:u w:val="single"/>
        </w:rPr>
        <w:tab/>
      </w:r>
      <w:r>
        <w:rPr>
          <w:u w:val="single"/>
        </w:rPr>
        <w:tab/>
      </w:r>
      <w:r>
        <w:rPr>
          <w:u w:val="single"/>
        </w:rPr>
        <w:tab/>
      </w:r>
    </w:p>
    <w:p w14:paraId="40249975" w14:textId="648C8B06" w:rsidR="000724E3" w:rsidRDefault="000724E3" w:rsidP="000724E3">
      <w:pPr>
        <w:ind w:left="720"/>
      </w:pPr>
    </w:p>
    <w:p w14:paraId="6EF0E4EB" w14:textId="2A8B0236" w:rsidR="00BF6190" w:rsidRDefault="00BF6190"/>
    <w:sectPr w:rsidR="00BF6190" w:rsidSect="00B15F72">
      <w:headerReference w:type="default" r:id="rId11"/>
      <w:footerReference w:type="default" r:id="rId12"/>
      <w:pgSz w:w="12240" w:h="15840" w:code="1"/>
      <w:pgMar w:top="1418" w:right="1134" w:bottom="113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467B" w14:textId="77777777" w:rsidR="006E5C5A" w:rsidRDefault="006E5C5A" w:rsidP="00203584">
      <w:pPr>
        <w:spacing w:line="240" w:lineRule="auto"/>
      </w:pPr>
      <w:r>
        <w:separator/>
      </w:r>
    </w:p>
  </w:endnote>
  <w:endnote w:type="continuationSeparator" w:id="0">
    <w:p w14:paraId="41744DFA" w14:textId="77777777" w:rsidR="006E5C5A" w:rsidRDefault="006E5C5A" w:rsidP="00203584">
      <w:pPr>
        <w:spacing w:line="240" w:lineRule="auto"/>
      </w:pPr>
      <w:r>
        <w:continuationSeparator/>
      </w:r>
    </w:p>
  </w:endnote>
  <w:endnote w:type="continuationNotice" w:id="1">
    <w:p w14:paraId="2AC9AF4C" w14:textId="77777777" w:rsidR="006E5C5A" w:rsidRDefault="006E5C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692498913"/>
      <w:docPartObj>
        <w:docPartGallery w:val="Page Numbers (Bottom of Page)"/>
        <w:docPartUnique/>
      </w:docPartObj>
    </w:sdtPr>
    <w:sdtEndPr>
      <w:rPr>
        <w:noProof/>
      </w:rPr>
    </w:sdtEndPr>
    <w:sdtContent>
      <w:p w14:paraId="713D892E" w14:textId="6EE260CD" w:rsidR="00B15F72" w:rsidRPr="00B15F72" w:rsidRDefault="00B15F72">
        <w:pPr>
          <w:pStyle w:val="Footer"/>
          <w:rPr>
            <w:b/>
            <w:bCs/>
            <w:sz w:val="18"/>
            <w:szCs w:val="18"/>
          </w:rPr>
        </w:pPr>
        <w:r w:rsidRPr="00B15F72">
          <w:rPr>
            <w:b/>
            <w:bCs/>
            <w:sz w:val="18"/>
            <w:szCs w:val="18"/>
          </w:rPr>
          <w:fldChar w:fldCharType="begin"/>
        </w:r>
        <w:r w:rsidRPr="00B15F72">
          <w:rPr>
            <w:b/>
            <w:bCs/>
            <w:sz w:val="18"/>
            <w:szCs w:val="18"/>
          </w:rPr>
          <w:instrText xml:space="preserve"> PAGE   \* MERGEFORMAT </w:instrText>
        </w:r>
        <w:r w:rsidRPr="00B15F72">
          <w:rPr>
            <w:b/>
            <w:bCs/>
            <w:sz w:val="18"/>
            <w:szCs w:val="18"/>
          </w:rPr>
          <w:fldChar w:fldCharType="separate"/>
        </w:r>
        <w:r w:rsidR="00F4343B">
          <w:rPr>
            <w:b/>
            <w:bCs/>
            <w:noProof/>
            <w:sz w:val="18"/>
            <w:szCs w:val="18"/>
          </w:rPr>
          <w:t>2</w:t>
        </w:r>
        <w:r w:rsidRPr="00B15F72">
          <w:rPr>
            <w:b/>
            <w:bCs/>
            <w:noProof/>
            <w:sz w:val="18"/>
            <w:szCs w:val="18"/>
          </w:rPr>
          <w:fldChar w:fldCharType="end"/>
        </w:r>
      </w:p>
    </w:sdtContent>
  </w:sdt>
  <w:p w14:paraId="70C926A4" w14:textId="77777777" w:rsidR="00B15F72" w:rsidRDefault="00B1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B268" w14:textId="77777777" w:rsidR="006E5C5A" w:rsidRDefault="006E5C5A" w:rsidP="00203584">
      <w:pPr>
        <w:spacing w:line="240" w:lineRule="auto"/>
      </w:pPr>
      <w:r>
        <w:separator/>
      </w:r>
    </w:p>
  </w:footnote>
  <w:footnote w:type="continuationSeparator" w:id="0">
    <w:p w14:paraId="454E070D" w14:textId="77777777" w:rsidR="006E5C5A" w:rsidRDefault="006E5C5A" w:rsidP="00203584">
      <w:pPr>
        <w:spacing w:line="240" w:lineRule="auto"/>
      </w:pPr>
      <w:r>
        <w:continuationSeparator/>
      </w:r>
    </w:p>
  </w:footnote>
  <w:footnote w:type="continuationNotice" w:id="1">
    <w:p w14:paraId="6080DDC0" w14:textId="77777777" w:rsidR="006E5C5A" w:rsidRDefault="006E5C5A">
      <w:pPr>
        <w:spacing w:line="240" w:lineRule="auto"/>
      </w:pPr>
    </w:p>
  </w:footnote>
  <w:footnote w:id="2">
    <w:p w14:paraId="28CBCE37" w14:textId="388F9741" w:rsidR="0012055B" w:rsidRPr="0012055B" w:rsidRDefault="0012055B" w:rsidP="00694377">
      <w:pPr>
        <w:pStyle w:val="SingleTxtG"/>
        <w:ind w:left="0" w:firstLine="720"/>
        <w:rPr>
          <w:lang w:val="fr-CH"/>
        </w:rPr>
      </w:pPr>
      <w:r>
        <w:rPr>
          <w:rStyle w:val="FootnoteReference"/>
        </w:rPr>
        <w:footnoteRef/>
      </w:r>
      <w:r>
        <w:t xml:space="preserve"> </w:t>
      </w:r>
      <w:hyperlink r:id="rId1" w:history="1">
        <w:r w:rsidR="00694377" w:rsidRPr="00694377">
          <w:rPr>
            <w:rFonts w:eastAsiaTheme="minorEastAsia"/>
            <w:color w:val="0000FF"/>
            <w:kern w:val="2"/>
            <w:sz w:val="18"/>
            <w:szCs w:val="18"/>
            <w:lang w:eastAsia="zh-CN"/>
            <w14:ligatures w14:val="standardContextual"/>
          </w:rPr>
          <w:t>INF.35 (32nd session)</w:t>
        </w:r>
      </w:hyperlink>
      <w:r w:rsidR="00694377" w:rsidRPr="00694377">
        <w:rPr>
          <w:rFonts w:eastAsiaTheme="minorEastAsia"/>
          <w:color w:val="0000FF"/>
          <w:kern w:val="2"/>
          <w:sz w:val="18"/>
          <w:szCs w:val="18"/>
          <w:lang w:eastAsia="zh-CN"/>
          <w14:ligatures w14:val="standardContextual"/>
        </w:rPr>
        <w:t xml:space="preserve"> </w:t>
      </w:r>
      <w:r w:rsidR="00694377" w:rsidRPr="00694377">
        <w:rPr>
          <w:rFonts w:eastAsiaTheme="minorEastAsia"/>
          <w:kern w:val="2"/>
          <w:sz w:val="18"/>
          <w:szCs w:val="18"/>
          <w:lang w:eastAsia="zh-CN"/>
          <w14:ligatures w14:val="standardContextual"/>
        </w:rPr>
        <w:t xml:space="preserve"> and report of the Sub-Committee on its 32</w:t>
      </w:r>
      <w:r w:rsidR="00694377" w:rsidRPr="00694377">
        <w:rPr>
          <w:rFonts w:eastAsiaTheme="minorEastAsia"/>
          <w:kern w:val="2"/>
          <w:sz w:val="18"/>
          <w:szCs w:val="18"/>
          <w:vertAlign w:val="superscript"/>
          <w:lang w:eastAsia="zh-CN"/>
          <w14:ligatures w14:val="standardContextual"/>
        </w:rPr>
        <w:t>nd</w:t>
      </w:r>
      <w:r w:rsidR="00694377" w:rsidRPr="00694377">
        <w:rPr>
          <w:rFonts w:eastAsiaTheme="minorEastAsia"/>
          <w:kern w:val="2"/>
          <w:sz w:val="18"/>
          <w:szCs w:val="18"/>
          <w:lang w:eastAsia="zh-CN"/>
          <w14:ligatures w14:val="standardContextual"/>
        </w:rPr>
        <w:t xml:space="preserve"> session (</w:t>
      </w:r>
      <w:hyperlink r:id="rId2" w:history="1">
        <w:r w:rsidR="00694377" w:rsidRPr="00694377">
          <w:rPr>
            <w:rFonts w:eastAsiaTheme="minorEastAsia"/>
            <w:color w:val="0000FF"/>
            <w:kern w:val="2"/>
            <w:sz w:val="18"/>
            <w:szCs w:val="18"/>
            <w:lang w:val="fr-CH" w:eastAsia="zh-CN"/>
            <w14:ligatures w14:val="standardContextual"/>
          </w:rPr>
          <w:t>ST/SG/AC.10/64</w:t>
        </w:r>
      </w:hyperlink>
      <w:r w:rsidR="00694377" w:rsidRPr="00694377">
        <w:rPr>
          <w:rFonts w:eastAsiaTheme="minorEastAsia"/>
          <w:kern w:val="2"/>
          <w:sz w:val="18"/>
          <w:szCs w:val="18"/>
          <w:lang w:val="fr-CH" w:eastAsia="zh-CN"/>
          <w14:ligatures w14:val="standardContextual"/>
        </w:rPr>
        <w:t>,</w:t>
      </w:r>
      <w:r w:rsidR="00694377" w:rsidRPr="00694377">
        <w:rPr>
          <w:rFonts w:eastAsiaTheme="minorEastAsia"/>
          <w:kern w:val="2"/>
          <w:sz w:val="18"/>
          <w:szCs w:val="18"/>
          <w:lang w:eastAsia="zh-CN"/>
          <w14:ligatures w14:val="standardContextual"/>
        </w:rPr>
        <w:t xml:space="preserve"> para. 28)</w:t>
      </w:r>
      <w:r w:rsidR="00300F1D">
        <w:rPr>
          <w:rFonts w:eastAsiaTheme="minorEastAsia"/>
          <w:kern w:val="2"/>
          <w:sz w:val="18"/>
          <w:szCs w:val="18"/>
          <w:lang w:eastAsia="zh-CN"/>
          <w14:ligatures w14:val="standardContextual"/>
        </w:rPr>
        <w:t>.</w:t>
      </w:r>
    </w:p>
  </w:footnote>
  <w:footnote w:id="3">
    <w:p w14:paraId="49EFA075" w14:textId="04A63B1E" w:rsidR="009275DC" w:rsidRPr="00300F1D" w:rsidRDefault="002C14FD" w:rsidP="00300F1D">
      <w:pPr>
        <w:pStyle w:val="FootnoteText"/>
        <w:ind w:left="851" w:right="1183" w:hanging="142"/>
        <w:rPr>
          <w:sz w:val="18"/>
          <w:szCs w:val="18"/>
        </w:rPr>
      </w:pPr>
      <w:r>
        <w:rPr>
          <w:rStyle w:val="FootnoteReference"/>
        </w:rPr>
        <w:footnoteRef/>
      </w:r>
      <w:r>
        <w:t xml:space="preserve"> </w:t>
      </w:r>
      <w:hyperlink r:id="rId3" w:history="1">
        <w:r w:rsidRPr="00300F1D">
          <w:rPr>
            <w:rFonts w:eastAsiaTheme="minorEastAsia"/>
            <w:color w:val="0000FF"/>
            <w:kern w:val="2"/>
            <w:sz w:val="18"/>
            <w:szCs w:val="18"/>
            <w:lang w:eastAsia="zh-CN"/>
            <w14:ligatures w14:val="standardContextual"/>
          </w:rPr>
          <w:t>INF.23 (39th session)</w:t>
        </w:r>
      </w:hyperlink>
      <w:r w:rsidRPr="00300F1D">
        <w:rPr>
          <w:sz w:val="18"/>
          <w:szCs w:val="18"/>
        </w:rPr>
        <w:t xml:space="preserve"> </w:t>
      </w:r>
      <w:r w:rsidR="000E0FF2" w:rsidRPr="00300F1D">
        <w:rPr>
          <w:sz w:val="18"/>
          <w:szCs w:val="18"/>
        </w:rPr>
        <w:t xml:space="preserve">and report of the Sub-Committee on its </w:t>
      </w:r>
      <w:r w:rsidR="008161E3" w:rsidRPr="00300F1D">
        <w:rPr>
          <w:sz w:val="18"/>
          <w:szCs w:val="18"/>
        </w:rPr>
        <w:t>39</w:t>
      </w:r>
      <w:r w:rsidR="008161E3" w:rsidRPr="00300F1D">
        <w:rPr>
          <w:sz w:val="18"/>
          <w:szCs w:val="18"/>
          <w:vertAlign w:val="superscript"/>
        </w:rPr>
        <w:t>th</w:t>
      </w:r>
      <w:r w:rsidR="008161E3" w:rsidRPr="00300F1D">
        <w:rPr>
          <w:sz w:val="18"/>
          <w:szCs w:val="18"/>
        </w:rPr>
        <w:t xml:space="preserve"> session (</w:t>
      </w:r>
      <w:hyperlink r:id="rId4" w:history="1">
        <w:r w:rsidR="008161E3" w:rsidRPr="00300F1D">
          <w:rPr>
            <w:rFonts w:eastAsiaTheme="minorEastAsia"/>
            <w:color w:val="0000FF"/>
            <w:kern w:val="2"/>
            <w:sz w:val="18"/>
            <w:szCs w:val="18"/>
            <w:lang w:eastAsia="zh-CN"/>
            <w14:ligatures w14:val="standardContextual"/>
          </w:rPr>
          <w:t>ST/SG/AC.10/C.4/78</w:t>
        </w:r>
      </w:hyperlink>
      <w:r w:rsidR="008161E3" w:rsidRPr="00300F1D">
        <w:rPr>
          <w:sz w:val="18"/>
          <w:szCs w:val="18"/>
        </w:rPr>
        <w:t>, para.54 (b) and annex II, item 1 (e).</w:t>
      </w:r>
    </w:p>
    <w:p w14:paraId="0A1EFB99" w14:textId="4695ADC6" w:rsidR="002C14FD" w:rsidRPr="002C14FD" w:rsidRDefault="002C14FD" w:rsidP="002C14FD">
      <w:pPr>
        <w:pStyle w:val="FootnoteText"/>
        <w:rPr>
          <w:lang w:val="fr-CH"/>
        </w:rPr>
      </w:pPr>
    </w:p>
  </w:footnote>
  <w:footnote w:id="4">
    <w:p w14:paraId="4129E80B" w14:textId="7AB8D882" w:rsidR="00176DBE" w:rsidRPr="00566AB4" w:rsidRDefault="00176DBE" w:rsidP="00566AB4">
      <w:pPr>
        <w:pStyle w:val="FootnoteText"/>
        <w:ind w:left="993" w:hanging="284"/>
        <w:rPr>
          <w:sz w:val="18"/>
          <w:szCs w:val="18"/>
          <w:lang w:val="fr-CH"/>
        </w:rPr>
      </w:pPr>
      <w:r>
        <w:rPr>
          <w:rStyle w:val="FootnoteReference"/>
        </w:rPr>
        <w:footnoteRef/>
      </w:r>
      <w:r>
        <w:t xml:space="preserve"> </w:t>
      </w:r>
      <w:r w:rsidR="00566AB4">
        <w:tab/>
      </w:r>
      <w:hyperlink r:id="rId5" w:history="1">
        <w:r w:rsidR="002B4967">
          <w:rPr>
            <w:rFonts w:eastAsiaTheme="minorEastAsia"/>
            <w:color w:val="0000FF"/>
            <w:kern w:val="2"/>
            <w:sz w:val="18"/>
            <w:szCs w:val="18"/>
            <w:lang w:eastAsia="zh-CN"/>
            <w14:ligatures w14:val="standardContextual"/>
          </w:rPr>
          <w:t>INF.14 (43rd session)</w:t>
        </w:r>
      </w:hyperlink>
      <w:r w:rsidR="00896B52" w:rsidRPr="00566AB4">
        <w:rPr>
          <w:rFonts w:eastAsiaTheme="minorEastAsia"/>
          <w:color w:val="0000FF"/>
          <w:kern w:val="2"/>
          <w:sz w:val="18"/>
          <w:szCs w:val="18"/>
          <w:lang w:eastAsia="zh-CN"/>
          <w14:ligatures w14:val="standardContextual"/>
        </w:rPr>
        <w:t xml:space="preserve"> </w:t>
      </w:r>
      <w:r w:rsidR="00896B52" w:rsidRPr="00566AB4">
        <w:rPr>
          <w:sz w:val="18"/>
          <w:szCs w:val="18"/>
        </w:rPr>
        <w:t>and report of the Sub-Committee</w:t>
      </w:r>
      <w:r w:rsidR="003D5009">
        <w:rPr>
          <w:sz w:val="18"/>
          <w:szCs w:val="18"/>
        </w:rPr>
        <w:t xml:space="preserve"> on its 43</w:t>
      </w:r>
      <w:r w:rsidR="003D5009" w:rsidRPr="003D5009">
        <w:rPr>
          <w:sz w:val="18"/>
          <w:szCs w:val="18"/>
          <w:vertAlign w:val="superscript"/>
        </w:rPr>
        <w:t>rd</w:t>
      </w:r>
      <w:r w:rsidR="003D5009">
        <w:rPr>
          <w:sz w:val="18"/>
          <w:szCs w:val="18"/>
        </w:rPr>
        <w:t xml:space="preserve"> session</w:t>
      </w:r>
      <w:r w:rsidR="00896B52" w:rsidRPr="00566AB4">
        <w:rPr>
          <w:sz w:val="18"/>
          <w:szCs w:val="18"/>
        </w:rPr>
        <w:t xml:space="preserve"> (</w:t>
      </w:r>
      <w:hyperlink r:id="rId6" w:history="1">
        <w:r w:rsidR="00896B52" w:rsidRPr="00566AB4">
          <w:rPr>
            <w:rFonts w:eastAsiaTheme="minorEastAsia"/>
            <w:color w:val="0000FF"/>
            <w:kern w:val="2"/>
            <w:sz w:val="18"/>
            <w:szCs w:val="18"/>
            <w:lang w:eastAsia="zh-CN"/>
            <w14:ligatures w14:val="standardContextual"/>
          </w:rPr>
          <w:t>ST</w:t>
        </w:r>
        <w:r w:rsidR="00980DF0" w:rsidRPr="00566AB4">
          <w:rPr>
            <w:rFonts w:eastAsiaTheme="minorEastAsia"/>
            <w:color w:val="0000FF"/>
            <w:kern w:val="2"/>
            <w:sz w:val="18"/>
            <w:szCs w:val="18"/>
            <w:lang w:eastAsia="zh-CN"/>
            <w14:ligatures w14:val="standardContextual"/>
          </w:rPr>
          <w:t>/SG/AC.10/C.4/86</w:t>
        </w:r>
      </w:hyperlink>
      <w:r w:rsidR="00980DF0" w:rsidRPr="00566AB4">
        <w:rPr>
          <w:rFonts w:eastAsiaTheme="minorEastAsia"/>
          <w:color w:val="0000FF"/>
          <w:kern w:val="2"/>
          <w:sz w:val="18"/>
          <w:szCs w:val="18"/>
          <w:lang w:eastAsia="zh-CN"/>
          <w14:ligatures w14:val="standardContextual"/>
        </w:rPr>
        <w:t xml:space="preserve"> </w:t>
      </w:r>
      <w:r w:rsidR="00980DF0" w:rsidRPr="00566AB4">
        <w:rPr>
          <w:sz w:val="18"/>
          <w:szCs w:val="18"/>
        </w:rPr>
        <w:t xml:space="preserve">para. 50 and </w:t>
      </w:r>
      <w:r w:rsidR="00EB482C" w:rsidRPr="00566AB4">
        <w:rPr>
          <w:sz w:val="18"/>
          <w:szCs w:val="18"/>
        </w:rPr>
        <w:t>Annex II, item 1 (d)</w:t>
      </w:r>
      <w:r w:rsidR="00566AB4" w:rsidRPr="00566AB4">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A670" w14:textId="65BBFACB" w:rsidR="00570FE1" w:rsidRPr="00B15F72" w:rsidRDefault="00570FE1" w:rsidP="00B15F72">
    <w:pPr>
      <w:pStyle w:val="Header"/>
      <w:pBdr>
        <w:bottom w:val="single" w:sz="4" w:space="1" w:color="auto"/>
      </w:pBdr>
      <w:rPr>
        <w:b/>
        <w:bCs/>
        <w:lang w:val="fr-CH"/>
      </w:rPr>
    </w:pPr>
    <w:r w:rsidRPr="00B15F72">
      <w:rPr>
        <w:b/>
        <w:bCs/>
        <w:lang w:val="fr-CH"/>
      </w:rPr>
      <w:t>UN/SCEGHS/</w:t>
    </w:r>
    <w:r w:rsidR="00964600">
      <w:rPr>
        <w:b/>
        <w:bCs/>
        <w:lang w:val="fr-CH"/>
      </w:rPr>
      <w:t>4</w:t>
    </w:r>
    <w:r w:rsidR="00E877DD">
      <w:rPr>
        <w:b/>
        <w:bCs/>
        <w:lang w:val="fr-CH"/>
      </w:rPr>
      <w:t>7</w:t>
    </w:r>
    <w:r w:rsidRPr="00B15F72">
      <w:rPr>
        <w:b/>
        <w:bCs/>
        <w:lang w:val="fr-CH"/>
      </w:rPr>
      <w:t>/INF</w:t>
    </w:r>
    <w:r w:rsidR="00B15F72" w:rsidRPr="00B15F72">
      <w:rPr>
        <w:b/>
        <w:bCs/>
        <w:lang w:val="fr-CH"/>
      </w:rPr>
      <w:t>.</w:t>
    </w:r>
    <w:r w:rsidR="00694377">
      <w:rPr>
        <w:b/>
        <w:bCs/>
        <w:lang w:val="fr-CH"/>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26CB"/>
    <w:multiLevelType w:val="hybridMultilevel"/>
    <w:tmpl w:val="096E3D8C"/>
    <w:lvl w:ilvl="0" w:tplc="ACB88A6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5BB4BD4"/>
    <w:multiLevelType w:val="hybridMultilevel"/>
    <w:tmpl w:val="51CC6256"/>
    <w:lvl w:ilvl="0" w:tplc="BEC644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F0D3F8C"/>
    <w:multiLevelType w:val="hybridMultilevel"/>
    <w:tmpl w:val="2ABE4888"/>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7D951850"/>
    <w:multiLevelType w:val="hybridMultilevel"/>
    <w:tmpl w:val="630AFE74"/>
    <w:lvl w:ilvl="0" w:tplc="15F814A6">
      <w:start w:val="1"/>
      <w:numFmt w:val="lowerLetter"/>
      <w:lvlText w:val="(%1)"/>
      <w:lvlJc w:val="left"/>
      <w:pPr>
        <w:ind w:left="2271" w:hanging="57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1664116371">
    <w:abstractNumId w:val="1"/>
  </w:num>
  <w:num w:numId="2" w16cid:durableId="1561937628">
    <w:abstractNumId w:val="0"/>
  </w:num>
  <w:num w:numId="3" w16cid:durableId="397099500">
    <w:abstractNumId w:val="2"/>
  </w:num>
  <w:num w:numId="4" w16cid:durableId="2072264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81"/>
    <w:rsid w:val="00001EDA"/>
    <w:rsid w:val="00002EAC"/>
    <w:rsid w:val="000106B9"/>
    <w:rsid w:val="000151B4"/>
    <w:rsid w:val="00015CE8"/>
    <w:rsid w:val="00020662"/>
    <w:rsid w:val="00021E29"/>
    <w:rsid w:val="00025C11"/>
    <w:rsid w:val="00027D95"/>
    <w:rsid w:val="0004012A"/>
    <w:rsid w:val="00041A98"/>
    <w:rsid w:val="00041BF7"/>
    <w:rsid w:val="00063616"/>
    <w:rsid w:val="00064720"/>
    <w:rsid w:val="0007007F"/>
    <w:rsid w:val="00070993"/>
    <w:rsid w:val="000722F7"/>
    <w:rsid w:val="000724E3"/>
    <w:rsid w:val="000736C5"/>
    <w:rsid w:val="000800FD"/>
    <w:rsid w:val="00086E13"/>
    <w:rsid w:val="00091570"/>
    <w:rsid w:val="00091B98"/>
    <w:rsid w:val="0009606F"/>
    <w:rsid w:val="00097624"/>
    <w:rsid w:val="000A6520"/>
    <w:rsid w:val="000B17DB"/>
    <w:rsid w:val="000B405A"/>
    <w:rsid w:val="000C30A7"/>
    <w:rsid w:val="000C530F"/>
    <w:rsid w:val="000C55DB"/>
    <w:rsid w:val="000C727E"/>
    <w:rsid w:val="000D469A"/>
    <w:rsid w:val="000D56E3"/>
    <w:rsid w:val="000D5782"/>
    <w:rsid w:val="000D77A1"/>
    <w:rsid w:val="000E0FF2"/>
    <w:rsid w:val="000E5585"/>
    <w:rsid w:val="000E69B9"/>
    <w:rsid w:val="000F3F3C"/>
    <w:rsid w:val="000F4956"/>
    <w:rsid w:val="000F74D7"/>
    <w:rsid w:val="0010630E"/>
    <w:rsid w:val="00112440"/>
    <w:rsid w:val="0012055B"/>
    <w:rsid w:val="001210C7"/>
    <w:rsid w:val="00123480"/>
    <w:rsid w:val="00125A56"/>
    <w:rsid w:val="00130F0D"/>
    <w:rsid w:val="00137144"/>
    <w:rsid w:val="0015114B"/>
    <w:rsid w:val="001603DA"/>
    <w:rsid w:val="00165248"/>
    <w:rsid w:val="00166903"/>
    <w:rsid w:val="00172950"/>
    <w:rsid w:val="0017421F"/>
    <w:rsid w:val="001746BF"/>
    <w:rsid w:val="00176DBE"/>
    <w:rsid w:val="00185FDB"/>
    <w:rsid w:val="001876D8"/>
    <w:rsid w:val="001931DE"/>
    <w:rsid w:val="001A0A6A"/>
    <w:rsid w:val="001A34A6"/>
    <w:rsid w:val="001C6C57"/>
    <w:rsid w:val="001E2247"/>
    <w:rsid w:val="001E4C86"/>
    <w:rsid w:val="001E5D1C"/>
    <w:rsid w:val="001E7040"/>
    <w:rsid w:val="001F0449"/>
    <w:rsid w:val="001F0FE4"/>
    <w:rsid w:val="001F3957"/>
    <w:rsid w:val="001F4464"/>
    <w:rsid w:val="00203584"/>
    <w:rsid w:val="002132F5"/>
    <w:rsid w:val="0021479B"/>
    <w:rsid w:val="00227318"/>
    <w:rsid w:val="00241AF9"/>
    <w:rsid w:val="00246ABD"/>
    <w:rsid w:val="00267F3B"/>
    <w:rsid w:val="002779D2"/>
    <w:rsid w:val="00291992"/>
    <w:rsid w:val="002921C1"/>
    <w:rsid w:val="00293CEE"/>
    <w:rsid w:val="00295944"/>
    <w:rsid w:val="0029647F"/>
    <w:rsid w:val="002B4967"/>
    <w:rsid w:val="002C14FD"/>
    <w:rsid w:val="002C2031"/>
    <w:rsid w:val="002C5C5B"/>
    <w:rsid w:val="002D27CF"/>
    <w:rsid w:val="002D3360"/>
    <w:rsid w:val="002D7683"/>
    <w:rsid w:val="002E1751"/>
    <w:rsid w:val="002E5EB6"/>
    <w:rsid w:val="002F1D0F"/>
    <w:rsid w:val="002F2186"/>
    <w:rsid w:val="00300F1D"/>
    <w:rsid w:val="003018B2"/>
    <w:rsid w:val="00320505"/>
    <w:rsid w:val="00321778"/>
    <w:rsid w:val="003265C8"/>
    <w:rsid w:val="00333CA6"/>
    <w:rsid w:val="0033763B"/>
    <w:rsid w:val="00340648"/>
    <w:rsid w:val="003448EF"/>
    <w:rsid w:val="003525DD"/>
    <w:rsid w:val="003548BF"/>
    <w:rsid w:val="00354EB9"/>
    <w:rsid w:val="0036026F"/>
    <w:rsid w:val="003638B6"/>
    <w:rsid w:val="00366CAD"/>
    <w:rsid w:val="003672EF"/>
    <w:rsid w:val="00367868"/>
    <w:rsid w:val="00372B43"/>
    <w:rsid w:val="00373B3B"/>
    <w:rsid w:val="003756FE"/>
    <w:rsid w:val="00384FAD"/>
    <w:rsid w:val="00386215"/>
    <w:rsid w:val="003908A8"/>
    <w:rsid w:val="003A0A6D"/>
    <w:rsid w:val="003C23B4"/>
    <w:rsid w:val="003C50F7"/>
    <w:rsid w:val="003D09FD"/>
    <w:rsid w:val="003D2352"/>
    <w:rsid w:val="003D5009"/>
    <w:rsid w:val="003F2B14"/>
    <w:rsid w:val="003F36D5"/>
    <w:rsid w:val="003F3E93"/>
    <w:rsid w:val="003F585F"/>
    <w:rsid w:val="004024DC"/>
    <w:rsid w:val="00404F46"/>
    <w:rsid w:val="00411E68"/>
    <w:rsid w:val="00424D74"/>
    <w:rsid w:val="00431CC4"/>
    <w:rsid w:val="00436053"/>
    <w:rsid w:val="00436BD3"/>
    <w:rsid w:val="00437989"/>
    <w:rsid w:val="00440DD5"/>
    <w:rsid w:val="00443D2B"/>
    <w:rsid w:val="0044508C"/>
    <w:rsid w:val="004472C4"/>
    <w:rsid w:val="00451A2F"/>
    <w:rsid w:val="00456504"/>
    <w:rsid w:val="004578D4"/>
    <w:rsid w:val="0046610B"/>
    <w:rsid w:val="00471019"/>
    <w:rsid w:val="004719E8"/>
    <w:rsid w:val="00471A50"/>
    <w:rsid w:val="00473A72"/>
    <w:rsid w:val="00480BEA"/>
    <w:rsid w:val="0049209D"/>
    <w:rsid w:val="004A59A6"/>
    <w:rsid w:val="004B0F57"/>
    <w:rsid w:val="004B50D5"/>
    <w:rsid w:val="004B60A0"/>
    <w:rsid w:val="004C0FB3"/>
    <w:rsid w:val="004C229F"/>
    <w:rsid w:val="004D0125"/>
    <w:rsid w:val="004E3CC4"/>
    <w:rsid w:val="004F0726"/>
    <w:rsid w:val="00500E46"/>
    <w:rsid w:val="00512714"/>
    <w:rsid w:val="00543080"/>
    <w:rsid w:val="00543703"/>
    <w:rsid w:val="00543B95"/>
    <w:rsid w:val="00556D99"/>
    <w:rsid w:val="00566AB4"/>
    <w:rsid w:val="00570FE1"/>
    <w:rsid w:val="00572D0E"/>
    <w:rsid w:val="00581038"/>
    <w:rsid w:val="00584FE2"/>
    <w:rsid w:val="00585D5C"/>
    <w:rsid w:val="0058670B"/>
    <w:rsid w:val="005945FA"/>
    <w:rsid w:val="00595167"/>
    <w:rsid w:val="005A28CD"/>
    <w:rsid w:val="005B453C"/>
    <w:rsid w:val="005B5C7B"/>
    <w:rsid w:val="005C2082"/>
    <w:rsid w:val="005C3A8B"/>
    <w:rsid w:val="005D2AB0"/>
    <w:rsid w:val="005D42CB"/>
    <w:rsid w:val="005D4FFD"/>
    <w:rsid w:val="005D590F"/>
    <w:rsid w:val="005D5A1E"/>
    <w:rsid w:val="005E03A0"/>
    <w:rsid w:val="005E4322"/>
    <w:rsid w:val="005F139B"/>
    <w:rsid w:val="005F161C"/>
    <w:rsid w:val="005F68AF"/>
    <w:rsid w:val="005F78AC"/>
    <w:rsid w:val="0060128B"/>
    <w:rsid w:val="006021A6"/>
    <w:rsid w:val="00610495"/>
    <w:rsid w:val="00615FED"/>
    <w:rsid w:val="0062123D"/>
    <w:rsid w:val="00621594"/>
    <w:rsid w:val="00630D0C"/>
    <w:rsid w:val="0063296F"/>
    <w:rsid w:val="00632AE5"/>
    <w:rsid w:val="0064031E"/>
    <w:rsid w:val="0064194B"/>
    <w:rsid w:val="0064581B"/>
    <w:rsid w:val="00655375"/>
    <w:rsid w:val="006602DF"/>
    <w:rsid w:val="00664474"/>
    <w:rsid w:val="00673BB6"/>
    <w:rsid w:val="00681C24"/>
    <w:rsid w:val="0068334B"/>
    <w:rsid w:val="00694377"/>
    <w:rsid w:val="00694D62"/>
    <w:rsid w:val="006A6E42"/>
    <w:rsid w:val="006B00AF"/>
    <w:rsid w:val="006B1C47"/>
    <w:rsid w:val="006B21D5"/>
    <w:rsid w:val="006B241C"/>
    <w:rsid w:val="006B2916"/>
    <w:rsid w:val="006B4CF8"/>
    <w:rsid w:val="006C14E1"/>
    <w:rsid w:val="006D4A31"/>
    <w:rsid w:val="006D56BE"/>
    <w:rsid w:val="006D5921"/>
    <w:rsid w:val="006D73E4"/>
    <w:rsid w:val="006E4A6A"/>
    <w:rsid w:val="006E5B79"/>
    <w:rsid w:val="006E5C5A"/>
    <w:rsid w:val="006F4017"/>
    <w:rsid w:val="006F7ABC"/>
    <w:rsid w:val="00700ABE"/>
    <w:rsid w:val="00702906"/>
    <w:rsid w:val="007068C2"/>
    <w:rsid w:val="007153D2"/>
    <w:rsid w:val="00721288"/>
    <w:rsid w:val="007253B9"/>
    <w:rsid w:val="007313B5"/>
    <w:rsid w:val="00733342"/>
    <w:rsid w:val="00734580"/>
    <w:rsid w:val="00735F24"/>
    <w:rsid w:val="007379C5"/>
    <w:rsid w:val="00760605"/>
    <w:rsid w:val="0077465C"/>
    <w:rsid w:val="00777AFA"/>
    <w:rsid w:val="00781DDD"/>
    <w:rsid w:val="0079696E"/>
    <w:rsid w:val="00797CFD"/>
    <w:rsid w:val="007B4F0C"/>
    <w:rsid w:val="007C7831"/>
    <w:rsid w:val="007D06A0"/>
    <w:rsid w:val="007D0C95"/>
    <w:rsid w:val="007D7290"/>
    <w:rsid w:val="007F7110"/>
    <w:rsid w:val="00800D54"/>
    <w:rsid w:val="008079E9"/>
    <w:rsid w:val="0081062F"/>
    <w:rsid w:val="00812A81"/>
    <w:rsid w:val="00814029"/>
    <w:rsid w:val="008161E3"/>
    <w:rsid w:val="00840B37"/>
    <w:rsid w:val="00851A02"/>
    <w:rsid w:val="008560C3"/>
    <w:rsid w:val="0085674F"/>
    <w:rsid w:val="00856D26"/>
    <w:rsid w:val="008672B8"/>
    <w:rsid w:val="008705BF"/>
    <w:rsid w:val="00877DD4"/>
    <w:rsid w:val="008905C4"/>
    <w:rsid w:val="00890977"/>
    <w:rsid w:val="00896B52"/>
    <w:rsid w:val="00897C66"/>
    <w:rsid w:val="008A4DDD"/>
    <w:rsid w:val="008A51F0"/>
    <w:rsid w:val="008B3FF1"/>
    <w:rsid w:val="008B43E8"/>
    <w:rsid w:val="008C2F09"/>
    <w:rsid w:val="008C5C8B"/>
    <w:rsid w:val="008D15C3"/>
    <w:rsid w:val="008D3C1D"/>
    <w:rsid w:val="008E3714"/>
    <w:rsid w:val="008F0381"/>
    <w:rsid w:val="008F08AE"/>
    <w:rsid w:val="009009F3"/>
    <w:rsid w:val="00902640"/>
    <w:rsid w:val="00905F95"/>
    <w:rsid w:val="00914479"/>
    <w:rsid w:val="00915E95"/>
    <w:rsid w:val="00916A1C"/>
    <w:rsid w:val="00927183"/>
    <w:rsid w:val="009275DC"/>
    <w:rsid w:val="00927FB7"/>
    <w:rsid w:val="00941DC7"/>
    <w:rsid w:val="00942943"/>
    <w:rsid w:val="00947C80"/>
    <w:rsid w:val="0095027A"/>
    <w:rsid w:val="00960B73"/>
    <w:rsid w:val="00964600"/>
    <w:rsid w:val="00964DB3"/>
    <w:rsid w:val="0096536A"/>
    <w:rsid w:val="00967F54"/>
    <w:rsid w:val="00971E3D"/>
    <w:rsid w:val="009769FE"/>
    <w:rsid w:val="00976EBB"/>
    <w:rsid w:val="009808E7"/>
    <w:rsid w:val="00980DF0"/>
    <w:rsid w:val="00984379"/>
    <w:rsid w:val="00990121"/>
    <w:rsid w:val="009A4B51"/>
    <w:rsid w:val="009A721E"/>
    <w:rsid w:val="009B3FEF"/>
    <w:rsid w:val="009C3E1E"/>
    <w:rsid w:val="009C452E"/>
    <w:rsid w:val="009C522C"/>
    <w:rsid w:val="009D0D86"/>
    <w:rsid w:val="009D13E6"/>
    <w:rsid w:val="009D2966"/>
    <w:rsid w:val="009F6591"/>
    <w:rsid w:val="00A04853"/>
    <w:rsid w:val="00A069B3"/>
    <w:rsid w:val="00A06FA3"/>
    <w:rsid w:val="00A07A61"/>
    <w:rsid w:val="00A11D78"/>
    <w:rsid w:val="00A15C07"/>
    <w:rsid w:val="00A23870"/>
    <w:rsid w:val="00A3459F"/>
    <w:rsid w:val="00A34D19"/>
    <w:rsid w:val="00A355CC"/>
    <w:rsid w:val="00A359E5"/>
    <w:rsid w:val="00A37075"/>
    <w:rsid w:val="00A416E9"/>
    <w:rsid w:val="00A42B3E"/>
    <w:rsid w:val="00A431C6"/>
    <w:rsid w:val="00A45A83"/>
    <w:rsid w:val="00A4609C"/>
    <w:rsid w:val="00A60B83"/>
    <w:rsid w:val="00A6348E"/>
    <w:rsid w:val="00A63CDF"/>
    <w:rsid w:val="00A75A1F"/>
    <w:rsid w:val="00A76480"/>
    <w:rsid w:val="00A81C63"/>
    <w:rsid w:val="00A81EDB"/>
    <w:rsid w:val="00A85DB3"/>
    <w:rsid w:val="00AA0289"/>
    <w:rsid w:val="00AA7E49"/>
    <w:rsid w:val="00AB1072"/>
    <w:rsid w:val="00AB548F"/>
    <w:rsid w:val="00AC0DFB"/>
    <w:rsid w:val="00AE08EB"/>
    <w:rsid w:val="00AE1A09"/>
    <w:rsid w:val="00AE73D9"/>
    <w:rsid w:val="00AF6D86"/>
    <w:rsid w:val="00B05ACE"/>
    <w:rsid w:val="00B127AA"/>
    <w:rsid w:val="00B15F72"/>
    <w:rsid w:val="00B23AF9"/>
    <w:rsid w:val="00B25231"/>
    <w:rsid w:val="00B2723C"/>
    <w:rsid w:val="00B37481"/>
    <w:rsid w:val="00B3760B"/>
    <w:rsid w:val="00B41968"/>
    <w:rsid w:val="00B42A47"/>
    <w:rsid w:val="00B42CB8"/>
    <w:rsid w:val="00B45D7A"/>
    <w:rsid w:val="00B61A3B"/>
    <w:rsid w:val="00B668CA"/>
    <w:rsid w:val="00B72FE5"/>
    <w:rsid w:val="00B84376"/>
    <w:rsid w:val="00B91288"/>
    <w:rsid w:val="00BB4EB0"/>
    <w:rsid w:val="00BB74E1"/>
    <w:rsid w:val="00BC21A7"/>
    <w:rsid w:val="00BD086F"/>
    <w:rsid w:val="00BD3C34"/>
    <w:rsid w:val="00BD532E"/>
    <w:rsid w:val="00BE0042"/>
    <w:rsid w:val="00BE0EA6"/>
    <w:rsid w:val="00BE1FA4"/>
    <w:rsid w:val="00BF6190"/>
    <w:rsid w:val="00C0258D"/>
    <w:rsid w:val="00C0330F"/>
    <w:rsid w:val="00C0385B"/>
    <w:rsid w:val="00C1152B"/>
    <w:rsid w:val="00C12E23"/>
    <w:rsid w:val="00C21AE3"/>
    <w:rsid w:val="00C25D78"/>
    <w:rsid w:val="00C26282"/>
    <w:rsid w:val="00C32486"/>
    <w:rsid w:val="00C33E77"/>
    <w:rsid w:val="00C40176"/>
    <w:rsid w:val="00C43907"/>
    <w:rsid w:val="00C5461B"/>
    <w:rsid w:val="00C569F4"/>
    <w:rsid w:val="00C65B39"/>
    <w:rsid w:val="00C65F6D"/>
    <w:rsid w:val="00C7083D"/>
    <w:rsid w:val="00C751F4"/>
    <w:rsid w:val="00C7713E"/>
    <w:rsid w:val="00C8432F"/>
    <w:rsid w:val="00C85331"/>
    <w:rsid w:val="00C8628F"/>
    <w:rsid w:val="00CA184F"/>
    <w:rsid w:val="00CA6715"/>
    <w:rsid w:val="00CA73D0"/>
    <w:rsid w:val="00CB323F"/>
    <w:rsid w:val="00CD42DC"/>
    <w:rsid w:val="00CD70C1"/>
    <w:rsid w:val="00CE4714"/>
    <w:rsid w:val="00CF3F91"/>
    <w:rsid w:val="00D01B62"/>
    <w:rsid w:val="00D02056"/>
    <w:rsid w:val="00D062DF"/>
    <w:rsid w:val="00D132EA"/>
    <w:rsid w:val="00D3223C"/>
    <w:rsid w:val="00D40033"/>
    <w:rsid w:val="00D40462"/>
    <w:rsid w:val="00D4395D"/>
    <w:rsid w:val="00D4532E"/>
    <w:rsid w:val="00D50725"/>
    <w:rsid w:val="00D559EB"/>
    <w:rsid w:val="00D62D54"/>
    <w:rsid w:val="00D724BB"/>
    <w:rsid w:val="00D73D34"/>
    <w:rsid w:val="00D825E6"/>
    <w:rsid w:val="00D82B7B"/>
    <w:rsid w:val="00D9436E"/>
    <w:rsid w:val="00DA7448"/>
    <w:rsid w:val="00DA7467"/>
    <w:rsid w:val="00DC5197"/>
    <w:rsid w:val="00DD3735"/>
    <w:rsid w:val="00DD6259"/>
    <w:rsid w:val="00DF1AFD"/>
    <w:rsid w:val="00DF3705"/>
    <w:rsid w:val="00DF4430"/>
    <w:rsid w:val="00DF6B2B"/>
    <w:rsid w:val="00E0474E"/>
    <w:rsid w:val="00E054F6"/>
    <w:rsid w:val="00E11618"/>
    <w:rsid w:val="00E16F65"/>
    <w:rsid w:val="00E20A5D"/>
    <w:rsid w:val="00E37A0E"/>
    <w:rsid w:val="00E44FAB"/>
    <w:rsid w:val="00E57A82"/>
    <w:rsid w:val="00E632B8"/>
    <w:rsid w:val="00E64098"/>
    <w:rsid w:val="00E66943"/>
    <w:rsid w:val="00E75739"/>
    <w:rsid w:val="00E76D3E"/>
    <w:rsid w:val="00E77751"/>
    <w:rsid w:val="00E81527"/>
    <w:rsid w:val="00E833CF"/>
    <w:rsid w:val="00E877DD"/>
    <w:rsid w:val="00E911A3"/>
    <w:rsid w:val="00E94AD5"/>
    <w:rsid w:val="00E96C4C"/>
    <w:rsid w:val="00EA0BCA"/>
    <w:rsid w:val="00EA7A22"/>
    <w:rsid w:val="00EB482C"/>
    <w:rsid w:val="00EC3FDA"/>
    <w:rsid w:val="00EC5CED"/>
    <w:rsid w:val="00ED4094"/>
    <w:rsid w:val="00EF0D81"/>
    <w:rsid w:val="00EF11EF"/>
    <w:rsid w:val="00EF53FD"/>
    <w:rsid w:val="00F03C6D"/>
    <w:rsid w:val="00F04159"/>
    <w:rsid w:val="00F0689D"/>
    <w:rsid w:val="00F15E8F"/>
    <w:rsid w:val="00F24774"/>
    <w:rsid w:val="00F31E2D"/>
    <w:rsid w:val="00F37398"/>
    <w:rsid w:val="00F4343B"/>
    <w:rsid w:val="00F760D9"/>
    <w:rsid w:val="00F77CF4"/>
    <w:rsid w:val="00F835EE"/>
    <w:rsid w:val="00FA0465"/>
    <w:rsid w:val="00FA18F4"/>
    <w:rsid w:val="00FB246D"/>
    <w:rsid w:val="00FC3F12"/>
    <w:rsid w:val="00FC6661"/>
    <w:rsid w:val="00FD3974"/>
    <w:rsid w:val="00FD70FB"/>
    <w:rsid w:val="00FF2DC4"/>
    <w:rsid w:val="00FF33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7698"/>
  <w15:docId w15:val="{9D41F716-E6CE-4B81-B411-58F053B7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D81"/>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1"/>
    <w:qFormat/>
    <w:rsid w:val="00EF0D81"/>
    <w:pPr>
      <w:spacing w:after="120"/>
      <w:ind w:left="1134" w:right="1134"/>
      <w:jc w:val="both"/>
    </w:pPr>
  </w:style>
  <w:style w:type="paragraph" w:customStyle="1" w:styleId="HChG">
    <w:name w:val="_ H _Ch_G"/>
    <w:basedOn w:val="Normal"/>
    <w:next w:val="Normal"/>
    <w:link w:val="HChGChar"/>
    <w:rsid w:val="00EF0D81"/>
    <w:pPr>
      <w:keepNext/>
      <w:keepLines/>
      <w:tabs>
        <w:tab w:val="right" w:pos="851"/>
      </w:tabs>
      <w:spacing w:before="360" w:after="240" w:line="300" w:lineRule="exact"/>
      <w:ind w:left="1134" w:right="1134" w:hanging="1134"/>
    </w:pPr>
    <w:rPr>
      <w:b/>
      <w:sz w:val="28"/>
    </w:rPr>
  </w:style>
  <w:style w:type="character" w:styleId="Hyperlink">
    <w:name w:val="Hyperlink"/>
    <w:semiHidden/>
    <w:rsid w:val="00EF0D81"/>
    <w:rPr>
      <w:color w:val="auto"/>
      <w:u w:val="none"/>
    </w:rPr>
  </w:style>
  <w:style w:type="paragraph" w:customStyle="1" w:styleId="H1G">
    <w:name w:val="_ H_1_G"/>
    <w:basedOn w:val="Normal"/>
    <w:next w:val="Normal"/>
    <w:rsid w:val="00EF0D81"/>
    <w:pPr>
      <w:keepNext/>
      <w:keepLines/>
      <w:tabs>
        <w:tab w:val="right" w:pos="851"/>
      </w:tabs>
      <w:spacing w:before="360" w:after="240" w:line="270" w:lineRule="exact"/>
      <w:ind w:left="1134" w:right="1134" w:hanging="1134"/>
    </w:pPr>
    <w:rPr>
      <w:b/>
      <w:sz w:val="24"/>
    </w:rPr>
  </w:style>
  <w:style w:type="character" w:customStyle="1" w:styleId="HChGChar">
    <w:name w:val="_ H _Ch_G Char"/>
    <w:link w:val="HChG"/>
    <w:rsid w:val="00EF0D81"/>
    <w:rPr>
      <w:rFonts w:ascii="Times New Roman" w:eastAsia="Times New Roman" w:hAnsi="Times New Roman" w:cs="Times New Roman"/>
      <w:b/>
      <w:sz w:val="28"/>
      <w:szCs w:val="20"/>
      <w:lang w:val="en-GB"/>
    </w:rPr>
  </w:style>
  <w:style w:type="character" w:customStyle="1" w:styleId="SingleTxtGChar1">
    <w:name w:val="_ Single Txt_G Char1"/>
    <w:link w:val="SingleTxtG"/>
    <w:locked/>
    <w:rsid w:val="00EF0D8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F0D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81"/>
    <w:rPr>
      <w:rFonts w:ascii="Tahoma" w:eastAsia="Times New Roman" w:hAnsi="Tahoma" w:cs="Tahoma"/>
      <w:sz w:val="16"/>
      <w:szCs w:val="16"/>
      <w:lang w:val="en-GB"/>
    </w:rPr>
  </w:style>
  <w:style w:type="paragraph" w:styleId="Header">
    <w:name w:val="header"/>
    <w:basedOn w:val="Normal"/>
    <w:link w:val="HeaderChar"/>
    <w:uiPriority w:val="99"/>
    <w:unhideWhenUsed/>
    <w:rsid w:val="00203584"/>
    <w:pPr>
      <w:tabs>
        <w:tab w:val="center" w:pos="4680"/>
        <w:tab w:val="right" w:pos="9360"/>
      </w:tabs>
      <w:spacing w:line="240" w:lineRule="auto"/>
    </w:pPr>
  </w:style>
  <w:style w:type="character" w:customStyle="1" w:styleId="HeaderChar">
    <w:name w:val="Header Char"/>
    <w:basedOn w:val="DefaultParagraphFont"/>
    <w:link w:val="Header"/>
    <w:uiPriority w:val="99"/>
    <w:rsid w:val="0020358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03584"/>
    <w:pPr>
      <w:tabs>
        <w:tab w:val="center" w:pos="4680"/>
        <w:tab w:val="right" w:pos="9360"/>
      </w:tabs>
      <w:spacing w:line="240" w:lineRule="auto"/>
    </w:pPr>
  </w:style>
  <w:style w:type="character" w:customStyle="1" w:styleId="FooterChar">
    <w:name w:val="Footer Char"/>
    <w:basedOn w:val="DefaultParagraphFont"/>
    <w:link w:val="Footer"/>
    <w:uiPriority w:val="99"/>
    <w:rsid w:val="00203584"/>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C1152B"/>
    <w:pPr>
      <w:suppressAutoHyphens w:val="0"/>
      <w:spacing w:before="100" w:beforeAutospacing="1" w:after="100" w:afterAutospacing="1" w:line="240" w:lineRule="auto"/>
    </w:pPr>
    <w:rPr>
      <w:rFonts w:eastAsiaTheme="minorHAnsi"/>
      <w:sz w:val="24"/>
      <w:szCs w:val="24"/>
      <w:lang w:val="en-US"/>
    </w:rPr>
  </w:style>
  <w:style w:type="character" w:customStyle="1" w:styleId="SingleTxtGChar">
    <w:name w:val="_ Single Txt_G Char"/>
    <w:qFormat/>
    <w:rsid w:val="007F7110"/>
    <w:rPr>
      <w:lang w:eastAsia="en-US"/>
    </w:rPr>
  </w:style>
  <w:style w:type="paragraph" w:styleId="FootnoteText">
    <w:name w:val="footnote text"/>
    <w:basedOn w:val="Normal"/>
    <w:link w:val="FootnoteTextChar"/>
    <w:uiPriority w:val="99"/>
    <w:unhideWhenUsed/>
    <w:rsid w:val="00E64098"/>
    <w:pPr>
      <w:spacing w:line="240" w:lineRule="auto"/>
    </w:pPr>
  </w:style>
  <w:style w:type="character" w:customStyle="1" w:styleId="FootnoteTextChar">
    <w:name w:val="Footnote Text Char"/>
    <w:basedOn w:val="DefaultParagraphFont"/>
    <w:link w:val="FootnoteText"/>
    <w:uiPriority w:val="99"/>
    <w:rsid w:val="00E6409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64098"/>
    <w:rPr>
      <w:vertAlign w:val="superscript"/>
    </w:rPr>
  </w:style>
  <w:style w:type="character" w:styleId="CommentReference">
    <w:name w:val="annotation reference"/>
    <w:basedOn w:val="DefaultParagraphFont"/>
    <w:uiPriority w:val="99"/>
    <w:semiHidden/>
    <w:unhideWhenUsed/>
    <w:rsid w:val="00A81EDB"/>
    <w:rPr>
      <w:sz w:val="16"/>
      <w:szCs w:val="16"/>
    </w:rPr>
  </w:style>
  <w:style w:type="paragraph" w:styleId="CommentText">
    <w:name w:val="annotation text"/>
    <w:basedOn w:val="Normal"/>
    <w:link w:val="CommentTextChar"/>
    <w:uiPriority w:val="99"/>
    <w:unhideWhenUsed/>
    <w:rsid w:val="00A81EDB"/>
    <w:pPr>
      <w:spacing w:line="240" w:lineRule="auto"/>
    </w:pPr>
  </w:style>
  <w:style w:type="character" w:customStyle="1" w:styleId="CommentTextChar">
    <w:name w:val="Comment Text Char"/>
    <w:basedOn w:val="DefaultParagraphFont"/>
    <w:link w:val="CommentText"/>
    <w:uiPriority w:val="99"/>
    <w:rsid w:val="00A81E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1EDB"/>
    <w:rPr>
      <w:b/>
      <w:bCs/>
    </w:rPr>
  </w:style>
  <w:style w:type="character" w:customStyle="1" w:styleId="CommentSubjectChar">
    <w:name w:val="Comment Subject Char"/>
    <w:basedOn w:val="CommentTextChar"/>
    <w:link w:val="CommentSubject"/>
    <w:uiPriority w:val="99"/>
    <w:semiHidden/>
    <w:rsid w:val="00A81EDB"/>
    <w:rPr>
      <w:rFonts w:ascii="Times New Roman" w:eastAsia="Times New Roman" w:hAnsi="Times New Roman" w:cs="Times New Roman"/>
      <w:b/>
      <w:bCs/>
      <w:sz w:val="20"/>
      <w:szCs w:val="20"/>
      <w:lang w:val="en-GB"/>
    </w:rPr>
  </w:style>
  <w:style w:type="paragraph" w:styleId="Revision">
    <w:name w:val="Revision"/>
    <w:hidden/>
    <w:uiPriority w:val="99"/>
    <w:semiHidden/>
    <w:rsid w:val="00424D74"/>
    <w:pPr>
      <w:spacing w:after="0" w:line="240" w:lineRule="auto"/>
    </w:pPr>
    <w:rPr>
      <w:rFonts w:ascii="Times New Roman" w:eastAsia="Times New Roman" w:hAnsi="Times New Roman" w:cs="Times New Roman"/>
      <w:sz w:val="20"/>
      <w:szCs w:val="20"/>
      <w:lang w:val="en-GB"/>
    </w:rPr>
  </w:style>
  <w:style w:type="table" w:styleId="TableGrid">
    <w:name w:val="Table Grid"/>
    <w:basedOn w:val="TableNormal"/>
    <w:uiPriority w:val="59"/>
    <w:rsid w:val="009C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45884">
      <w:bodyDiv w:val="1"/>
      <w:marLeft w:val="0"/>
      <w:marRight w:val="0"/>
      <w:marTop w:val="0"/>
      <w:marBottom w:val="0"/>
      <w:divBdr>
        <w:top w:val="none" w:sz="0" w:space="0" w:color="auto"/>
        <w:left w:val="none" w:sz="0" w:space="0" w:color="auto"/>
        <w:bottom w:val="none" w:sz="0" w:space="0" w:color="auto"/>
        <w:right w:val="none" w:sz="0" w:space="0" w:color="auto"/>
      </w:divBdr>
    </w:div>
    <w:div w:id="18569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ece.org/fileadmin/DAM/trans/doc/2020/dgac10c4/UN-SCEGHS-39-INF23e.pdf" TargetMode="External"/><Relationship Id="rId2" Type="http://schemas.openxmlformats.org/officeDocument/2006/relationships/hyperlink" Target="https://unece.org/DAM/trans/doc/2016/dgac10c4/ST-SG-AC10-C4-64e.pdf" TargetMode="External"/><Relationship Id="rId1" Type="http://schemas.openxmlformats.org/officeDocument/2006/relationships/hyperlink" Target="https://unece.org/DAM/trans/doc/2016/dgac10c4/UN-SCEGHS-32-INF35.pdf" TargetMode="External"/><Relationship Id="rId6" Type="http://schemas.openxmlformats.org/officeDocument/2006/relationships/hyperlink" Target="https://unece.org/sites/default/files/2024-04/ST-SG-AC10-C4-86E.pdf" TargetMode="External"/><Relationship Id="rId5" Type="http://schemas.openxmlformats.org/officeDocument/2006/relationships/hyperlink" Target="https://unece.org/sites/default/files/2022-11/UN-SCEGHS-43-INF14e.pdf" TargetMode="External"/><Relationship Id="rId4" Type="http://schemas.openxmlformats.org/officeDocument/2006/relationships/hyperlink" Target="https://unece.org/sites/default/files/2021-01/ST-SG-AC10-C4-78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9024B-0574-4F30-8633-99F531FE587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5E215D2B-13B6-4E7D-8026-491D4FE789D8}">
  <ds:schemaRefs>
    <ds:schemaRef ds:uri="http://schemas.microsoft.com/sharepoint/v3/contenttype/forms"/>
  </ds:schemaRefs>
</ds:datastoreItem>
</file>

<file path=customXml/itemProps3.xml><?xml version="1.0" encoding="utf-8"?>
<ds:datastoreItem xmlns:ds="http://schemas.openxmlformats.org/officeDocument/2006/customXml" ds:itemID="{9001E6B1-9F67-4A82-BB1F-86B2E350E48A}">
  <ds:schemaRefs>
    <ds:schemaRef ds:uri="http://schemas.openxmlformats.org/officeDocument/2006/bibliography"/>
  </ds:schemaRefs>
</ds:datastoreItem>
</file>

<file path=customXml/itemProps4.xml><?xml version="1.0" encoding="utf-8"?>
<ds:datastoreItem xmlns:ds="http://schemas.openxmlformats.org/officeDocument/2006/customXml" ds:itemID="{195123E7-C4CC-4AF5-A682-9528BB4A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653</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Deana - OSHA</dc:creator>
  <cp:keywords/>
  <dc:description/>
  <cp:lastModifiedBy>Alicia Dorca Garcia</cp:lastModifiedBy>
  <cp:revision>39</cp:revision>
  <cp:lastPrinted>2022-12-05T09:41:00Z</cp:lastPrinted>
  <dcterms:created xsi:type="dcterms:W3CDTF">2024-11-25T18:29:00Z</dcterms:created>
  <dcterms:modified xsi:type="dcterms:W3CDTF">2024-11-26T11:25:00Z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