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66F7D92" w14:textId="77777777" w:rsidTr="00C97039">
        <w:trPr>
          <w:trHeight w:hRule="exact" w:val="851"/>
        </w:trPr>
        <w:tc>
          <w:tcPr>
            <w:tcW w:w="1276" w:type="dxa"/>
            <w:tcBorders>
              <w:bottom w:val="single" w:sz="4" w:space="0" w:color="auto"/>
            </w:tcBorders>
          </w:tcPr>
          <w:p w14:paraId="78B0E3F0" w14:textId="77777777" w:rsidR="00F35BAF" w:rsidRPr="00DB58B5" w:rsidRDefault="00F35BAF" w:rsidP="007459D7">
            <w:pPr>
              <w:pStyle w:val="H1G"/>
            </w:pPr>
          </w:p>
        </w:tc>
        <w:tc>
          <w:tcPr>
            <w:tcW w:w="2268" w:type="dxa"/>
            <w:tcBorders>
              <w:bottom w:val="single" w:sz="4" w:space="0" w:color="auto"/>
            </w:tcBorders>
            <w:vAlign w:val="bottom"/>
          </w:tcPr>
          <w:p w14:paraId="352568B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72E4DE7" w14:textId="0F73378F" w:rsidR="00F35BAF" w:rsidRPr="00DB58B5" w:rsidRDefault="00CE245A" w:rsidP="00CE245A">
            <w:pPr>
              <w:jc w:val="right"/>
            </w:pPr>
            <w:r w:rsidRPr="00CE245A">
              <w:rPr>
                <w:sz w:val="40"/>
              </w:rPr>
              <w:t>ECE</w:t>
            </w:r>
            <w:r>
              <w:t>/TRANS/WP</w:t>
            </w:r>
            <w:r w:rsidR="00036363" w:rsidRPr="00036363">
              <w:t>.</w:t>
            </w:r>
            <w:r w:rsidRPr="00036363">
              <w:t>15</w:t>
            </w:r>
            <w:r>
              <w:t>/AC</w:t>
            </w:r>
            <w:r w:rsidR="00036363" w:rsidRPr="00036363">
              <w:t>.</w:t>
            </w:r>
            <w:r w:rsidRPr="00036363">
              <w:t>1</w:t>
            </w:r>
            <w:r>
              <w:t>/</w:t>
            </w:r>
            <w:r w:rsidRPr="00036363">
              <w:t>174</w:t>
            </w:r>
          </w:p>
        </w:tc>
      </w:tr>
      <w:tr w:rsidR="00F35BAF" w:rsidRPr="00DB58B5" w14:paraId="14F5E7AA" w14:textId="77777777" w:rsidTr="00C97039">
        <w:trPr>
          <w:trHeight w:hRule="exact" w:val="2835"/>
        </w:trPr>
        <w:tc>
          <w:tcPr>
            <w:tcW w:w="1276" w:type="dxa"/>
            <w:tcBorders>
              <w:top w:val="single" w:sz="4" w:space="0" w:color="auto"/>
              <w:bottom w:val="single" w:sz="12" w:space="0" w:color="auto"/>
            </w:tcBorders>
          </w:tcPr>
          <w:p w14:paraId="3E311E2F" w14:textId="77777777" w:rsidR="00F35BAF" w:rsidRPr="00DB58B5" w:rsidRDefault="00F35BAF" w:rsidP="00C97039">
            <w:pPr>
              <w:spacing w:before="120"/>
              <w:jc w:val="center"/>
            </w:pPr>
            <w:r>
              <w:rPr>
                <w:noProof/>
                <w:lang w:eastAsia="fr-CH"/>
              </w:rPr>
              <w:drawing>
                <wp:inline distT="0" distB="0" distL="0" distR="0" wp14:anchorId="55840F3A" wp14:editId="4648F6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5FCA3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FBC3E12" w14:textId="41BC704C" w:rsidR="00F35BAF" w:rsidRDefault="00CE245A" w:rsidP="00C97039">
            <w:pPr>
              <w:spacing w:before="240"/>
            </w:pPr>
            <w:r>
              <w:t>Distr</w:t>
            </w:r>
            <w:r w:rsidR="00036363" w:rsidRPr="00036363">
              <w:t>.</w:t>
            </w:r>
            <w:r>
              <w:t xml:space="preserve"> générale</w:t>
            </w:r>
          </w:p>
          <w:p w14:paraId="6AAEC67C" w14:textId="77777777" w:rsidR="00CE245A" w:rsidRDefault="00CE245A" w:rsidP="00CE245A">
            <w:pPr>
              <w:spacing w:line="240" w:lineRule="exact"/>
            </w:pPr>
            <w:r w:rsidRPr="00036363">
              <w:t>2</w:t>
            </w:r>
            <w:r>
              <w:t xml:space="preserve"> octobre </w:t>
            </w:r>
            <w:r w:rsidRPr="00036363">
              <w:t>2024</w:t>
            </w:r>
          </w:p>
          <w:p w14:paraId="5A538540" w14:textId="77777777" w:rsidR="00CE245A" w:rsidRDefault="00CE245A" w:rsidP="00CE245A">
            <w:pPr>
              <w:spacing w:line="240" w:lineRule="exact"/>
            </w:pPr>
            <w:r>
              <w:t>Français</w:t>
            </w:r>
          </w:p>
          <w:p w14:paraId="5EDE65D8" w14:textId="20E3709F" w:rsidR="00CE245A" w:rsidRPr="00DB58B5" w:rsidRDefault="00CE245A" w:rsidP="00CE245A">
            <w:pPr>
              <w:spacing w:line="240" w:lineRule="exact"/>
            </w:pPr>
            <w:r>
              <w:t>Original</w:t>
            </w:r>
            <w:r w:rsidR="00887612">
              <w:t> :</w:t>
            </w:r>
            <w:r>
              <w:t xml:space="preserve"> anglais</w:t>
            </w:r>
          </w:p>
        </w:tc>
      </w:tr>
    </w:tbl>
    <w:p w14:paraId="38C51038" w14:textId="54890646" w:rsidR="007F20FA" w:rsidRPr="000312C0" w:rsidRDefault="007F20FA" w:rsidP="007F20FA">
      <w:pPr>
        <w:spacing w:before="120"/>
        <w:rPr>
          <w:b/>
          <w:sz w:val="28"/>
          <w:szCs w:val="28"/>
        </w:rPr>
      </w:pPr>
      <w:r w:rsidRPr="000312C0">
        <w:rPr>
          <w:b/>
          <w:sz w:val="28"/>
          <w:szCs w:val="28"/>
        </w:rPr>
        <w:t>Commission économique pour l</w:t>
      </w:r>
      <w:r w:rsidR="00887612">
        <w:rPr>
          <w:b/>
          <w:sz w:val="28"/>
          <w:szCs w:val="28"/>
        </w:rPr>
        <w:t>’</w:t>
      </w:r>
      <w:r w:rsidRPr="000312C0">
        <w:rPr>
          <w:b/>
          <w:sz w:val="28"/>
          <w:szCs w:val="28"/>
        </w:rPr>
        <w:t>Europe</w:t>
      </w:r>
    </w:p>
    <w:p w14:paraId="7B0BF54E" w14:textId="77777777" w:rsidR="007F20FA" w:rsidRDefault="007F20FA" w:rsidP="007F20FA">
      <w:pPr>
        <w:spacing w:before="120"/>
        <w:rPr>
          <w:sz w:val="28"/>
          <w:szCs w:val="28"/>
        </w:rPr>
      </w:pPr>
      <w:r w:rsidRPr="00685843">
        <w:rPr>
          <w:sz w:val="28"/>
          <w:szCs w:val="28"/>
        </w:rPr>
        <w:t>Comité des transports intérieurs</w:t>
      </w:r>
    </w:p>
    <w:p w14:paraId="60FF8BEE" w14:textId="77777777" w:rsidR="00CE245A" w:rsidRPr="00D11D38" w:rsidRDefault="00CE245A" w:rsidP="00CE245A">
      <w:pPr>
        <w:spacing w:before="120" w:after="120"/>
        <w:rPr>
          <w:b/>
          <w:sz w:val="32"/>
          <w:szCs w:val="24"/>
          <w:lang w:val="fr-FR"/>
        </w:rPr>
      </w:pPr>
      <w:r w:rsidRPr="00D11D38">
        <w:rPr>
          <w:b/>
          <w:bCs/>
          <w:sz w:val="24"/>
          <w:lang w:val="fr-FR"/>
        </w:rPr>
        <w:t>Groupe de travail des transports de marchandises dangereuses</w:t>
      </w:r>
    </w:p>
    <w:p w14:paraId="46A80E04" w14:textId="6BEA0076" w:rsidR="00CE245A" w:rsidRPr="00D11D38" w:rsidRDefault="00CE245A" w:rsidP="00CE245A">
      <w:pPr>
        <w:ind w:right="3684"/>
        <w:rPr>
          <w:b/>
          <w:lang w:val="fr-FR"/>
        </w:rPr>
      </w:pPr>
      <w:r w:rsidRPr="00D11D38">
        <w:rPr>
          <w:b/>
          <w:bCs/>
          <w:lang w:val="fr-FR"/>
        </w:rPr>
        <w:t>Réunion commune de la Commission d</w:t>
      </w:r>
      <w:r w:rsidR="00887612">
        <w:rPr>
          <w:b/>
          <w:bCs/>
          <w:lang w:val="fr-FR"/>
        </w:rPr>
        <w:t>’</w:t>
      </w:r>
      <w:r w:rsidRPr="00D11D38">
        <w:rPr>
          <w:b/>
          <w:bCs/>
          <w:lang w:val="fr-FR"/>
        </w:rPr>
        <w:t xml:space="preserve">experts du RID </w:t>
      </w:r>
      <w:r>
        <w:rPr>
          <w:b/>
          <w:bCs/>
          <w:lang w:val="fr-FR"/>
        </w:rPr>
        <w:br/>
      </w:r>
      <w:r w:rsidRPr="00D11D38">
        <w:rPr>
          <w:b/>
          <w:bCs/>
          <w:lang w:val="fr-FR"/>
        </w:rPr>
        <w:t>et</w:t>
      </w:r>
      <w:r>
        <w:rPr>
          <w:b/>
          <w:bCs/>
          <w:lang w:val="fr-FR"/>
        </w:rPr>
        <w:t> </w:t>
      </w:r>
      <w:r w:rsidRPr="00D11D38">
        <w:rPr>
          <w:b/>
          <w:bCs/>
          <w:lang w:val="fr-FR"/>
        </w:rPr>
        <w:t>du Groupe de travail des transports de marchandises dangereuses</w:t>
      </w:r>
    </w:p>
    <w:p w14:paraId="382E8027" w14:textId="53784C06" w:rsidR="00CE245A" w:rsidRPr="00D11D38" w:rsidRDefault="00CE245A" w:rsidP="00CE245A">
      <w:pPr>
        <w:pStyle w:val="HChG"/>
        <w:rPr>
          <w:lang w:val="fr-FR"/>
        </w:rPr>
      </w:pPr>
      <w:r w:rsidRPr="00D11D38">
        <w:rPr>
          <w:lang w:val="fr-FR"/>
        </w:rPr>
        <w:tab/>
      </w:r>
      <w:r w:rsidRPr="00D11D38">
        <w:rPr>
          <w:lang w:val="fr-FR"/>
        </w:rPr>
        <w:tab/>
        <w:t>Rapport de la Réunion commune de la Commission d</w:t>
      </w:r>
      <w:r w:rsidR="00887612">
        <w:rPr>
          <w:lang w:val="fr-FR"/>
        </w:rPr>
        <w:t>’</w:t>
      </w:r>
      <w:r w:rsidRPr="00D11D38">
        <w:rPr>
          <w:lang w:val="fr-FR"/>
        </w:rPr>
        <w:t>experts du RID et du Groupe de travail des transports de</w:t>
      </w:r>
      <w:r w:rsidR="00787CAA">
        <w:rPr>
          <w:lang w:val="fr-FR"/>
        </w:rPr>
        <w:t> </w:t>
      </w:r>
      <w:r w:rsidRPr="00D11D38">
        <w:rPr>
          <w:lang w:val="fr-FR"/>
        </w:rPr>
        <w:t xml:space="preserve">marchandises dangereuses sur sa session </w:t>
      </w:r>
      <w:r w:rsidR="00787CAA">
        <w:rPr>
          <w:lang w:val="fr-FR"/>
        </w:rPr>
        <w:br/>
      </w:r>
      <w:r w:rsidRPr="00D11D38">
        <w:rPr>
          <w:lang w:val="fr-FR"/>
        </w:rPr>
        <w:t>d</w:t>
      </w:r>
      <w:r w:rsidR="00887612">
        <w:rPr>
          <w:lang w:val="fr-FR"/>
        </w:rPr>
        <w:t>’</w:t>
      </w:r>
      <w:r w:rsidRPr="00D11D38">
        <w:rPr>
          <w:lang w:val="fr-FR"/>
        </w:rPr>
        <w:t xml:space="preserve">automne </w:t>
      </w:r>
      <w:r w:rsidRPr="00036363">
        <w:rPr>
          <w:lang w:val="fr-FR"/>
        </w:rPr>
        <w:t>2024</w:t>
      </w:r>
    </w:p>
    <w:p w14:paraId="6AF723B2" w14:textId="77777777" w:rsidR="00CE245A" w:rsidRPr="00D11D38" w:rsidRDefault="00CE245A" w:rsidP="00CE245A">
      <w:pPr>
        <w:pStyle w:val="H56G"/>
        <w:rPr>
          <w:lang w:val="fr-FR"/>
        </w:rPr>
      </w:pPr>
      <w:r w:rsidRPr="00D11D38">
        <w:rPr>
          <w:lang w:val="fr-FR"/>
        </w:rPr>
        <w:tab/>
      </w:r>
      <w:r w:rsidRPr="00D11D38">
        <w:rPr>
          <w:lang w:val="fr-FR"/>
        </w:rPr>
        <w:tab/>
        <w:t xml:space="preserve">Tenue au Palais des Nations, à Genève, du </w:t>
      </w:r>
      <w:r w:rsidRPr="00036363">
        <w:rPr>
          <w:lang w:val="fr-FR"/>
        </w:rPr>
        <w:t>9</w:t>
      </w:r>
      <w:r w:rsidRPr="00D11D38">
        <w:rPr>
          <w:lang w:val="fr-FR"/>
        </w:rPr>
        <w:t xml:space="preserve"> au </w:t>
      </w:r>
      <w:r w:rsidRPr="00036363">
        <w:rPr>
          <w:lang w:val="fr-FR"/>
        </w:rPr>
        <w:t>13</w:t>
      </w:r>
      <w:r w:rsidRPr="00D11D38">
        <w:rPr>
          <w:lang w:val="fr-FR"/>
        </w:rPr>
        <w:t xml:space="preserve"> septembre </w:t>
      </w:r>
      <w:r w:rsidRPr="00036363">
        <w:rPr>
          <w:lang w:val="fr-FR"/>
        </w:rPr>
        <w:t>2024</w:t>
      </w:r>
    </w:p>
    <w:p w14:paraId="3B4CCE04" w14:textId="0EC514E6" w:rsidR="00CE245A" w:rsidRPr="00CE245A" w:rsidRDefault="00CE245A" w:rsidP="00CE245A">
      <w:pPr>
        <w:spacing w:after="120"/>
        <w:rPr>
          <w:sz w:val="28"/>
        </w:rPr>
      </w:pPr>
      <w:r w:rsidRPr="00CE245A">
        <w:rPr>
          <w:sz w:val="28"/>
        </w:rPr>
        <w:t>Table des matières</w:t>
      </w:r>
    </w:p>
    <w:p w14:paraId="0002185C" w14:textId="038E37B6" w:rsidR="00CE245A" w:rsidRPr="00036363" w:rsidRDefault="00CE245A" w:rsidP="00CE245A">
      <w:pPr>
        <w:tabs>
          <w:tab w:val="right" w:pos="8929"/>
          <w:tab w:val="right" w:pos="9638"/>
        </w:tabs>
        <w:spacing w:after="120"/>
        <w:ind w:left="283"/>
        <w:rPr>
          <w:i/>
          <w:sz w:val="18"/>
        </w:rPr>
      </w:pPr>
      <w:r w:rsidRPr="00036363">
        <w:rPr>
          <w:i/>
          <w:sz w:val="18"/>
        </w:rPr>
        <w:tab/>
        <w:t>Paragraphes</w:t>
      </w:r>
      <w:r w:rsidRPr="00036363">
        <w:rPr>
          <w:i/>
          <w:sz w:val="18"/>
        </w:rPr>
        <w:tab/>
        <w:t>Page</w:t>
      </w:r>
    </w:p>
    <w:p w14:paraId="48852DF4" w14:textId="195E293C" w:rsidR="00CE245A" w:rsidRDefault="00CE245A" w:rsidP="00CE245A">
      <w:pPr>
        <w:tabs>
          <w:tab w:val="right" w:pos="850"/>
          <w:tab w:val="right" w:leader="dot" w:pos="7654"/>
          <w:tab w:val="right" w:pos="8929"/>
          <w:tab w:val="right" w:pos="9638"/>
        </w:tabs>
        <w:spacing w:after="120"/>
        <w:ind w:left="1134" w:hanging="1134"/>
      </w:pPr>
      <w:r>
        <w:tab/>
        <w:t>I</w:t>
      </w:r>
      <w:r w:rsidR="00036363" w:rsidRPr="00036363">
        <w:t>.</w:t>
      </w:r>
      <w:r>
        <w:tab/>
      </w:r>
      <w:r w:rsidR="00C83C31" w:rsidRPr="00D11D38">
        <w:rPr>
          <w:lang w:val="fr-FR"/>
        </w:rPr>
        <w:t>Participation</w:t>
      </w:r>
      <w:r>
        <w:tab/>
      </w:r>
      <w:r>
        <w:tab/>
      </w:r>
      <w:r w:rsidR="00596185">
        <w:t>1−4</w:t>
      </w:r>
      <w:r>
        <w:tab/>
      </w:r>
      <w:r w:rsidR="00CA3EB2">
        <w:t>4</w:t>
      </w:r>
    </w:p>
    <w:p w14:paraId="236DA6D2" w14:textId="32DEB12B" w:rsidR="00CE245A" w:rsidRDefault="00CE245A" w:rsidP="00CE245A">
      <w:pPr>
        <w:tabs>
          <w:tab w:val="right" w:pos="850"/>
          <w:tab w:val="right" w:leader="dot" w:pos="7654"/>
          <w:tab w:val="right" w:pos="8929"/>
          <w:tab w:val="right" w:pos="9638"/>
        </w:tabs>
        <w:spacing w:after="120"/>
        <w:ind w:left="1134" w:hanging="1134"/>
      </w:pPr>
      <w:r>
        <w:tab/>
        <w:t>II</w:t>
      </w:r>
      <w:r w:rsidR="00036363" w:rsidRPr="00036363">
        <w:t>.</w:t>
      </w:r>
      <w:r>
        <w:tab/>
      </w:r>
      <w:r w:rsidR="00C83C31" w:rsidRPr="00D11D38">
        <w:rPr>
          <w:lang w:val="fr-FR"/>
        </w:rPr>
        <w:t>Questions d</w:t>
      </w:r>
      <w:r w:rsidR="00C83C31">
        <w:rPr>
          <w:lang w:val="fr-FR"/>
        </w:rPr>
        <w:t>’</w:t>
      </w:r>
      <w:r w:rsidR="00C83C31" w:rsidRPr="00D11D38">
        <w:rPr>
          <w:lang w:val="fr-FR"/>
        </w:rPr>
        <w:t>organisation</w:t>
      </w:r>
      <w:r>
        <w:tab/>
      </w:r>
      <w:r>
        <w:tab/>
      </w:r>
      <w:r w:rsidR="00596185">
        <w:t>5−10</w:t>
      </w:r>
      <w:r>
        <w:tab/>
      </w:r>
      <w:r w:rsidR="00CA3EB2">
        <w:t>4</w:t>
      </w:r>
    </w:p>
    <w:p w14:paraId="40A59C9B" w14:textId="358C86C4" w:rsidR="00CE245A" w:rsidRDefault="00CE245A" w:rsidP="00CE245A">
      <w:pPr>
        <w:tabs>
          <w:tab w:val="right" w:pos="850"/>
          <w:tab w:val="right" w:leader="dot" w:pos="7654"/>
          <w:tab w:val="right" w:pos="8929"/>
          <w:tab w:val="right" w:pos="9638"/>
        </w:tabs>
        <w:spacing w:after="120"/>
        <w:ind w:left="1134" w:hanging="1134"/>
      </w:pPr>
      <w:r>
        <w:tab/>
        <w:t>III</w:t>
      </w:r>
      <w:r w:rsidR="00036363" w:rsidRPr="00036363">
        <w:t>.</w:t>
      </w:r>
      <w:r>
        <w:tab/>
      </w:r>
      <w:r w:rsidR="00C83C31" w:rsidRPr="00D11D38">
        <w:rPr>
          <w:lang w:val="fr-FR"/>
        </w:rPr>
        <w:t>Adoption de l</w:t>
      </w:r>
      <w:r w:rsidR="00C83C31">
        <w:rPr>
          <w:lang w:val="fr-FR"/>
        </w:rPr>
        <w:t>’</w:t>
      </w:r>
      <w:r w:rsidR="00C83C31" w:rsidRPr="00D11D38">
        <w:rPr>
          <w:lang w:val="fr-FR"/>
        </w:rPr>
        <w:t xml:space="preserve">ordre du jour (point </w:t>
      </w:r>
      <w:r w:rsidR="00C83C31" w:rsidRPr="00036363">
        <w:rPr>
          <w:lang w:val="fr-FR"/>
        </w:rPr>
        <w:t>1</w:t>
      </w:r>
      <w:r w:rsidR="00C83C31" w:rsidRPr="00D11D38">
        <w:rPr>
          <w:lang w:val="fr-FR"/>
        </w:rPr>
        <w:t xml:space="preserve"> de l</w:t>
      </w:r>
      <w:r w:rsidR="00C83C31">
        <w:rPr>
          <w:lang w:val="fr-FR"/>
        </w:rPr>
        <w:t>’</w:t>
      </w:r>
      <w:r w:rsidR="00C83C31" w:rsidRPr="00D11D38">
        <w:rPr>
          <w:lang w:val="fr-FR"/>
        </w:rPr>
        <w:t>ordre du jour)</w:t>
      </w:r>
      <w:r>
        <w:tab/>
      </w:r>
      <w:r>
        <w:tab/>
      </w:r>
      <w:r w:rsidR="00596185">
        <w:t>11</w:t>
      </w:r>
      <w:r>
        <w:tab/>
      </w:r>
      <w:r w:rsidR="00CA3EB2">
        <w:t>5</w:t>
      </w:r>
    </w:p>
    <w:p w14:paraId="2C75C9BD" w14:textId="00FEEF9B" w:rsidR="00CE245A" w:rsidRDefault="00CE245A" w:rsidP="00CE245A">
      <w:pPr>
        <w:tabs>
          <w:tab w:val="right" w:pos="850"/>
          <w:tab w:val="right" w:leader="dot" w:pos="7654"/>
          <w:tab w:val="right" w:pos="8929"/>
          <w:tab w:val="right" w:pos="9638"/>
        </w:tabs>
        <w:spacing w:after="120"/>
        <w:ind w:left="1134" w:hanging="1134"/>
      </w:pPr>
      <w:r>
        <w:tab/>
        <w:t>IV</w:t>
      </w:r>
      <w:r w:rsidR="00036363" w:rsidRPr="00036363">
        <w:t>.</w:t>
      </w:r>
      <w:r>
        <w:tab/>
      </w:r>
      <w:r w:rsidR="00C83C31" w:rsidRPr="00D11D38">
        <w:rPr>
          <w:lang w:val="fr-FR"/>
        </w:rPr>
        <w:t xml:space="preserve">Citernes (point </w:t>
      </w:r>
      <w:r w:rsidR="00C83C31" w:rsidRPr="00036363">
        <w:rPr>
          <w:lang w:val="fr-FR"/>
        </w:rPr>
        <w:t>2</w:t>
      </w:r>
      <w:r w:rsidR="00C83C31" w:rsidRPr="00D11D38">
        <w:rPr>
          <w:lang w:val="fr-FR"/>
        </w:rPr>
        <w:t xml:space="preserve"> de l</w:t>
      </w:r>
      <w:r w:rsidR="00C83C31">
        <w:rPr>
          <w:lang w:val="fr-FR"/>
        </w:rPr>
        <w:t>’</w:t>
      </w:r>
      <w:r w:rsidR="00C83C31" w:rsidRPr="00D11D38">
        <w:rPr>
          <w:lang w:val="fr-FR"/>
        </w:rPr>
        <w:t>ordre du jour)</w:t>
      </w:r>
      <w:r>
        <w:tab/>
      </w:r>
      <w:r>
        <w:tab/>
      </w:r>
      <w:r w:rsidR="00596185">
        <w:t>12−17</w:t>
      </w:r>
      <w:r>
        <w:tab/>
      </w:r>
      <w:r w:rsidR="00CA3EB2">
        <w:t>5</w:t>
      </w:r>
    </w:p>
    <w:p w14:paraId="18FBF93E" w14:textId="1A7BC249" w:rsidR="00CE245A" w:rsidRDefault="00CE245A" w:rsidP="00CE245A">
      <w:pPr>
        <w:tabs>
          <w:tab w:val="right" w:leader="dot" w:pos="7654"/>
          <w:tab w:val="right" w:pos="8929"/>
          <w:tab w:val="right" w:pos="9638"/>
        </w:tabs>
        <w:spacing w:after="120"/>
        <w:ind w:left="1559" w:hanging="425"/>
      </w:pPr>
      <w:r>
        <w:t>A</w:t>
      </w:r>
      <w:r w:rsidR="00036363" w:rsidRPr="00036363">
        <w:t>.</w:t>
      </w:r>
      <w:r>
        <w:tab/>
      </w:r>
      <w:r w:rsidR="00C83C31" w:rsidRPr="00D11D38">
        <w:rPr>
          <w:lang w:val="fr-FR"/>
        </w:rPr>
        <w:t>Réunion du Groupe de travail des citernes</w:t>
      </w:r>
      <w:r>
        <w:tab/>
      </w:r>
      <w:r>
        <w:tab/>
      </w:r>
      <w:r w:rsidR="00596185">
        <w:t>12</w:t>
      </w:r>
      <w:r>
        <w:tab/>
      </w:r>
      <w:r w:rsidR="00CA3EB2">
        <w:t>5</w:t>
      </w:r>
    </w:p>
    <w:p w14:paraId="44F126F4" w14:textId="5BC83829" w:rsidR="00CE245A" w:rsidRDefault="00CE245A" w:rsidP="00CE245A">
      <w:pPr>
        <w:tabs>
          <w:tab w:val="right" w:leader="dot" w:pos="7654"/>
          <w:tab w:val="right" w:pos="8929"/>
          <w:tab w:val="right" w:pos="9638"/>
        </w:tabs>
        <w:spacing w:after="120"/>
        <w:ind w:left="1559" w:hanging="425"/>
      </w:pPr>
      <w:r>
        <w:t>B</w:t>
      </w:r>
      <w:r w:rsidR="00036363" w:rsidRPr="00036363">
        <w:t>.</w:t>
      </w:r>
      <w:r>
        <w:tab/>
      </w:r>
      <w:r w:rsidR="00C83C31" w:rsidRPr="00D11D38">
        <w:rPr>
          <w:lang w:val="fr-FR"/>
        </w:rPr>
        <w:t>Rapport du Groupe de travail des citernes</w:t>
      </w:r>
      <w:r>
        <w:tab/>
      </w:r>
      <w:r>
        <w:tab/>
      </w:r>
      <w:r w:rsidR="00596185">
        <w:t>13−17</w:t>
      </w:r>
      <w:r>
        <w:tab/>
      </w:r>
      <w:r w:rsidR="00CA3EB2">
        <w:t>5</w:t>
      </w:r>
    </w:p>
    <w:p w14:paraId="61BC22F8" w14:textId="703A6ED5" w:rsidR="00CE245A" w:rsidRDefault="00CE245A" w:rsidP="00CE245A">
      <w:pPr>
        <w:tabs>
          <w:tab w:val="right" w:pos="850"/>
          <w:tab w:val="right" w:leader="dot" w:pos="7654"/>
          <w:tab w:val="right" w:pos="8929"/>
          <w:tab w:val="right" w:pos="9638"/>
        </w:tabs>
        <w:spacing w:after="120"/>
        <w:ind w:left="1134" w:hanging="1134"/>
      </w:pPr>
      <w:r>
        <w:tab/>
        <w:t>V</w:t>
      </w:r>
      <w:r w:rsidR="00036363" w:rsidRPr="00036363">
        <w:t>.</w:t>
      </w:r>
      <w:r>
        <w:tab/>
      </w:r>
      <w:r w:rsidR="00C83C31" w:rsidRPr="00D11D38">
        <w:rPr>
          <w:lang w:val="fr-FR"/>
        </w:rPr>
        <w:t xml:space="preserve">Normes (point </w:t>
      </w:r>
      <w:r w:rsidR="00C83C31" w:rsidRPr="00036363">
        <w:rPr>
          <w:lang w:val="fr-FR"/>
        </w:rPr>
        <w:t>3</w:t>
      </w:r>
      <w:r w:rsidR="00C83C31" w:rsidRPr="00D11D38">
        <w:rPr>
          <w:lang w:val="fr-FR"/>
        </w:rPr>
        <w:t xml:space="preserve"> de l</w:t>
      </w:r>
      <w:r w:rsidR="00C83C31">
        <w:rPr>
          <w:lang w:val="fr-FR"/>
        </w:rPr>
        <w:t>’</w:t>
      </w:r>
      <w:r w:rsidR="00C83C31" w:rsidRPr="00D11D38">
        <w:rPr>
          <w:lang w:val="fr-FR"/>
        </w:rPr>
        <w:t>ordre du jour)</w:t>
      </w:r>
      <w:r>
        <w:tab/>
      </w:r>
      <w:r>
        <w:tab/>
      </w:r>
      <w:r w:rsidR="00596185">
        <w:t>18−22</w:t>
      </w:r>
      <w:r>
        <w:tab/>
      </w:r>
      <w:r w:rsidR="00CA3EB2">
        <w:t>6</w:t>
      </w:r>
    </w:p>
    <w:p w14:paraId="00D74E4A" w14:textId="758A242F" w:rsidR="00CE245A" w:rsidRDefault="00CE245A" w:rsidP="00CE245A">
      <w:pPr>
        <w:tabs>
          <w:tab w:val="right" w:leader="dot" w:pos="7654"/>
          <w:tab w:val="right" w:pos="8929"/>
          <w:tab w:val="right" w:pos="9638"/>
        </w:tabs>
        <w:spacing w:after="120"/>
        <w:ind w:left="1559" w:hanging="425"/>
      </w:pPr>
      <w:r>
        <w:t>A</w:t>
      </w:r>
      <w:r w:rsidR="00036363" w:rsidRPr="00036363">
        <w:t>.</w:t>
      </w:r>
      <w:r>
        <w:tab/>
      </w:r>
      <w:r w:rsidR="00C83C31" w:rsidRPr="00D11D38">
        <w:rPr>
          <w:lang w:val="fr-FR"/>
        </w:rPr>
        <w:t>Rapport sur les activités du Groupe de travail des normes</w:t>
      </w:r>
      <w:r>
        <w:tab/>
      </w:r>
      <w:r>
        <w:tab/>
      </w:r>
      <w:r w:rsidR="00596185">
        <w:t>18−19</w:t>
      </w:r>
      <w:r>
        <w:tab/>
      </w:r>
      <w:r w:rsidR="00CA3EB2">
        <w:t>6</w:t>
      </w:r>
    </w:p>
    <w:p w14:paraId="5EE31126" w14:textId="0CCF5B55" w:rsidR="00CE245A" w:rsidRDefault="00CE245A" w:rsidP="00CE245A">
      <w:pPr>
        <w:tabs>
          <w:tab w:val="right" w:leader="dot" w:pos="7654"/>
          <w:tab w:val="right" w:pos="8929"/>
          <w:tab w:val="right" w:pos="9638"/>
        </w:tabs>
        <w:spacing w:after="120"/>
        <w:ind w:left="1559" w:hanging="425"/>
      </w:pPr>
      <w:r>
        <w:t>B</w:t>
      </w:r>
      <w:r w:rsidR="00036363" w:rsidRPr="00036363">
        <w:t>.</w:t>
      </w:r>
      <w:r>
        <w:tab/>
      </w:r>
      <w:r w:rsidR="00C83C31" w:rsidRPr="00D11D38">
        <w:rPr>
          <w:lang w:val="fr-FR"/>
        </w:rPr>
        <w:t>Suppression de la colonne (</w:t>
      </w:r>
      <w:r w:rsidR="00C83C31" w:rsidRPr="00036363">
        <w:rPr>
          <w:lang w:val="fr-FR"/>
        </w:rPr>
        <w:t>3</w:t>
      </w:r>
      <w:r w:rsidR="00C83C31" w:rsidRPr="00D11D38">
        <w:rPr>
          <w:lang w:val="fr-FR"/>
        </w:rPr>
        <w:t xml:space="preserve">) dans les tableaux des chapitres </w:t>
      </w:r>
      <w:r w:rsidR="00C83C31" w:rsidRPr="00036363">
        <w:rPr>
          <w:lang w:val="fr-FR"/>
        </w:rPr>
        <w:t>6.2</w:t>
      </w:r>
      <w:r w:rsidR="00C83C31" w:rsidRPr="00D11D38">
        <w:rPr>
          <w:lang w:val="fr-FR"/>
        </w:rPr>
        <w:t xml:space="preserve"> et </w:t>
      </w:r>
      <w:r w:rsidR="00C83C31" w:rsidRPr="00036363">
        <w:rPr>
          <w:lang w:val="fr-FR"/>
        </w:rPr>
        <w:t>6.8</w:t>
      </w:r>
      <w:r w:rsidR="00C83C31" w:rsidRPr="00D11D38">
        <w:rPr>
          <w:lang w:val="fr-FR"/>
        </w:rPr>
        <w:t xml:space="preserve"> </w:t>
      </w:r>
      <w:r w:rsidR="00C83C31">
        <w:rPr>
          <w:lang w:val="fr-FR"/>
        </w:rPr>
        <w:br/>
      </w:r>
      <w:r w:rsidR="00C83C31" w:rsidRPr="00D11D38">
        <w:rPr>
          <w:lang w:val="fr-FR"/>
        </w:rPr>
        <w:t>renvoyant aux normes</w:t>
      </w:r>
      <w:r>
        <w:tab/>
      </w:r>
      <w:r>
        <w:tab/>
      </w:r>
      <w:r w:rsidR="00596185">
        <w:t>20−21</w:t>
      </w:r>
      <w:r>
        <w:tab/>
      </w:r>
      <w:r w:rsidR="00CA3EB2">
        <w:t>6</w:t>
      </w:r>
    </w:p>
    <w:p w14:paraId="4815B559" w14:textId="47738F83" w:rsidR="00CE245A" w:rsidRDefault="00CE245A" w:rsidP="00CE245A">
      <w:pPr>
        <w:tabs>
          <w:tab w:val="right" w:leader="dot" w:pos="7654"/>
          <w:tab w:val="right" w:pos="8929"/>
          <w:tab w:val="right" w:pos="9638"/>
        </w:tabs>
        <w:spacing w:after="120"/>
        <w:ind w:left="1559" w:hanging="425"/>
      </w:pPr>
      <w:r>
        <w:t>C</w:t>
      </w:r>
      <w:r w:rsidR="00036363" w:rsidRPr="00036363">
        <w:t>.</w:t>
      </w:r>
      <w:r>
        <w:tab/>
      </w:r>
      <w:r w:rsidR="00C83C31" w:rsidRPr="00D11D38">
        <w:rPr>
          <w:lang w:val="fr-FR"/>
        </w:rPr>
        <w:t xml:space="preserve">Informations sur les activités du Groupe de travail des normes </w:t>
      </w:r>
      <w:r w:rsidR="00C83C31">
        <w:rPr>
          <w:lang w:val="fr-FR"/>
        </w:rPr>
        <w:t>–</w:t>
      </w:r>
      <w:r w:rsidR="00C83C31" w:rsidRPr="00D11D38">
        <w:rPr>
          <w:lang w:val="fr-FR"/>
        </w:rPr>
        <w:t xml:space="preserve"> </w:t>
      </w:r>
      <w:r w:rsidR="00C83C31">
        <w:rPr>
          <w:lang w:val="fr-FR"/>
        </w:rPr>
        <w:br/>
      </w:r>
      <w:r w:rsidR="00C83C31" w:rsidRPr="00D11D38">
        <w:rPr>
          <w:lang w:val="fr-FR"/>
        </w:rPr>
        <w:t>Norme</w:t>
      </w:r>
      <w:r w:rsidR="00C83C31">
        <w:rPr>
          <w:lang w:val="fr-FR"/>
        </w:rPr>
        <w:t> </w:t>
      </w:r>
      <w:r w:rsidR="00C83C31" w:rsidRPr="00D11D38">
        <w:rPr>
          <w:lang w:val="fr-FR"/>
        </w:rPr>
        <w:t xml:space="preserve">EN ISO </w:t>
      </w:r>
      <w:r w:rsidR="00C83C31" w:rsidRPr="00036363">
        <w:rPr>
          <w:lang w:val="fr-FR"/>
        </w:rPr>
        <w:t>10297</w:t>
      </w:r>
      <w:r w:rsidR="00C83C31">
        <w:rPr>
          <w:lang w:val="fr-FR"/>
        </w:rPr>
        <w:t>:</w:t>
      </w:r>
      <w:r w:rsidR="00C83C31" w:rsidRPr="00036363">
        <w:rPr>
          <w:lang w:val="fr-FR"/>
        </w:rPr>
        <w:t>2024</w:t>
      </w:r>
      <w:r>
        <w:tab/>
      </w:r>
      <w:r>
        <w:tab/>
      </w:r>
      <w:r w:rsidR="00596185">
        <w:t>22</w:t>
      </w:r>
      <w:r>
        <w:tab/>
      </w:r>
      <w:r w:rsidR="00CA3EB2">
        <w:t>6</w:t>
      </w:r>
    </w:p>
    <w:p w14:paraId="76C46068" w14:textId="61103F70" w:rsidR="00CE245A" w:rsidRDefault="00CE245A" w:rsidP="00CE245A">
      <w:pPr>
        <w:tabs>
          <w:tab w:val="right" w:pos="850"/>
          <w:tab w:val="right" w:leader="dot" w:pos="7654"/>
          <w:tab w:val="right" w:pos="8929"/>
          <w:tab w:val="right" w:pos="9638"/>
        </w:tabs>
        <w:spacing w:after="120"/>
        <w:ind w:left="1134" w:hanging="1134"/>
      </w:pPr>
      <w:r>
        <w:tab/>
        <w:t>VI</w:t>
      </w:r>
      <w:r w:rsidR="00036363" w:rsidRPr="00036363">
        <w:t>.</w:t>
      </w:r>
      <w:r>
        <w:tab/>
      </w:r>
      <w:r w:rsidR="00C83C31" w:rsidRPr="00D11D38">
        <w:rPr>
          <w:lang w:val="fr-FR"/>
        </w:rPr>
        <w:t>Interprétation du RID, de l</w:t>
      </w:r>
      <w:r w:rsidR="00C83C31">
        <w:rPr>
          <w:lang w:val="fr-FR"/>
        </w:rPr>
        <w:t>’</w:t>
      </w:r>
      <w:r w:rsidR="00C83C31" w:rsidRPr="00D11D38">
        <w:rPr>
          <w:lang w:val="fr-FR"/>
        </w:rPr>
        <w:t>ADR et de l</w:t>
      </w:r>
      <w:r w:rsidR="00C83C31">
        <w:rPr>
          <w:lang w:val="fr-FR"/>
        </w:rPr>
        <w:t>’</w:t>
      </w:r>
      <w:r w:rsidR="00C83C31" w:rsidRPr="00D11D38">
        <w:rPr>
          <w:lang w:val="fr-FR"/>
        </w:rPr>
        <w:t xml:space="preserve">ADN (point </w:t>
      </w:r>
      <w:r w:rsidR="00C83C31" w:rsidRPr="00036363">
        <w:rPr>
          <w:lang w:val="fr-FR"/>
        </w:rPr>
        <w:t>4</w:t>
      </w:r>
      <w:r w:rsidR="00C83C31" w:rsidRPr="00D11D38">
        <w:rPr>
          <w:lang w:val="fr-FR"/>
        </w:rPr>
        <w:t xml:space="preserve"> de l</w:t>
      </w:r>
      <w:r w:rsidR="00C83C31">
        <w:rPr>
          <w:lang w:val="fr-FR"/>
        </w:rPr>
        <w:t>’</w:t>
      </w:r>
      <w:r w:rsidR="00C83C31" w:rsidRPr="00D11D38">
        <w:rPr>
          <w:lang w:val="fr-FR"/>
        </w:rPr>
        <w:t>ordre du jour)</w:t>
      </w:r>
      <w:r>
        <w:tab/>
      </w:r>
      <w:r>
        <w:tab/>
      </w:r>
      <w:r w:rsidR="00596185">
        <w:t>23−24</w:t>
      </w:r>
      <w:r>
        <w:tab/>
      </w:r>
      <w:r w:rsidR="00CA3EB2">
        <w:t>7</w:t>
      </w:r>
    </w:p>
    <w:p w14:paraId="692BF3CF" w14:textId="10B0F828" w:rsidR="00CE245A" w:rsidRDefault="00CE245A" w:rsidP="00CE245A">
      <w:pPr>
        <w:tabs>
          <w:tab w:val="right" w:leader="dot" w:pos="7654"/>
          <w:tab w:val="right" w:pos="8929"/>
          <w:tab w:val="right" w:pos="9638"/>
        </w:tabs>
        <w:spacing w:after="120"/>
        <w:ind w:left="1984" w:hanging="425"/>
      </w:pPr>
      <w:r w:rsidRPr="00036363">
        <w:t>1</w:t>
      </w:r>
      <w:r w:rsidR="00036363" w:rsidRPr="00036363">
        <w:t>.</w:t>
      </w:r>
      <w:r>
        <w:tab/>
      </w:r>
      <w:r w:rsidR="00C83C31" w:rsidRPr="00D11D38">
        <w:rPr>
          <w:lang w:val="fr-FR"/>
        </w:rPr>
        <w:t xml:space="preserve">Personnes devant suivre une formation obligatoire conformément </w:t>
      </w:r>
      <w:r w:rsidR="00C83C31">
        <w:rPr>
          <w:lang w:val="fr-FR"/>
        </w:rPr>
        <w:br/>
      </w:r>
      <w:r w:rsidR="00C83C31" w:rsidRPr="00D11D38">
        <w:rPr>
          <w:lang w:val="fr-FR"/>
        </w:rPr>
        <w:t xml:space="preserve">au chapitre </w:t>
      </w:r>
      <w:r w:rsidR="00C83C31" w:rsidRPr="00036363">
        <w:rPr>
          <w:lang w:val="fr-FR"/>
        </w:rPr>
        <w:t>1.3</w:t>
      </w:r>
      <w:r>
        <w:tab/>
      </w:r>
      <w:r>
        <w:tab/>
      </w:r>
      <w:r w:rsidR="004B425A">
        <w:t>23−24</w:t>
      </w:r>
      <w:r>
        <w:tab/>
      </w:r>
      <w:r w:rsidR="00CA3EB2">
        <w:t>7</w:t>
      </w:r>
    </w:p>
    <w:p w14:paraId="774834BB" w14:textId="036DC7F6" w:rsidR="00CE245A" w:rsidRDefault="00CE245A" w:rsidP="00CE245A">
      <w:pPr>
        <w:tabs>
          <w:tab w:val="right" w:pos="850"/>
          <w:tab w:val="right" w:leader="dot" w:pos="7654"/>
          <w:tab w:val="right" w:pos="8929"/>
          <w:tab w:val="right" w:pos="9638"/>
        </w:tabs>
        <w:spacing w:after="120"/>
        <w:ind w:left="1134" w:hanging="1134"/>
      </w:pPr>
      <w:r>
        <w:tab/>
        <w:t>VII</w:t>
      </w:r>
      <w:r w:rsidR="00036363" w:rsidRPr="00036363">
        <w:t>.</w:t>
      </w:r>
      <w:r>
        <w:tab/>
      </w:r>
      <w:r w:rsidR="00C83C31" w:rsidRPr="00D11D38">
        <w:rPr>
          <w:lang w:val="fr-FR"/>
        </w:rPr>
        <w:t>Propositions d</w:t>
      </w:r>
      <w:r w:rsidR="00C83C31">
        <w:rPr>
          <w:lang w:val="fr-FR"/>
        </w:rPr>
        <w:t>’</w:t>
      </w:r>
      <w:r w:rsidR="00C83C31" w:rsidRPr="00D11D38">
        <w:rPr>
          <w:lang w:val="fr-FR"/>
        </w:rPr>
        <w:t>amendements au RID, à l</w:t>
      </w:r>
      <w:r w:rsidR="00C83C31">
        <w:rPr>
          <w:lang w:val="fr-FR"/>
        </w:rPr>
        <w:t>’</w:t>
      </w:r>
      <w:r w:rsidR="00C83C31" w:rsidRPr="00D11D38">
        <w:rPr>
          <w:lang w:val="fr-FR"/>
        </w:rPr>
        <w:t>ADR et à l</w:t>
      </w:r>
      <w:r w:rsidR="00C83C31">
        <w:rPr>
          <w:lang w:val="fr-FR"/>
        </w:rPr>
        <w:t>’</w:t>
      </w:r>
      <w:r w:rsidR="00C83C31" w:rsidRPr="00D11D38">
        <w:rPr>
          <w:lang w:val="fr-FR"/>
        </w:rPr>
        <w:t xml:space="preserve">ADN (point </w:t>
      </w:r>
      <w:r w:rsidR="00C83C31" w:rsidRPr="00036363">
        <w:rPr>
          <w:lang w:val="fr-FR"/>
        </w:rPr>
        <w:t>5</w:t>
      </w:r>
      <w:r w:rsidR="00C83C31" w:rsidRPr="00D11D38">
        <w:rPr>
          <w:lang w:val="fr-FR"/>
        </w:rPr>
        <w:t xml:space="preserve"> de l</w:t>
      </w:r>
      <w:r w:rsidR="00C83C31">
        <w:rPr>
          <w:lang w:val="fr-FR"/>
        </w:rPr>
        <w:t>’</w:t>
      </w:r>
      <w:r w:rsidR="00C83C31" w:rsidRPr="00D11D38">
        <w:rPr>
          <w:lang w:val="fr-FR"/>
        </w:rPr>
        <w:t xml:space="preserve">ordre </w:t>
      </w:r>
      <w:r w:rsidR="00C83C31">
        <w:rPr>
          <w:lang w:val="fr-FR"/>
        </w:rPr>
        <w:br/>
      </w:r>
      <w:r w:rsidR="00C83C31" w:rsidRPr="00D11D38">
        <w:rPr>
          <w:lang w:val="fr-FR"/>
        </w:rPr>
        <w:t>du jour)</w:t>
      </w:r>
      <w:r>
        <w:tab/>
      </w:r>
      <w:r>
        <w:tab/>
      </w:r>
      <w:r w:rsidR="004B425A">
        <w:t>25−53</w:t>
      </w:r>
      <w:r>
        <w:tab/>
      </w:r>
      <w:r w:rsidR="00CA3EB2">
        <w:t>7</w:t>
      </w:r>
    </w:p>
    <w:p w14:paraId="2B09B2CB" w14:textId="0BDED3D6" w:rsidR="00CE245A" w:rsidRDefault="00CE245A" w:rsidP="00CE245A">
      <w:pPr>
        <w:tabs>
          <w:tab w:val="right" w:leader="dot" w:pos="7654"/>
          <w:tab w:val="right" w:pos="8929"/>
          <w:tab w:val="right" w:pos="9638"/>
        </w:tabs>
        <w:spacing w:after="120"/>
        <w:ind w:left="1559" w:hanging="425"/>
      </w:pPr>
      <w:r>
        <w:t>A</w:t>
      </w:r>
      <w:r w:rsidR="00036363" w:rsidRPr="00036363">
        <w:t>.</w:t>
      </w:r>
      <w:r>
        <w:tab/>
      </w:r>
      <w:r w:rsidR="00C83C31" w:rsidRPr="00D11D38">
        <w:rPr>
          <w:lang w:val="fr-FR"/>
        </w:rPr>
        <w:t>Questions en suspens</w:t>
      </w:r>
      <w:r>
        <w:tab/>
      </w:r>
      <w:r>
        <w:tab/>
      </w:r>
      <w:r w:rsidR="004B425A">
        <w:t>25−36</w:t>
      </w:r>
      <w:r>
        <w:tab/>
      </w:r>
      <w:r w:rsidR="00CA3EB2">
        <w:t>7</w:t>
      </w:r>
    </w:p>
    <w:p w14:paraId="266DE72F" w14:textId="61542660" w:rsidR="00CE245A" w:rsidRDefault="00CE245A" w:rsidP="00CE245A">
      <w:pPr>
        <w:tabs>
          <w:tab w:val="right" w:leader="dot" w:pos="7654"/>
          <w:tab w:val="right" w:pos="8929"/>
          <w:tab w:val="right" w:pos="9638"/>
        </w:tabs>
        <w:spacing w:after="120"/>
        <w:ind w:left="1984" w:hanging="425"/>
      </w:pPr>
      <w:r w:rsidRPr="00036363">
        <w:t>1</w:t>
      </w:r>
      <w:r w:rsidR="00036363" w:rsidRPr="00036363">
        <w:t>.</w:t>
      </w:r>
      <w:r>
        <w:tab/>
      </w:r>
      <w:r w:rsidR="00C83C31" w:rsidRPr="00D11D38">
        <w:rPr>
          <w:lang w:val="fr-FR"/>
        </w:rPr>
        <w:t xml:space="preserve">Marquage des bouteilles de GPL − </w:t>
      </w:r>
      <w:r w:rsidR="00C83C31" w:rsidRPr="00036363">
        <w:rPr>
          <w:lang w:val="fr-FR"/>
        </w:rPr>
        <w:t>6.2.3.9.4</w:t>
      </w:r>
      <w:r>
        <w:tab/>
      </w:r>
      <w:r>
        <w:tab/>
      </w:r>
      <w:r w:rsidR="004B425A">
        <w:t>25−26</w:t>
      </w:r>
      <w:r>
        <w:tab/>
      </w:r>
      <w:r w:rsidR="00CA3EB2">
        <w:t>7</w:t>
      </w:r>
    </w:p>
    <w:p w14:paraId="614AC26D" w14:textId="65EC4AF1" w:rsidR="00CE245A" w:rsidRDefault="00CE245A" w:rsidP="00C83C31">
      <w:pPr>
        <w:keepNext/>
        <w:keepLines/>
        <w:tabs>
          <w:tab w:val="right" w:leader="dot" w:pos="7654"/>
          <w:tab w:val="right" w:pos="8929"/>
          <w:tab w:val="right" w:pos="9638"/>
        </w:tabs>
        <w:spacing w:after="120"/>
        <w:ind w:left="1984" w:hanging="425"/>
      </w:pPr>
      <w:r w:rsidRPr="00036363">
        <w:lastRenderedPageBreak/>
        <w:t>2</w:t>
      </w:r>
      <w:r w:rsidR="00036363" w:rsidRPr="00036363">
        <w:t>.</w:t>
      </w:r>
      <w:r>
        <w:tab/>
      </w:r>
      <w:r w:rsidR="00C83C31" w:rsidRPr="00D11D38">
        <w:rPr>
          <w:lang w:val="fr-FR"/>
        </w:rPr>
        <w:t>Définition révisée du terme «</w:t>
      </w:r>
      <w:r w:rsidR="00C83C31">
        <w:rPr>
          <w:lang w:val="fr-FR"/>
        </w:rPr>
        <w:t> </w:t>
      </w:r>
      <w:r w:rsidR="00C83C31" w:rsidRPr="00D11D38">
        <w:rPr>
          <w:lang w:val="fr-FR"/>
        </w:rPr>
        <w:t>gaz de pétrole liquéfié</w:t>
      </w:r>
      <w:r w:rsidR="00C83C31">
        <w:rPr>
          <w:lang w:val="fr-FR"/>
        </w:rPr>
        <w:t> </w:t>
      </w:r>
      <w:r w:rsidR="00C83C31" w:rsidRPr="00D11D38">
        <w:rPr>
          <w:lang w:val="fr-FR"/>
        </w:rPr>
        <w:t>»</w:t>
      </w:r>
      <w:r>
        <w:tab/>
      </w:r>
      <w:r>
        <w:tab/>
      </w:r>
      <w:r w:rsidR="004B425A">
        <w:t>27−30</w:t>
      </w:r>
      <w:r>
        <w:tab/>
      </w:r>
      <w:r w:rsidR="00CA3EB2">
        <w:t>7</w:t>
      </w:r>
    </w:p>
    <w:p w14:paraId="0C11ACF6" w14:textId="71DF8A2B" w:rsidR="00CE245A" w:rsidRDefault="00CE245A" w:rsidP="00CE245A">
      <w:pPr>
        <w:tabs>
          <w:tab w:val="right" w:leader="dot" w:pos="7654"/>
          <w:tab w:val="right" w:pos="8929"/>
          <w:tab w:val="right" w:pos="9638"/>
        </w:tabs>
        <w:spacing w:after="120"/>
        <w:ind w:left="1984" w:hanging="425"/>
      </w:pPr>
      <w:r w:rsidRPr="00036363">
        <w:t>3</w:t>
      </w:r>
      <w:r w:rsidR="00036363" w:rsidRPr="00036363">
        <w:t>.</w:t>
      </w:r>
      <w:r>
        <w:tab/>
      </w:r>
      <w:r w:rsidR="00C83C31" w:rsidRPr="00D11D38">
        <w:rPr>
          <w:lang w:val="fr-FR"/>
        </w:rPr>
        <w:t>Livraison du dernier kilomètre</w:t>
      </w:r>
      <w:r>
        <w:tab/>
      </w:r>
      <w:r>
        <w:tab/>
      </w:r>
      <w:r w:rsidR="004B425A">
        <w:t>31−32</w:t>
      </w:r>
      <w:r>
        <w:tab/>
      </w:r>
      <w:r w:rsidR="00CA3EB2">
        <w:t>8</w:t>
      </w:r>
    </w:p>
    <w:p w14:paraId="1D251949" w14:textId="37BEC18F" w:rsidR="00CE245A" w:rsidRDefault="00CE245A" w:rsidP="00CE245A">
      <w:pPr>
        <w:tabs>
          <w:tab w:val="right" w:leader="dot" w:pos="7654"/>
          <w:tab w:val="right" w:pos="8929"/>
          <w:tab w:val="right" w:pos="9638"/>
        </w:tabs>
        <w:spacing w:after="120"/>
        <w:ind w:left="1984" w:hanging="425"/>
      </w:pPr>
      <w:r w:rsidRPr="00C83C31">
        <w:rPr>
          <w:spacing w:val="-2"/>
        </w:rPr>
        <w:t>4</w:t>
      </w:r>
      <w:r w:rsidR="00036363" w:rsidRPr="00C83C31">
        <w:rPr>
          <w:spacing w:val="-2"/>
        </w:rPr>
        <w:t>.</w:t>
      </w:r>
      <w:r w:rsidRPr="00C83C31">
        <w:rPr>
          <w:spacing w:val="-2"/>
        </w:rPr>
        <w:tab/>
      </w:r>
      <w:r w:rsidR="00C83C31" w:rsidRPr="00C83C31">
        <w:rPr>
          <w:spacing w:val="-2"/>
          <w:lang w:val="fr-FR"/>
        </w:rPr>
        <w:t xml:space="preserve">Marchandises dangereuses contenues dans des machines, des appareils </w:t>
      </w:r>
      <w:r w:rsidR="00C83C31">
        <w:rPr>
          <w:lang w:val="fr-FR"/>
        </w:rPr>
        <w:br/>
      </w:r>
      <w:r w:rsidR="00C83C31" w:rsidRPr="00D11D38">
        <w:rPr>
          <w:lang w:val="fr-FR"/>
        </w:rPr>
        <w:t>ou des objets − objets usagés</w:t>
      </w:r>
      <w:r>
        <w:tab/>
      </w:r>
      <w:r>
        <w:tab/>
      </w:r>
      <w:r w:rsidR="004B425A">
        <w:t>33−34</w:t>
      </w:r>
      <w:r>
        <w:tab/>
      </w:r>
      <w:r w:rsidR="00CA3EB2">
        <w:t>8</w:t>
      </w:r>
    </w:p>
    <w:p w14:paraId="3347B6AC" w14:textId="26823E83" w:rsidR="00CE245A" w:rsidRDefault="00CE245A" w:rsidP="00CE245A">
      <w:pPr>
        <w:tabs>
          <w:tab w:val="right" w:leader="dot" w:pos="7654"/>
          <w:tab w:val="right" w:pos="8929"/>
          <w:tab w:val="right" w:pos="9638"/>
        </w:tabs>
        <w:spacing w:after="120"/>
        <w:ind w:left="1984" w:hanging="425"/>
      </w:pPr>
      <w:r w:rsidRPr="00036363">
        <w:t>5</w:t>
      </w:r>
      <w:r w:rsidR="00036363" w:rsidRPr="00036363">
        <w:t>.</w:t>
      </w:r>
      <w:r>
        <w:tab/>
      </w:r>
      <w:r w:rsidR="00C83C31" w:rsidRPr="00D11D38">
        <w:rPr>
          <w:lang w:val="fr-FR"/>
        </w:rPr>
        <w:t>Documents de transport</w:t>
      </w:r>
      <w:r w:rsidR="00C83C31">
        <w:rPr>
          <w:lang w:val="fr-FR"/>
        </w:rPr>
        <w:t> :</w:t>
      </w:r>
      <w:r w:rsidR="00C83C31" w:rsidRPr="00D11D38">
        <w:rPr>
          <w:lang w:val="fr-FR"/>
        </w:rPr>
        <w:t xml:space="preserve"> nouvelle note au </w:t>
      </w:r>
      <w:r w:rsidR="00C83C31" w:rsidRPr="00036363">
        <w:rPr>
          <w:lang w:val="fr-FR"/>
        </w:rPr>
        <w:t>5.4.0.2</w:t>
      </w:r>
      <w:r>
        <w:tab/>
      </w:r>
      <w:r>
        <w:tab/>
      </w:r>
      <w:r w:rsidR="004B425A">
        <w:t>35−36</w:t>
      </w:r>
      <w:r>
        <w:tab/>
      </w:r>
      <w:r w:rsidR="00CA3EB2">
        <w:t>8</w:t>
      </w:r>
    </w:p>
    <w:p w14:paraId="6C1CFCEF" w14:textId="6BB96736" w:rsidR="00CE245A" w:rsidRDefault="00CE245A" w:rsidP="00CE245A">
      <w:pPr>
        <w:tabs>
          <w:tab w:val="right" w:leader="dot" w:pos="7654"/>
          <w:tab w:val="right" w:pos="8929"/>
          <w:tab w:val="right" w:pos="9638"/>
        </w:tabs>
        <w:spacing w:after="120"/>
        <w:ind w:left="1559" w:hanging="425"/>
      </w:pPr>
      <w:r>
        <w:t>B</w:t>
      </w:r>
      <w:r w:rsidR="00036363" w:rsidRPr="00036363">
        <w:t>.</w:t>
      </w:r>
      <w:r>
        <w:tab/>
      </w:r>
      <w:r w:rsidR="00C83C31" w:rsidRPr="00D11D38">
        <w:rPr>
          <w:lang w:val="fr-FR"/>
        </w:rPr>
        <w:t>Nouvelles propositions</w:t>
      </w:r>
      <w:r>
        <w:tab/>
      </w:r>
      <w:r>
        <w:tab/>
      </w:r>
      <w:r w:rsidR="004B425A">
        <w:t>37−53</w:t>
      </w:r>
      <w:r>
        <w:tab/>
      </w:r>
      <w:r w:rsidR="00CA3EB2">
        <w:t>8</w:t>
      </w:r>
    </w:p>
    <w:p w14:paraId="489B771A" w14:textId="604FD5E2" w:rsidR="00CE245A" w:rsidRDefault="00CE245A" w:rsidP="00CE245A">
      <w:pPr>
        <w:tabs>
          <w:tab w:val="right" w:leader="dot" w:pos="7654"/>
          <w:tab w:val="right" w:pos="8929"/>
          <w:tab w:val="right" w:pos="9638"/>
        </w:tabs>
        <w:spacing w:after="120"/>
        <w:ind w:left="1984" w:hanging="425"/>
      </w:pPr>
      <w:r w:rsidRPr="00036363">
        <w:t>1</w:t>
      </w:r>
      <w:r w:rsidR="00036363" w:rsidRPr="00036363">
        <w:t>.</w:t>
      </w:r>
      <w:r>
        <w:tab/>
      </w:r>
      <w:r w:rsidR="00C83C31" w:rsidRPr="00D11D38">
        <w:rPr>
          <w:lang w:val="fr-FR"/>
        </w:rPr>
        <w:t xml:space="preserve">Modification des prescriptions applicables aux récipients à pression </w:t>
      </w:r>
      <w:r w:rsidR="00C83C31">
        <w:rPr>
          <w:lang w:val="fr-FR"/>
        </w:rPr>
        <w:br/>
      </w:r>
      <w:r w:rsidR="00C83C31" w:rsidRPr="00C83C31">
        <w:rPr>
          <w:spacing w:val="-2"/>
          <w:lang w:val="fr-FR"/>
        </w:rPr>
        <w:t>autorisés par le Département des transports des États-Unis d’Amérique</w:t>
      </w:r>
      <w:r w:rsidR="00C83C31" w:rsidRPr="00D11D38">
        <w:rPr>
          <w:lang w:val="fr-FR"/>
        </w:rPr>
        <w:t xml:space="preserve"> </w:t>
      </w:r>
      <w:r w:rsidR="00C83C31">
        <w:rPr>
          <w:lang w:val="fr-FR"/>
        </w:rPr>
        <w:br/>
      </w:r>
      <w:r w:rsidR="00C83C31" w:rsidRPr="00D11D38">
        <w:rPr>
          <w:lang w:val="fr-FR"/>
        </w:rPr>
        <w:t xml:space="preserve">en ce qui concerne leur élimination dans un État partie au RID, </w:t>
      </w:r>
      <w:r w:rsidR="00C83C31">
        <w:rPr>
          <w:lang w:val="fr-FR"/>
        </w:rPr>
        <w:br/>
      </w:r>
      <w:r w:rsidR="00C83C31" w:rsidRPr="00D11D38">
        <w:rPr>
          <w:lang w:val="fr-FR"/>
        </w:rPr>
        <w:t>à l</w:t>
      </w:r>
      <w:r w:rsidR="00C83C31">
        <w:rPr>
          <w:lang w:val="fr-FR"/>
        </w:rPr>
        <w:t>’</w:t>
      </w:r>
      <w:r w:rsidR="00C83C31" w:rsidRPr="00D11D38">
        <w:rPr>
          <w:lang w:val="fr-FR"/>
        </w:rPr>
        <w:t>ADR ou à l</w:t>
      </w:r>
      <w:r w:rsidR="00C83C31">
        <w:rPr>
          <w:lang w:val="fr-FR"/>
        </w:rPr>
        <w:t>’</w:t>
      </w:r>
      <w:r w:rsidR="00C83C31" w:rsidRPr="00D11D38">
        <w:rPr>
          <w:lang w:val="fr-FR"/>
        </w:rPr>
        <w:t>ADN</w:t>
      </w:r>
      <w:r>
        <w:tab/>
      </w:r>
      <w:r>
        <w:tab/>
      </w:r>
      <w:r w:rsidR="004B425A">
        <w:t>37−38</w:t>
      </w:r>
      <w:r>
        <w:tab/>
      </w:r>
      <w:r w:rsidR="00CA3EB2">
        <w:t>8</w:t>
      </w:r>
    </w:p>
    <w:p w14:paraId="0F35066D" w14:textId="643A079C" w:rsidR="00CE245A" w:rsidRDefault="00CE245A" w:rsidP="00CE245A">
      <w:pPr>
        <w:tabs>
          <w:tab w:val="right" w:leader="dot" w:pos="7654"/>
          <w:tab w:val="right" w:pos="8929"/>
          <w:tab w:val="right" w:pos="9638"/>
        </w:tabs>
        <w:spacing w:after="120"/>
        <w:ind w:left="1984" w:hanging="425"/>
      </w:pPr>
      <w:r w:rsidRPr="00036363">
        <w:t>2</w:t>
      </w:r>
      <w:r w:rsidR="00036363" w:rsidRPr="00036363">
        <w:t>.</w:t>
      </w:r>
      <w:r>
        <w:tab/>
      </w:r>
      <w:r w:rsidR="00C83C31" w:rsidRPr="00D11D38">
        <w:rPr>
          <w:lang w:val="fr-FR"/>
        </w:rPr>
        <w:t>Propositions d</w:t>
      </w:r>
      <w:r w:rsidR="00C83C31">
        <w:rPr>
          <w:lang w:val="fr-FR"/>
        </w:rPr>
        <w:t>’</w:t>
      </w:r>
      <w:r w:rsidR="00C83C31" w:rsidRPr="00D11D38">
        <w:rPr>
          <w:lang w:val="fr-FR"/>
        </w:rPr>
        <w:t xml:space="preserve">amendements aux </w:t>
      </w:r>
      <w:r w:rsidR="00C83C31" w:rsidRPr="00036363">
        <w:rPr>
          <w:lang w:val="fr-FR"/>
        </w:rPr>
        <w:t>4.1.1.11</w:t>
      </w:r>
      <w:r w:rsidR="00C83C31" w:rsidRPr="00D11D38">
        <w:rPr>
          <w:lang w:val="fr-FR"/>
        </w:rPr>
        <w:t xml:space="preserve"> et </w:t>
      </w:r>
      <w:r w:rsidR="00C83C31" w:rsidRPr="00036363">
        <w:rPr>
          <w:lang w:val="fr-FR"/>
        </w:rPr>
        <w:t>4.1.1.2</w:t>
      </w:r>
      <w:r w:rsidR="00C83C31" w:rsidRPr="00D11D38">
        <w:rPr>
          <w:lang w:val="fr-FR"/>
        </w:rPr>
        <w:t xml:space="preserve"> du RID </w:t>
      </w:r>
      <w:r w:rsidR="00C83C31">
        <w:rPr>
          <w:lang w:val="fr-FR"/>
        </w:rPr>
        <w:br/>
      </w:r>
      <w:r w:rsidR="00C83C31" w:rsidRPr="00D11D38">
        <w:rPr>
          <w:lang w:val="fr-FR"/>
        </w:rPr>
        <w:t>et de l</w:t>
      </w:r>
      <w:r w:rsidR="00C83C31">
        <w:rPr>
          <w:lang w:val="fr-FR"/>
        </w:rPr>
        <w:t>’</w:t>
      </w:r>
      <w:r w:rsidR="00C83C31" w:rsidRPr="00D11D38">
        <w:rPr>
          <w:lang w:val="fr-FR"/>
        </w:rPr>
        <w:t>ADR concernant les</w:t>
      </w:r>
      <w:r w:rsidR="00C83C31">
        <w:rPr>
          <w:lang w:val="fr-FR"/>
        </w:rPr>
        <w:t> </w:t>
      </w:r>
      <w:r w:rsidR="00C83C31" w:rsidRPr="00D11D38">
        <w:rPr>
          <w:lang w:val="fr-FR"/>
        </w:rPr>
        <w:t>emballages vides non nettoyés</w:t>
      </w:r>
      <w:r>
        <w:tab/>
      </w:r>
      <w:r>
        <w:tab/>
      </w:r>
      <w:r w:rsidR="004B425A">
        <w:t>39−40</w:t>
      </w:r>
      <w:r>
        <w:tab/>
      </w:r>
      <w:r w:rsidR="00CA3EB2">
        <w:t>9</w:t>
      </w:r>
    </w:p>
    <w:p w14:paraId="00443F3F" w14:textId="1B6BEF92" w:rsidR="00CE245A" w:rsidRDefault="00CE245A" w:rsidP="00CE245A">
      <w:pPr>
        <w:tabs>
          <w:tab w:val="right" w:leader="dot" w:pos="7654"/>
          <w:tab w:val="right" w:pos="8929"/>
          <w:tab w:val="right" w:pos="9638"/>
        </w:tabs>
        <w:spacing w:after="120"/>
        <w:ind w:left="1984" w:hanging="425"/>
      </w:pPr>
      <w:r w:rsidRPr="00036363">
        <w:t>3</w:t>
      </w:r>
      <w:r w:rsidR="00036363" w:rsidRPr="00036363">
        <w:t>.</w:t>
      </w:r>
      <w:r>
        <w:tab/>
      </w:r>
      <w:r w:rsidR="00C83C31" w:rsidRPr="00D11D38">
        <w:rPr>
          <w:lang w:val="fr-FR"/>
        </w:rPr>
        <w:t xml:space="preserve">Transport de récipients à pression dont la conformité doit être évaluée </w:t>
      </w:r>
      <w:r w:rsidR="00C83C31">
        <w:rPr>
          <w:lang w:val="fr-FR"/>
        </w:rPr>
        <w:br/>
      </w:r>
      <w:r w:rsidR="00C83C31" w:rsidRPr="00D11D38">
        <w:rPr>
          <w:lang w:val="fr-FR"/>
        </w:rPr>
        <w:t>hors du lieu de</w:t>
      </w:r>
      <w:r w:rsidR="00C83C31">
        <w:rPr>
          <w:lang w:val="fr-FR"/>
        </w:rPr>
        <w:t> </w:t>
      </w:r>
      <w:r w:rsidR="00C83C31" w:rsidRPr="00D11D38">
        <w:rPr>
          <w:lang w:val="fr-FR"/>
        </w:rPr>
        <w:t>fabrication</w:t>
      </w:r>
      <w:r>
        <w:tab/>
      </w:r>
      <w:r>
        <w:tab/>
      </w:r>
      <w:r w:rsidR="004B425A">
        <w:t>41−42</w:t>
      </w:r>
      <w:r>
        <w:tab/>
      </w:r>
      <w:r w:rsidR="00CA3EB2">
        <w:t>9</w:t>
      </w:r>
    </w:p>
    <w:p w14:paraId="553AF77A" w14:textId="711E3829" w:rsidR="00CE245A" w:rsidRDefault="00CE245A" w:rsidP="00CE245A">
      <w:pPr>
        <w:tabs>
          <w:tab w:val="right" w:leader="dot" w:pos="7654"/>
          <w:tab w:val="right" w:pos="8929"/>
          <w:tab w:val="right" w:pos="9638"/>
        </w:tabs>
        <w:spacing w:after="120"/>
        <w:ind w:left="1984" w:hanging="425"/>
      </w:pPr>
      <w:r w:rsidRPr="00036363">
        <w:t>4</w:t>
      </w:r>
      <w:r w:rsidR="00036363" w:rsidRPr="00036363">
        <w:t>.</w:t>
      </w:r>
      <w:r>
        <w:tab/>
      </w:r>
      <w:r w:rsidR="00C83C31" w:rsidRPr="00D11D38">
        <w:rPr>
          <w:lang w:val="fr-FR"/>
        </w:rPr>
        <w:t xml:space="preserve">Récipients à pression fabriqués conformément à la norme EN </w:t>
      </w:r>
      <w:r w:rsidR="00C83C31" w:rsidRPr="00036363">
        <w:rPr>
          <w:lang w:val="fr-FR"/>
        </w:rPr>
        <w:t>17339</w:t>
      </w:r>
      <w:r>
        <w:tab/>
      </w:r>
      <w:r>
        <w:tab/>
      </w:r>
      <w:r w:rsidR="004B425A">
        <w:t>43</w:t>
      </w:r>
      <w:r>
        <w:tab/>
      </w:r>
      <w:r w:rsidR="00FE04E8">
        <w:t>9</w:t>
      </w:r>
    </w:p>
    <w:p w14:paraId="5234E7E0" w14:textId="25748F9A" w:rsidR="00CE245A" w:rsidRDefault="00CE245A" w:rsidP="00CE245A">
      <w:pPr>
        <w:tabs>
          <w:tab w:val="right" w:leader="dot" w:pos="7654"/>
          <w:tab w:val="right" w:pos="8929"/>
          <w:tab w:val="right" w:pos="9638"/>
        </w:tabs>
        <w:spacing w:after="120"/>
        <w:ind w:left="1984" w:hanging="425"/>
      </w:pPr>
      <w:r w:rsidRPr="00C83C31">
        <w:rPr>
          <w:spacing w:val="-2"/>
        </w:rPr>
        <w:t>5</w:t>
      </w:r>
      <w:r w:rsidR="00036363" w:rsidRPr="00C83C31">
        <w:rPr>
          <w:spacing w:val="-2"/>
        </w:rPr>
        <w:t>.</w:t>
      </w:r>
      <w:r w:rsidRPr="00C83C31">
        <w:rPr>
          <w:spacing w:val="-2"/>
        </w:rPr>
        <w:tab/>
      </w:r>
      <w:r w:rsidR="00C83C31" w:rsidRPr="00C83C31">
        <w:rPr>
          <w:spacing w:val="-2"/>
          <w:lang w:val="fr-FR"/>
        </w:rPr>
        <w:t xml:space="preserve">Transport des appareils à pression fixes fabriqués conformément </w:t>
      </w:r>
      <w:r w:rsidR="00C83C31" w:rsidRPr="00C83C31">
        <w:rPr>
          <w:spacing w:val="-2"/>
          <w:lang w:val="fr-FR"/>
        </w:rPr>
        <w:br/>
      </w:r>
      <w:r w:rsidR="00C83C31" w:rsidRPr="00C83C31">
        <w:rPr>
          <w:spacing w:val="-2"/>
          <w:lang w:val="fr-FR"/>
        </w:rPr>
        <w:t>à un code de conception reconnu par une autorité nationale compétente</w:t>
      </w:r>
      <w:r>
        <w:tab/>
      </w:r>
      <w:r>
        <w:tab/>
      </w:r>
      <w:r w:rsidR="004B425A">
        <w:t>44−45</w:t>
      </w:r>
      <w:r>
        <w:tab/>
      </w:r>
      <w:r w:rsidR="00CA3EB2">
        <w:t>9</w:t>
      </w:r>
    </w:p>
    <w:p w14:paraId="52B05B75" w14:textId="19D9DAC1" w:rsidR="00CE245A" w:rsidRDefault="00CE245A" w:rsidP="00CE245A">
      <w:pPr>
        <w:tabs>
          <w:tab w:val="right" w:leader="dot" w:pos="7654"/>
          <w:tab w:val="right" w:pos="8929"/>
          <w:tab w:val="right" w:pos="9638"/>
        </w:tabs>
        <w:spacing w:after="120"/>
        <w:ind w:left="1984" w:hanging="425"/>
      </w:pPr>
      <w:r w:rsidRPr="00C83C31">
        <w:rPr>
          <w:spacing w:val="-4"/>
        </w:rPr>
        <w:t>6</w:t>
      </w:r>
      <w:r w:rsidR="00036363" w:rsidRPr="00C83C31">
        <w:rPr>
          <w:spacing w:val="-4"/>
        </w:rPr>
        <w:t>.</w:t>
      </w:r>
      <w:r w:rsidRPr="00C83C31">
        <w:rPr>
          <w:spacing w:val="-4"/>
        </w:rPr>
        <w:tab/>
      </w:r>
      <w:r w:rsidR="00C83C31" w:rsidRPr="00C83C31">
        <w:rPr>
          <w:spacing w:val="-4"/>
          <w:lang w:val="fr-FR"/>
        </w:rPr>
        <w:t xml:space="preserve">Procédures nationales visant à déterminer les intervalles entre les contrôles </w:t>
      </w:r>
      <w:r w:rsidR="00C83C31">
        <w:rPr>
          <w:lang w:val="fr-FR"/>
        </w:rPr>
        <w:br/>
      </w:r>
      <w:r w:rsidR="00C83C31" w:rsidRPr="00D11D38">
        <w:rPr>
          <w:lang w:val="fr-FR"/>
        </w:rPr>
        <w:t>des</w:t>
      </w:r>
      <w:r w:rsidR="00C83C31">
        <w:rPr>
          <w:lang w:val="fr-FR"/>
        </w:rPr>
        <w:t> </w:t>
      </w:r>
      <w:r w:rsidR="00C83C31" w:rsidRPr="00D11D38">
        <w:rPr>
          <w:lang w:val="fr-FR"/>
        </w:rPr>
        <w:t xml:space="preserve">récipients à pression en matériaux composites conformément </w:t>
      </w:r>
      <w:r w:rsidR="00C83C31">
        <w:rPr>
          <w:lang w:val="fr-FR"/>
        </w:rPr>
        <w:br/>
      </w:r>
      <w:r w:rsidR="00C83C31" w:rsidRPr="00D11D38">
        <w:rPr>
          <w:lang w:val="fr-FR"/>
        </w:rPr>
        <w:t>à l</w:t>
      </w:r>
      <w:r w:rsidR="00C83C31">
        <w:rPr>
          <w:lang w:val="fr-FR"/>
        </w:rPr>
        <w:t>’</w:t>
      </w:r>
      <w:r w:rsidR="00C83C31" w:rsidRPr="00D11D38">
        <w:rPr>
          <w:lang w:val="fr-FR"/>
        </w:rPr>
        <w:t>instruction d</w:t>
      </w:r>
      <w:r w:rsidR="00C83C31">
        <w:rPr>
          <w:lang w:val="fr-FR"/>
        </w:rPr>
        <w:t>’</w:t>
      </w:r>
      <w:r w:rsidR="00C83C31" w:rsidRPr="00D11D38">
        <w:rPr>
          <w:lang w:val="fr-FR"/>
        </w:rPr>
        <w:t>emballage P</w:t>
      </w:r>
      <w:r w:rsidR="00C83C31" w:rsidRPr="00036363">
        <w:rPr>
          <w:lang w:val="fr-FR"/>
        </w:rPr>
        <w:t>200</w:t>
      </w:r>
      <w:r w:rsidR="00C83C31" w:rsidRPr="00D11D38">
        <w:rPr>
          <w:lang w:val="fr-FR"/>
        </w:rPr>
        <w:t xml:space="preserve"> (par</w:t>
      </w:r>
      <w:r w:rsidR="00C83C31" w:rsidRPr="00036363">
        <w:rPr>
          <w:lang w:val="fr-FR"/>
        </w:rPr>
        <w:t>.</w:t>
      </w:r>
      <w:r w:rsidR="00C83C31">
        <w:rPr>
          <w:lang w:val="fr-FR"/>
        </w:rPr>
        <w:t> </w:t>
      </w:r>
      <w:r w:rsidR="00C83C31" w:rsidRPr="00036363">
        <w:rPr>
          <w:lang w:val="fr-FR"/>
        </w:rPr>
        <w:t>9</w:t>
      </w:r>
      <w:r w:rsidR="00C83C31" w:rsidRPr="00D11D38">
        <w:rPr>
          <w:lang w:val="fr-FR"/>
        </w:rPr>
        <w:t>)</w:t>
      </w:r>
      <w:r>
        <w:tab/>
      </w:r>
      <w:r>
        <w:tab/>
      </w:r>
      <w:r w:rsidR="004B425A">
        <w:t>46</w:t>
      </w:r>
      <w:r>
        <w:tab/>
      </w:r>
      <w:r w:rsidR="00CA3EB2">
        <w:t>10</w:t>
      </w:r>
    </w:p>
    <w:p w14:paraId="52B18499" w14:textId="3285C399" w:rsidR="00CE245A" w:rsidRDefault="00CE245A" w:rsidP="00CE245A">
      <w:pPr>
        <w:tabs>
          <w:tab w:val="right" w:leader="dot" w:pos="7654"/>
          <w:tab w:val="right" w:pos="8929"/>
          <w:tab w:val="right" w:pos="9638"/>
        </w:tabs>
        <w:spacing w:after="120"/>
        <w:ind w:left="1984" w:hanging="425"/>
      </w:pPr>
      <w:r w:rsidRPr="00C83C31">
        <w:rPr>
          <w:spacing w:val="-4"/>
        </w:rPr>
        <w:t>7</w:t>
      </w:r>
      <w:r w:rsidR="00036363" w:rsidRPr="00C83C31">
        <w:rPr>
          <w:spacing w:val="-4"/>
        </w:rPr>
        <w:t>.</w:t>
      </w:r>
      <w:r w:rsidRPr="00C83C31">
        <w:rPr>
          <w:spacing w:val="-4"/>
        </w:rPr>
        <w:tab/>
      </w:r>
      <w:r w:rsidR="00C83C31" w:rsidRPr="00C83C31">
        <w:rPr>
          <w:spacing w:val="-4"/>
          <w:lang w:val="fr-FR"/>
        </w:rPr>
        <w:t xml:space="preserve">Proposition d’amendements au 5.4.1.1.3.2 du RID et de l’ADR concernant </w:t>
      </w:r>
      <w:r w:rsidR="00C83C31" w:rsidRPr="00C83C31">
        <w:rPr>
          <w:spacing w:val="-4"/>
          <w:lang w:val="fr-FR"/>
        </w:rPr>
        <w:br/>
      </w:r>
      <w:r w:rsidR="00C83C31" w:rsidRPr="00C83C31">
        <w:rPr>
          <w:spacing w:val="2"/>
          <w:lang w:val="fr-FR"/>
        </w:rPr>
        <w:t xml:space="preserve">les informations relatives à la quantité transportée figurant </w:t>
      </w:r>
      <w:r w:rsidR="00C83C31" w:rsidRPr="00C83C31">
        <w:rPr>
          <w:lang w:val="fr-FR"/>
        </w:rPr>
        <w:br/>
      </w:r>
      <w:r w:rsidR="00C83C31" w:rsidRPr="00D11D38">
        <w:rPr>
          <w:lang w:val="fr-FR"/>
        </w:rPr>
        <w:t>dans le document de transport</w:t>
      </w:r>
      <w:r>
        <w:tab/>
      </w:r>
      <w:r>
        <w:tab/>
      </w:r>
      <w:r w:rsidR="004B425A">
        <w:t>47−48</w:t>
      </w:r>
      <w:r>
        <w:tab/>
      </w:r>
      <w:r w:rsidR="00CA3EB2">
        <w:t>10</w:t>
      </w:r>
    </w:p>
    <w:p w14:paraId="7F38CD66" w14:textId="427B454B" w:rsidR="00CE245A" w:rsidRDefault="00CE245A" w:rsidP="00CE245A">
      <w:pPr>
        <w:tabs>
          <w:tab w:val="right" w:leader="dot" w:pos="7654"/>
          <w:tab w:val="right" w:pos="8929"/>
          <w:tab w:val="right" w:pos="9638"/>
        </w:tabs>
        <w:spacing w:after="120"/>
        <w:ind w:left="1984" w:hanging="425"/>
      </w:pPr>
      <w:r w:rsidRPr="00036363">
        <w:t>8</w:t>
      </w:r>
      <w:r w:rsidR="00036363" w:rsidRPr="00036363">
        <w:t>.</w:t>
      </w:r>
      <w:r>
        <w:tab/>
      </w:r>
      <w:r w:rsidR="00C83C31" w:rsidRPr="00D11D38">
        <w:rPr>
          <w:lang w:val="fr-FR"/>
        </w:rPr>
        <w:t>Modifications d</w:t>
      </w:r>
      <w:r w:rsidR="00C83C31">
        <w:rPr>
          <w:lang w:val="fr-FR"/>
        </w:rPr>
        <w:t>’</w:t>
      </w:r>
      <w:r w:rsidR="00C83C31" w:rsidRPr="00D11D38">
        <w:rPr>
          <w:lang w:val="fr-FR"/>
        </w:rPr>
        <w:t>ordre rédactionnel à apporter au RID, à l</w:t>
      </w:r>
      <w:r w:rsidR="00C83C31">
        <w:rPr>
          <w:lang w:val="fr-FR"/>
        </w:rPr>
        <w:t>’</w:t>
      </w:r>
      <w:r w:rsidR="00C83C31" w:rsidRPr="00D11D38">
        <w:rPr>
          <w:lang w:val="fr-FR"/>
        </w:rPr>
        <w:t xml:space="preserve">ADR </w:t>
      </w:r>
      <w:r w:rsidR="00C83C31">
        <w:rPr>
          <w:lang w:val="fr-FR"/>
        </w:rPr>
        <w:br/>
      </w:r>
      <w:r w:rsidR="00C83C31" w:rsidRPr="00D11D38">
        <w:rPr>
          <w:lang w:val="fr-FR"/>
        </w:rPr>
        <w:t>et à l</w:t>
      </w:r>
      <w:r w:rsidR="00C83C31">
        <w:rPr>
          <w:lang w:val="fr-FR"/>
        </w:rPr>
        <w:t>’</w:t>
      </w:r>
      <w:r w:rsidR="00C83C31" w:rsidRPr="00D11D38">
        <w:rPr>
          <w:lang w:val="fr-FR"/>
        </w:rPr>
        <w:t>ADN</w:t>
      </w:r>
      <w:r>
        <w:tab/>
      </w:r>
      <w:r>
        <w:tab/>
      </w:r>
      <w:r w:rsidR="004B425A">
        <w:t>49</w:t>
      </w:r>
      <w:r>
        <w:tab/>
      </w:r>
      <w:r w:rsidR="00CA3EB2">
        <w:t>10</w:t>
      </w:r>
    </w:p>
    <w:p w14:paraId="412CD0DE" w14:textId="44AFEF39" w:rsidR="00CE245A" w:rsidRDefault="00CE245A" w:rsidP="00CE245A">
      <w:pPr>
        <w:tabs>
          <w:tab w:val="right" w:leader="dot" w:pos="7654"/>
          <w:tab w:val="right" w:pos="8929"/>
          <w:tab w:val="right" w:pos="9638"/>
        </w:tabs>
        <w:spacing w:after="120"/>
        <w:ind w:left="1984" w:hanging="425"/>
      </w:pPr>
      <w:r w:rsidRPr="00036363">
        <w:t>9</w:t>
      </w:r>
      <w:r w:rsidR="00036363" w:rsidRPr="00036363">
        <w:t>.</w:t>
      </w:r>
      <w:r>
        <w:tab/>
      </w:r>
      <w:r w:rsidR="00C83C31" w:rsidRPr="00D11D38">
        <w:rPr>
          <w:lang w:val="fr-FR"/>
        </w:rPr>
        <w:t xml:space="preserve">Amendements de conséquence aux dispositions spéciales </w:t>
      </w:r>
      <w:r w:rsidR="00C83C31" w:rsidRPr="00036363">
        <w:rPr>
          <w:lang w:val="fr-FR"/>
        </w:rPr>
        <w:t>310</w:t>
      </w:r>
      <w:r w:rsidR="00C83C31" w:rsidRPr="00D11D38">
        <w:rPr>
          <w:lang w:val="fr-FR"/>
        </w:rPr>
        <w:t xml:space="preserve"> et </w:t>
      </w:r>
      <w:r w:rsidR="00C83C31" w:rsidRPr="00036363">
        <w:rPr>
          <w:lang w:val="fr-FR"/>
        </w:rPr>
        <w:t>388</w:t>
      </w:r>
      <w:r>
        <w:tab/>
      </w:r>
      <w:r>
        <w:tab/>
      </w:r>
      <w:r w:rsidR="004B425A">
        <w:t>50</w:t>
      </w:r>
      <w:r>
        <w:tab/>
      </w:r>
      <w:r w:rsidR="00CA3EB2">
        <w:t>10</w:t>
      </w:r>
    </w:p>
    <w:p w14:paraId="6F55B694" w14:textId="70838822" w:rsidR="00CE245A" w:rsidRDefault="00CE245A" w:rsidP="00CE245A">
      <w:pPr>
        <w:tabs>
          <w:tab w:val="right" w:leader="dot" w:pos="7654"/>
          <w:tab w:val="right" w:pos="8929"/>
          <w:tab w:val="right" w:pos="9638"/>
        </w:tabs>
        <w:spacing w:after="120"/>
        <w:ind w:left="1984" w:hanging="425"/>
      </w:pPr>
      <w:r w:rsidRPr="00036363">
        <w:t>10</w:t>
      </w:r>
      <w:r w:rsidR="00036363" w:rsidRPr="00036363">
        <w:t>.</w:t>
      </w:r>
      <w:r>
        <w:tab/>
      </w:r>
      <w:r w:rsidR="00C83C31" w:rsidRPr="00D11D38">
        <w:rPr>
          <w:lang w:val="fr-FR"/>
        </w:rPr>
        <w:t xml:space="preserve">EN </w:t>
      </w:r>
      <w:r w:rsidR="00C83C31" w:rsidRPr="00036363">
        <w:rPr>
          <w:lang w:val="fr-FR"/>
        </w:rPr>
        <w:t>17339</w:t>
      </w:r>
      <w:r w:rsidR="00C83C31">
        <w:rPr>
          <w:lang w:val="fr-FR"/>
        </w:rPr>
        <w:t>:</w:t>
      </w:r>
      <w:r w:rsidR="00C83C31" w:rsidRPr="00036363">
        <w:rPr>
          <w:lang w:val="fr-FR"/>
        </w:rPr>
        <w:t>2020</w:t>
      </w:r>
      <w:r w:rsidR="00C83C31" w:rsidRPr="00D11D38">
        <w:rPr>
          <w:lang w:val="fr-FR"/>
        </w:rPr>
        <w:t xml:space="preserve"> Bouteilles à gaz transportables − Bouteilles et tubes </w:t>
      </w:r>
      <w:r w:rsidR="00C83C31">
        <w:rPr>
          <w:lang w:val="fr-FR"/>
        </w:rPr>
        <w:br/>
      </w:r>
      <w:r w:rsidR="00C83C31" w:rsidRPr="00D11D38">
        <w:rPr>
          <w:lang w:val="fr-FR"/>
        </w:rPr>
        <w:t xml:space="preserve">entièrement bobinées en matériaux composites carbones </w:t>
      </w:r>
      <w:r w:rsidR="00C83C31">
        <w:rPr>
          <w:lang w:val="fr-FR"/>
        </w:rPr>
        <w:br/>
      </w:r>
      <w:r w:rsidR="00C83C31" w:rsidRPr="00D11D38">
        <w:rPr>
          <w:lang w:val="fr-FR"/>
        </w:rPr>
        <w:t>pour l</w:t>
      </w:r>
      <w:r w:rsidR="00C83C31">
        <w:rPr>
          <w:lang w:val="fr-FR"/>
        </w:rPr>
        <w:t>’</w:t>
      </w:r>
      <w:r w:rsidR="00C83C31" w:rsidRPr="00D11D38">
        <w:rPr>
          <w:lang w:val="fr-FR"/>
        </w:rPr>
        <w:t>hydrogène</w:t>
      </w:r>
      <w:r>
        <w:tab/>
      </w:r>
      <w:r>
        <w:tab/>
      </w:r>
      <w:r w:rsidR="004B425A">
        <w:t>51</w:t>
      </w:r>
      <w:r>
        <w:tab/>
      </w:r>
      <w:r w:rsidR="00CA3EB2">
        <w:t>10</w:t>
      </w:r>
    </w:p>
    <w:p w14:paraId="221F9E2A" w14:textId="6DBC2FDC" w:rsidR="00CE245A" w:rsidRDefault="00CE245A" w:rsidP="00CE245A">
      <w:pPr>
        <w:tabs>
          <w:tab w:val="right" w:leader="dot" w:pos="7654"/>
          <w:tab w:val="right" w:pos="8929"/>
          <w:tab w:val="right" w:pos="9638"/>
        </w:tabs>
        <w:spacing w:after="120"/>
        <w:ind w:left="1984" w:hanging="425"/>
      </w:pPr>
      <w:r w:rsidRPr="00036363">
        <w:t>11</w:t>
      </w:r>
      <w:r w:rsidR="00036363" w:rsidRPr="00036363">
        <w:t>.</w:t>
      </w:r>
      <w:r>
        <w:tab/>
      </w:r>
      <w:r w:rsidR="00C83C31" w:rsidRPr="00D11D38">
        <w:rPr>
          <w:lang w:val="fr-FR"/>
        </w:rPr>
        <w:t>Interprétation selon laquelle l</w:t>
      </w:r>
      <w:r w:rsidR="00C83C31">
        <w:rPr>
          <w:lang w:val="fr-FR"/>
        </w:rPr>
        <w:t>’</w:t>
      </w:r>
      <w:r w:rsidR="00C83C31" w:rsidRPr="00D11D38">
        <w:rPr>
          <w:lang w:val="fr-FR"/>
        </w:rPr>
        <w:t xml:space="preserve">expéditeur est tenu de désigner </w:t>
      </w:r>
      <w:r w:rsidR="00C83C31">
        <w:rPr>
          <w:lang w:val="fr-FR"/>
        </w:rPr>
        <w:br/>
      </w:r>
      <w:r w:rsidR="00C83C31" w:rsidRPr="00D11D38">
        <w:rPr>
          <w:lang w:val="fr-FR"/>
        </w:rPr>
        <w:t xml:space="preserve">un conseiller à la sécurité des marchandises dangereuses par mode </w:t>
      </w:r>
      <w:r w:rsidR="00C83C31">
        <w:rPr>
          <w:lang w:val="fr-FR"/>
        </w:rPr>
        <w:br/>
      </w:r>
      <w:r w:rsidR="00C83C31" w:rsidRPr="00D11D38">
        <w:rPr>
          <w:lang w:val="fr-FR"/>
        </w:rPr>
        <w:t>de transport dans le cas d</w:t>
      </w:r>
      <w:r w:rsidR="00C83C31">
        <w:rPr>
          <w:lang w:val="fr-FR"/>
        </w:rPr>
        <w:t>’</w:t>
      </w:r>
      <w:r w:rsidR="00C83C31" w:rsidRPr="00D11D38">
        <w:rPr>
          <w:lang w:val="fr-FR"/>
        </w:rPr>
        <w:t>opérations multimodales</w:t>
      </w:r>
      <w:r>
        <w:tab/>
      </w:r>
      <w:r>
        <w:tab/>
      </w:r>
      <w:r w:rsidR="004B425A">
        <w:t>52−53</w:t>
      </w:r>
      <w:r>
        <w:tab/>
      </w:r>
      <w:r w:rsidR="00C83C31">
        <w:t>11</w:t>
      </w:r>
    </w:p>
    <w:p w14:paraId="4F9A8255" w14:textId="2DABD3DA" w:rsidR="00CE245A" w:rsidRDefault="00CE245A" w:rsidP="00CE245A">
      <w:pPr>
        <w:tabs>
          <w:tab w:val="right" w:pos="850"/>
          <w:tab w:val="right" w:leader="dot" w:pos="7654"/>
          <w:tab w:val="right" w:pos="8929"/>
          <w:tab w:val="right" w:pos="9638"/>
        </w:tabs>
        <w:spacing w:after="120"/>
        <w:ind w:left="1134" w:hanging="1134"/>
      </w:pPr>
      <w:r>
        <w:tab/>
        <w:t>VIII</w:t>
      </w:r>
      <w:r w:rsidR="00036363" w:rsidRPr="00036363">
        <w:t>.</w:t>
      </w:r>
      <w:r>
        <w:tab/>
      </w:r>
      <w:r w:rsidR="00C83C31" w:rsidRPr="00D11D38">
        <w:rPr>
          <w:lang w:val="fr-FR"/>
        </w:rPr>
        <w:t xml:space="preserve">Rapports des groupes de travail informels (point </w:t>
      </w:r>
      <w:r w:rsidR="00C83C31" w:rsidRPr="00036363">
        <w:rPr>
          <w:lang w:val="fr-FR"/>
        </w:rPr>
        <w:t>6</w:t>
      </w:r>
      <w:r w:rsidR="00C83C31" w:rsidRPr="00D11D38">
        <w:rPr>
          <w:lang w:val="fr-FR"/>
        </w:rPr>
        <w:t xml:space="preserve"> de l</w:t>
      </w:r>
      <w:r w:rsidR="00C83C31">
        <w:rPr>
          <w:lang w:val="fr-FR"/>
        </w:rPr>
        <w:t>’</w:t>
      </w:r>
      <w:r w:rsidR="00C83C31" w:rsidRPr="00D11D38">
        <w:rPr>
          <w:lang w:val="fr-FR"/>
        </w:rPr>
        <w:t>ordre du jour)</w:t>
      </w:r>
      <w:r>
        <w:tab/>
      </w:r>
      <w:r>
        <w:tab/>
      </w:r>
      <w:r w:rsidR="004B425A">
        <w:t>54−57</w:t>
      </w:r>
      <w:r>
        <w:tab/>
      </w:r>
      <w:r w:rsidR="00C83C31">
        <w:t>11</w:t>
      </w:r>
    </w:p>
    <w:p w14:paraId="0FA953AD" w14:textId="5EAC3675" w:rsidR="00CE245A" w:rsidRDefault="00CE245A" w:rsidP="00CE245A">
      <w:pPr>
        <w:tabs>
          <w:tab w:val="right" w:leader="dot" w:pos="7654"/>
          <w:tab w:val="right" w:pos="8929"/>
          <w:tab w:val="right" w:pos="9638"/>
        </w:tabs>
        <w:spacing w:after="120"/>
        <w:ind w:left="1559" w:hanging="425"/>
      </w:pPr>
      <w:r>
        <w:t>A</w:t>
      </w:r>
      <w:r w:rsidR="00036363" w:rsidRPr="00036363">
        <w:t>.</w:t>
      </w:r>
      <w:r>
        <w:tab/>
      </w:r>
      <w:r w:rsidR="00C83C31" w:rsidRPr="00D11D38">
        <w:rPr>
          <w:lang w:val="fr-FR"/>
        </w:rPr>
        <w:t xml:space="preserve">Rapport sur la septième réunion du groupe de travail informel </w:t>
      </w:r>
      <w:r w:rsidR="00C83C31">
        <w:rPr>
          <w:lang w:val="fr-FR"/>
        </w:rPr>
        <w:br/>
      </w:r>
      <w:r w:rsidR="00C83C31" w:rsidRPr="00D11D38">
        <w:rPr>
          <w:lang w:val="fr-FR"/>
        </w:rPr>
        <w:t>de</w:t>
      </w:r>
      <w:r w:rsidR="00C83C31">
        <w:rPr>
          <w:lang w:val="fr-FR"/>
        </w:rPr>
        <w:t> </w:t>
      </w:r>
      <w:r w:rsidR="00C83C31" w:rsidRPr="00D11D38">
        <w:rPr>
          <w:lang w:val="fr-FR"/>
        </w:rPr>
        <w:t>l</w:t>
      </w:r>
      <w:r w:rsidR="00C83C31">
        <w:rPr>
          <w:lang w:val="fr-FR"/>
        </w:rPr>
        <w:t>’</w:t>
      </w:r>
      <w:r w:rsidR="00C83C31" w:rsidRPr="00D11D38">
        <w:rPr>
          <w:lang w:val="fr-FR"/>
        </w:rPr>
        <w:t>apprentissage en ligne</w:t>
      </w:r>
      <w:r>
        <w:tab/>
      </w:r>
      <w:r>
        <w:tab/>
      </w:r>
      <w:r w:rsidR="004B425A">
        <w:t>54−55</w:t>
      </w:r>
      <w:r>
        <w:tab/>
      </w:r>
      <w:r w:rsidR="00C83C31">
        <w:t>11</w:t>
      </w:r>
    </w:p>
    <w:p w14:paraId="6DFBDC87" w14:textId="2C849297" w:rsidR="00CE245A" w:rsidRDefault="00CE245A" w:rsidP="00CE245A">
      <w:pPr>
        <w:tabs>
          <w:tab w:val="right" w:leader="dot" w:pos="7654"/>
          <w:tab w:val="right" w:pos="8929"/>
          <w:tab w:val="right" w:pos="9638"/>
        </w:tabs>
        <w:spacing w:after="120"/>
        <w:ind w:left="1559" w:hanging="425"/>
      </w:pPr>
      <w:r w:rsidRPr="00C83C31">
        <w:rPr>
          <w:spacing w:val="-2"/>
        </w:rPr>
        <w:t>B</w:t>
      </w:r>
      <w:r w:rsidR="00036363" w:rsidRPr="00C83C31">
        <w:rPr>
          <w:spacing w:val="-2"/>
        </w:rPr>
        <w:t>.</w:t>
      </w:r>
      <w:r w:rsidRPr="00C83C31">
        <w:rPr>
          <w:spacing w:val="-2"/>
        </w:rPr>
        <w:tab/>
      </w:r>
      <w:r w:rsidR="00C83C31" w:rsidRPr="00C83C31">
        <w:rPr>
          <w:spacing w:val="-2"/>
          <w:lang w:val="fr-FR"/>
        </w:rPr>
        <w:t>Rapport du groupe de travail informel des références à l’autorité compétente</w:t>
      </w:r>
      <w:r w:rsidRPr="00C83C31">
        <w:rPr>
          <w:spacing w:val="-2"/>
        </w:rPr>
        <w:tab/>
      </w:r>
      <w:r>
        <w:tab/>
      </w:r>
      <w:r w:rsidR="004B425A">
        <w:t>56</w:t>
      </w:r>
      <w:r>
        <w:tab/>
      </w:r>
      <w:r w:rsidR="00C83C31">
        <w:t>11</w:t>
      </w:r>
    </w:p>
    <w:p w14:paraId="72480839" w14:textId="5CAB7757" w:rsidR="00CE245A" w:rsidRDefault="00CE245A" w:rsidP="00CE245A">
      <w:pPr>
        <w:tabs>
          <w:tab w:val="right" w:leader="dot" w:pos="7654"/>
          <w:tab w:val="right" w:pos="8929"/>
          <w:tab w:val="right" w:pos="9638"/>
        </w:tabs>
        <w:spacing w:after="120"/>
        <w:ind w:left="1559" w:hanging="425"/>
      </w:pPr>
      <w:r w:rsidRPr="00C83C31">
        <w:rPr>
          <w:spacing w:val="-2"/>
        </w:rPr>
        <w:t>C</w:t>
      </w:r>
      <w:r w:rsidR="00036363" w:rsidRPr="00C83C31">
        <w:rPr>
          <w:spacing w:val="-2"/>
        </w:rPr>
        <w:t>.</w:t>
      </w:r>
      <w:r w:rsidRPr="00C83C31">
        <w:rPr>
          <w:spacing w:val="-2"/>
        </w:rPr>
        <w:tab/>
      </w:r>
      <w:r w:rsidR="00C83C31" w:rsidRPr="00C83C31">
        <w:rPr>
          <w:spacing w:val="-2"/>
          <w:lang w:val="fr-FR"/>
        </w:rPr>
        <w:t>Rapport du groupe de travail informel de la réduction du risque de BLEVE</w:t>
      </w:r>
      <w:r w:rsidRPr="00C83C31">
        <w:rPr>
          <w:spacing w:val="-2"/>
        </w:rPr>
        <w:tab/>
      </w:r>
      <w:r>
        <w:tab/>
      </w:r>
      <w:r w:rsidR="004B425A">
        <w:t>57</w:t>
      </w:r>
      <w:r>
        <w:tab/>
      </w:r>
      <w:r w:rsidR="00C83C31">
        <w:t>12</w:t>
      </w:r>
    </w:p>
    <w:p w14:paraId="42274C41" w14:textId="5A67075D" w:rsidR="00CE245A" w:rsidRDefault="00CE245A" w:rsidP="00CE245A">
      <w:pPr>
        <w:tabs>
          <w:tab w:val="right" w:pos="850"/>
          <w:tab w:val="right" w:leader="dot" w:pos="7654"/>
          <w:tab w:val="right" w:pos="8929"/>
          <w:tab w:val="right" w:pos="9638"/>
        </w:tabs>
        <w:spacing w:after="120"/>
        <w:ind w:left="1134" w:hanging="1134"/>
      </w:pPr>
      <w:r>
        <w:tab/>
        <w:t>IX</w:t>
      </w:r>
      <w:r w:rsidR="00036363" w:rsidRPr="00036363">
        <w:t>.</w:t>
      </w:r>
      <w:r>
        <w:tab/>
      </w:r>
      <w:r w:rsidR="00C83C31" w:rsidRPr="00D11D38">
        <w:rPr>
          <w:lang w:val="fr-FR"/>
        </w:rPr>
        <w:t xml:space="preserve">Accidents et gestion des risques (point </w:t>
      </w:r>
      <w:r w:rsidR="00C83C31" w:rsidRPr="00036363">
        <w:rPr>
          <w:lang w:val="fr-FR"/>
        </w:rPr>
        <w:t>7</w:t>
      </w:r>
      <w:r w:rsidR="00C83C31" w:rsidRPr="00D11D38">
        <w:rPr>
          <w:lang w:val="fr-FR"/>
        </w:rPr>
        <w:t xml:space="preserve"> de l</w:t>
      </w:r>
      <w:r w:rsidR="00C83C31">
        <w:rPr>
          <w:lang w:val="fr-FR"/>
        </w:rPr>
        <w:t>’</w:t>
      </w:r>
      <w:r w:rsidR="00C83C31" w:rsidRPr="00D11D38">
        <w:rPr>
          <w:lang w:val="fr-FR"/>
        </w:rPr>
        <w:t>ordre du jour)</w:t>
      </w:r>
      <w:r>
        <w:tab/>
      </w:r>
      <w:r>
        <w:tab/>
      </w:r>
      <w:r w:rsidR="004B425A">
        <w:t>58−59</w:t>
      </w:r>
      <w:r>
        <w:tab/>
      </w:r>
      <w:r w:rsidR="00C83C31">
        <w:t>12</w:t>
      </w:r>
    </w:p>
    <w:p w14:paraId="28CB0F32" w14:textId="30E7F9C2" w:rsidR="00CE245A" w:rsidRDefault="00CE245A" w:rsidP="00CE245A">
      <w:pPr>
        <w:tabs>
          <w:tab w:val="right" w:pos="850"/>
          <w:tab w:val="right" w:leader="dot" w:pos="7654"/>
          <w:tab w:val="right" w:pos="8929"/>
          <w:tab w:val="right" w:pos="9638"/>
        </w:tabs>
        <w:spacing w:after="120"/>
        <w:ind w:left="1134" w:hanging="1134"/>
      </w:pPr>
      <w:r w:rsidRPr="00C83C31">
        <w:rPr>
          <w:spacing w:val="-3"/>
        </w:rPr>
        <w:tab/>
        <w:t>X</w:t>
      </w:r>
      <w:r w:rsidR="00036363" w:rsidRPr="00C83C31">
        <w:rPr>
          <w:spacing w:val="-3"/>
        </w:rPr>
        <w:t>.</w:t>
      </w:r>
      <w:r w:rsidRPr="00C83C31">
        <w:rPr>
          <w:spacing w:val="-3"/>
        </w:rPr>
        <w:tab/>
      </w:r>
      <w:r w:rsidR="00C83C31" w:rsidRPr="00C83C31">
        <w:rPr>
          <w:spacing w:val="-3"/>
          <w:lang w:val="fr-FR"/>
        </w:rPr>
        <w:t>Programme de développement durable à l’horizon 2030 (point 8 de l’ordre du jour)</w:t>
      </w:r>
      <w:r w:rsidRPr="00C83C31">
        <w:rPr>
          <w:spacing w:val="-3"/>
        </w:rPr>
        <w:tab/>
      </w:r>
      <w:r>
        <w:tab/>
      </w:r>
      <w:r w:rsidR="004B425A">
        <w:t>60−61</w:t>
      </w:r>
      <w:r>
        <w:tab/>
      </w:r>
      <w:r w:rsidR="00C83C31">
        <w:t>12</w:t>
      </w:r>
    </w:p>
    <w:p w14:paraId="1112AD7C" w14:textId="34364743" w:rsidR="00CE245A" w:rsidRDefault="00CE245A" w:rsidP="00CE245A">
      <w:pPr>
        <w:tabs>
          <w:tab w:val="right" w:pos="850"/>
          <w:tab w:val="right" w:leader="dot" w:pos="7654"/>
          <w:tab w:val="right" w:pos="8929"/>
          <w:tab w:val="right" w:pos="9638"/>
        </w:tabs>
        <w:spacing w:after="120"/>
        <w:ind w:left="1134" w:hanging="1134"/>
      </w:pPr>
      <w:r>
        <w:tab/>
        <w:t>XI</w:t>
      </w:r>
      <w:r w:rsidR="00036363" w:rsidRPr="00036363">
        <w:t>.</w:t>
      </w:r>
      <w:r>
        <w:tab/>
      </w:r>
      <w:r w:rsidR="00C83C31" w:rsidRPr="00D11D38">
        <w:rPr>
          <w:lang w:val="fr-FR"/>
        </w:rPr>
        <w:t xml:space="preserve">Élection des personnes qui assureront la présidence et la vice-présidence en </w:t>
      </w:r>
      <w:r w:rsidR="00C83C31" w:rsidRPr="00036363">
        <w:rPr>
          <w:lang w:val="fr-FR"/>
        </w:rPr>
        <w:t>2025</w:t>
      </w:r>
      <w:r w:rsidR="00C83C31" w:rsidRPr="00D11D38">
        <w:rPr>
          <w:lang w:val="fr-FR"/>
        </w:rPr>
        <w:t xml:space="preserve"> </w:t>
      </w:r>
      <w:r w:rsidR="00C83C31">
        <w:rPr>
          <w:lang w:val="fr-FR"/>
        </w:rPr>
        <w:br/>
      </w:r>
      <w:r w:rsidR="00C83C31" w:rsidRPr="00D11D38">
        <w:rPr>
          <w:lang w:val="fr-FR"/>
        </w:rPr>
        <w:t xml:space="preserve">(point </w:t>
      </w:r>
      <w:r w:rsidR="00C83C31" w:rsidRPr="00036363">
        <w:rPr>
          <w:lang w:val="fr-FR"/>
        </w:rPr>
        <w:t>9</w:t>
      </w:r>
      <w:r w:rsidR="00C83C31" w:rsidRPr="00D11D38">
        <w:rPr>
          <w:lang w:val="fr-FR"/>
        </w:rPr>
        <w:t xml:space="preserve"> de l</w:t>
      </w:r>
      <w:r w:rsidR="00C83C31">
        <w:rPr>
          <w:lang w:val="fr-FR"/>
        </w:rPr>
        <w:t>’</w:t>
      </w:r>
      <w:r w:rsidR="00C83C31" w:rsidRPr="00D11D38">
        <w:rPr>
          <w:lang w:val="fr-FR"/>
        </w:rPr>
        <w:t>ordre du jour)</w:t>
      </w:r>
      <w:r>
        <w:tab/>
      </w:r>
      <w:r>
        <w:tab/>
      </w:r>
      <w:r w:rsidR="004B425A">
        <w:t>62</w:t>
      </w:r>
      <w:r>
        <w:tab/>
      </w:r>
      <w:r w:rsidR="00C83C31">
        <w:t>1</w:t>
      </w:r>
      <w:r w:rsidR="00BE3D3B">
        <w:t>3</w:t>
      </w:r>
    </w:p>
    <w:p w14:paraId="149629FE" w14:textId="02856A98" w:rsidR="00CE245A" w:rsidRDefault="00CE245A" w:rsidP="00CE245A">
      <w:pPr>
        <w:tabs>
          <w:tab w:val="right" w:pos="850"/>
          <w:tab w:val="right" w:leader="dot" w:pos="7654"/>
          <w:tab w:val="right" w:pos="8929"/>
          <w:tab w:val="right" w:pos="9638"/>
        </w:tabs>
        <w:spacing w:after="120"/>
        <w:ind w:left="1134" w:hanging="1134"/>
      </w:pPr>
      <w:r>
        <w:tab/>
        <w:t>XII</w:t>
      </w:r>
      <w:r w:rsidR="00036363" w:rsidRPr="00036363">
        <w:t>.</w:t>
      </w:r>
      <w:r>
        <w:tab/>
      </w:r>
      <w:r w:rsidR="00C83C31" w:rsidRPr="00D11D38">
        <w:rPr>
          <w:lang w:val="fr-FR"/>
        </w:rPr>
        <w:t xml:space="preserve">Travaux futurs (point </w:t>
      </w:r>
      <w:r w:rsidR="00C83C31" w:rsidRPr="00036363">
        <w:rPr>
          <w:lang w:val="fr-FR"/>
        </w:rPr>
        <w:t>10</w:t>
      </w:r>
      <w:r w:rsidR="00C83C31" w:rsidRPr="00D11D38">
        <w:rPr>
          <w:lang w:val="fr-FR"/>
        </w:rPr>
        <w:t xml:space="preserve"> de l</w:t>
      </w:r>
      <w:r w:rsidR="00C83C31">
        <w:rPr>
          <w:lang w:val="fr-FR"/>
        </w:rPr>
        <w:t>’</w:t>
      </w:r>
      <w:r w:rsidR="00C83C31" w:rsidRPr="00D11D38">
        <w:rPr>
          <w:lang w:val="fr-FR"/>
        </w:rPr>
        <w:t>ordre du jour)</w:t>
      </w:r>
      <w:r>
        <w:tab/>
      </w:r>
      <w:r>
        <w:tab/>
      </w:r>
      <w:r w:rsidR="004B425A">
        <w:t>63−64</w:t>
      </w:r>
      <w:r>
        <w:tab/>
      </w:r>
      <w:r w:rsidR="00C83C31">
        <w:t>13</w:t>
      </w:r>
    </w:p>
    <w:p w14:paraId="5FD5B4BC" w14:textId="4B850633" w:rsidR="00CE245A" w:rsidRDefault="00CE245A" w:rsidP="00CE245A">
      <w:pPr>
        <w:tabs>
          <w:tab w:val="right" w:pos="850"/>
          <w:tab w:val="right" w:leader="dot" w:pos="7654"/>
          <w:tab w:val="right" w:pos="8929"/>
          <w:tab w:val="right" w:pos="9638"/>
        </w:tabs>
        <w:spacing w:after="120"/>
        <w:ind w:left="1134" w:hanging="1134"/>
      </w:pPr>
      <w:r>
        <w:tab/>
        <w:t>XII</w:t>
      </w:r>
      <w:r w:rsidR="00036363" w:rsidRPr="00036363">
        <w:t>.</w:t>
      </w:r>
      <w:r>
        <w:tab/>
      </w:r>
      <w:r w:rsidR="00C83C31" w:rsidRPr="00D11D38">
        <w:rPr>
          <w:lang w:val="fr-FR"/>
        </w:rPr>
        <w:t xml:space="preserve">Questions diverses (point </w:t>
      </w:r>
      <w:r w:rsidR="00C83C31" w:rsidRPr="00036363">
        <w:rPr>
          <w:lang w:val="fr-FR"/>
        </w:rPr>
        <w:t>11</w:t>
      </w:r>
      <w:r w:rsidR="00C83C31" w:rsidRPr="00D11D38">
        <w:rPr>
          <w:lang w:val="fr-FR"/>
        </w:rPr>
        <w:t xml:space="preserve"> de l</w:t>
      </w:r>
      <w:r w:rsidR="00C83C31">
        <w:rPr>
          <w:lang w:val="fr-FR"/>
        </w:rPr>
        <w:t>’</w:t>
      </w:r>
      <w:r w:rsidR="00C83C31" w:rsidRPr="00D11D38">
        <w:rPr>
          <w:lang w:val="fr-FR"/>
        </w:rPr>
        <w:t>ordre du jour)</w:t>
      </w:r>
      <w:r>
        <w:tab/>
      </w:r>
      <w:r>
        <w:tab/>
      </w:r>
      <w:r w:rsidR="004B425A">
        <w:t>65</w:t>
      </w:r>
      <w:r>
        <w:tab/>
      </w:r>
      <w:r w:rsidR="00C83C31">
        <w:t>13</w:t>
      </w:r>
    </w:p>
    <w:p w14:paraId="24838ABB" w14:textId="77FDB9DC" w:rsidR="00CE245A" w:rsidRDefault="00CE245A" w:rsidP="00CE245A">
      <w:pPr>
        <w:tabs>
          <w:tab w:val="right" w:pos="850"/>
          <w:tab w:val="right" w:leader="dot" w:pos="7654"/>
          <w:tab w:val="right" w:pos="8929"/>
          <w:tab w:val="right" w:pos="9638"/>
        </w:tabs>
        <w:spacing w:after="120"/>
        <w:ind w:left="1134" w:hanging="1134"/>
      </w:pPr>
      <w:r>
        <w:tab/>
        <w:t>XIV</w:t>
      </w:r>
      <w:r w:rsidR="00036363" w:rsidRPr="00036363">
        <w:t>.</w:t>
      </w:r>
      <w:r>
        <w:tab/>
      </w:r>
      <w:r w:rsidR="00C83C31" w:rsidRPr="00D11D38">
        <w:rPr>
          <w:lang w:val="fr-FR"/>
        </w:rPr>
        <w:t xml:space="preserve">Adoption du rapport (point </w:t>
      </w:r>
      <w:r w:rsidR="00C83C31" w:rsidRPr="00036363">
        <w:rPr>
          <w:lang w:val="fr-FR"/>
        </w:rPr>
        <w:t>12</w:t>
      </w:r>
      <w:r w:rsidR="00C83C31" w:rsidRPr="00D11D38">
        <w:rPr>
          <w:lang w:val="fr-FR"/>
        </w:rPr>
        <w:t xml:space="preserve"> de l</w:t>
      </w:r>
      <w:r w:rsidR="00C83C31">
        <w:rPr>
          <w:lang w:val="fr-FR"/>
        </w:rPr>
        <w:t>’</w:t>
      </w:r>
      <w:r w:rsidR="00C83C31" w:rsidRPr="00D11D38">
        <w:rPr>
          <w:lang w:val="fr-FR"/>
        </w:rPr>
        <w:t>ordre du jour)</w:t>
      </w:r>
      <w:r>
        <w:tab/>
      </w:r>
      <w:r>
        <w:tab/>
      </w:r>
      <w:r w:rsidR="004B425A">
        <w:t>66</w:t>
      </w:r>
      <w:r>
        <w:tab/>
      </w:r>
      <w:r w:rsidR="00C83C31">
        <w:t>13</w:t>
      </w:r>
    </w:p>
    <w:p w14:paraId="14CA0360" w14:textId="27FFC6B4" w:rsidR="00CE245A" w:rsidRPr="00CE245A" w:rsidRDefault="00CE245A" w:rsidP="00C83C31">
      <w:pPr>
        <w:keepNext/>
        <w:keepLines/>
        <w:tabs>
          <w:tab w:val="right" w:pos="850"/>
        </w:tabs>
        <w:spacing w:after="120"/>
      </w:pPr>
      <w:r>
        <w:lastRenderedPageBreak/>
        <w:tab/>
        <w:t>Annexes</w:t>
      </w:r>
    </w:p>
    <w:p w14:paraId="2F7B4B2D" w14:textId="1551E4E2" w:rsidR="00CE245A" w:rsidRDefault="00CE245A" w:rsidP="00C83C31">
      <w:pPr>
        <w:keepNext/>
        <w:keepLines/>
        <w:tabs>
          <w:tab w:val="right" w:pos="850"/>
          <w:tab w:val="right" w:leader="dot" w:pos="8929"/>
          <w:tab w:val="right" w:pos="9638"/>
        </w:tabs>
        <w:spacing w:after="120"/>
        <w:ind w:left="1134" w:hanging="1134"/>
      </w:pPr>
      <w:r>
        <w:tab/>
        <w:t>I</w:t>
      </w:r>
      <w:r w:rsidR="00036363" w:rsidRPr="00036363">
        <w:t>.</w:t>
      </w:r>
      <w:r>
        <w:tab/>
      </w:r>
      <w:r w:rsidR="00C83C31" w:rsidRPr="00D11D38">
        <w:rPr>
          <w:lang w:val="fr-FR"/>
        </w:rPr>
        <w:t>Rapport du Groupe de travail des citernes</w:t>
      </w:r>
      <w:r>
        <w:tab/>
      </w:r>
      <w:r>
        <w:tab/>
      </w:r>
      <w:r w:rsidR="00C83C31">
        <w:t>14</w:t>
      </w:r>
    </w:p>
    <w:p w14:paraId="51967943" w14:textId="0ED58580" w:rsidR="00CE245A" w:rsidRDefault="00CE245A" w:rsidP="00CE245A">
      <w:pPr>
        <w:tabs>
          <w:tab w:val="right" w:pos="850"/>
          <w:tab w:val="right" w:leader="dot" w:pos="8929"/>
          <w:tab w:val="right" w:pos="9638"/>
        </w:tabs>
        <w:spacing w:after="120"/>
        <w:ind w:left="1134" w:hanging="1134"/>
      </w:pPr>
      <w:r>
        <w:tab/>
        <w:t>II</w:t>
      </w:r>
      <w:r w:rsidR="00036363" w:rsidRPr="00036363">
        <w:t>.</w:t>
      </w:r>
      <w:r>
        <w:tab/>
      </w:r>
      <w:r w:rsidR="00C83C31" w:rsidRPr="00D11D38">
        <w:rPr>
          <w:lang w:val="fr-FR"/>
        </w:rPr>
        <w:t>Projet d</w:t>
      </w:r>
      <w:r w:rsidR="00C83C31">
        <w:rPr>
          <w:lang w:val="fr-FR"/>
        </w:rPr>
        <w:t>’</w:t>
      </w:r>
      <w:r w:rsidR="00C83C31" w:rsidRPr="00D11D38">
        <w:rPr>
          <w:lang w:val="fr-FR"/>
        </w:rPr>
        <w:t>amendements au RID, à l</w:t>
      </w:r>
      <w:r w:rsidR="00C83C31">
        <w:rPr>
          <w:lang w:val="fr-FR"/>
        </w:rPr>
        <w:t>’</w:t>
      </w:r>
      <w:r w:rsidR="00C83C31" w:rsidRPr="00D11D38">
        <w:rPr>
          <w:lang w:val="fr-FR"/>
        </w:rPr>
        <w:t>ADR et à l</w:t>
      </w:r>
      <w:r w:rsidR="00C83C31">
        <w:rPr>
          <w:lang w:val="fr-FR"/>
        </w:rPr>
        <w:t>’</w:t>
      </w:r>
      <w:r w:rsidR="00C83C31" w:rsidRPr="00D11D38">
        <w:rPr>
          <w:lang w:val="fr-FR"/>
        </w:rPr>
        <w:t>ADN pour</w:t>
      </w:r>
      <w:r w:rsidR="00C83C31">
        <w:rPr>
          <w:lang w:val="fr-FR"/>
        </w:rPr>
        <w:t> </w:t>
      </w:r>
      <w:r w:rsidR="00C83C31" w:rsidRPr="00D11D38">
        <w:rPr>
          <w:lang w:val="fr-FR"/>
        </w:rPr>
        <w:t xml:space="preserve">entrée en vigueur le </w:t>
      </w:r>
      <w:r w:rsidR="00C83C31" w:rsidRPr="00036363">
        <w:rPr>
          <w:lang w:val="fr-FR"/>
        </w:rPr>
        <w:t>1</w:t>
      </w:r>
      <w:r w:rsidR="00C83C31" w:rsidRPr="00887612">
        <w:rPr>
          <w:vertAlign w:val="superscript"/>
          <w:lang w:val="fr-FR"/>
        </w:rPr>
        <w:t>er</w:t>
      </w:r>
      <w:r w:rsidR="00C83C31" w:rsidRPr="00D11D38">
        <w:rPr>
          <w:lang w:val="fr-FR"/>
        </w:rPr>
        <w:t xml:space="preserve"> janvier </w:t>
      </w:r>
      <w:r w:rsidR="00C83C31" w:rsidRPr="00036363">
        <w:rPr>
          <w:lang w:val="fr-FR"/>
        </w:rPr>
        <w:t>2027</w:t>
      </w:r>
      <w:r w:rsidR="00C83C31" w:rsidRPr="00D11D38">
        <w:rPr>
          <w:lang w:val="fr-FR"/>
        </w:rPr>
        <w:t xml:space="preserve"> </w:t>
      </w:r>
      <w:r w:rsidR="00C83C31">
        <w:rPr>
          <w:lang w:val="fr-FR"/>
        </w:rPr>
        <w:br/>
      </w:r>
      <w:r w:rsidR="00C83C31" w:rsidRPr="00D11D38">
        <w:rPr>
          <w:lang w:val="fr-FR"/>
        </w:rPr>
        <w:t>(textes adoptés)</w:t>
      </w:r>
      <w:r>
        <w:tab/>
      </w:r>
      <w:r>
        <w:tab/>
      </w:r>
      <w:r w:rsidR="00C83C31">
        <w:t>15</w:t>
      </w:r>
    </w:p>
    <w:p w14:paraId="454502EE" w14:textId="77777777" w:rsidR="00CE245A" w:rsidRPr="00CE245A" w:rsidRDefault="00CE245A" w:rsidP="00A744A5">
      <w:pPr>
        <w:pStyle w:val="SingleTxtG"/>
      </w:pPr>
    </w:p>
    <w:p w14:paraId="61798A8C" w14:textId="77777777" w:rsidR="00CE245A" w:rsidRDefault="00CE245A" w:rsidP="00CE245A">
      <w:pPr>
        <w:pStyle w:val="SingleTxtG"/>
        <w:rPr>
          <w:lang w:val="en-GB"/>
        </w:rPr>
      </w:pPr>
      <w:r>
        <w:rPr>
          <w:lang w:val="en-GB"/>
        </w:rPr>
        <w:br w:type="page"/>
      </w:r>
    </w:p>
    <w:p w14:paraId="56C8AABE" w14:textId="40E606DE" w:rsidR="00CE245A" w:rsidRPr="00D11D38" w:rsidRDefault="00CE245A" w:rsidP="00CD20E5">
      <w:pPr>
        <w:pStyle w:val="HChG"/>
        <w:rPr>
          <w:lang w:val="fr-FR"/>
        </w:rPr>
      </w:pPr>
      <w:r w:rsidRPr="00285CB8">
        <w:rPr>
          <w:lang w:val="en-GB"/>
        </w:rPr>
        <w:lastRenderedPageBreak/>
        <w:tab/>
      </w:r>
      <w:r w:rsidRPr="00D11D38">
        <w:rPr>
          <w:lang w:val="fr-FR"/>
        </w:rPr>
        <w:t>I</w:t>
      </w:r>
      <w:r w:rsidR="00036363" w:rsidRPr="00036363">
        <w:rPr>
          <w:lang w:val="fr-FR"/>
        </w:rPr>
        <w:t>.</w:t>
      </w:r>
      <w:r w:rsidRPr="00D11D38">
        <w:rPr>
          <w:lang w:val="fr-FR"/>
        </w:rPr>
        <w:tab/>
        <w:t>Participation</w:t>
      </w:r>
    </w:p>
    <w:p w14:paraId="6B4B1DED" w14:textId="5A6C8F05" w:rsidR="00CE245A" w:rsidRPr="00D11D38" w:rsidRDefault="00CE245A" w:rsidP="00E60CFA">
      <w:pPr>
        <w:pStyle w:val="SingleTxtG"/>
        <w:spacing w:after="100"/>
        <w:rPr>
          <w:lang w:val="fr-FR"/>
        </w:rPr>
      </w:pPr>
      <w:r w:rsidRPr="00036363">
        <w:rPr>
          <w:lang w:val="fr-FR"/>
        </w:rPr>
        <w:t>1</w:t>
      </w:r>
      <w:r w:rsidR="00036363" w:rsidRPr="00036363">
        <w:rPr>
          <w:lang w:val="fr-FR"/>
        </w:rPr>
        <w:t>.</w:t>
      </w:r>
      <w:r w:rsidRPr="00D11D38">
        <w:rPr>
          <w:lang w:val="fr-FR"/>
        </w:rPr>
        <w:tab/>
        <w:t>La session d</w:t>
      </w:r>
      <w:r w:rsidR="00887612">
        <w:rPr>
          <w:lang w:val="fr-FR"/>
        </w:rPr>
        <w:t>’</w:t>
      </w:r>
      <w:r w:rsidRPr="00D11D38">
        <w:rPr>
          <w:lang w:val="fr-FR"/>
        </w:rPr>
        <w:t>automne de la Réunion commune de la Commission d</w:t>
      </w:r>
      <w:r w:rsidR="00887612">
        <w:rPr>
          <w:lang w:val="fr-FR"/>
        </w:rPr>
        <w:t>’</w:t>
      </w:r>
      <w:r w:rsidRPr="00D11D38">
        <w:rPr>
          <w:lang w:val="fr-FR"/>
        </w:rPr>
        <w:t>experts du RID et du Groupe de travail des transports de marchandises dangereuses (WP</w:t>
      </w:r>
      <w:r w:rsidR="00036363" w:rsidRPr="00036363">
        <w:rPr>
          <w:lang w:val="fr-FR"/>
        </w:rPr>
        <w:t>.</w:t>
      </w:r>
      <w:r w:rsidRPr="00036363">
        <w:rPr>
          <w:lang w:val="fr-FR"/>
        </w:rPr>
        <w:t>15</w:t>
      </w:r>
      <w:r w:rsidRPr="00D11D38">
        <w:rPr>
          <w:lang w:val="fr-FR"/>
        </w:rPr>
        <w:t>) de la Commission économique pour l</w:t>
      </w:r>
      <w:r w:rsidR="00887612">
        <w:rPr>
          <w:lang w:val="fr-FR"/>
        </w:rPr>
        <w:t>’</w:t>
      </w:r>
      <w:r w:rsidRPr="00D11D38">
        <w:rPr>
          <w:lang w:val="fr-FR"/>
        </w:rPr>
        <w:t>Europe s</w:t>
      </w:r>
      <w:r w:rsidR="00887612">
        <w:rPr>
          <w:lang w:val="fr-FR"/>
        </w:rPr>
        <w:t>’</w:t>
      </w:r>
      <w:r w:rsidRPr="00D11D38">
        <w:rPr>
          <w:lang w:val="fr-FR"/>
        </w:rPr>
        <w:t xml:space="preserve">est tenue à Genève du </w:t>
      </w:r>
      <w:r w:rsidRPr="00036363">
        <w:rPr>
          <w:lang w:val="fr-FR"/>
        </w:rPr>
        <w:t>9</w:t>
      </w:r>
      <w:r w:rsidRPr="00D11D38">
        <w:rPr>
          <w:lang w:val="fr-FR"/>
        </w:rPr>
        <w:t xml:space="preserve"> au </w:t>
      </w:r>
      <w:r w:rsidRPr="00036363">
        <w:rPr>
          <w:lang w:val="fr-FR"/>
        </w:rPr>
        <w:t>13</w:t>
      </w:r>
      <w:r w:rsidRPr="00D11D38">
        <w:rPr>
          <w:lang w:val="fr-FR"/>
        </w:rPr>
        <w:t xml:space="preserve"> septembre </w:t>
      </w:r>
      <w:r w:rsidRPr="00036363">
        <w:rPr>
          <w:lang w:val="fr-FR"/>
        </w:rPr>
        <w:t>2024</w:t>
      </w:r>
      <w:r w:rsidRPr="00D11D38">
        <w:rPr>
          <w:lang w:val="fr-FR"/>
        </w:rPr>
        <w:t xml:space="preserve"> sous la présidence de </w:t>
      </w:r>
      <w:r w:rsidR="00887612">
        <w:rPr>
          <w:lang w:val="fr-FR"/>
        </w:rPr>
        <w:t>M</w:t>
      </w:r>
      <w:r w:rsidR="00887612" w:rsidRPr="00887612">
        <w:rPr>
          <w:vertAlign w:val="superscript"/>
          <w:lang w:val="fr-FR"/>
        </w:rPr>
        <w:t>me</w:t>
      </w:r>
      <w:r w:rsidRPr="00D11D38">
        <w:rPr>
          <w:lang w:val="fr-FR"/>
        </w:rPr>
        <w:t> S</w:t>
      </w:r>
      <w:r w:rsidR="00036363" w:rsidRPr="00036363">
        <w:rPr>
          <w:lang w:val="fr-FR"/>
        </w:rPr>
        <w:t>.</w:t>
      </w:r>
      <w:r w:rsidRPr="00D11D38">
        <w:rPr>
          <w:lang w:val="fr-FR"/>
        </w:rPr>
        <w:t> García Wolfrum (Espagne) et la vice-présidence de M</w:t>
      </w:r>
      <w:r w:rsidR="00036363" w:rsidRPr="00036363">
        <w:rPr>
          <w:lang w:val="fr-FR"/>
        </w:rPr>
        <w:t>.</w:t>
      </w:r>
      <w:r w:rsidRPr="00D11D38">
        <w:rPr>
          <w:lang w:val="fr-FR"/>
        </w:rPr>
        <w:t> S</w:t>
      </w:r>
      <w:r w:rsidR="00036363" w:rsidRPr="00036363">
        <w:rPr>
          <w:lang w:val="fr-FR"/>
        </w:rPr>
        <w:t>.</w:t>
      </w:r>
      <w:r w:rsidRPr="00D11D38">
        <w:rPr>
          <w:lang w:val="fr-FR"/>
        </w:rPr>
        <w:t> Mahesh (Royaume des Pays-Bas)</w:t>
      </w:r>
      <w:r w:rsidR="00036363" w:rsidRPr="00036363">
        <w:rPr>
          <w:lang w:val="fr-FR"/>
        </w:rPr>
        <w:t>.</w:t>
      </w:r>
    </w:p>
    <w:p w14:paraId="3BC8044F" w14:textId="017296E6" w:rsidR="00CE245A" w:rsidRPr="00D11D38" w:rsidRDefault="00CE245A" w:rsidP="00E60CFA">
      <w:pPr>
        <w:pStyle w:val="SingleTxtG"/>
        <w:spacing w:after="100"/>
        <w:rPr>
          <w:lang w:val="fr-FR"/>
        </w:rPr>
      </w:pPr>
      <w:r w:rsidRPr="00036363">
        <w:rPr>
          <w:lang w:val="fr-FR"/>
        </w:rPr>
        <w:t>2</w:t>
      </w:r>
      <w:r w:rsidR="00036363" w:rsidRPr="00036363">
        <w:rPr>
          <w:lang w:val="fr-FR"/>
        </w:rPr>
        <w:t>.</w:t>
      </w:r>
      <w:r w:rsidRPr="00D11D38">
        <w:rPr>
          <w:lang w:val="fr-FR"/>
        </w:rPr>
        <w:tab/>
        <w:t>Conformément à l</w:t>
      </w:r>
      <w:r w:rsidR="00887612">
        <w:rPr>
          <w:lang w:val="fr-FR"/>
        </w:rPr>
        <w:t>’</w:t>
      </w:r>
      <w:r w:rsidRPr="00D11D38">
        <w:rPr>
          <w:lang w:val="fr-FR"/>
        </w:rPr>
        <w:t>alinéa a) de l</w:t>
      </w:r>
      <w:r w:rsidR="00887612">
        <w:rPr>
          <w:lang w:val="fr-FR"/>
        </w:rPr>
        <w:t>’</w:t>
      </w:r>
      <w:r w:rsidRPr="00D11D38">
        <w:rPr>
          <w:lang w:val="fr-FR"/>
        </w:rPr>
        <w:t>article premier du Règlement intérieur de la Réunion commune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112</w:t>
      </w:r>
      <w:r w:rsidRPr="00D11D38">
        <w:rPr>
          <w:lang w:val="fr-FR"/>
        </w:rPr>
        <w:t>/Add</w:t>
      </w:r>
      <w:r w:rsidR="00036363" w:rsidRPr="00036363">
        <w:rPr>
          <w:lang w:val="fr-FR"/>
        </w:rPr>
        <w:t>.</w:t>
      </w:r>
      <w:r w:rsidRPr="00036363">
        <w:rPr>
          <w:lang w:val="fr-FR"/>
        </w:rPr>
        <w:t>2</w:t>
      </w:r>
      <w:r w:rsidRPr="00D11D38">
        <w:rPr>
          <w:lang w:val="fr-FR"/>
        </w:rPr>
        <w:t>), des représentantes et représentants des pays ci-après ont participé de plein droit à la session</w:t>
      </w:r>
      <w:r w:rsidR="00887612">
        <w:rPr>
          <w:lang w:val="fr-FR"/>
        </w:rPr>
        <w:t> :</w:t>
      </w:r>
      <w:r w:rsidRPr="00D11D38">
        <w:rPr>
          <w:lang w:val="fr-FR"/>
        </w:rPr>
        <w:t xml:space="preserve"> Allemagne, Autriche, Azerbaïdjan, Belgique, Danemark, Espagne, États-Unis d</w:t>
      </w:r>
      <w:r w:rsidR="00887612">
        <w:rPr>
          <w:lang w:val="fr-FR"/>
        </w:rPr>
        <w:t>’</w:t>
      </w:r>
      <w:r w:rsidRPr="00D11D38">
        <w:rPr>
          <w:lang w:val="fr-FR"/>
        </w:rPr>
        <w:t>Amérique, Fédération de Russie, Finlande, France, Irlande, Italie, Lettonie, Luxembourg, Norvège, Pays-Bas (Royaume des), Pologne, Portugal, Royaume-Uni de Grande-Bretagne et d</w:t>
      </w:r>
      <w:r w:rsidR="00887612">
        <w:rPr>
          <w:lang w:val="fr-FR"/>
        </w:rPr>
        <w:t>’</w:t>
      </w:r>
      <w:r w:rsidRPr="00D11D38">
        <w:rPr>
          <w:lang w:val="fr-FR"/>
        </w:rPr>
        <w:t>Irlande du Nord, Slovaquie, Slovénie, Suède, Suisse et Türkiye</w:t>
      </w:r>
      <w:r w:rsidR="00036363" w:rsidRPr="00036363">
        <w:rPr>
          <w:lang w:val="fr-FR"/>
        </w:rPr>
        <w:t>.</w:t>
      </w:r>
    </w:p>
    <w:p w14:paraId="035A243E" w14:textId="26AB4679" w:rsidR="00CE245A" w:rsidRPr="00D11D38" w:rsidRDefault="00CE245A" w:rsidP="00E60CFA">
      <w:pPr>
        <w:pStyle w:val="SingleTxtG"/>
        <w:spacing w:after="100"/>
        <w:rPr>
          <w:lang w:val="fr-FR"/>
        </w:rPr>
      </w:pPr>
      <w:r w:rsidRPr="00036363">
        <w:rPr>
          <w:lang w:val="fr-FR"/>
        </w:rPr>
        <w:t>3</w:t>
      </w:r>
      <w:r w:rsidR="00036363" w:rsidRPr="00036363">
        <w:rPr>
          <w:lang w:val="fr-FR"/>
        </w:rPr>
        <w:t>.</w:t>
      </w:r>
      <w:r w:rsidRPr="00D11D38">
        <w:rPr>
          <w:lang w:val="fr-FR"/>
        </w:rPr>
        <w:tab/>
        <w:t>Conformément à l</w:t>
      </w:r>
      <w:r w:rsidR="00887612">
        <w:rPr>
          <w:lang w:val="fr-FR"/>
        </w:rPr>
        <w:t>’</w:t>
      </w:r>
      <w:r w:rsidRPr="00D11D38">
        <w:rPr>
          <w:lang w:val="fr-FR"/>
        </w:rPr>
        <w:t>alinéa b) de l</w:t>
      </w:r>
      <w:r w:rsidR="00887612">
        <w:rPr>
          <w:lang w:val="fr-FR"/>
        </w:rPr>
        <w:t>’</w:t>
      </w:r>
      <w:r w:rsidRPr="00D11D38">
        <w:rPr>
          <w:lang w:val="fr-FR"/>
        </w:rPr>
        <w:t>article premier du Règlement intérieur, le Zimbabwe était représenté à titre consultatif</w:t>
      </w:r>
      <w:r w:rsidR="00036363" w:rsidRPr="00036363">
        <w:rPr>
          <w:lang w:val="fr-FR"/>
        </w:rPr>
        <w:t>.</w:t>
      </w:r>
    </w:p>
    <w:p w14:paraId="32340042" w14:textId="15EAFEE6" w:rsidR="00887612" w:rsidRDefault="00CE245A" w:rsidP="00E60CFA">
      <w:pPr>
        <w:pStyle w:val="SingleTxtG"/>
        <w:spacing w:after="100"/>
        <w:rPr>
          <w:lang w:val="fr-FR"/>
        </w:rPr>
      </w:pPr>
      <w:r w:rsidRPr="00036363">
        <w:rPr>
          <w:lang w:val="fr-FR"/>
        </w:rPr>
        <w:t>4</w:t>
      </w:r>
      <w:r w:rsidR="00036363" w:rsidRPr="00036363">
        <w:rPr>
          <w:lang w:val="fr-FR"/>
        </w:rPr>
        <w:t>.</w:t>
      </w:r>
      <w:r w:rsidRPr="00D11D38">
        <w:rPr>
          <w:lang w:val="fr-FR"/>
        </w:rPr>
        <w:tab/>
        <w:t>Conformément aux alinéas c) et d) de l</w:t>
      </w:r>
      <w:r w:rsidR="00887612">
        <w:rPr>
          <w:lang w:val="fr-FR"/>
        </w:rPr>
        <w:t>’</w:t>
      </w:r>
      <w:r w:rsidRPr="00D11D38">
        <w:rPr>
          <w:lang w:val="fr-FR"/>
        </w:rPr>
        <w:t>article premier du Règlement intérieur, les</w:t>
      </w:r>
      <w:r w:rsidR="00E612DC">
        <w:rPr>
          <w:lang w:val="fr-FR"/>
        </w:rPr>
        <w:t> </w:t>
      </w:r>
      <w:r w:rsidRPr="00D11D38">
        <w:rPr>
          <w:lang w:val="fr-FR"/>
        </w:rPr>
        <w:t>entités suivantes étaient représentées à titre consultatif</w:t>
      </w:r>
      <w:r w:rsidR="00887612">
        <w:rPr>
          <w:lang w:val="fr-FR"/>
        </w:rPr>
        <w:t> :</w:t>
      </w:r>
    </w:p>
    <w:p w14:paraId="407177AA" w14:textId="4C9A4A8A" w:rsidR="00CE245A" w:rsidRPr="00D11D38" w:rsidRDefault="00CE245A" w:rsidP="00E60CFA">
      <w:pPr>
        <w:pStyle w:val="SingleTxtG"/>
        <w:spacing w:after="100"/>
        <w:ind w:firstLine="567"/>
        <w:rPr>
          <w:lang w:val="fr-FR"/>
        </w:rPr>
      </w:pPr>
      <w:r w:rsidRPr="00D11D38">
        <w:rPr>
          <w:lang w:val="fr-FR"/>
        </w:rPr>
        <w:t>a)</w:t>
      </w:r>
      <w:r w:rsidRPr="00D11D38">
        <w:rPr>
          <w:lang w:val="fr-FR"/>
        </w:rPr>
        <w:tab/>
        <w:t>L</w:t>
      </w:r>
      <w:r w:rsidR="00887612">
        <w:rPr>
          <w:lang w:val="fr-FR"/>
        </w:rPr>
        <w:t>’</w:t>
      </w:r>
      <w:r w:rsidRPr="00D11D38">
        <w:rPr>
          <w:lang w:val="fr-FR"/>
        </w:rPr>
        <w:t>Union européenne (Commission européenne et Agence de l</w:t>
      </w:r>
      <w:r w:rsidR="00887612">
        <w:rPr>
          <w:lang w:val="fr-FR"/>
        </w:rPr>
        <w:t>’</w:t>
      </w:r>
      <w:r w:rsidRPr="00D11D38">
        <w:rPr>
          <w:lang w:val="fr-FR"/>
        </w:rPr>
        <w:t>Union européenne pour les chemins de fer (ERA))</w:t>
      </w:r>
      <w:r w:rsidR="00887612">
        <w:rPr>
          <w:lang w:val="fr-FR"/>
        </w:rPr>
        <w:t> ;</w:t>
      </w:r>
    </w:p>
    <w:p w14:paraId="5C08817C" w14:textId="32A819EA" w:rsidR="00CE245A" w:rsidRPr="00E60CFA" w:rsidRDefault="00CE245A" w:rsidP="00E60CFA">
      <w:pPr>
        <w:pStyle w:val="SingleTxtG"/>
        <w:spacing w:after="100"/>
        <w:ind w:firstLine="567"/>
        <w:rPr>
          <w:spacing w:val="-4"/>
          <w:lang w:val="fr-FR"/>
        </w:rPr>
      </w:pPr>
      <w:r w:rsidRPr="00E60CFA">
        <w:rPr>
          <w:spacing w:val="-4"/>
          <w:lang w:val="fr-FR"/>
        </w:rPr>
        <w:t>b)</w:t>
      </w:r>
      <w:r w:rsidRPr="00E60CFA">
        <w:rPr>
          <w:spacing w:val="-4"/>
          <w:lang w:val="fr-FR"/>
        </w:rPr>
        <w:tab/>
        <w:t>Les organisations non gouvernementales internationales suivantes</w:t>
      </w:r>
      <w:r w:rsidR="00887612" w:rsidRPr="00E60CFA">
        <w:rPr>
          <w:spacing w:val="-4"/>
          <w:lang w:val="fr-FR"/>
        </w:rPr>
        <w:t> :</w:t>
      </w:r>
      <w:r w:rsidRPr="00E60CFA">
        <w:rPr>
          <w:spacing w:val="-4"/>
          <w:lang w:val="fr-FR"/>
        </w:rPr>
        <w:t xml:space="preserve"> Association européenne des gaz industriels (EIGA), Comité européen de normalisation (CEN), Conférence européenne des négociants en combustibles et carburants (ECFD), Council on Safe Transportation of </w:t>
      </w:r>
      <w:proofErr w:type="spellStart"/>
      <w:r w:rsidRPr="00E60CFA">
        <w:rPr>
          <w:spacing w:val="-4"/>
          <w:lang w:val="fr-FR"/>
        </w:rPr>
        <w:t>Hazardous</w:t>
      </w:r>
      <w:proofErr w:type="spellEnd"/>
      <w:r w:rsidRPr="00E60CFA">
        <w:rPr>
          <w:spacing w:val="-4"/>
          <w:lang w:val="fr-FR"/>
        </w:rPr>
        <w:t xml:space="preserve"> Articles (COSTHA), </w:t>
      </w:r>
      <w:proofErr w:type="spellStart"/>
      <w:r w:rsidRPr="00E60CFA">
        <w:rPr>
          <w:spacing w:val="-4"/>
          <w:lang w:val="fr-FR"/>
        </w:rPr>
        <w:t>European</w:t>
      </w:r>
      <w:proofErr w:type="spellEnd"/>
      <w:r w:rsidRPr="00E60CFA">
        <w:rPr>
          <w:spacing w:val="-4"/>
          <w:lang w:val="fr-FR"/>
        </w:rPr>
        <w:t xml:space="preserve"> Chemical </w:t>
      </w:r>
      <w:proofErr w:type="spellStart"/>
      <w:r w:rsidRPr="00E60CFA">
        <w:rPr>
          <w:spacing w:val="-4"/>
          <w:lang w:val="fr-FR"/>
        </w:rPr>
        <w:t>Industry</w:t>
      </w:r>
      <w:proofErr w:type="spellEnd"/>
      <w:r w:rsidRPr="00E60CFA">
        <w:rPr>
          <w:spacing w:val="-4"/>
          <w:lang w:val="fr-FR"/>
        </w:rPr>
        <w:t xml:space="preserve"> Council (Cefic), </w:t>
      </w:r>
      <w:proofErr w:type="spellStart"/>
      <w:r w:rsidRPr="00E60CFA">
        <w:rPr>
          <w:spacing w:val="-4"/>
          <w:lang w:val="fr-FR"/>
        </w:rPr>
        <w:t>European</w:t>
      </w:r>
      <w:proofErr w:type="spellEnd"/>
      <w:r w:rsidRPr="00E60CFA">
        <w:rPr>
          <w:spacing w:val="-4"/>
          <w:lang w:val="fr-FR"/>
        </w:rPr>
        <w:t xml:space="preserve"> </w:t>
      </w:r>
      <w:proofErr w:type="spellStart"/>
      <w:r w:rsidRPr="00E60CFA">
        <w:rPr>
          <w:spacing w:val="-4"/>
          <w:lang w:val="fr-FR"/>
        </w:rPr>
        <w:t>Cylinder</w:t>
      </w:r>
      <w:proofErr w:type="spellEnd"/>
      <w:r w:rsidRPr="00E60CFA">
        <w:rPr>
          <w:spacing w:val="-4"/>
          <w:lang w:val="fr-FR"/>
        </w:rPr>
        <w:t xml:space="preserve"> </w:t>
      </w:r>
      <w:proofErr w:type="spellStart"/>
      <w:r w:rsidRPr="00E60CFA">
        <w:rPr>
          <w:spacing w:val="-4"/>
          <w:lang w:val="fr-FR"/>
        </w:rPr>
        <w:t>Makers</w:t>
      </w:r>
      <w:proofErr w:type="spellEnd"/>
      <w:r w:rsidRPr="00E60CFA">
        <w:rPr>
          <w:spacing w:val="-4"/>
          <w:lang w:val="fr-FR"/>
        </w:rPr>
        <w:t xml:space="preserve"> Association (ECMA), Fédération européenne des activités de la dépollution et de l</w:t>
      </w:r>
      <w:r w:rsidR="00887612" w:rsidRPr="00E60CFA">
        <w:rPr>
          <w:spacing w:val="-4"/>
          <w:lang w:val="fr-FR"/>
        </w:rPr>
        <w:t>’</w:t>
      </w:r>
      <w:r w:rsidRPr="00E60CFA">
        <w:rPr>
          <w:spacing w:val="-4"/>
          <w:lang w:val="fr-FR"/>
        </w:rPr>
        <w:t xml:space="preserve">environnement (FEAD), International Association of Dangerous </w:t>
      </w:r>
      <w:proofErr w:type="spellStart"/>
      <w:r w:rsidRPr="00E60CFA">
        <w:rPr>
          <w:spacing w:val="-4"/>
          <w:lang w:val="fr-FR"/>
        </w:rPr>
        <w:t>Goods</w:t>
      </w:r>
      <w:proofErr w:type="spellEnd"/>
      <w:r w:rsidRPr="00E60CFA">
        <w:rPr>
          <w:spacing w:val="-4"/>
          <w:lang w:val="fr-FR"/>
        </w:rPr>
        <w:t xml:space="preserve"> </w:t>
      </w:r>
      <w:proofErr w:type="spellStart"/>
      <w:r w:rsidRPr="00E60CFA">
        <w:rPr>
          <w:spacing w:val="-4"/>
          <w:lang w:val="fr-FR"/>
        </w:rPr>
        <w:t>Safety</w:t>
      </w:r>
      <w:proofErr w:type="spellEnd"/>
      <w:r w:rsidRPr="00E60CFA">
        <w:rPr>
          <w:spacing w:val="-4"/>
          <w:lang w:val="fr-FR"/>
        </w:rPr>
        <w:t xml:space="preserve"> </w:t>
      </w:r>
      <w:proofErr w:type="spellStart"/>
      <w:r w:rsidRPr="00E60CFA">
        <w:rPr>
          <w:spacing w:val="-4"/>
          <w:lang w:val="fr-FR"/>
        </w:rPr>
        <w:t>Advisers</w:t>
      </w:r>
      <w:proofErr w:type="spellEnd"/>
      <w:r w:rsidRPr="00E60CFA">
        <w:rPr>
          <w:spacing w:val="-4"/>
          <w:lang w:val="fr-FR"/>
        </w:rPr>
        <w:t xml:space="preserve"> (IASA), International Union of Wagon </w:t>
      </w:r>
      <w:proofErr w:type="spellStart"/>
      <w:r w:rsidRPr="00E60CFA">
        <w:rPr>
          <w:spacing w:val="-4"/>
          <w:lang w:val="fr-FR"/>
        </w:rPr>
        <w:t>Keepers</w:t>
      </w:r>
      <w:proofErr w:type="spellEnd"/>
      <w:r w:rsidRPr="00E60CFA">
        <w:rPr>
          <w:spacing w:val="-4"/>
          <w:lang w:val="fr-FR"/>
        </w:rPr>
        <w:t xml:space="preserve"> (UIP), </w:t>
      </w:r>
      <w:proofErr w:type="spellStart"/>
      <w:r w:rsidRPr="00E60CFA">
        <w:rPr>
          <w:spacing w:val="-4"/>
          <w:lang w:val="fr-FR"/>
        </w:rPr>
        <w:t>Liquid</w:t>
      </w:r>
      <w:proofErr w:type="spellEnd"/>
      <w:r w:rsidRPr="00E60CFA">
        <w:rPr>
          <w:spacing w:val="-4"/>
          <w:lang w:val="fr-FR"/>
        </w:rPr>
        <w:t xml:space="preserve"> Gas Europe, Union européenne de la navigation fluviale</w:t>
      </w:r>
      <w:r w:rsidR="00887612" w:rsidRPr="00E60CFA">
        <w:rPr>
          <w:spacing w:val="-4"/>
          <w:lang w:val="fr-FR"/>
        </w:rPr>
        <w:t>/</w:t>
      </w:r>
      <w:r w:rsidRPr="00E60CFA">
        <w:rPr>
          <w:spacing w:val="-4"/>
          <w:lang w:val="fr-FR"/>
        </w:rPr>
        <w:t>Organisation européenne des bateliers (UENF</w:t>
      </w:r>
      <w:r w:rsidR="00887612" w:rsidRPr="00E60CFA">
        <w:rPr>
          <w:spacing w:val="-4"/>
          <w:lang w:val="fr-FR"/>
        </w:rPr>
        <w:t>/</w:t>
      </w:r>
      <w:r w:rsidRPr="00E60CFA">
        <w:rPr>
          <w:spacing w:val="-4"/>
          <w:lang w:val="fr-FR"/>
        </w:rPr>
        <w:t>OEB), Union internationale des chemins de fer (UIC) et Union internationale des transports routiers (IRU)</w:t>
      </w:r>
      <w:r w:rsidR="00036363" w:rsidRPr="00036363">
        <w:rPr>
          <w:spacing w:val="-4"/>
          <w:lang w:val="fr-FR"/>
        </w:rPr>
        <w:t>.</w:t>
      </w:r>
    </w:p>
    <w:p w14:paraId="4D5C4BE3" w14:textId="1BEAE5BC" w:rsidR="00CE245A" w:rsidRPr="00D11D38" w:rsidRDefault="00CE245A" w:rsidP="00CD20E5">
      <w:pPr>
        <w:pStyle w:val="HChG"/>
        <w:rPr>
          <w:lang w:val="fr-FR"/>
        </w:rPr>
      </w:pPr>
      <w:r w:rsidRPr="00D11D38">
        <w:rPr>
          <w:lang w:val="fr-FR"/>
        </w:rPr>
        <w:tab/>
        <w:t>II</w:t>
      </w:r>
      <w:r w:rsidR="00036363" w:rsidRPr="00036363">
        <w:rPr>
          <w:lang w:val="fr-FR"/>
        </w:rPr>
        <w:t>.</w:t>
      </w:r>
      <w:r w:rsidRPr="00D11D38">
        <w:rPr>
          <w:lang w:val="fr-FR"/>
        </w:rPr>
        <w:tab/>
        <w:t>Questions d</w:t>
      </w:r>
      <w:r w:rsidR="00887612">
        <w:rPr>
          <w:lang w:val="fr-FR"/>
        </w:rPr>
        <w:t>’</w:t>
      </w:r>
      <w:r w:rsidRPr="00D11D38">
        <w:rPr>
          <w:lang w:val="fr-FR"/>
        </w:rPr>
        <w:t>organisation</w:t>
      </w:r>
    </w:p>
    <w:p w14:paraId="68D81522" w14:textId="3FC99D7E" w:rsidR="00CE245A" w:rsidRPr="00D11D38" w:rsidRDefault="00CE245A" w:rsidP="00E60CFA">
      <w:pPr>
        <w:pStyle w:val="SingleTxtG"/>
        <w:tabs>
          <w:tab w:val="clear" w:pos="1701"/>
          <w:tab w:val="clear" w:pos="2268"/>
          <w:tab w:val="clear" w:pos="2835"/>
          <w:tab w:val="left" w:pos="3402"/>
        </w:tabs>
        <w:spacing w:after="100"/>
        <w:rPr>
          <w:lang w:val="fr-FR"/>
        </w:rPr>
      </w:pPr>
      <w:r w:rsidRPr="00036363">
        <w:rPr>
          <w:i/>
          <w:lang w:val="fr-FR"/>
        </w:rPr>
        <w:t>Document informel</w:t>
      </w:r>
      <w:r w:rsidR="00887612">
        <w:rPr>
          <w:lang w:val="fr-FR"/>
        </w:rPr>
        <w:t> :</w:t>
      </w:r>
      <w:r w:rsidRPr="00D11D38">
        <w:rPr>
          <w:lang w:val="fr-FR"/>
        </w:rPr>
        <w:tab/>
        <w:t>INF</w:t>
      </w:r>
      <w:r w:rsidR="00036363" w:rsidRPr="00036363">
        <w:rPr>
          <w:lang w:val="fr-FR"/>
        </w:rPr>
        <w:t>.</w:t>
      </w:r>
      <w:r w:rsidRPr="00036363">
        <w:rPr>
          <w:lang w:val="fr-FR"/>
        </w:rPr>
        <w:t>3</w:t>
      </w:r>
      <w:r w:rsidRPr="00D11D38">
        <w:rPr>
          <w:lang w:val="fr-FR"/>
        </w:rPr>
        <w:t xml:space="preserve"> (secrétariats)</w:t>
      </w:r>
    </w:p>
    <w:p w14:paraId="44AFB91B" w14:textId="3A11EF0B" w:rsidR="00CE245A" w:rsidRPr="00D11D38" w:rsidRDefault="00CE245A" w:rsidP="00E60CFA">
      <w:pPr>
        <w:pStyle w:val="SingleTxtG"/>
        <w:spacing w:after="100"/>
        <w:rPr>
          <w:lang w:val="fr-FR"/>
        </w:rPr>
      </w:pPr>
      <w:r w:rsidRPr="00036363">
        <w:rPr>
          <w:lang w:val="fr-FR"/>
        </w:rPr>
        <w:t>5</w:t>
      </w:r>
      <w:r w:rsidR="00036363" w:rsidRPr="00036363">
        <w:rPr>
          <w:lang w:val="fr-FR"/>
        </w:rPr>
        <w:t>.</w:t>
      </w:r>
      <w:r w:rsidRPr="00D11D38">
        <w:rPr>
          <w:lang w:val="fr-FR"/>
        </w:rPr>
        <w:tab/>
        <w:t>La session s</w:t>
      </w:r>
      <w:r w:rsidR="00887612">
        <w:rPr>
          <w:lang w:val="fr-FR"/>
        </w:rPr>
        <w:t>’</w:t>
      </w:r>
      <w:r w:rsidRPr="00D11D38">
        <w:rPr>
          <w:lang w:val="fr-FR"/>
        </w:rPr>
        <w:t>est de nouveau tenue sous la forme de séances en présentiel uniquement, suivant l</w:t>
      </w:r>
      <w:r w:rsidR="00887612">
        <w:rPr>
          <w:lang w:val="fr-FR"/>
        </w:rPr>
        <w:t>’</w:t>
      </w:r>
      <w:r w:rsidRPr="00D11D38">
        <w:rPr>
          <w:lang w:val="fr-FR"/>
        </w:rPr>
        <w:t>organisation décrite dans le document informel INF</w:t>
      </w:r>
      <w:r w:rsidR="00036363" w:rsidRPr="00036363">
        <w:rPr>
          <w:lang w:val="fr-FR"/>
        </w:rPr>
        <w:t>.</w:t>
      </w:r>
      <w:r w:rsidRPr="00036363">
        <w:rPr>
          <w:lang w:val="fr-FR"/>
        </w:rPr>
        <w:t>3</w:t>
      </w:r>
      <w:r w:rsidR="00036363" w:rsidRPr="00036363">
        <w:rPr>
          <w:lang w:val="fr-FR"/>
        </w:rPr>
        <w:t>.</w:t>
      </w:r>
    </w:p>
    <w:p w14:paraId="245D0F09" w14:textId="363EBBFE" w:rsidR="00CE245A" w:rsidRPr="00D11D38" w:rsidRDefault="00CE245A" w:rsidP="00E60CFA">
      <w:pPr>
        <w:pStyle w:val="SingleTxtG"/>
        <w:spacing w:after="100"/>
        <w:rPr>
          <w:lang w:val="fr-FR"/>
        </w:rPr>
      </w:pPr>
      <w:r w:rsidRPr="00036363">
        <w:rPr>
          <w:lang w:val="fr-FR"/>
        </w:rPr>
        <w:t>6</w:t>
      </w:r>
      <w:r w:rsidR="00036363" w:rsidRPr="00036363">
        <w:rPr>
          <w:lang w:val="fr-FR"/>
        </w:rPr>
        <w:t>.</w:t>
      </w:r>
      <w:r w:rsidRPr="00D11D38">
        <w:rPr>
          <w:lang w:val="fr-FR"/>
        </w:rPr>
        <w:tab/>
        <w:t>La Réunion commune a noté qu</w:t>
      </w:r>
      <w:r w:rsidR="00887612">
        <w:rPr>
          <w:lang w:val="fr-FR"/>
        </w:rPr>
        <w:t>’</w:t>
      </w:r>
      <w:r w:rsidRPr="00D11D38">
        <w:rPr>
          <w:lang w:val="fr-FR"/>
        </w:rPr>
        <w:t>en raison du peu de documents officiels soumis, la</w:t>
      </w:r>
      <w:r w:rsidR="0004759A">
        <w:rPr>
          <w:lang w:val="fr-FR"/>
        </w:rPr>
        <w:t> </w:t>
      </w:r>
      <w:r w:rsidRPr="00D11D38">
        <w:rPr>
          <w:lang w:val="fr-FR"/>
        </w:rPr>
        <w:t>durée de la session plénière avait été ramenée à quatre jours au lieu des cinq jours habituels</w:t>
      </w:r>
      <w:r w:rsidR="00036363" w:rsidRPr="00036363">
        <w:rPr>
          <w:lang w:val="fr-FR"/>
        </w:rPr>
        <w:t>.</w:t>
      </w:r>
    </w:p>
    <w:p w14:paraId="21169806" w14:textId="225B1170" w:rsidR="00CE245A" w:rsidRPr="00E60CFA" w:rsidRDefault="00CE245A" w:rsidP="00E60CFA">
      <w:pPr>
        <w:pStyle w:val="SingleTxtG"/>
        <w:spacing w:after="100"/>
        <w:rPr>
          <w:lang w:val="fr-FR"/>
        </w:rPr>
      </w:pPr>
      <w:r w:rsidRPr="00036363">
        <w:rPr>
          <w:lang w:val="fr-FR"/>
        </w:rPr>
        <w:t>7</w:t>
      </w:r>
      <w:r w:rsidR="00036363" w:rsidRPr="00036363">
        <w:rPr>
          <w:lang w:val="fr-FR"/>
        </w:rPr>
        <w:t>.</w:t>
      </w:r>
      <w:r w:rsidRPr="00E60CFA">
        <w:rPr>
          <w:lang w:val="fr-FR"/>
        </w:rPr>
        <w:tab/>
        <w:t>Un membre du secrétariat a informé la Réunion commune que M</w:t>
      </w:r>
      <w:r w:rsidR="00036363" w:rsidRPr="00036363">
        <w:rPr>
          <w:lang w:val="fr-FR"/>
        </w:rPr>
        <w:t>.</w:t>
      </w:r>
      <w:r w:rsidRPr="00E60CFA">
        <w:rPr>
          <w:lang w:val="fr-FR"/>
        </w:rPr>
        <w:t> Yuwei Li, ancien directeur de la Division des transports durables de la Commission économique pour l</w:t>
      </w:r>
      <w:r w:rsidR="00887612" w:rsidRPr="00E60CFA">
        <w:rPr>
          <w:lang w:val="fr-FR"/>
        </w:rPr>
        <w:t>’</w:t>
      </w:r>
      <w:r w:rsidRPr="00E60CFA">
        <w:rPr>
          <w:lang w:val="fr-FR"/>
        </w:rPr>
        <w:t>Europe (CEE), avait récemment pris sa retraite et que M</w:t>
      </w:r>
      <w:r w:rsidR="00036363" w:rsidRPr="00036363">
        <w:rPr>
          <w:lang w:val="fr-FR"/>
        </w:rPr>
        <w:t>.</w:t>
      </w:r>
      <w:r w:rsidRPr="00E60CFA">
        <w:rPr>
          <w:lang w:val="fr-FR"/>
        </w:rPr>
        <w:t> Dmitry Mariyasin, Secrétaire exécutif adjoint de la CEE, avait pris la relève en tant que responsable de la Division des transports durables</w:t>
      </w:r>
      <w:r w:rsidR="00036363" w:rsidRPr="00036363">
        <w:rPr>
          <w:lang w:val="fr-FR"/>
        </w:rPr>
        <w:t>.</w:t>
      </w:r>
      <w:r w:rsidRPr="00E60CFA">
        <w:rPr>
          <w:lang w:val="fr-FR"/>
        </w:rPr>
        <w:t xml:space="preserve"> Il</w:t>
      </w:r>
      <w:r w:rsidR="00C455DD">
        <w:rPr>
          <w:lang w:val="fr-FR"/>
        </w:rPr>
        <w:t xml:space="preserve"> </w:t>
      </w:r>
      <w:r w:rsidRPr="00E60CFA">
        <w:rPr>
          <w:lang w:val="fr-FR"/>
        </w:rPr>
        <w:t>a</w:t>
      </w:r>
      <w:r w:rsidR="00C455DD">
        <w:rPr>
          <w:lang w:val="fr-FR"/>
        </w:rPr>
        <w:t xml:space="preserve"> </w:t>
      </w:r>
      <w:r w:rsidRPr="00E60CFA">
        <w:rPr>
          <w:lang w:val="fr-FR"/>
        </w:rPr>
        <w:t>indiqué que la Division des transports durables de la CEE ainsi que la section chargée des marchandises dangereuses subissaient actuellement les répercussions de la crise de liquidités que l</w:t>
      </w:r>
      <w:r w:rsidR="00887612" w:rsidRPr="00E60CFA">
        <w:rPr>
          <w:lang w:val="fr-FR"/>
        </w:rPr>
        <w:t>’</w:t>
      </w:r>
      <w:r w:rsidRPr="00E60CFA">
        <w:rPr>
          <w:lang w:val="fr-FR"/>
        </w:rPr>
        <w:t>Organisation des Nations Unies continuait de traverser et a dit espérer que, d</w:t>
      </w:r>
      <w:r w:rsidR="00887612" w:rsidRPr="00E60CFA">
        <w:rPr>
          <w:lang w:val="fr-FR"/>
        </w:rPr>
        <w:t>’</w:t>
      </w:r>
      <w:r w:rsidRPr="00E60CFA">
        <w:rPr>
          <w:lang w:val="fr-FR"/>
        </w:rPr>
        <w:t>ici à la fin de l</w:t>
      </w:r>
      <w:r w:rsidR="00887612" w:rsidRPr="00E60CFA">
        <w:rPr>
          <w:lang w:val="fr-FR"/>
        </w:rPr>
        <w:t>’</w:t>
      </w:r>
      <w:r w:rsidRPr="00E60CFA">
        <w:rPr>
          <w:lang w:val="fr-FR"/>
        </w:rPr>
        <w:t>année, la situation reviendrait à la normale et que tous les postes vacants seraient à nouveau pourvus</w:t>
      </w:r>
      <w:r w:rsidR="00036363" w:rsidRPr="00036363">
        <w:rPr>
          <w:lang w:val="fr-FR"/>
        </w:rPr>
        <w:t>.</w:t>
      </w:r>
    </w:p>
    <w:p w14:paraId="7AD2EA27" w14:textId="1B0139EC" w:rsidR="00CE245A" w:rsidRPr="00E60CFA" w:rsidRDefault="00CE245A" w:rsidP="00E60CFA">
      <w:pPr>
        <w:pStyle w:val="SingleTxtG"/>
        <w:widowControl w:val="0"/>
        <w:spacing w:after="100"/>
        <w:rPr>
          <w:spacing w:val="-3"/>
          <w:lang w:val="fr-FR"/>
        </w:rPr>
      </w:pPr>
      <w:r w:rsidRPr="00036363">
        <w:rPr>
          <w:spacing w:val="-3"/>
          <w:lang w:val="fr-FR"/>
        </w:rPr>
        <w:t>8</w:t>
      </w:r>
      <w:r w:rsidR="00036363" w:rsidRPr="00036363">
        <w:rPr>
          <w:spacing w:val="-3"/>
          <w:lang w:val="fr-FR"/>
        </w:rPr>
        <w:t>.</w:t>
      </w:r>
      <w:r w:rsidRPr="00E60CFA">
        <w:rPr>
          <w:spacing w:val="-3"/>
          <w:lang w:val="fr-FR"/>
        </w:rPr>
        <w:tab/>
        <w:t>La Réunion commune a également été informée que la CEE avait récemment subi des atteintes aux droits d</w:t>
      </w:r>
      <w:r w:rsidR="00887612" w:rsidRPr="00E60CFA">
        <w:rPr>
          <w:spacing w:val="-3"/>
          <w:lang w:val="fr-FR"/>
        </w:rPr>
        <w:t>’</w:t>
      </w:r>
      <w:r w:rsidRPr="00E60CFA">
        <w:rPr>
          <w:spacing w:val="-3"/>
          <w:lang w:val="fr-FR"/>
        </w:rPr>
        <w:t>auteur et que, dans l</w:t>
      </w:r>
      <w:r w:rsidR="00887612" w:rsidRPr="00E60CFA">
        <w:rPr>
          <w:spacing w:val="-3"/>
          <w:lang w:val="fr-FR"/>
        </w:rPr>
        <w:t>’</w:t>
      </w:r>
      <w:r w:rsidRPr="00E60CFA">
        <w:rPr>
          <w:spacing w:val="-3"/>
          <w:lang w:val="fr-FR"/>
        </w:rPr>
        <w:t>attente de la publication de directives détaillées, l</w:t>
      </w:r>
      <w:r w:rsidR="00887612" w:rsidRPr="00E60CFA">
        <w:rPr>
          <w:spacing w:val="-3"/>
          <w:lang w:val="fr-FR"/>
        </w:rPr>
        <w:t>’</w:t>
      </w:r>
      <w:r w:rsidRPr="00E60CFA">
        <w:rPr>
          <w:spacing w:val="-3"/>
          <w:lang w:val="fr-FR"/>
        </w:rPr>
        <w:t>utilisation non autorisée d</w:t>
      </w:r>
      <w:r w:rsidR="00887612" w:rsidRPr="00E60CFA">
        <w:rPr>
          <w:spacing w:val="-3"/>
          <w:lang w:val="fr-FR"/>
        </w:rPr>
        <w:t>’</w:t>
      </w:r>
      <w:r w:rsidRPr="00E60CFA">
        <w:rPr>
          <w:spacing w:val="-3"/>
          <w:lang w:val="fr-FR"/>
        </w:rPr>
        <w:t>images ou de tout autre document protégé par le droit d</w:t>
      </w:r>
      <w:r w:rsidR="00887612" w:rsidRPr="00E60CFA">
        <w:rPr>
          <w:spacing w:val="-3"/>
          <w:lang w:val="fr-FR"/>
        </w:rPr>
        <w:t>’</w:t>
      </w:r>
      <w:r w:rsidRPr="00E60CFA">
        <w:rPr>
          <w:spacing w:val="-3"/>
          <w:lang w:val="fr-FR"/>
        </w:rPr>
        <w:t>auteur sans l</w:t>
      </w:r>
      <w:r w:rsidR="00887612" w:rsidRPr="00E60CFA">
        <w:rPr>
          <w:spacing w:val="-3"/>
          <w:lang w:val="fr-FR"/>
        </w:rPr>
        <w:t>’</w:t>
      </w:r>
      <w:r w:rsidRPr="00E60CFA">
        <w:rPr>
          <w:spacing w:val="-3"/>
          <w:lang w:val="fr-FR"/>
        </w:rPr>
        <w:t>accord préalable et approprié du titulaire du droit était interdite et contraire aux règles et règlements de la CEE et de l</w:t>
      </w:r>
      <w:r w:rsidR="00887612" w:rsidRPr="00E60CFA">
        <w:rPr>
          <w:spacing w:val="-3"/>
          <w:lang w:val="fr-FR"/>
        </w:rPr>
        <w:t>’</w:t>
      </w:r>
      <w:r w:rsidRPr="00E60CFA">
        <w:rPr>
          <w:spacing w:val="-3"/>
          <w:lang w:val="fr-FR"/>
        </w:rPr>
        <w:t>Organisation intergouvernementale pour les transports internationaux ferroviaires (OTIF)</w:t>
      </w:r>
      <w:r w:rsidR="00036363" w:rsidRPr="00036363">
        <w:rPr>
          <w:spacing w:val="-3"/>
          <w:lang w:val="fr-FR"/>
        </w:rPr>
        <w:t>.</w:t>
      </w:r>
      <w:r w:rsidRPr="00E60CFA">
        <w:rPr>
          <w:spacing w:val="-3"/>
          <w:lang w:val="fr-FR"/>
        </w:rPr>
        <w:t xml:space="preserve"> Par conséquent, toutes les délégations ont été invitées, lorsqu</w:t>
      </w:r>
      <w:r w:rsidR="00887612" w:rsidRPr="00E60CFA">
        <w:rPr>
          <w:spacing w:val="-3"/>
          <w:lang w:val="fr-FR"/>
        </w:rPr>
        <w:t>’</w:t>
      </w:r>
      <w:r w:rsidRPr="00E60CFA">
        <w:rPr>
          <w:spacing w:val="-3"/>
          <w:lang w:val="fr-FR"/>
        </w:rPr>
        <w:t>elles soumettent leurs propositions, à ne pas inclure d</w:t>
      </w:r>
      <w:r w:rsidR="00887612" w:rsidRPr="00E60CFA">
        <w:rPr>
          <w:spacing w:val="-3"/>
          <w:lang w:val="fr-FR"/>
        </w:rPr>
        <w:t>’</w:t>
      </w:r>
      <w:r w:rsidRPr="00E60CFA">
        <w:rPr>
          <w:spacing w:val="-3"/>
          <w:lang w:val="fr-FR"/>
        </w:rPr>
        <w:t>images non autorisées ou tout autre matériel protégé par le droit d</w:t>
      </w:r>
      <w:r w:rsidR="00887612" w:rsidRPr="00E60CFA">
        <w:rPr>
          <w:spacing w:val="-3"/>
          <w:lang w:val="fr-FR"/>
        </w:rPr>
        <w:t>’</w:t>
      </w:r>
      <w:r w:rsidRPr="00E60CFA">
        <w:rPr>
          <w:spacing w:val="-3"/>
          <w:lang w:val="fr-FR"/>
        </w:rPr>
        <w:t>auteur sans l</w:t>
      </w:r>
      <w:r w:rsidR="00887612" w:rsidRPr="00E60CFA">
        <w:rPr>
          <w:spacing w:val="-3"/>
          <w:lang w:val="fr-FR"/>
        </w:rPr>
        <w:t>’</w:t>
      </w:r>
      <w:r w:rsidRPr="00E60CFA">
        <w:rPr>
          <w:spacing w:val="-3"/>
          <w:lang w:val="fr-FR"/>
        </w:rPr>
        <w:t>accord préalable et approprié du titulaire du droit</w:t>
      </w:r>
      <w:r w:rsidR="00036363" w:rsidRPr="00036363">
        <w:rPr>
          <w:spacing w:val="-3"/>
          <w:lang w:val="fr-FR"/>
        </w:rPr>
        <w:t>.</w:t>
      </w:r>
    </w:p>
    <w:p w14:paraId="086DE16B" w14:textId="4667AA40" w:rsidR="00CE245A" w:rsidRPr="00D11D38" w:rsidRDefault="00CE245A" w:rsidP="00CD20E5">
      <w:pPr>
        <w:pStyle w:val="SingleTxtG"/>
        <w:rPr>
          <w:lang w:val="fr-FR"/>
        </w:rPr>
      </w:pPr>
      <w:r w:rsidRPr="00036363">
        <w:rPr>
          <w:lang w:val="fr-FR"/>
        </w:rPr>
        <w:lastRenderedPageBreak/>
        <w:t>9</w:t>
      </w:r>
      <w:r w:rsidR="00036363" w:rsidRPr="00036363">
        <w:rPr>
          <w:lang w:val="fr-FR"/>
        </w:rPr>
        <w:t>.</w:t>
      </w:r>
      <w:r w:rsidRPr="00D11D38">
        <w:rPr>
          <w:lang w:val="fr-FR"/>
        </w:rPr>
        <w:tab/>
        <w:t>Le secrétariat a également informé la Réunion commune des travaux de rénovation en cours dans les bâtiments du Palais des Nations et des difficultés liées au nombre limité de grandes salles de conférence disponibles</w:t>
      </w:r>
      <w:r w:rsidR="00036363" w:rsidRPr="00036363">
        <w:rPr>
          <w:lang w:val="fr-FR"/>
        </w:rPr>
        <w:t>.</w:t>
      </w:r>
    </w:p>
    <w:p w14:paraId="7A6D7419" w14:textId="69EEC010" w:rsidR="00CE245A" w:rsidRPr="00D11D38" w:rsidRDefault="00CE245A" w:rsidP="00CD20E5">
      <w:pPr>
        <w:pStyle w:val="SingleTxtG"/>
        <w:rPr>
          <w:lang w:val="fr-FR"/>
        </w:rPr>
      </w:pPr>
      <w:r w:rsidRPr="00036363">
        <w:rPr>
          <w:lang w:val="fr-FR"/>
        </w:rPr>
        <w:t>10</w:t>
      </w:r>
      <w:r w:rsidR="00036363" w:rsidRPr="00036363">
        <w:rPr>
          <w:lang w:val="fr-FR"/>
        </w:rPr>
        <w:t>.</w:t>
      </w:r>
      <w:r w:rsidRPr="00D11D38">
        <w:rPr>
          <w:lang w:val="fr-FR"/>
        </w:rPr>
        <w:tab/>
        <w:t xml:space="preserve">La Réunion commune a noté que les éditions </w:t>
      </w:r>
      <w:r w:rsidRPr="00036363">
        <w:rPr>
          <w:lang w:val="fr-FR"/>
        </w:rPr>
        <w:t>2025</w:t>
      </w:r>
      <w:r w:rsidRPr="00D11D38">
        <w:rPr>
          <w:lang w:val="fr-FR"/>
        </w:rPr>
        <w:t xml:space="preserve"> du RID, de l</w:t>
      </w:r>
      <w:r w:rsidR="00887612">
        <w:rPr>
          <w:lang w:val="fr-FR"/>
        </w:rPr>
        <w:t>’</w:t>
      </w:r>
      <w:r w:rsidRPr="00D11D38">
        <w:rPr>
          <w:lang w:val="fr-FR"/>
        </w:rPr>
        <w:t>ADR et de l</w:t>
      </w:r>
      <w:r w:rsidR="00887612">
        <w:rPr>
          <w:lang w:val="fr-FR"/>
        </w:rPr>
        <w:t>’</w:t>
      </w:r>
      <w:r w:rsidRPr="00D11D38">
        <w:rPr>
          <w:lang w:val="fr-FR"/>
        </w:rPr>
        <w:t xml:space="preserve">ADN </w:t>
      </w:r>
      <w:r>
        <w:rPr>
          <w:lang w:val="fr-FR"/>
        </w:rPr>
        <w:t xml:space="preserve">étaient en cours de notification </w:t>
      </w:r>
      <w:r w:rsidRPr="00D11D38">
        <w:rPr>
          <w:lang w:val="fr-FR"/>
        </w:rPr>
        <w:t>et que les différentes versions linguistiques seraient publiées au plus tard à la fin de l</w:t>
      </w:r>
      <w:r w:rsidR="00887612">
        <w:rPr>
          <w:lang w:val="fr-FR"/>
        </w:rPr>
        <w:t>’</w:t>
      </w:r>
      <w:r w:rsidRPr="00D11D38">
        <w:rPr>
          <w:lang w:val="fr-FR"/>
        </w:rPr>
        <w:t>année</w:t>
      </w:r>
      <w:r w:rsidR="00036363" w:rsidRPr="00036363">
        <w:rPr>
          <w:lang w:val="fr-FR"/>
        </w:rPr>
        <w:t>.</w:t>
      </w:r>
    </w:p>
    <w:p w14:paraId="540BE60E" w14:textId="65CDDDDA" w:rsidR="00CE245A" w:rsidRPr="00D11D38" w:rsidRDefault="00CE245A" w:rsidP="00CD20E5">
      <w:pPr>
        <w:pStyle w:val="HChG"/>
        <w:rPr>
          <w:lang w:val="fr-FR"/>
        </w:rPr>
      </w:pPr>
      <w:r w:rsidRPr="00D11D38">
        <w:rPr>
          <w:lang w:val="fr-FR"/>
        </w:rPr>
        <w:tab/>
        <w:t>III</w:t>
      </w:r>
      <w:r w:rsidR="00036363" w:rsidRPr="00036363">
        <w:rPr>
          <w:lang w:val="fr-FR"/>
        </w:rPr>
        <w:t>.</w:t>
      </w:r>
      <w:r w:rsidRPr="00D11D38">
        <w:rPr>
          <w:lang w:val="fr-FR"/>
        </w:rPr>
        <w:tab/>
        <w:t>Adoption de l</w:t>
      </w:r>
      <w:r w:rsidR="00887612">
        <w:rPr>
          <w:lang w:val="fr-FR"/>
        </w:rPr>
        <w:t>’</w:t>
      </w:r>
      <w:r w:rsidRPr="00D11D38">
        <w:rPr>
          <w:lang w:val="fr-FR"/>
        </w:rPr>
        <w:t xml:space="preserve">ordre du jour (point </w:t>
      </w:r>
      <w:r w:rsidRPr="00036363">
        <w:rPr>
          <w:lang w:val="fr-FR"/>
        </w:rPr>
        <w:t>1</w:t>
      </w:r>
      <w:r w:rsidRPr="00D11D38">
        <w:rPr>
          <w:lang w:val="fr-FR"/>
        </w:rPr>
        <w:t xml:space="preserve"> de l</w:t>
      </w:r>
      <w:r w:rsidR="00887612">
        <w:rPr>
          <w:lang w:val="fr-FR"/>
        </w:rPr>
        <w:t>’</w:t>
      </w:r>
      <w:r w:rsidRPr="00D11D38">
        <w:rPr>
          <w:lang w:val="fr-FR"/>
        </w:rPr>
        <w:t>ordre du jour)</w:t>
      </w:r>
    </w:p>
    <w:p w14:paraId="67859467" w14:textId="6FC427D2" w:rsidR="00CE245A" w:rsidRPr="00285CB8" w:rsidRDefault="00CE245A" w:rsidP="00B26193">
      <w:pPr>
        <w:pStyle w:val="SingleTxtG"/>
        <w:tabs>
          <w:tab w:val="clear" w:pos="1701"/>
          <w:tab w:val="clear" w:pos="2268"/>
          <w:tab w:val="clear" w:pos="2835"/>
          <w:tab w:val="left" w:pos="3402"/>
        </w:tabs>
        <w:ind w:left="3402" w:hanging="2268"/>
        <w:jc w:val="left"/>
        <w:rPr>
          <w:lang w:val="en-GB"/>
        </w:rPr>
      </w:pPr>
      <w:r w:rsidRPr="00036363">
        <w:rPr>
          <w:i/>
          <w:lang w:val="en-GB"/>
        </w:rPr>
        <w:t>Documents</w:t>
      </w:r>
      <w:r w:rsidR="00887612">
        <w:rPr>
          <w:lang w:val="en-GB"/>
        </w:rPr>
        <w:t> :</w:t>
      </w:r>
      <w:r w:rsidRPr="00285CB8">
        <w:rPr>
          <w:lang w:val="en-GB"/>
        </w:rPr>
        <w:tab/>
      </w:r>
      <w:r w:rsidRPr="0046553F">
        <w:rPr>
          <w:iCs/>
          <w:lang w:val="fr-FR"/>
        </w:rPr>
        <w:t>ECE</w:t>
      </w:r>
      <w:r w:rsidRPr="0046553F">
        <w:rPr>
          <w:iCs/>
          <w:lang w:val="en-GB"/>
        </w:rPr>
        <w:t>/TRANS/WP</w:t>
      </w:r>
      <w:r w:rsidR="00036363" w:rsidRPr="00036363">
        <w:rPr>
          <w:iCs/>
          <w:lang w:val="en-GB"/>
        </w:rPr>
        <w:t>.</w:t>
      </w:r>
      <w:r w:rsidRPr="00036363">
        <w:rPr>
          <w:iCs/>
          <w:lang w:val="en-GB"/>
        </w:rPr>
        <w:t>15</w:t>
      </w:r>
      <w:r w:rsidRPr="0046553F">
        <w:rPr>
          <w:iCs/>
          <w:lang w:val="en-GB"/>
        </w:rPr>
        <w:t>/AC</w:t>
      </w:r>
      <w:r w:rsidR="00036363" w:rsidRPr="00036363">
        <w:rPr>
          <w:iCs/>
          <w:lang w:val="en-GB"/>
        </w:rPr>
        <w:t>.</w:t>
      </w:r>
      <w:r w:rsidRPr="00036363">
        <w:rPr>
          <w:iCs/>
          <w:lang w:val="en-GB"/>
        </w:rPr>
        <w:t>1</w:t>
      </w:r>
      <w:r w:rsidRPr="0046553F">
        <w:rPr>
          <w:iCs/>
          <w:lang w:val="en-GB"/>
        </w:rPr>
        <w:t>/</w:t>
      </w:r>
      <w:r w:rsidRPr="00036363">
        <w:rPr>
          <w:iCs/>
          <w:lang w:val="en-GB"/>
        </w:rPr>
        <w:t>173</w:t>
      </w:r>
      <w:r w:rsidRPr="00285CB8">
        <w:rPr>
          <w:lang w:val="en-GB"/>
        </w:rPr>
        <w:t xml:space="preserve"> ECE/TRANS/WP</w:t>
      </w:r>
      <w:r w:rsidR="00036363" w:rsidRPr="00036363">
        <w:rPr>
          <w:lang w:val="en-GB"/>
        </w:rPr>
        <w:t>.</w:t>
      </w:r>
      <w:r w:rsidRPr="00036363">
        <w:rPr>
          <w:lang w:val="en-GB"/>
        </w:rPr>
        <w:t>15</w:t>
      </w:r>
      <w:r w:rsidRPr="00285CB8">
        <w:rPr>
          <w:lang w:val="en-GB"/>
        </w:rPr>
        <w:t>/AC</w:t>
      </w:r>
      <w:r w:rsidR="00036363" w:rsidRPr="00036363">
        <w:rPr>
          <w:lang w:val="en-GB"/>
        </w:rPr>
        <w:t>.</w:t>
      </w:r>
      <w:r w:rsidRPr="00036363">
        <w:rPr>
          <w:lang w:val="en-GB"/>
        </w:rPr>
        <w:t>1</w:t>
      </w:r>
      <w:r w:rsidRPr="00285CB8">
        <w:rPr>
          <w:lang w:val="en-GB"/>
        </w:rPr>
        <w:t>/</w:t>
      </w:r>
      <w:r w:rsidRPr="00036363">
        <w:rPr>
          <w:lang w:val="en-GB"/>
        </w:rPr>
        <w:t>173</w:t>
      </w:r>
      <w:r w:rsidRPr="00285CB8">
        <w:rPr>
          <w:lang w:val="en-GB"/>
        </w:rPr>
        <w:t>/Add</w:t>
      </w:r>
      <w:r w:rsidR="00036363" w:rsidRPr="00036363">
        <w:rPr>
          <w:lang w:val="en-GB"/>
        </w:rPr>
        <w:t>.</w:t>
      </w:r>
      <w:r w:rsidRPr="00036363">
        <w:rPr>
          <w:lang w:val="en-GB"/>
        </w:rPr>
        <w:t>1</w:t>
      </w:r>
      <w:r w:rsidRPr="00285CB8">
        <w:rPr>
          <w:lang w:val="en-GB"/>
        </w:rPr>
        <w:br/>
        <w:t>RID-</w:t>
      </w:r>
      <w:r w:rsidRPr="00036363">
        <w:rPr>
          <w:lang w:val="en-GB"/>
        </w:rPr>
        <w:t>24009</w:t>
      </w:r>
      <w:r w:rsidRPr="00285CB8">
        <w:rPr>
          <w:lang w:val="en-GB"/>
        </w:rPr>
        <w:t>-RC</w:t>
      </w:r>
    </w:p>
    <w:p w14:paraId="0A9B3426" w14:textId="58FC8319" w:rsidR="00CE245A" w:rsidRPr="00036363" w:rsidRDefault="00CE245A" w:rsidP="00B26193">
      <w:pPr>
        <w:pStyle w:val="SingleTxtG"/>
        <w:tabs>
          <w:tab w:val="clear" w:pos="1701"/>
          <w:tab w:val="clear" w:pos="2268"/>
          <w:tab w:val="clear" w:pos="2835"/>
          <w:tab w:val="left" w:pos="3402"/>
        </w:tabs>
        <w:ind w:left="3402" w:hanging="2268"/>
        <w:jc w:val="left"/>
        <w:rPr>
          <w:i/>
          <w:lang w:val="fr-FR"/>
        </w:rPr>
      </w:pPr>
      <w:r w:rsidRPr="00036363">
        <w:rPr>
          <w:i/>
          <w:lang w:val="fr-FR"/>
        </w:rPr>
        <w:t>Documents informels</w:t>
      </w:r>
      <w:r w:rsidR="00FC5953" w:rsidRPr="00FC5953">
        <w:rPr>
          <w:lang w:val="fr-FR"/>
        </w:rPr>
        <w:t> </w:t>
      </w:r>
      <w:r w:rsidR="00FC5953" w:rsidRPr="00FC46C3">
        <w:rPr>
          <w:lang w:val="fr-FR"/>
        </w:rPr>
        <w:t>:</w:t>
      </w:r>
      <w:r w:rsidRPr="00FC46C3">
        <w:rPr>
          <w:lang w:val="fr-FR"/>
        </w:rPr>
        <w:tab/>
        <w:t>INF</w:t>
      </w:r>
      <w:r w:rsidR="0080018F" w:rsidRPr="00FC46C3">
        <w:rPr>
          <w:lang w:val="fr-FR"/>
        </w:rPr>
        <w:t>.</w:t>
      </w:r>
      <w:r w:rsidRPr="00036363">
        <w:rPr>
          <w:lang w:val="fr-FR"/>
        </w:rPr>
        <w:t>1</w:t>
      </w:r>
      <w:r w:rsidRPr="00FC46C3">
        <w:rPr>
          <w:lang w:val="fr-FR"/>
        </w:rPr>
        <w:t>, INF</w:t>
      </w:r>
      <w:r w:rsidR="0080018F" w:rsidRPr="00FC46C3">
        <w:rPr>
          <w:lang w:val="fr-FR"/>
        </w:rPr>
        <w:t>.</w:t>
      </w:r>
      <w:r w:rsidRPr="00036363">
        <w:rPr>
          <w:lang w:val="fr-FR"/>
        </w:rPr>
        <w:t>2</w:t>
      </w:r>
      <w:r w:rsidRPr="00FC46C3">
        <w:rPr>
          <w:lang w:val="fr-FR"/>
        </w:rPr>
        <w:t xml:space="preserve"> et INF</w:t>
      </w:r>
      <w:r w:rsidR="0080018F" w:rsidRPr="00FC46C3">
        <w:rPr>
          <w:lang w:val="fr-FR"/>
        </w:rPr>
        <w:t>.</w:t>
      </w:r>
      <w:r w:rsidRPr="00036363">
        <w:rPr>
          <w:lang w:val="fr-FR"/>
        </w:rPr>
        <w:t>3</w:t>
      </w:r>
      <w:r w:rsidRPr="00FC46C3">
        <w:rPr>
          <w:lang w:val="fr-FR"/>
        </w:rPr>
        <w:t xml:space="preserve"> (secrétariats)</w:t>
      </w:r>
    </w:p>
    <w:p w14:paraId="7F2C4B86" w14:textId="731F8DCC" w:rsidR="00CE245A" w:rsidRPr="00D11D38" w:rsidRDefault="00CE245A" w:rsidP="00CD20E5">
      <w:pPr>
        <w:pStyle w:val="SingleTxtG"/>
        <w:rPr>
          <w:lang w:val="fr-FR"/>
        </w:rPr>
      </w:pPr>
      <w:r w:rsidRPr="00036363">
        <w:rPr>
          <w:lang w:val="fr-FR"/>
        </w:rPr>
        <w:t>11</w:t>
      </w:r>
      <w:r w:rsidR="00036363" w:rsidRPr="00036363">
        <w:rPr>
          <w:lang w:val="fr-FR"/>
        </w:rPr>
        <w:t>.</w:t>
      </w:r>
      <w:r w:rsidRPr="00D11D38">
        <w:rPr>
          <w:lang w:val="fr-FR"/>
        </w:rPr>
        <w:tab/>
        <w:t>La Réunion commune a adopté l</w:t>
      </w:r>
      <w:r w:rsidR="00887612">
        <w:rPr>
          <w:lang w:val="fr-FR"/>
        </w:rPr>
        <w:t>’</w:t>
      </w:r>
      <w:r w:rsidRPr="00D11D38">
        <w:rPr>
          <w:lang w:val="fr-FR"/>
        </w:rPr>
        <w:t>ordre du jour proposé par les secrétariats dans les documents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173</w:t>
      </w:r>
      <w:r w:rsidRPr="00D11D38">
        <w:rPr>
          <w:lang w:val="fr-FR"/>
        </w:rPr>
        <w:t xml:space="preserve"> et Add</w:t>
      </w:r>
      <w:r w:rsidR="00036363" w:rsidRPr="00036363">
        <w:rPr>
          <w:lang w:val="fr-FR"/>
        </w:rPr>
        <w:t>.</w:t>
      </w:r>
      <w:r w:rsidRPr="00036363">
        <w:rPr>
          <w:lang w:val="fr-FR"/>
        </w:rPr>
        <w:t>1</w:t>
      </w:r>
      <w:r w:rsidRPr="00D11D38">
        <w:rPr>
          <w:lang w:val="fr-FR"/>
        </w:rPr>
        <w:t xml:space="preserve"> (RID-</w:t>
      </w:r>
      <w:r w:rsidRPr="00036363">
        <w:rPr>
          <w:lang w:val="fr-FR"/>
        </w:rPr>
        <w:t>24009</w:t>
      </w:r>
      <w:r w:rsidRPr="00D11D38">
        <w:rPr>
          <w:lang w:val="fr-FR"/>
        </w:rPr>
        <w:t>-RC de l</w:t>
      </w:r>
      <w:r w:rsidR="00887612">
        <w:rPr>
          <w:lang w:val="fr-FR"/>
        </w:rPr>
        <w:t>’</w:t>
      </w:r>
      <w:r w:rsidRPr="00D11D38">
        <w:rPr>
          <w:lang w:val="fr-FR"/>
        </w:rPr>
        <w:t>OTIF) tels qu</w:t>
      </w:r>
      <w:r w:rsidR="00887612">
        <w:rPr>
          <w:lang w:val="fr-FR"/>
        </w:rPr>
        <w:t>’</w:t>
      </w:r>
      <w:r w:rsidRPr="00D11D38">
        <w:rPr>
          <w:lang w:val="fr-FR"/>
        </w:rPr>
        <w:t>actualisés par le document informel INF</w:t>
      </w:r>
      <w:r w:rsidR="00036363" w:rsidRPr="00036363">
        <w:rPr>
          <w:lang w:val="fr-FR"/>
        </w:rPr>
        <w:t>.</w:t>
      </w:r>
      <w:r w:rsidRPr="00036363">
        <w:rPr>
          <w:lang w:val="fr-FR"/>
        </w:rPr>
        <w:t>2</w:t>
      </w:r>
      <w:r w:rsidRPr="00D11D38">
        <w:rPr>
          <w:lang w:val="fr-FR"/>
        </w:rPr>
        <w:t>, après l</w:t>
      </w:r>
      <w:r w:rsidR="00887612">
        <w:rPr>
          <w:lang w:val="fr-FR"/>
        </w:rPr>
        <w:t>’</w:t>
      </w:r>
      <w:r w:rsidRPr="00D11D38">
        <w:rPr>
          <w:lang w:val="fr-FR"/>
        </w:rPr>
        <w:t>avoir modifié afin de prendre en compte les documents informels INF</w:t>
      </w:r>
      <w:r w:rsidR="00036363" w:rsidRPr="00036363">
        <w:rPr>
          <w:lang w:val="fr-FR"/>
        </w:rPr>
        <w:t>.</w:t>
      </w:r>
      <w:r w:rsidRPr="00036363">
        <w:rPr>
          <w:lang w:val="fr-FR"/>
        </w:rPr>
        <w:t>1</w:t>
      </w:r>
      <w:r w:rsidRPr="00D11D38">
        <w:rPr>
          <w:lang w:val="fr-FR"/>
        </w:rPr>
        <w:t xml:space="preserve"> à INF</w:t>
      </w:r>
      <w:r w:rsidR="00036363" w:rsidRPr="00036363">
        <w:rPr>
          <w:lang w:val="fr-FR"/>
        </w:rPr>
        <w:t>.</w:t>
      </w:r>
      <w:r w:rsidRPr="00036363">
        <w:rPr>
          <w:lang w:val="fr-FR"/>
        </w:rPr>
        <w:t>31</w:t>
      </w:r>
      <w:r w:rsidR="00036363" w:rsidRPr="00036363">
        <w:rPr>
          <w:lang w:val="fr-FR"/>
        </w:rPr>
        <w:t>.</w:t>
      </w:r>
    </w:p>
    <w:p w14:paraId="615A5CF2" w14:textId="500DB520" w:rsidR="00CE245A" w:rsidRPr="00D11D38" w:rsidRDefault="00CE245A" w:rsidP="00CD20E5">
      <w:pPr>
        <w:pStyle w:val="HChG"/>
        <w:rPr>
          <w:lang w:val="fr-FR"/>
        </w:rPr>
      </w:pPr>
      <w:r w:rsidRPr="00D11D38">
        <w:rPr>
          <w:lang w:val="fr-FR"/>
        </w:rPr>
        <w:tab/>
        <w:t>IV</w:t>
      </w:r>
      <w:r w:rsidR="00036363" w:rsidRPr="00036363">
        <w:rPr>
          <w:lang w:val="fr-FR"/>
        </w:rPr>
        <w:t>.</w:t>
      </w:r>
      <w:r w:rsidRPr="00D11D38">
        <w:rPr>
          <w:lang w:val="fr-FR"/>
        </w:rPr>
        <w:tab/>
        <w:t xml:space="preserve">Citernes (point </w:t>
      </w:r>
      <w:r w:rsidRPr="00036363">
        <w:rPr>
          <w:lang w:val="fr-FR"/>
        </w:rPr>
        <w:t>2</w:t>
      </w:r>
      <w:r w:rsidRPr="00D11D38">
        <w:rPr>
          <w:lang w:val="fr-FR"/>
        </w:rPr>
        <w:t xml:space="preserve"> de l</w:t>
      </w:r>
      <w:r w:rsidR="00887612">
        <w:rPr>
          <w:lang w:val="fr-FR"/>
        </w:rPr>
        <w:t>’</w:t>
      </w:r>
      <w:r w:rsidRPr="00D11D38">
        <w:rPr>
          <w:lang w:val="fr-FR"/>
        </w:rPr>
        <w:t>ordre du jour)</w:t>
      </w:r>
    </w:p>
    <w:p w14:paraId="62ACA720" w14:textId="1269E06A" w:rsidR="00CE245A" w:rsidRPr="00D11D38" w:rsidRDefault="00CE245A" w:rsidP="00CD20E5">
      <w:pPr>
        <w:pStyle w:val="H1G"/>
        <w:rPr>
          <w:lang w:val="fr-FR"/>
        </w:rPr>
      </w:pPr>
      <w:r w:rsidRPr="00D11D38">
        <w:rPr>
          <w:lang w:val="fr-FR"/>
        </w:rPr>
        <w:tab/>
        <w:t>A</w:t>
      </w:r>
      <w:r w:rsidR="00036363" w:rsidRPr="00036363">
        <w:rPr>
          <w:lang w:val="fr-FR"/>
        </w:rPr>
        <w:t>.</w:t>
      </w:r>
      <w:r w:rsidRPr="00D11D38">
        <w:rPr>
          <w:lang w:val="fr-FR"/>
        </w:rPr>
        <w:tab/>
        <w:t>Réunion du Groupe de travail des citernes</w:t>
      </w:r>
    </w:p>
    <w:p w14:paraId="14945018" w14:textId="5D99C3AB"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Documents</w:t>
      </w:r>
      <w:r w:rsidR="00887612">
        <w:rPr>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33</w:t>
      </w:r>
      <w:r w:rsidRPr="00D11D38">
        <w:rPr>
          <w:lang w:val="fr-FR"/>
        </w:rPr>
        <w:t xml:space="preserve"> (EIGA)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34</w:t>
      </w:r>
      <w:r w:rsidRPr="00D11D38">
        <w:rPr>
          <w:lang w:val="fr-FR"/>
        </w:rPr>
        <w:t xml:space="preserve"> (UIP)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39</w:t>
      </w:r>
      <w:r w:rsidRPr="00D11D38">
        <w:rPr>
          <w:lang w:val="fr-FR"/>
        </w:rPr>
        <w:t xml:space="preserve"> (France)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40</w:t>
      </w:r>
      <w:r w:rsidRPr="00D11D38">
        <w:rPr>
          <w:lang w:val="fr-FR"/>
        </w:rPr>
        <w:t xml:space="preserve"> (Allemagne)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45</w:t>
      </w:r>
      <w:r w:rsidRPr="00D11D38">
        <w:rPr>
          <w:lang w:val="fr-FR"/>
        </w:rPr>
        <w:t xml:space="preserve"> (France)</w:t>
      </w:r>
    </w:p>
    <w:p w14:paraId="18D1578D" w14:textId="029BA541"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Documents informels</w:t>
      </w:r>
      <w:r w:rsidR="00887612">
        <w:rPr>
          <w:lang w:val="fr-FR"/>
        </w:rPr>
        <w:t> :</w:t>
      </w:r>
      <w:r w:rsidRPr="00D11D38">
        <w:rPr>
          <w:lang w:val="fr-FR"/>
        </w:rPr>
        <w:t xml:space="preserve"> </w:t>
      </w:r>
      <w:r w:rsidRPr="00D11D38">
        <w:rPr>
          <w:lang w:val="fr-FR"/>
        </w:rPr>
        <w:tab/>
        <w:t>INF</w:t>
      </w:r>
      <w:r w:rsidR="00036363" w:rsidRPr="00036363">
        <w:rPr>
          <w:lang w:val="fr-FR"/>
        </w:rPr>
        <w:t>.</w:t>
      </w:r>
      <w:r w:rsidRPr="00036363">
        <w:rPr>
          <w:lang w:val="fr-FR"/>
        </w:rPr>
        <w:t>7</w:t>
      </w:r>
      <w:r w:rsidRPr="00D11D38">
        <w:rPr>
          <w:lang w:val="fr-FR"/>
        </w:rPr>
        <w:t xml:space="preserve"> (Royaume des Pays-Bas)</w:t>
      </w:r>
      <w:r w:rsidRPr="00D11D38">
        <w:rPr>
          <w:lang w:val="fr-FR"/>
        </w:rPr>
        <w:br/>
        <w:t>INF</w:t>
      </w:r>
      <w:r w:rsidR="00036363" w:rsidRPr="00036363">
        <w:rPr>
          <w:lang w:val="fr-FR"/>
        </w:rPr>
        <w:t>.</w:t>
      </w:r>
      <w:r w:rsidRPr="00036363">
        <w:rPr>
          <w:lang w:val="fr-FR"/>
        </w:rPr>
        <w:t>9</w:t>
      </w:r>
      <w:r w:rsidRPr="00D11D38">
        <w:rPr>
          <w:lang w:val="fr-FR"/>
        </w:rPr>
        <w:t xml:space="preserve"> </w:t>
      </w:r>
      <w:r w:rsidR="0033599A">
        <w:rPr>
          <w:lang w:val="fr-FR"/>
        </w:rPr>
        <w:t>et</w:t>
      </w:r>
      <w:r w:rsidRPr="00D11D38">
        <w:rPr>
          <w:lang w:val="fr-FR"/>
        </w:rPr>
        <w:t xml:space="preserve"> INF</w:t>
      </w:r>
      <w:r w:rsidR="00036363" w:rsidRPr="00036363">
        <w:rPr>
          <w:lang w:val="fr-FR"/>
        </w:rPr>
        <w:t>.</w:t>
      </w:r>
      <w:r w:rsidRPr="00036363">
        <w:rPr>
          <w:lang w:val="fr-FR"/>
        </w:rPr>
        <w:t>10</w:t>
      </w:r>
      <w:r w:rsidRPr="00D11D38">
        <w:rPr>
          <w:lang w:val="fr-FR"/>
        </w:rPr>
        <w:t xml:space="preserve"> (ITCO)</w:t>
      </w:r>
      <w:r w:rsidRPr="00D11D38">
        <w:rPr>
          <w:lang w:val="fr-FR"/>
        </w:rPr>
        <w:br/>
        <w:t>INF</w:t>
      </w:r>
      <w:r w:rsidR="00036363" w:rsidRPr="00036363">
        <w:rPr>
          <w:lang w:val="fr-FR"/>
        </w:rPr>
        <w:t>.</w:t>
      </w:r>
      <w:r w:rsidRPr="00036363">
        <w:rPr>
          <w:lang w:val="fr-FR"/>
        </w:rPr>
        <w:t>20</w:t>
      </w:r>
      <w:r w:rsidRPr="00D11D38">
        <w:rPr>
          <w:lang w:val="fr-FR"/>
        </w:rPr>
        <w:t xml:space="preserve"> (EIGA)</w:t>
      </w:r>
      <w:r w:rsidRPr="00D11D38">
        <w:rPr>
          <w:lang w:val="fr-FR"/>
        </w:rPr>
        <w:br/>
        <w:t>INF</w:t>
      </w:r>
      <w:r w:rsidR="00036363" w:rsidRPr="00036363">
        <w:rPr>
          <w:lang w:val="fr-FR"/>
        </w:rPr>
        <w:t>.</w:t>
      </w:r>
      <w:r w:rsidRPr="00036363">
        <w:rPr>
          <w:lang w:val="fr-FR"/>
        </w:rPr>
        <w:t>22</w:t>
      </w:r>
      <w:r w:rsidRPr="00D11D38">
        <w:rPr>
          <w:lang w:val="fr-FR"/>
        </w:rPr>
        <w:t xml:space="preserve"> (France)</w:t>
      </w:r>
      <w:r w:rsidRPr="00D11D38">
        <w:rPr>
          <w:lang w:val="fr-FR"/>
        </w:rPr>
        <w:br/>
        <w:t>INF</w:t>
      </w:r>
      <w:r w:rsidR="00036363" w:rsidRPr="00036363">
        <w:rPr>
          <w:lang w:val="fr-FR"/>
        </w:rPr>
        <w:t>.</w:t>
      </w:r>
      <w:r w:rsidRPr="00036363">
        <w:rPr>
          <w:lang w:val="fr-FR"/>
        </w:rPr>
        <w:t>24</w:t>
      </w:r>
      <w:r w:rsidRPr="00D11D38">
        <w:rPr>
          <w:lang w:val="fr-FR"/>
        </w:rPr>
        <w:t xml:space="preserve"> (ITCO)</w:t>
      </w:r>
      <w:r w:rsidRPr="00D11D38">
        <w:rPr>
          <w:lang w:val="fr-FR"/>
        </w:rPr>
        <w:br/>
        <w:t>INF</w:t>
      </w:r>
      <w:r w:rsidR="00036363" w:rsidRPr="00036363">
        <w:rPr>
          <w:lang w:val="fr-FR"/>
        </w:rPr>
        <w:t>.</w:t>
      </w:r>
      <w:r w:rsidRPr="00036363">
        <w:rPr>
          <w:lang w:val="fr-FR"/>
        </w:rPr>
        <w:t>26</w:t>
      </w:r>
      <w:r w:rsidRPr="00D11D38">
        <w:rPr>
          <w:lang w:val="fr-FR"/>
        </w:rPr>
        <w:t xml:space="preserve"> (Royaume-Uni)</w:t>
      </w:r>
      <w:r w:rsidRPr="00D11D38">
        <w:rPr>
          <w:lang w:val="fr-FR"/>
        </w:rPr>
        <w:br/>
        <w:t>INF</w:t>
      </w:r>
      <w:r w:rsidR="00036363" w:rsidRPr="00036363">
        <w:rPr>
          <w:lang w:val="fr-FR"/>
        </w:rPr>
        <w:t>.</w:t>
      </w:r>
      <w:r w:rsidRPr="00036363">
        <w:rPr>
          <w:lang w:val="fr-FR"/>
        </w:rPr>
        <w:t>30</w:t>
      </w:r>
      <w:r w:rsidRPr="00D11D38">
        <w:rPr>
          <w:lang w:val="fr-FR"/>
        </w:rPr>
        <w:t xml:space="preserve"> (Groupe de travail des citernes)</w:t>
      </w:r>
    </w:p>
    <w:p w14:paraId="321883DB" w14:textId="42F4BE91" w:rsidR="00CE245A" w:rsidRPr="00D11D38" w:rsidRDefault="00CE245A" w:rsidP="00CD20E5">
      <w:pPr>
        <w:pStyle w:val="SingleTxtG"/>
        <w:rPr>
          <w:lang w:val="fr-FR"/>
        </w:rPr>
      </w:pPr>
      <w:r w:rsidRPr="00036363">
        <w:rPr>
          <w:lang w:val="fr-FR"/>
        </w:rPr>
        <w:t>12</w:t>
      </w:r>
      <w:r w:rsidR="00036363" w:rsidRPr="00036363">
        <w:rPr>
          <w:lang w:val="fr-FR"/>
        </w:rPr>
        <w:t>.</w:t>
      </w:r>
      <w:r w:rsidRPr="00D11D38">
        <w:rPr>
          <w:lang w:val="fr-FR"/>
        </w:rPr>
        <w:tab/>
        <w:t>L</w:t>
      </w:r>
      <w:r w:rsidR="00887612">
        <w:rPr>
          <w:lang w:val="fr-FR"/>
        </w:rPr>
        <w:t>’</w:t>
      </w:r>
      <w:r w:rsidRPr="00D11D38">
        <w:rPr>
          <w:lang w:val="fr-FR"/>
        </w:rPr>
        <w:t xml:space="preserve">examen des documents soumis au titre du point </w:t>
      </w:r>
      <w:r w:rsidRPr="00036363">
        <w:rPr>
          <w:lang w:val="fr-FR"/>
        </w:rPr>
        <w:t>2</w:t>
      </w:r>
      <w:r w:rsidRPr="00D11D38">
        <w:rPr>
          <w:lang w:val="fr-FR"/>
        </w:rPr>
        <w:t xml:space="preserve"> de l</w:t>
      </w:r>
      <w:r w:rsidR="00887612">
        <w:rPr>
          <w:lang w:val="fr-FR"/>
        </w:rPr>
        <w:t>’</w:t>
      </w:r>
      <w:r w:rsidRPr="00D11D38">
        <w:rPr>
          <w:lang w:val="fr-FR"/>
        </w:rPr>
        <w:t>ordre du jour a été confié au Groupe de travail des citernes, qui s</w:t>
      </w:r>
      <w:r w:rsidR="00887612">
        <w:rPr>
          <w:lang w:val="fr-FR"/>
        </w:rPr>
        <w:t>’</w:t>
      </w:r>
      <w:r w:rsidRPr="00D11D38">
        <w:rPr>
          <w:lang w:val="fr-FR"/>
        </w:rPr>
        <w:t xml:space="preserve">est réuni du </w:t>
      </w:r>
      <w:r w:rsidRPr="00036363">
        <w:rPr>
          <w:lang w:val="fr-FR"/>
        </w:rPr>
        <w:t>9</w:t>
      </w:r>
      <w:r w:rsidRPr="00D11D38">
        <w:rPr>
          <w:lang w:val="fr-FR"/>
        </w:rPr>
        <w:t xml:space="preserve"> au </w:t>
      </w:r>
      <w:r w:rsidRPr="00036363">
        <w:rPr>
          <w:lang w:val="fr-FR"/>
        </w:rPr>
        <w:t>11</w:t>
      </w:r>
      <w:r w:rsidRPr="00D11D38">
        <w:rPr>
          <w:lang w:val="fr-FR"/>
        </w:rPr>
        <w:t xml:space="preserve"> septembre </w:t>
      </w:r>
      <w:r w:rsidRPr="00036363">
        <w:rPr>
          <w:lang w:val="fr-FR"/>
        </w:rPr>
        <w:t>2024</w:t>
      </w:r>
      <w:r w:rsidRPr="00D11D38">
        <w:rPr>
          <w:lang w:val="fr-FR"/>
        </w:rPr>
        <w:t xml:space="preserve"> sous la présidence de M</w:t>
      </w:r>
      <w:r w:rsidR="00036363" w:rsidRPr="00036363">
        <w:rPr>
          <w:lang w:val="fr-FR"/>
        </w:rPr>
        <w:t>.</w:t>
      </w:r>
      <w:r w:rsidRPr="00D11D38">
        <w:rPr>
          <w:lang w:val="fr-FR"/>
        </w:rPr>
        <w:t> A</w:t>
      </w:r>
      <w:r w:rsidR="00036363" w:rsidRPr="00036363">
        <w:rPr>
          <w:lang w:val="fr-FR"/>
        </w:rPr>
        <w:t>.</w:t>
      </w:r>
      <w:r w:rsidRPr="00D11D38">
        <w:rPr>
          <w:lang w:val="fr-FR"/>
        </w:rPr>
        <w:t> Bale (Royaume-Uni) et a rendu compte de ses travaux à la session plénière</w:t>
      </w:r>
      <w:r w:rsidR="00036363" w:rsidRPr="00036363">
        <w:rPr>
          <w:lang w:val="fr-FR"/>
        </w:rPr>
        <w:t>.</w:t>
      </w:r>
    </w:p>
    <w:p w14:paraId="718734E8" w14:textId="1D1A6B80" w:rsidR="00CE245A" w:rsidRPr="00D11D38" w:rsidRDefault="00CE245A" w:rsidP="00CD20E5">
      <w:pPr>
        <w:pStyle w:val="H1G"/>
        <w:rPr>
          <w:lang w:val="fr-FR"/>
        </w:rPr>
      </w:pPr>
      <w:r w:rsidRPr="00D11D38">
        <w:rPr>
          <w:lang w:val="fr-FR"/>
        </w:rPr>
        <w:tab/>
        <w:t>B</w:t>
      </w:r>
      <w:r w:rsidR="00036363" w:rsidRPr="00036363">
        <w:rPr>
          <w:lang w:val="fr-FR"/>
        </w:rPr>
        <w:t>.</w:t>
      </w:r>
      <w:r w:rsidRPr="00D11D38">
        <w:rPr>
          <w:lang w:val="fr-FR"/>
        </w:rPr>
        <w:tab/>
        <w:t>Rapport du Groupe de travail des citernes</w:t>
      </w:r>
    </w:p>
    <w:p w14:paraId="6B05AC01" w14:textId="603AB061"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 informel</w:t>
      </w:r>
      <w:r w:rsidR="00887612">
        <w:rPr>
          <w:lang w:val="fr-FR"/>
        </w:rPr>
        <w:t> :</w:t>
      </w:r>
      <w:r w:rsidRPr="00D11D38">
        <w:rPr>
          <w:lang w:val="fr-FR"/>
        </w:rPr>
        <w:t xml:space="preserve"> </w:t>
      </w:r>
      <w:r w:rsidRPr="00D11D38">
        <w:rPr>
          <w:lang w:val="fr-FR"/>
        </w:rPr>
        <w:tab/>
        <w:t>INF</w:t>
      </w:r>
      <w:r w:rsidR="00036363" w:rsidRPr="00036363">
        <w:rPr>
          <w:lang w:val="fr-FR"/>
        </w:rPr>
        <w:t>.</w:t>
      </w:r>
      <w:r w:rsidRPr="00036363">
        <w:rPr>
          <w:lang w:val="fr-FR"/>
        </w:rPr>
        <w:t>30</w:t>
      </w:r>
      <w:r w:rsidRPr="00D11D38">
        <w:rPr>
          <w:lang w:val="fr-FR"/>
        </w:rPr>
        <w:t xml:space="preserve"> (Groupe de travail des citernes)</w:t>
      </w:r>
    </w:p>
    <w:p w14:paraId="53A488CA" w14:textId="362145BF" w:rsidR="00CE245A" w:rsidRPr="00D11D38" w:rsidRDefault="00CE245A" w:rsidP="00CD20E5">
      <w:pPr>
        <w:pStyle w:val="SingleTxtG"/>
        <w:rPr>
          <w:lang w:val="fr-FR"/>
        </w:rPr>
      </w:pPr>
      <w:r w:rsidRPr="00036363">
        <w:rPr>
          <w:lang w:val="fr-FR"/>
        </w:rPr>
        <w:t>13</w:t>
      </w:r>
      <w:r w:rsidR="00036363" w:rsidRPr="00036363">
        <w:rPr>
          <w:lang w:val="fr-FR"/>
        </w:rPr>
        <w:t>.</w:t>
      </w:r>
      <w:r w:rsidRPr="00D11D38">
        <w:rPr>
          <w:lang w:val="fr-FR"/>
        </w:rPr>
        <w:tab/>
        <w:t>La Réunion commune s</w:t>
      </w:r>
      <w:r w:rsidR="00887612">
        <w:rPr>
          <w:lang w:val="fr-FR"/>
        </w:rPr>
        <w:t>’</w:t>
      </w:r>
      <w:r w:rsidRPr="00D11D38">
        <w:rPr>
          <w:lang w:val="fr-FR"/>
        </w:rPr>
        <w:t xml:space="preserve">est félicitée des résultats de la réunion du Groupe de travail des citernes tenue du </w:t>
      </w:r>
      <w:r w:rsidRPr="00036363">
        <w:rPr>
          <w:lang w:val="fr-FR"/>
        </w:rPr>
        <w:t>9</w:t>
      </w:r>
      <w:r w:rsidRPr="00D11D38">
        <w:rPr>
          <w:lang w:val="fr-FR"/>
        </w:rPr>
        <w:t xml:space="preserve"> au </w:t>
      </w:r>
      <w:r w:rsidRPr="00036363">
        <w:rPr>
          <w:lang w:val="fr-FR"/>
        </w:rPr>
        <w:t>11</w:t>
      </w:r>
      <w:r w:rsidRPr="00D11D38">
        <w:rPr>
          <w:lang w:val="fr-FR"/>
        </w:rPr>
        <w:t xml:space="preserve"> septembre </w:t>
      </w:r>
      <w:r w:rsidRPr="00036363">
        <w:rPr>
          <w:lang w:val="fr-FR"/>
        </w:rPr>
        <w:t>2024</w:t>
      </w:r>
      <w:r w:rsidRPr="00D11D38">
        <w:rPr>
          <w:lang w:val="fr-FR"/>
        </w:rPr>
        <w:t>, tels que présentés dans le document informel INF</w:t>
      </w:r>
      <w:r w:rsidR="00036363" w:rsidRPr="00036363">
        <w:rPr>
          <w:lang w:val="fr-FR"/>
        </w:rPr>
        <w:t>.</w:t>
      </w:r>
      <w:r w:rsidRPr="00036363">
        <w:rPr>
          <w:lang w:val="fr-FR"/>
        </w:rPr>
        <w:t>30</w:t>
      </w:r>
      <w:r w:rsidR="00036363" w:rsidRPr="00036363">
        <w:rPr>
          <w:lang w:val="fr-FR"/>
        </w:rPr>
        <w:t>.</w:t>
      </w:r>
      <w:r w:rsidRPr="00D11D38">
        <w:rPr>
          <w:lang w:val="fr-FR"/>
        </w:rPr>
        <w:t xml:space="preserve"> Le rapport relatif à cette réunion figure à l</w:t>
      </w:r>
      <w:r w:rsidR="00887612">
        <w:rPr>
          <w:lang w:val="fr-FR"/>
        </w:rPr>
        <w:t>’</w:t>
      </w:r>
      <w:r w:rsidRPr="00D11D38">
        <w:rPr>
          <w:lang w:val="fr-FR"/>
        </w:rPr>
        <w:t>annexe</w:t>
      </w:r>
      <w:r w:rsidR="002307B2">
        <w:rPr>
          <w:lang w:val="fr-FR"/>
        </w:rPr>
        <w:t> </w:t>
      </w:r>
      <w:r w:rsidRPr="00D11D38">
        <w:rPr>
          <w:lang w:val="fr-FR"/>
        </w:rPr>
        <w:t>I en tant qu</w:t>
      </w:r>
      <w:r w:rsidR="00887612">
        <w:rPr>
          <w:lang w:val="fr-FR"/>
        </w:rPr>
        <w:t>’</w:t>
      </w:r>
      <w:r w:rsidRPr="00D11D38">
        <w:rPr>
          <w:lang w:val="fr-FR"/>
        </w:rPr>
        <w:t>additif</w:t>
      </w:r>
      <w:r w:rsidR="002307B2">
        <w:rPr>
          <w:lang w:val="fr-FR"/>
        </w:rPr>
        <w:t> </w:t>
      </w:r>
      <w:r w:rsidRPr="00036363">
        <w:rPr>
          <w:lang w:val="fr-FR"/>
        </w:rPr>
        <w:t>1</w:t>
      </w:r>
      <w:r w:rsidRPr="00D11D38">
        <w:rPr>
          <w:lang w:val="fr-FR"/>
        </w:rPr>
        <w:t xml:space="preserve"> au présent rapport et comprend plusieurs modifications mineures qu</w:t>
      </w:r>
      <w:r w:rsidR="00887612">
        <w:rPr>
          <w:lang w:val="fr-FR"/>
        </w:rPr>
        <w:t>’</w:t>
      </w:r>
      <w:r w:rsidRPr="00D11D38">
        <w:rPr>
          <w:lang w:val="fr-FR"/>
        </w:rPr>
        <w:t>il a été décidé d</w:t>
      </w:r>
      <w:r w:rsidR="00887612">
        <w:rPr>
          <w:lang w:val="fr-FR"/>
        </w:rPr>
        <w:t>’</w:t>
      </w:r>
      <w:r w:rsidRPr="00D11D38">
        <w:rPr>
          <w:lang w:val="fr-FR"/>
        </w:rPr>
        <w:t>apporter en séance plénière</w:t>
      </w:r>
      <w:r w:rsidR="00036363" w:rsidRPr="00036363">
        <w:rPr>
          <w:lang w:val="fr-FR"/>
        </w:rPr>
        <w:t>.</w:t>
      </w:r>
    </w:p>
    <w:p w14:paraId="6A2092E9" w14:textId="11874E21" w:rsidR="00CE245A" w:rsidRPr="00D11D38" w:rsidRDefault="00CE245A" w:rsidP="00CD20E5">
      <w:pPr>
        <w:pStyle w:val="SingleTxtG"/>
        <w:rPr>
          <w:lang w:val="fr-FR"/>
        </w:rPr>
      </w:pPr>
      <w:r w:rsidRPr="00036363">
        <w:rPr>
          <w:lang w:val="fr-FR"/>
        </w:rPr>
        <w:t>14</w:t>
      </w:r>
      <w:r w:rsidR="00036363" w:rsidRPr="00036363">
        <w:rPr>
          <w:lang w:val="fr-FR"/>
        </w:rPr>
        <w:t>.</w:t>
      </w:r>
      <w:r w:rsidRPr="00D11D38">
        <w:rPr>
          <w:lang w:val="fr-FR"/>
        </w:rPr>
        <w:tab/>
        <w:t>La Réunion commune a examiné des propositions d</w:t>
      </w:r>
      <w:r w:rsidR="00887612">
        <w:rPr>
          <w:lang w:val="fr-FR"/>
        </w:rPr>
        <w:t>’</w:t>
      </w:r>
      <w:r w:rsidRPr="00D11D38">
        <w:rPr>
          <w:lang w:val="fr-FR"/>
        </w:rPr>
        <w:t>amendements au RID et à l</w:t>
      </w:r>
      <w:r w:rsidR="00887612">
        <w:rPr>
          <w:lang w:val="fr-FR"/>
        </w:rPr>
        <w:t>’</w:t>
      </w:r>
      <w:r w:rsidRPr="00D11D38">
        <w:rPr>
          <w:lang w:val="fr-FR"/>
        </w:rPr>
        <w:t xml:space="preserve">ADR et a adopté les propositions </w:t>
      </w:r>
      <w:r w:rsidRPr="00036363">
        <w:rPr>
          <w:lang w:val="fr-FR"/>
        </w:rPr>
        <w:t>1</w:t>
      </w:r>
      <w:r w:rsidRPr="00D11D38">
        <w:rPr>
          <w:lang w:val="fr-FR"/>
        </w:rPr>
        <w:t xml:space="preserve"> (telle que modifiée) et </w:t>
      </w:r>
      <w:r w:rsidRPr="00036363">
        <w:rPr>
          <w:lang w:val="fr-FR"/>
        </w:rPr>
        <w:t>2</w:t>
      </w:r>
      <w:r w:rsidRPr="00D11D38">
        <w:rPr>
          <w:lang w:val="fr-FR"/>
        </w:rPr>
        <w:t xml:space="preserve"> (voir annexe II)</w:t>
      </w:r>
      <w:r w:rsidR="00036363" w:rsidRPr="00036363">
        <w:rPr>
          <w:lang w:val="fr-FR"/>
        </w:rPr>
        <w:t>.</w:t>
      </w:r>
    </w:p>
    <w:p w14:paraId="7EB0D333" w14:textId="1CFB73F5" w:rsidR="00CE245A" w:rsidRPr="00D11D38" w:rsidRDefault="00CE245A" w:rsidP="00CD20E5">
      <w:pPr>
        <w:pStyle w:val="SingleTxtG"/>
        <w:rPr>
          <w:lang w:val="fr-FR"/>
        </w:rPr>
      </w:pPr>
      <w:r w:rsidRPr="00036363">
        <w:rPr>
          <w:lang w:val="fr-FR"/>
        </w:rPr>
        <w:t>15</w:t>
      </w:r>
      <w:r w:rsidR="00036363" w:rsidRPr="00036363">
        <w:rPr>
          <w:lang w:val="fr-FR"/>
        </w:rPr>
        <w:t>.</w:t>
      </w:r>
      <w:r w:rsidRPr="00D11D38">
        <w:rPr>
          <w:lang w:val="fr-FR"/>
        </w:rPr>
        <w:tab/>
        <w:t xml:space="preserve">En ce qui concerne la proposition </w:t>
      </w:r>
      <w:r w:rsidRPr="00036363">
        <w:rPr>
          <w:lang w:val="fr-FR"/>
        </w:rPr>
        <w:t>3</w:t>
      </w:r>
      <w:r w:rsidRPr="00D11D38">
        <w:rPr>
          <w:lang w:val="fr-FR"/>
        </w:rPr>
        <w:t>, la Réunion commune a souscrit à l</w:t>
      </w:r>
      <w:r w:rsidR="00887612">
        <w:rPr>
          <w:lang w:val="fr-FR"/>
        </w:rPr>
        <w:t>’</w:t>
      </w:r>
      <w:r w:rsidRPr="00D11D38">
        <w:rPr>
          <w:lang w:val="fr-FR"/>
        </w:rPr>
        <w:t xml:space="preserve">interprétation ci-après relative à la marque composée des lettres « SV » prescrite au </w:t>
      </w:r>
      <w:r w:rsidRPr="00036363">
        <w:rPr>
          <w:lang w:val="fr-FR"/>
        </w:rPr>
        <w:t>6</w:t>
      </w:r>
      <w:r w:rsidR="00036363" w:rsidRPr="00036363">
        <w:rPr>
          <w:lang w:val="fr-FR"/>
        </w:rPr>
        <w:t>.</w:t>
      </w:r>
      <w:r w:rsidRPr="00036363">
        <w:rPr>
          <w:lang w:val="fr-FR"/>
        </w:rPr>
        <w:t>8</w:t>
      </w:r>
      <w:r w:rsidR="00036363" w:rsidRPr="00036363">
        <w:rPr>
          <w:lang w:val="fr-FR"/>
        </w:rPr>
        <w:t>.</w:t>
      </w:r>
      <w:r w:rsidRPr="00036363">
        <w:rPr>
          <w:lang w:val="fr-FR"/>
        </w:rPr>
        <w:t>3</w:t>
      </w:r>
      <w:r w:rsidR="00036363" w:rsidRPr="00036363">
        <w:rPr>
          <w:lang w:val="fr-FR"/>
        </w:rPr>
        <w:t>.</w:t>
      </w:r>
      <w:r w:rsidRPr="00036363">
        <w:rPr>
          <w:lang w:val="fr-FR"/>
        </w:rPr>
        <w:t>2</w:t>
      </w:r>
      <w:r w:rsidR="00036363" w:rsidRPr="00036363">
        <w:rPr>
          <w:lang w:val="fr-FR"/>
        </w:rPr>
        <w:t>.</w:t>
      </w:r>
      <w:r w:rsidRPr="00036363">
        <w:rPr>
          <w:lang w:val="fr-FR"/>
        </w:rPr>
        <w:t>9</w:t>
      </w:r>
      <w:r w:rsidR="00036363" w:rsidRPr="00036363">
        <w:rPr>
          <w:lang w:val="fr-FR"/>
        </w:rPr>
        <w:t>.</w:t>
      </w:r>
      <w:r w:rsidRPr="00036363">
        <w:rPr>
          <w:lang w:val="fr-FR"/>
        </w:rPr>
        <w:t>6</w:t>
      </w:r>
      <w:r w:rsidR="00887612">
        <w:rPr>
          <w:lang w:val="fr-FR"/>
        </w:rPr>
        <w:t> :</w:t>
      </w:r>
    </w:p>
    <w:p w14:paraId="60A35492" w14:textId="035484EB" w:rsidR="00CE245A" w:rsidRPr="00036363" w:rsidRDefault="00B4054B" w:rsidP="001F2E49">
      <w:pPr>
        <w:pStyle w:val="SingleTxtG"/>
        <w:suppressAutoHyphens w:val="0"/>
        <w:kinsoku/>
        <w:overflowPunct/>
        <w:autoSpaceDE/>
        <w:autoSpaceDN/>
        <w:adjustRightInd/>
        <w:snapToGrid/>
        <w:spacing w:line="240" w:lineRule="auto"/>
        <w:ind w:left="1701"/>
        <w:rPr>
          <w:i/>
          <w:iCs/>
          <w:lang w:val="fr-FR"/>
        </w:rPr>
      </w:pPr>
      <w:r w:rsidRPr="001F2E49">
        <w:rPr>
          <w:rFonts w:eastAsia="Times New Roman"/>
          <w:lang w:val="en-GB" w:eastAsia="fr-FR"/>
        </w:rPr>
        <w:t>«</w:t>
      </w:r>
      <w:r>
        <w:rPr>
          <w:lang w:val="fr-FR"/>
        </w:rPr>
        <w:t> </w:t>
      </w:r>
      <w:r w:rsidR="00CE245A" w:rsidRPr="00190F6A">
        <w:rPr>
          <w:i/>
          <w:iCs/>
          <w:lang w:val="fr-FR"/>
        </w:rPr>
        <w:t xml:space="preserve">Apposition de la marque composée des lettres “SV” telle que prescrite au </w:t>
      </w:r>
      <w:r w:rsidR="00CE245A" w:rsidRPr="00036363">
        <w:rPr>
          <w:i/>
          <w:iCs/>
          <w:lang w:val="fr-FR"/>
        </w:rPr>
        <w:t>6</w:t>
      </w:r>
      <w:r w:rsidR="00036363" w:rsidRPr="00036363">
        <w:rPr>
          <w:i/>
          <w:iCs/>
          <w:lang w:val="fr-FR"/>
        </w:rPr>
        <w:t>.</w:t>
      </w:r>
      <w:r w:rsidR="00CE245A" w:rsidRPr="00036363">
        <w:rPr>
          <w:i/>
          <w:iCs/>
          <w:lang w:val="fr-FR"/>
        </w:rPr>
        <w:t>8</w:t>
      </w:r>
      <w:r w:rsidR="00036363" w:rsidRPr="00036363">
        <w:rPr>
          <w:i/>
          <w:iCs/>
          <w:lang w:val="fr-FR"/>
        </w:rPr>
        <w:t>.</w:t>
      </w:r>
      <w:r w:rsidR="00CE245A" w:rsidRPr="00036363">
        <w:rPr>
          <w:i/>
          <w:iCs/>
          <w:lang w:val="fr-FR"/>
        </w:rPr>
        <w:t>3</w:t>
      </w:r>
      <w:r w:rsidR="00036363" w:rsidRPr="00036363">
        <w:rPr>
          <w:i/>
          <w:iCs/>
          <w:lang w:val="fr-FR"/>
        </w:rPr>
        <w:t>.</w:t>
      </w:r>
      <w:r w:rsidR="00CE245A" w:rsidRPr="00036363">
        <w:rPr>
          <w:i/>
          <w:iCs/>
          <w:lang w:val="fr-FR"/>
        </w:rPr>
        <w:t>2</w:t>
      </w:r>
      <w:r w:rsidR="00036363" w:rsidRPr="00036363">
        <w:rPr>
          <w:i/>
          <w:iCs/>
          <w:lang w:val="fr-FR"/>
        </w:rPr>
        <w:t>.</w:t>
      </w:r>
      <w:r w:rsidR="00CE245A" w:rsidRPr="00036363">
        <w:rPr>
          <w:i/>
          <w:iCs/>
          <w:lang w:val="fr-FR"/>
        </w:rPr>
        <w:t>9</w:t>
      </w:r>
      <w:r w:rsidR="00036363" w:rsidRPr="00036363">
        <w:rPr>
          <w:i/>
          <w:iCs/>
          <w:lang w:val="fr-FR"/>
        </w:rPr>
        <w:t>.</w:t>
      </w:r>
      <w:r w:rsidR="00CE245A" w:rsidRPr="00036363">
        <w:rPr>
          <w:i/>
          <w:iCs/>
          <w:lang w:val="fr-FR"/>
        </w:rPr>
        <w:t>6</w:t>
      </w:r>
    </w:p>
    <w:p w14:paraId="74F0476B" w14:textId="6F42ED23" w:rsidR="00CE245A" w:rsidRPr="00D11D38" w:rsidRDefault="00CE245A" w:rsidP="0040032F">
      <w:pPr>
        <w:pStyle w:val="SingleTxtG"/>
        <w:suppressAutoHyphens w:val="0"/>
        <w:kinsoku/>
        <w:overflowPunct/>
        <w:autoSpaceDE/>
        <w:autoSpaceDN/>
        <w:adjustRightInd/>
        <w:snapToGrid/>
        <w:spacing w:after="100" w:line="240" w:lineRule="auto"/>
        <w:ind w:left="1701"/>
        <w:rPr>
          <w:lang w:val="fr-FR"/>
        </w:rPr>
      </w:pPr>
      <w:r w:rsidRPr="00036363">
        <w:rPr>
          <w:i/>
          <w:iCs/>
          <w:lang w:val="fr-FR"/>
        </w:rPr>
        <w:lastRenderedPageBreak/>
        <w:t>L</w:t>
      </w:r>
      <w:r w:rsidR="00887612" w:rsidRPr="00036363">
        <w:rPr>
          <w:i/>
          <w:iCs/>
          <w:lang w:val="fr-FR"/>
        </w:rPr>
        <w:t>’</w:t>
      </w:r>
      <w:r w:rsidRPr="00036363">
        <w:rPr>
          <w:i/>
          <w:iCs/>
          <w:lang w:val="fr-FR"/>
        </w:rPr>
        <w:t>apposition de la marque composée des lettres “SV” telle que prescrite au 6</w:t>
      </w:r>
      <w:r w:rsidR="00036363" w:rsidRPr="00036363">
        <w:rPr>
          <w:i/>
          <w:iCs/>
          <w:lang w:val="fr-FR"/>
        </w:rPr>
        <w:t>.</w:t>
      </w:r>
      <w:r w:rsidRPr="00036363">
        <w:rPr>
          <w:i/>
          <w:iCs/>
          <w:lang w:val="fr-FR"/>
        </w:rPr>
        <w:t>8</w:t>
      </w:r>
      <w:r w:rsidR="00036363" w:rsidRPr="00036363">
        <w:rPr>
          <w:i/>
          <w:iCs/>
          <w:lang w:val="fr-FR"/>
        </w:rPr>
        <w:t>.</w:t>
      </w:r>
      <w:r w:rsidRPr="00036363">
        <w:rPr>
          <w:i/>
          <w:iCs/>
          <w:lang w:val="fr-FR"/>
        </w:rPr>
        <w:t>3</w:t>
      </w:r>
      <w:r w:rsidR="00036363" w:rsidRPr="00036363">
        <w:rPr>
          <w:i/>
          <w:iCs/>
          <w:lang w:val="fr-FR"/>
        </w:rPr>
        <w:t>.</w:t>
      </w:r>
      <w:r w:rsidRPr="00036363">
        <w:rPr>
          <w:i/>
          <w:iCs/>
          <w:lang w:val="fr-FR"/>
        </w:rPr>
        <w:t>2</w:t>
      </w:r>
      <w:r w:rsidR="00036363" w:rsidRPr="00036363">
        <w:rPr>
          <w:i/>
          <w:iCs/>
          <w:lang w:val="fr-FR"/>
        </w:rPr>
        <w:t>.</w:t>
      </w:r>
      <w:r w:rsidRPr="00036363">
        <w:rPr>
          <w:i/>
          <w:iCs/>
          <w:lang w:val="fr-FR"/>
        </w:rPr>
        <w:t>9</w:t>
      </w:r>
      <w:r w:rsidR="00036363" w:rsidRPr="00036363">
        <w:rPr>
          <w:i/>
          <w:iCs/>
          <w:lang w:val="fr-FR"/>
        </w:rPr>
        <w:t>.</w:t>
      </w:r>
      <w:r w:rsidRPr="00036363">
        <w:rPr>
          <w:i/>
          <w:iCs/>
          <w:lang w:val="fr-FR"/>
        </w:rPr>
        <w:t>6 ne s</w:t>
      </w:r>
      <w:r w:rsidR="00887612" w:rsidRPr="00036363">
        <w:rPr>
          <w:i/>
          <w:iCs/>
          <w:lang w:val="fr-FR"/>
        </w:rPr>
        <w:t>’</w:t>
      </w:r>
      <w:r w:rsidRPr="00036363">
        <w:rPr>
          <w:i/>
          <w:iCs/>
          <w:lang w:val="fr-FR"/>
        </w:rPr>
        <w:t>applique qu</w:t>
      </w:r>
      <w:r w:rsidR="00887612" w:rsidRPr="00036363">
        <w:rPr>
          <w:i/>
          <w:iCs/>
          <w:lang w:val="fr-FR"/>
        </w:rPr>
        <w:t>’</w:t>
      </w:r>
      <w:r w:rsidRPr="00036363">
        <w:rPr>
          <w:i/>
          <w:iCs/>
          <w:lang w:val="fr-FR"/>
        </w:rPr>
        <w:t>aux citernes destinées au transport de gaz comprimés, liquéfiés ou dissous équipées de soupapes de sécurité</w:t>
      </w:r>
      <w:r w:rsidR="00036363" w:rsidRPr="00036363">
        <w:rPr>
          <w:i/>
          <w:iCs/>
          <w:lang w:val="fr-FR"/>
        </w:rPr>
        <w:t>.</w:t>
      </w:r>
      <w:r w:rsidRPr="00E63132">
        <w:rPr>
          <w:i/>
          <w:iCs/>
          <w:lang w:val="fr-FR"/>
        </w:rPr>
        <w:t xml:space="preserve"> Les citernes destinées au transport des gaz liquéfiés réfrigérés, les CGEM et les wagons-batteries/véhicules-batteries équipés de récipients à pression ne doivent pas porter une telle marque</w:t>
      </w:r>
      <w:r w:rsidR="00036363" w:rsidRPr="00036363">
        <w:rPr>
          <w:lang w:val="fr-FR"/>
        </w:rPr>
        <w:t>.</w:t>
      </w:r>
      <w:r w:rsidR="00B4054B">
        <w:rPr>
          <w:lang w:val="fr-FR"/>
        </w:rPr>
        <w:t> »</w:t>
      </w:r>
    </w:p>
    <w:p w14:paraId="40F0C0AB" w14:textId="099C0983" w:rsidR="00CE245A" w:rsidRPr="00D11D38" w:rsidRDefault="00CE245A" w:rsidP="0040032F">
      <w:pPr>
        <w:pStyle w:val="SingleTxtG"/>
        <w:spacing w:after="100"/>
        <w:rPr>
          <w:lang w:val="fr-FR"/>
        </w:rPr>
      </w:pPr>
      <w:r w:rsidRPr="00036363">
        <w:rPr>
          <w:lang w:val="fr-FR"/>
        </w:rPr>
        <w:t>16</w:t>
      </w:r>
      <w:r w:rsidR="00036363" w:rsidRPr="00036363">
        <w:rPr>
          <w:lang w:val="fr-FR"/>
        </w:rPr>
        <w:t>.</w:t>
      </w:r>
      <w:r w:rsidRPr="00D11D38">
        <w:rPr>
          <w:lang w:val="fr-FR"/>
        </w:rPr>
        <w:tab/>
        <w:t>La Réunion commune a recommandé au groupe de travail permanent de la Commission d</w:t>
      </w:r>
      <w:r w:rsidR="00887612">
        <w:rPr>
          <w:lang w:val="fr-FR"/>
        </w:rPr>
        <w:t>’</w:t>
      </w:r>
      <w:r w:rsidRPr="00D11D38">
        <w:rPr>
          <w:lang w:val="fr-FR"/>
        </w:rPr>
        <w:t>experts du RID et au WP</w:t>
      </w:r>
      <w:r w:rsidR="00036363" w:rsidRPr="00036363">
        <w:rPr>
          <w:lang w:val="fr-FR"/>
        </w:rPr>
        <w:t>.</w:t>
      </w:r>
      <w:r w:rsidRPr="00036363">
        <w:rPr>
          <w:lang w:val="fr-FR"/>
        </w:rPr>
        <w:t>15</w:t>
      </w:r>
      <w:r w:rsidRPr="00D11D38">
        <w:rPr>
          <w:lang w:val="fr-FR"/>
        </w:rPr>
        <w:t xml:space="preserve"> de faire figurer cette interprétation dans la liste relative au RID, publiée sur le site Web de l</w:t>
      </w:r>
      <w:r w:rsidR="00887612">
        <w:rPr>
          <w:lang w:val="fr-FR"/>
        </w:rPr>
        <w:t>’</w:t>
      </w:r>
      <w:r w:rsidRPr="00D11D38">
        <w:rPr>
          <w:lang w:val="fr-FR"/>
        </w:rPr>
        <w:t>OTIF, et dans la liste relative à l</w:t>
      </w:r>
      <w:r w:rsidR="00887612">
        <w:rPr>
          <w:lang w:val="fr-FR"/>
        </w:rPr>
        <w:t>’</w:t>
      </w:r>
      <w:r w:rsidRPr="00D11D38">
        <w:rPr>
          <w:lang w:val="fr-FR"/>
        </w:rPr>
        <w:t>ADR, publiée sur le site Web de la CEE</w:t>
      </w:r>
      <w:r w:rsidR="00036363" w:rsidRPr="00036363">
        <w:rPr>
          <w:lang w:val="fr-FR"/>
        </w:rPr>
        <w:t>.</w:t>
      </w:r>
    </w:p>
    <w:p w14:paraId="6F1C3011" w14:textId="475A3986" w:rsidR="00CE245A" w:rsidRPr="00D11D38" w:rsidRDefault="00CE245A" w:rsidP="0040032F">
      <w:pPr>
        <w:pStyle w:val="SingleTxtG"/>
        <w:spacing w:after="100"/>
        <w:rPr>
          <w:lang w:val="fr-FR"/>
        </w:rPr>
      </w:pPr>
      <w:r w:rsidRPr="00036363">
        <w:rPr>
          <w:lang w:val="fr-FR"/>
        </w:rPr>
        <w:t>17</w:t>
      </w:r>
      <w:r w:rsidR="00036363" w:rsidRPr="00036363">
        <w:rPr>
          <w:lang w:val="fr-FR"/>
        </w:rPr>
        <w:t>.</w:t>
      </w:r>
      <w:r w:rsidRPr="00D11D38">
        <w:rPr>
          <w:lang w:val="fr-FR"/>
        </w:rPr>
        <w:tab/>
        <w:t>Dans un souci d</w:t>
      </w:r>
      <w:r w:rsidR="00887612">
        <w:rPr>
          <w:lang w:val="fr-FR"/>
        </w:rPr>
        <w:t>’</w:t>
      </w:r>
      <w:r w:rsidRPr="00D11D38">
        <w:rPr>
          <w:lang w:val="fr-FR"/>
        </w:rPr>
        <w:t xml:space="preserve">efficacité, la Réunion commune a décidé de ne plus présenter les documents relevant du Groupe de travail pour examen initial en séance plénière, afin que les travaux </w:t>
      </w:r>
      <w:r>
        <w:rPr>
          <w:lang w:val="fr-FR"/>
        </w:rPr>
        <w:t xml:space="preserve">du Groupe </w:t>
      </w:r>
      <w:r w:rsidRPr="00D11D38">
        <w:rPr>
          <w:lang w:val="fr-FR"/>
        </w:rPr>
        <w:t>puissent débuter plus tôt, en marge de la session, ou que le Groupe de travail puisse se réunir à distance avant la session</w:t>
      </w:r>
      <w:r w:rsidR="00036363" w:rsidRPr="00036363">
        <w:rPr>
          <w:lang w:val="fr-FR"/>
        </w:rPr>
        <w:t>.</w:t>
      </w:r>
    </w:p>
    <w:p w14:paraId="276CF51D" w14:textId="01292492" w:rsidR="00CE245A" w:rsidRPr="00D11D38" w:rsidRDefault="00CE245A" w:rsidP="00CD20E5">
      <w:pPr>
        <w:pStyle w:val="HChG"/>
        <w:rPr>
          <w:lang w:val="fr-FR"/>
        </w:rPr>
      </w:pPr>
      <w:r w:rsidRPr="00D11D38">
        <w:rPr>
          <w:lang w:val="fr-FR"/>
        </w:rPr>
        <w:tab/>
        <w:t>V</w:t>
      </w:r>
      <w:r w:rsidR="00036363" w:rsidRPr="00036363">
        <w:rPr>
          <w:lang w:val="fr-FR"/>
        </w:rPr>
        <w:t>.</w:t>
      </w:r>
      <w:r w:rsidRPr="00D11D38">
        <w:rPr>
          <w:lang w:val="fr-FR"/>
        </w:rPr>
        <w:tab/>
        <w:t xml:space="preserve">Normes (point </w:t>
      </w:r>
      <w:r w:rsidRPr="00036363">
        <w:rPr>
          <w:lang w:val="fr-FR"/>
        </w:rPr>
        <w:t>3</w:t>
      </w:r>
      <w:r w:rsidRPr="00D11D38">
        <w:rPr>
          <w:lang w:val="fr-FR"/>
        </w:rPr>
        <w:t xml:space="preserve"> de l</w:t>
      </w:r>
      <w:r w:rsidR="00887612">
        <w:rPr>
          <w:lang w:val="fr-FR"/>
        </w:rPr>
        <w:t>’</w:t>
      </w:r>
      <w:r w:rsidRPr="00D11D38">
        <w:rPr>
          <w:lang w:val="fr-FR"/>
        </w:rPr>
        <w:t>ordre du jour)</w:t>
      </w:r>
    </w:p>
    <w:p w14:paraId="1A04139B" w14:textId="3F164FC8" w:rsidR="00CE245A" w:rsidRPr="00D11D38" w:rsidRDefault="00CE245A" w:rsidP="00CD20E5">
      <w:pPr>
        <w:pStyle w:val="H1G"/>
        <w:rPr>
          <w:lang w:val="fr-FR"/>
        </w:rPr>
      </w:pPr>
      <w:r w:rsidRPr="00D11D38">
        <w:rPr>
          <w:lang w:val="fr-FR"/>
        </w:rPr>
        <w:tab/>
        <w:t>A</w:t>
      </w:r>
      <w:r w:rsidR="00036363" w:rsidRPr="00036363">
        <w:rPr>
          <w:lang w:val="fr-FR"/>
        </w:rPr>
        <w:t>.</w:t>
      </w:r>
      <w:r w:rsidRPr="00D11D38">
        <w:rPr>
          <w:lang w:val="fr-FR"/>
        </w:rPr>
        <w:tab/>
        <w:t>Rapport sur les activités du Groupe de travail des normes</w:t>
      </w:r>
    </w:p>
    <w:p w14:paraId="2970F262" w14:textId="0DF2445F" w:rsidR="00CE245A" w:rsidRPr="00D11D38" w:rsidRDefault="00CE245A" w:rsidP="0040032F">
      <w:pPr>
        <w:pStyle w:val="SingleTxtG"/>
        <w:tabs>
          <w:tab w:val="clear" w:pos="1701"/>
          <w:tab w:val="clear" w:pos="2268"/>
          <w:tab w:val="clear" w:pos="2835"/>
          <w:tab w:val="left" w:pos="3402"/>
        </w:tabs>
        <w:spacing w:after="100"/>
        <w:ind w:left="3402" w:hanging="2268"/>
        <w:jc w:val="left"/>
        <w:rPr>
          <w:lang w:val="fr-FR"/>
        </w:rPr>
      </w:pPr>
      <w:r w:rsidRPr="00036363">
        <w:rPr>
          <w:i/>
          <w:lang w:val="fr-FR"/>
        </w:rPr>
        <w:t>Document</w:t>
      </w:r>
      <w:r w:rsidR="00887612">
        <w:rPr>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29</w:t>
      </w:r>
      <w:r w:rsidRPr="00D11D38">
        <w:rPr>
          <w:lang w:val="fr-FR"/>
        </w:rPr>
        <w:t xml:space="preserve"> (CEN)</w:t>
      </w:r>
    </w:p>
    <w:p w14:paraId="6D0F619B" w14:textId="7DEF7D71" w:rsidR="00CE245A" w:rsidRPr="00D11D38" w:rsidRDefault="00CE245A" w:rsidP="0040032F">
      <w:pPr>
        <w:pStyle w:val="SingleTxtG"/>
        <w:tabs>
          <w:tab w:val="clear" w:pos="1701"/>
          <w:tab w:val="clear" w:pos="2268"/>
          <w:tab w:val="clear" w:pos="2835"/>
          <w:tab w:val="left" w:pos="3402"/>
        </w:tabs>
        <w:spacing w:after="100"/>
        <w:ind w:left="3402" w:hanging="2268"/>
        <w:jc w:val="left"/>
        <w:rPr>
          <w:lang w:val="fr-FR"/>
        </w:rPr>
      </w:pPr>
      <w:r w:rsidRPr="00036363">
        <w:rPr>
          <w:i/>
          <w:lang w:val="fr-FR"/>
        </w:rPr>
        <w:t>Document informel</w:t>
      </w:r>
      <w:r w:rsidR="00887612">
        <w:rPr>
          <w:lang w:val="fr-FR"/>
        </w:rPr>
        <w:t> :</w:t>
      </w:r>
      <w:r w:rsidRPr="00D11D38">
        <w:rPr>
          <w:lang w:val="fr-FR"/>
        </w:rPr>
        <w:tab/>
        <w:t>INF</w:t>
      </w:r>
      <w:r w:rsidR="00036363" w:rsidRPr="00036363">
        <w:rPr>
          <w:lang w:val="fr-FR"/>
        </w:rPr>
        <w:t>.</w:t>
      </w:r>
      <w:r w:rsidRPr="00036363">
        <w:rPr>
          <w:lang w:val="fr-FR"/>
        </w:rPr>
        <w:t>5</w:t>
      </w:r>
      <w:r w:rsidRPr="00D11D38">
        <w:rPr>
          <w:lang w:val="fr-FR"/>
        </w:rPr>
        <w:t xml:space="preserve"> (CEN)</w:t>
      </w:r>
    </w:p>
    <w:p w14:paraId="02206682" w14:textId="1805F887" w:rsidR="00CE245A" w:rsidRPr="00D11D38" w:rsidRDefault="00CE245A" w:rsidP="0040032F">
      <w:pPr>
        <w:pStyle w:val="SingleTxtG"/>
        <w:spacing w:after="100"/>
        <w:rPr>
          <w:lang w:val="fr-FR"/>
        </w:rPr>
      </w:pPr>
      <w:r w:rsidRPr="00036363">
        <w:rPr>
          <w:lang w:val="fr-FR"/>
        </w:rPr>
        <w:t>18</w:t>
      </w:r>
      <w:r w:rsidR="00036363" w:rsidRPr="00036363">
        <w:rPr>
          <w:lang w:val="fr-FR"/>
        </w:rPr>
        <w:t>.</w:t>
      </w:r>
      <w:r w:rsidRPr="00D11D38">
        <w:rPr>
          <w:lang w:val="fr-FR"/>
        </w:rPr>
        <w:tab/>
        <w:t>La Réunion commune a pris note des informations fournies par le Groupe de travail des normes concernant l</w:t>
      </w:r>
      <w:r w:rsidR="00887612">
        <w:rPr>
          <w:lang w:val="fr-FR"/>
        </w:rPr>
        <w:t>’</w:t>
      </w:r>
      <w:r w:rsidRPr="00D11D38">
        <w:rPr>
          <w:lang w:val="fr-FR"/>
        </w:rPr>
        <w:t>examen des normes énumérées dans le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29</w:t>
      </w:r>
      <w:r w:rsidR="00036363" w:rsidRPr="00036363">
        <w:rPr>
          <w:lang w:val="fr-FR"/>
        </w:rPr>
        <w:t>.</w:t>
      </w:r>
      <w:r w:rsidRPr="00D11D38">
        <w:rPr>
          <w:lang w:val="fr-FR"/>
        </w:rPr>
        <w:t xml:space="preserve"> Il a accueilli favorablement le rapport sur la récente réunion du Groupe de travail qui figurait dans le document informel INF</w:t>
      </w:r>
      <w:r w:rsidR="00036363" w:rsidRPr="00036363">
        <w:rPr>
          <w:lang w:val="fr-FR"/>
        </w:rPr>
        <w:t>.</w:t>
      </w:r>
      <w:r w:rsidRPr="00036363">
        <w:rPr>
          <w:lang w:val="fr-FR"/>
        </w:rPr>
        <w:t>5</w:t>
      </w:r>
      <w:r w:rsidR="00036363" w:rsidRPr="00036363">
        <w:rPr>
          <w:lang w:val="fr-FR"/>
        </w:rPr>
        <w:t>.</w:t>
      </w:r>
    </w:p>
    <w:p w14:paraId="30092B9F" w14:textId="770D6E9D" w:rsidR="00CE245A" w:rsidRPr="00D11D38" w:rsidRDefault="00CE245A" w:rsidP="0040032F">
      <w:pPr>
        <w:pStyle w:val="SingleTxtG"/>
        <w:spacing w:after="100"/>
        <w:rPr>
          <w:lang w:val="fr-FR"/>
        </w:rPr>
      </w:pPr>
      <w:r w:rsidRPr="00036363">
        <w:rPr>
          <w:lang w:val="fr-FR"/>
        </w:rPr>
        <w:t>19</w:t>
      </w:r>
      <w:r w:rsidR="00036363" w:rsidRPr="00036363">
        <w:rPr>
          <w:lang w:val="fr-FR"/>
        </w:rPr>
        <w:t>.</w:t>
      </w:r>
      <w:r w:rsidRPr="00D11D38">
        <w:rPr>
          <w:lang w:val="fr-FR"/>
        </w:rPr>
        <w:tab/>
        <w:t>En ce qui concerne les propositions énoncées dans le document informel INF</w:t>
      </w:r>
      <w:r w:rsidR="00036363" w:rsidRPr="00036363">
        <w:rPr>
          <w:lang w:val="fr-FR"/>
        </w:rPr>
        <w:t>.</w:t>
      </w:r>
      <w:r w:rsidRPr="00036363">
        <w:rPr>
          <w:lang w:val="fr-FR"/>
        </w:rPr>
        <w:t>5</w:t>
      </w:r>
      <w:r w:rsidRPr="00D11D38">
        <w:rPr>
          <w:lang w:val="fr-FR"/>
        </w:rPr>
        <w:t>, la</w:t>
      </w:r>
      <w:r w:rsidR="001C684A">
        <w:rPr>
          <w:lang w:val="fr-FR"/>
        </w:rPr>
        <w:t> </w:t>
      </w:r>
      <w:r w:rsidRPr="00D11D38">
        <w:rPr>
          <w:lang w:val="fr-FR"/>
        </w:rPr>
        <w:t>Réunion commune a adopté les amendements proposés aux paragraphes </w:t>
      </w:r>
      <w:r w:rsidRPr="00036363">
        <w:rPr>
          <w:lang w:val="fr-FR"/>
        </w:rPr>
        <w:t>6</w:t>
      </w:r>
      <w:r w:rsidRPr="00D11D38">
        <w:rPr>
          <w:lang w:val="fr-FR"/>
        </w:rPr>
        <w:t xml:space="preserve">, </w:t>
      </w:r>
      <w:r w:rsidRPr="00036363">
        <w:rPr>
          <w:lang w:val="fr-FR"/>
        </w:rPr>
        <w:t>7</w:t>
      </w:r>
      <w:r w:rsidRPr="00D11D38">
        <w:rPr>
          <w:lang w:val="fr-FR"/>
        </w:rPr>
        <w:t xml:space="preserve"> et </w:t>
      </w:r>
      <w:r w:rsidRPr="00036363">
        <w:rPr>
          <w:lang w:val="fr-FR"/>
        </w:rPr>
        <w:t>17</w:t>
      </w:r>
      <w:r w:rsidRPr="00D11D38">
        <w:rPr>
          <w:lang w:val="fr-FR"/>
        </w:rPr>
        <w:t xml:space="preserve"> (voir annexe</w:t>
      </w:r>
      <w:r w:rsidR="001C684A">
        <w:rPr>
          <w:lang w:val="fr-FR"/>
        </w:rPr>
        <w:t> </w:t>
      </w:r>
      <w:r w:rsidRPr="00D11D38">
        <w:rPr>
          <w:lang w:val="fr-FR"/>
        </w:rPr>
        <w:t xml:space="preserve">II), pour entrée en vigueur en </w:t>
      </w:r>
      <w:r w:rsidRPr="00036363">
        <w:rPr>
          <w:lang w:val="fr-FR"/>
        </w:rPr>
        <w:t>2027</w:t>
      </w:r>
      <w:r w:rsidR="00036363" w:rsidRPr="00036363">
        <w:rPr>
          <w:lang w:val="fr-FR"/>
        </w:rPr>
        <w:t>.</w:t>
      </w:r>
      <w:r w:rsidRPr="00D11D38">
        <w:rPr>
          <w:lang w:val="fr-FR"/>
        </w:rPr>
        <w:t xml:space="preserve"> S</w:t>
      </w:r>
      <w:r w:rsidR="00887612">
        <w:rPr>
          <w:lang w:val="fr-FR"/>
        </w:rPr>
        <w:t>’</w:t>
      </w:r>
      <w:r w:rsidRPr="00D11D38">
        <w:rPr>
          <w:lang w:val="fr-FR"/>
        </w:rPr>
        <w:t xml:space="preserve">agissant de la nouvelle note au </w:t>
      </w: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4</w:t>
      </w:r>
      <w:r w:rsidR="00036363" w:rsidRPr="00036363">
        <w:rPr>
          <w:lang w:val="fr-FR"/>
        </w:rPr>
        <w:t>.</w:t>
      </w:r>
      <w:r w:rsidRPr="00036363">
        <w:rPr>
          <w:lang w:val="fr-FR"/>
        </w:rPr>
        <w:t>2</w:t>
      </w:r>
      <w:r w:rsidRPr="00D11D38">
        <w:rPr>
          <w:lang w:val="fr-FR"/>
        </w:rPr>
        <w:t xml:space="preserve"> relative à la norme EN</w:t>
      </w:r>
      <w:r w:rsidR="001C684A">
        <w:rPr>
          <w:lang w:val="fr-FR"/>
        </w:rPr>
        <w:t> </w:t>
      </w:r>
      <w:r w:rsidRPr="00D11D38">
        <w:rPr>
          <w:lang w:val="fr-FR"/>
        </w:rPr>
        <w:t>ISO</w:t>
      </w:r>
      <w:r w:rsidR="001C684A">
        <w:rPr>
          <w:lang w:val="fr-FR"/>
        </w:rPr>
        <w:t> </w:t>
      </w:r>
      <w:r w:rsidRPr="00036363">
        <w:rPr>
          <w:lang w:val="fr-FR"/>
        </w:rPr>
        <w:t>11623</w:t>
      </w:r>
      <w:r w:rsidR="00887612">
        <w:rPr>
          <w:lang w:val="fr-FR"/>
        </w:rPr>
        <w:t>:</w:t>
      </w:r>
      <w:r w:rsidRPr="00036363">
        <w:rPr>
          <w:lang w:val="fr-FR"/>
        </w:rPr>
        <w:t>2023</w:t>
      </w:r>
      <w:r w:rsidRPr="00D11D38">
        <w:rPr>
          <w:lang w:val="fr-FR"/>
        </w:rPr>
        <w:t>, la Réunion commune a recommandé à tous les États contractants et toutes les Parties contractantes au RID et à l</w:t>
      </w:r>
      <w:r w:rsidR="00887612">
        <w:rPr>
          <w:lang w:val="fr-FR"/>
        </w:rPr>
        <w:t>’</w:t>
      </w:r>
      <w:r w:rsidRPr="00D11D38">
        <w:rPr>
          <w:lang w:val="fr-FR"/>
        </w:rPr>
        <w:t xml:space="preserve">ADR de commencer à appliquer cette note dès </w:t>
      </w:r>
      <w:r w:rsidRPr="00036363">
        <w:rPr>
          <w:lang w:val="fr-FR"/>
        </w:rPr>
        <w:t>2025</w:t>
      </w:r>
      <w:r w:rsidR="00036363" w:rsidRPr="00036363">
        <w:rPr>
          <w:lang w:val="fr-FR"/>
        </w:rPr>
        <w:t>.</w:t>
      </w:r>
    </w:p>
    <w:p w14:paraId="6ADB348C" w14:textId="102E58E8" w:rsidR="00CE245A" w:rsidRPr="00D11D38" w:rsidRDefault="00CE245A" w:rsidP="00CD20E5">
      <w:pPr>
        <w:pStyle w:val="H1G"/>
        <w:rPr>
          <w:lang w:val="fr-FR"/>
        </w:rPr>
      </w:pPr>
      <w:r w:rsidRPr="00D11D38">
        <w:rPr>
          <w:lang w:val="fr-FR"/>
        </w:rPr>
        <w:tab/>
        <w:t>B</w:t>
      </w:r>
      <w:r w:rsidR="00036363" w:rsidRPr="00036363">
        <w:rPr>
          <w:lang w:val="fr-FR"/>
        </w:rPr>
        <w:t>.</w:t>
      </w:r>
      <w:r w:rsidRPr="00D11D38">
        <w:rPr>
          <w:lang w:val="fr-FR"/>
        </w:rPr>
        <w:tab/>
        <w:t>Suppression de la colonne (</w:t>
      </w:r>
      <w:r w:rsidRPr="00036363">
        <w:rPr>
          <w:lang w:val="fr-FR"/>
        </w:rPr>
        <w:t>3</w:t>
      </w:r>
      <w:r w:rsidRPr="00D11D38">
        <w:rPr>
          <w:lang w:val="fr-FR"/>
        </w:rPr>
        <w:t xml:space="preserve">) dans les tableaux des chapitres </w:t>
      </w:r>
      <w:r w:rsidRPr="00036363">
        <w:rPr>
          <w:lang w:val="fr-FR"/>
        </w:rPr>
        <w:t>6</w:t>
      </w:r>
      <w:r w:rsidR="00036363" w:rsidRPr="00036363">
        <w:rPr>
          <w:lang w:val="fr-FR"/>
        </w:rPr>
        <w:t>.</w:t>
      </w:r>
      <w:r w:rsidRPr="00036363">
        <w:rPr>
          <w:lang w:val="fr-FR"/>
        </w:rPr>
        <w:t>2</w:t>
      </w:r>
      <w:r w:rsidRPr="00D11D38">
        <w:rPr>
          <w:lang w:val="fr-FR"/>
        </w:rPr>
        <w:t xml:space="preserve"> et </w:t>
      </w:r>
      <w:r w:rsidRPr="00036363">
        <w:rPr>
          <w:lang w:val="fr-FR"/>
        </w:rPr>
        <w:t>6</w:t>
      </w:r>
      <w:r w:rsidR="00036363" w:rsidRPr="00036363">
        <w:rPr>
          <w:lang w:val="fr-FR"/>
        </w:rPr>
        <w:t>.</w:t>
      </w:r>
      <w:r w:rsidRPr="00036363">
        <w:rPr>
          <w:lang w:val="fr-FR"/>
        </w:rPr>
        <w:t>8</w:t>
      </w:r>
      <w:r w:rsidRPr="00D11D38">
        <w:rPr>
          <w:lang w:val="fr-FR"/>
        </w:rPr>
        <w:t xml:space="preserve"> renvoyant aux normes</w:t>
      </w:r>
    </w:p>
    <w:p w14:paraId="767BE221" w14:textId="0879186C" w:rsidR="00CE245A" w:rsidRPr="00D11D38" w:rsidRDefault="00CE245A" w:rsidP="0040032F">
      <w:pPr>
        <w:pStyle w:val="SingleTxtG"/>
        <w:tabs>
          <w:tab w:val="clear" w:pos="1701"/>
          <w:tab w:val="clear" w:pos="2268"/>
          <w:tab w:val="clear" w:pos="2835"/>
          <w:tab w:val="left" w:pos="3402"/>
        </w:tabs>
        <w:spacing w:after="100"/>
        <w:ind w:left="3402" w:hanging="2268"/>
        <w:jc w:val="left"/>
        <w:rPr>
          <w:lang w:val="fr-FR"/>
        </w:rPr>
      </w:pPr>
      <w:r w:rsidRPr="00036363">
        <w:rPr>
          <w:i/>
          <w:lang w:val="fr-FR"/>
        </w:rPr>
        <w:t>Document</w:t>
      </w:r>
      <w:r w:rsidR="00887612">
        <w:rPr>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30</w:t>
      </w:r>
      <w:r w:rsidRPr="00D11D38">
        <w:rPr>
          <w:lang w:val="fr-FR"/>
        </w:rPr>
        <w:t xml:space="preserve"> (CEN)</w:t>
      </w:r>
    </w:p>
    <w:p w14:paraId="099F1530" w14:textId="32D0375F" w:rsidR="00CE245A" w:rsidRPr="00D11D38" w:rsidRDefault="00CE245A" w:rsidP="0040032F">
      <w:pPr>
        <w:pStyle w:val="SingleTxtG"/>
        <w:tabs>
          <w:tab w:val="clear" w:pos="1701"/>
          <w:tab w:val="clear" w:pos="2268"/>
          <w:tab w:val="clear" w:pos="2835"/>
          <w:tab w:val="left" w:pos="3402"/>
        </w:tabs>
        <w:spacing w:after="100"/>
        <w:ind w:left="3402" w:hanging="2268"/>
        <w:jc w:val="left"/>
        <w:rPr>
          <w:lang w:val="fr-FR"/>
        </w:rPr>
      </w:pPr>
      <w:r w:rsidRPr="00036363">
        <w:rPr>
          <w:i/>
          <w:lang w:val="fr-FR"/>
        </w:rPr>
        <w:t>Document informel</w:t>
      </w:r>
      <w:r w:rsidR="00FC5953" w:rsidRPr="00FC5953">
        <w:rPr>
          <w:lang w:val="fr-FR"/>
        </w:rPr>
        <w:t> :</w:t>
      </w:r>
      <w:r w:rsidRPr="00D11D38">
        <w:rPr>
          <w:lang w:val="fr-FR"/>
        </w:rPr>
        <w:tab/>
        <w:t>INF</w:t>
      </w:r>
      <w:r w:rsidR="00036363" w:rsidRPr="00036363">
        <w:rPr>
          <w:lang w:val="fr-FR"/>
        </w:rPr>
        <w:t>.</w:t>
      </w:r>
      <w:r w:rsidRPr="00036363">
        <w:rPr>
          <w:lang w:val="fr-FR"/>
        </w:rPr>
        <w:t>6</w:t>
      </w:r>
      <w:r w:rsidRPr="00D11D38">
        <w:rPr>
          <w:lang w:val="fr-FR"/>
        </w:rPr>
        <w:t xml:space="preserve"> (CEN)</w:t>
      </w:r>
    </w:p>
    <w:p w14:paraId="36FC7608" w14:textId="617B7195" w:rsidR="00CE245A" w:rsidRPr="00D11D38" w:rsidRDefault="00CE245A" w:rsidP="0040032F">
      <w:pPr>
        <w:pStyle w:val="SingleTxtG"/>
        <w:spacing w:after="100"/>
        <w:rPr>
          <w:lang w:val="fr-FR"/>
        </w:rPr>
      </w:pPr>
      <w:r w:rsidRPr="00036363">
        <w:rPr>
          <w:lang w:val="fr-FR"/>
        </w:rPr>
        <w:t>20</w:t>
      </w:r>
      <w:r w:rsidR="00036363" w:rsidRPr="00036363">
        <w:rPr>
          <w:lang w:val="fr-FR"/>
        </w:rPr>
        <w:t>.</w:t>
      </w:r>
      <w:r w:rsidRPr="00D11D38">
        <w:rPr>
          <w:lang w:val="fr-FR"/>
        </w:rPr>
        <w:tab/>
        <w:t>La Réunion commune a pris note des propositions formulées par le Groupe de travail des normes dans le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30</w:t>
      </w:r>
      <w:r w:rsidRPr="00D11D38">
        <w:rPr>
          <w:lang w:val="fr-FR"/>
        </w:rPr>
        <w:t xml:space="preserve"> et a adopté les amendements proposés aux paragraphes </w:t>
      </w:r>
      <w:r w:rsidRPr="00036363">
        <w:rPr>
          <w:lang w:val="fr-FR"/>
        </w:rPr>
        <w:t>6</w:t>
      </w:r>
      <w:r w:rsidRPr="00D11D38">
        <w:rPr>
          <w:lang w:val="fr-FR"/>
        </w:rPr>
        <w:t xml:space="preserve">, </w:t>
      </w:r>
      <w:r w:rsidRPr="00036363">
        <w:rPr>
          <w:lang w:val="fr-FR"/>
        </w:rPr>
        <w:t>7</w:t>
      </w:r>
      <w:r w:rsidRPr="00D11D38">
        <w:rPr>
          <w:lang w:val="fr-FR"/>
        </w:rPr>
        <w:t xml:space="preserve">, </w:t>
      </w:r>
      <w:r w:rsidRPr="00036363">
        <w:rPr>
          <w:lang w:val="fr-FR"/>
        </w:rPr>
        <w:t>8</w:t>
      </w:r>
      <w:r w:rsidRPr="00D11D38">
        <w:rPr>
          <w:lang w:val="fr-FR"/>
        </w:rPr>
        <w:t xml:space="preserve"> et </w:t>
      </w:r>
      <w:r w:rsidRPr="00036363">
        <w:rPr>
          <w:lang w:val="fr-FR"/>
        </w:rPr>
        <w:t>9</w:t>
      </w:r>
      <w:r w:rsidRPr="00D11D38">
        <w:rPr>
          <w:lang w:val="fr-FR"/>
        </w:rPr>
        <w:t xml:space="preserve"> (voir annexe II)</w:t>
      </w:r>
      <w:r w:rsidR="00036363" w:rsidRPr="00036363">
        <w:rPr>
          <w:lang w:val="fr-FR"/>
        </w:rPr>
        <w:t>.</w:t>
      </w:r>
    </w:p>
    <w:p w14:paraId="0E48CF1A" w14:textId="442B060F" w:rsidR="00CE245A" w:rsidRPr="00D11D38" w:rsidRDefault="00CE245A" w:rsidP="0040032F">
      <w:pPr>
        <w:pStyle w:val="SingleTxtG"/>
        <w:spacing w:after="100"/>
        <w:rPr>
          <w:lang w:val="fr-FR"/>
        </w:rPr>
      </w:pPr>
      <w:r w:rsidRPr="00036363">
        <w:rPr>
          <w:lang w:val="fr-FR"/>
        </w:rPr>
        <w:t>21</w:t>
      </w:r>
      <w:r w:rsidR="00036363" w:rsidRPr="00036363">
        <w:rPr>
          <w:lang w:val="fr-FR"/>
        </w:rPr>
        <w:t>.</w:t>
      </w:r>
      <w:r w:rsidRPr="00D11D38">
        <w:rPr>
          <w:lang w:val="fr-FR"/>
        </w:rPr>
        <w:tab/>
        <w:t>En ce qui concerne les amendements supplémentaires proposés dans le document informel INF</w:t>
      </w:r>
      <w:r w:rsidR="00036363" w:rsidRPr="00036363">
        <w:rPr>
          <w:lang w:val="fr-FR"/>
        </w:rPr>
        <w:t>.</w:t>
      </w:r>
      <w:r w:rsidRPr="00036363">
        <w:rPr>
          <w:lang w:val="fr-FR"/>
        </w:rPr>
        <w:t>6</w:t>
      </w:r>
      <w:r w:rsidRPr="00D11D38">
        <w:rPr>
          <w:lang w:val="fr-FR"/>
        </w:rPr>
        <w:t xml:space="preserve">, la Réunion commune a adopté les propositions </w:t>
      </w:r>
      <w:r w:rsidRPr="00036363">
        <w:rPr>
          <w:lang w:val="fr-FR"/>
        </w:rPr>
        <w:t>1</w:t>
      </w:r>
      <w:r w:rsidRPr="00D11D38">
        <w:rPr>
          <w:lang w:val="fr-FR"/>
        </w:rPr>
        <w:t xml:space="preserve"> et </w:t>
      </w:r>
      <w:r w:rsidRPr="00036363">
        <w:rPr>
          <w:lang w:val="fr-FR"/>
        </w:rPr>
        <w:t>2</w:t>
      </w:r>
      <w:r w:rsidRPr="00D11D38">
        <w:rPr>
          <w:lang w:val="fr-FR"/>
        </w:rPr>
        <w:t>, telles que modifiées (voir annexe II)</w:t>
      </w:r>
      <w:r w:rsidR="00036363" w:rsidRPr="00036363">
        <w:rPr>
          <w:lang w:val="fr-FR"/>
        </w:rPr>
        <w:t>.</w:t>
      </w:r>
    </w:p>
    <w:p w14:paraId="1A3DC2C8" w14:textId="6DB3F3C1" w:rsidR="00CE245A" w:rsidRPr="00D11D38" w:rsidRDefault="00CE245A" w:rsidP="00CD20E5">
      <w:pPr>
        <w:pStyle w:val="H1G"/>
        <w:rPr>
          <w:lang w:val="fr-FR"/>
        </w:rPr>
      </w:pPr>
      <w:r w:rsidRPr="00D11D38">
        <w:rPr>
          <w:lang w:val="fr-FR"/>
        </w:rPr>
        <w:tab/>
        <w:t>C</w:t>
      </w:r>
      <w:r w:rsidR="00036363" w:rsidRPr="00036363">
        <w:rPr>
          <w:lang w:val="fr-FR"/>
        </w:rPr>
        <w:t>.</w:t>
      </w:r>
      <w:r w:rsidRPr="00D11D38">
        <w:rPr>
          <w:lang w:val="fr-FR"/>
        </w:rPr>
        <w:tab/>
        <w:t xml:space="preserve">Informations sur les activités du Groupe de travail des normes </w:t>
      </w:r>
      <w:r w:rsidR="00CD20E5">
        <w:rPr>
          <w:lang w:val="fr-FR"/>
        </w:rPr>
        <w:t>–</w:t>
      </w:r>
      <w:r w:rsidRPr="00D11D38">
        <w:rPr>
          <w:lang w:val="fr-FR"/>
        </w:rPr>
        <w:t xml:space="preserve"> Norme</w:t>
      </w:r>
      <w:r w:rsidR="00CD20E5">
        <w:rPr>
          <w:lang w:val="fr-FR"/>
        </w:rPr>
        <w:t> </w:t>
      </w:r>
      <w:r w:rsidRPr="00D11D38">
        <w:rPr>
          <w:lang w:val="fr-FR"/>
        </w:rPr>
        <w:t xml:space="preserve">EN ISO </w:t>
      </w:r>
      <w:r w:rsidRPr="00036363">
        <w:rPr>
          <w:lang w:val="fr-FR"/>
        </w:rPr>
        <w:t>10297</w:t>
      </w:r>
      <w:r w:rsidR="00887612">
        <w:rPr>
          <w:lang w:val="fr-FR"/>
        </w:rPr>
        <w:t>:</w:t>
      </w:r>
      <w:r w:rsidRPr="00036363">
        <w:rPr>
          <w:lang w:val="fr-FR"/>
        </w:rPr>
        <w:t>2024</w:t>
      </w:r>
    </w:p>
    <w:p w14:paraId="4E663E2F" w14:textId="4AD138F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w:t>
      </w:r>
      <w:r w:rsidR="00887612">
        <w:rPr>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31</w:t>
      </w:r>
      <w:r w:rsidRPr="00D11D38">
        <w:rPr>
          <w:lang w:val="fr-FR"/>
        </w:rPr>
        <w:t xml:space="preserve"> (CEN)</w:t>
      </w:r>
    </w:p>
    <w:p w14:paraId="436C6E83" w14:textId="27442E9B" w:rsidR="00CE245A" w:rsidRPr="00D11D38" w:rsidRDefault="00CE245A" w:rsidP="0040032F">
      <w:pPr>
        <w:pStyle w:val="SingleTxtG"/>
        <w:widowControl w:val="0"/>
        <w:rPr>
          <w:lang w:val="fr-FR"/>
        </w:rPr>
      </w:pPr>
      <w:r w:rsidRPr="00036363">
        <w:rPr>
          <w:lang w:val="fr-FR"/>
        </w:rPr>
        <w:t>22</w:t>
      </w:r>
      <w:r w:rsidR="00036363" w:rsidRPr="00036363">
        <w:rPr>
          <w:lang w:val="fr-FR"/>
        </w:rPr>
        <w:t>.</w:t>
      </w:r>
      <w:r w:rsidRPr="00D11D38">
        <w:rPr>
          <w:lang w:val="fr-FR"/>
        </w:rPr>
        <w:tab/>
        <w:t>S</w:t>
      </w:r>
      <w:r w:rsidR="00887612">
        <w:rPr>
          <w:lang w:val="fr-FR"/>
        </w:rPr>
        <w:t>’</w:t>
      </w:r>
      <w:r w:rsidRPr="00D11D38">
        <w:rPr>
          <w:lang w:val="fr-FR"/>
        </w:rPr>
        <w:t>agissant des erreurs repérées dans la norme EN</w:t>
      </w:r>
      <w:r w:rsidR="00C34D72">
        <w:rPr>
          <w:lang w:val="fr-FR"/>
        </w:rPr>
        <w:t> </w:t>
      </w:r>
      <w:r w:rsidRPr="00D11D38">
        <w:rPr>
          <w:lang w:val="fr-FR"/>
        </w:rPr>
        <w:t>ISO</w:t>
      </w:r>
      <w:r w:rsidR="00C34D72">
        <w:rPr>
          <w:lang w:val="fr-FR"/>
        </w:rPr>
        <w:t> </w:t>
      </w:r>
      <w:r w:rsidRPr="00036363">
        <w:rPr>
          <w:lang w:val="fr-FR"/>
        </w:rPr>
        <w:t>10297</w:t>
      </w:r>
      <w:r w:rsidR="00887612">
        <w:rPr>
          <w:lang w:val="fr-FR"/>
        </w:rPr>
        <w:t>:</w:t>
      </w:r>
      <w:r w:rsidRPr="00036363">
        <w:rPr>
          <w:lang w:val="fr-FR"/>
        </w:rPr>
        <w:t>2024</w:t>
      </w:r>
      <w:r w:rsidRPr="00D11D38">
        <w:rPr>
          <w:lang w:val="fr-FR"/>
        </w:rPr>
        <w:t xml:space="preserve"> qui avait été publiée récemment et qui était citée dans l</w:t>
      </w:r>
      <w:r w:rsidR="00887612">
        <w:rPr>
          <w:lang w:val="fr-FR"/>
        </w:rPr>
        <w:t>’</w:t>
      </w:r>
      <w:r w:rsidRPr="00D11D38">
        <w:rPr>
          <w:lang w:val="fr-FR"/>
        </w:rPr>
        <w:t xml:space="preserve">édition </w:t>
      </w:r>
      <w:r w:rsidRPr="00036363">
        <w:rPr>
          <w:lang w:val="fr-FR"/>
        </w:rPr>
        <w:t>2025</w:t>
      </w:r>
      <w:r w:rsidRPr="00D11D38">
        <w:rPr>
          <w:lang w:val="fr-FR"/>
        </w:rPr>
        <w:t xml:space="preserve"> du RID et de l</w:t>
      </w:r>
      <w:r w:rsidR="00887612">
        <w:rPr>
          <w:lang w:val="fr-FR"/>
        </w:rPr>
        <w:t>’</w:t>
      </w:r>
      <w:r w:rsidRPr="00D11D38">
        <w:rPr>
          <w:lang w:val="fr-FR"/>
        </w:rPr>
        <w:t>ADR, le représentant du CEN a demandé qu</w:t>
      </w:r>
      <w:r w:rsidR="00887612">
        <w:rPr>
          <w:lang w:val="fr-FR"/>
        </w:rPr>
        <w:t>’</w:t>
      </w:r>
      <w:r w:rsidRPr="00D11D38">
        <w:rPr>
          <w:lang w:val="fr-FR"/>
        </w:rPr>
        <w:t>une note interprétative soit publiée sur les sites Web de la CEE et de l</w:t>
      </w:r>
      <w:r w:rsidR="00887612">
        <w:rPr>
          <w:lang w:val="fr-FR"/>
        </w:rPr>
        <w:t>’</w:t>
      </w:r>
      <w:r w:rsidRPr="00D11D38">
        <w:rPr>
          <w:lang w:val="fr-FR"/>
        </w:rPr>
        <w:t>OTIF exigeant l</w:t>
      </w:r>
      <w:r w:rsidR="00887612">
        <w:rPr>
          <w:lang w:val="fr-FR"/>
        </w:rPr>
        <w:t>’</w:t>
      </w:r>
      <w:r w:rsidRPr="00D11D38">
        <w:rPr>
          <w:lang w:val="fr-FR"/>
        </w:rPr>
        <w:t>application de la bonne édition de la norme, sous réserve de l</w:t>
      </w:r>
      <w:r w:rsidR="00887612">
        <w:rPr>
          <w:lang w:val="fr-FR"/>
        </w:rPr>
        <w:t>’</w:t>
      </w:r>
      <w:r w:rsidRPr="00D11D38">
        <w:rPr>
          <w:lang w:val="fr-FR"/>
        </w:rPr>
        <w:t>approbation du WP</w:t>
      </w:r>
      <w:r w:rsidR="00036363" w:rsidRPr="00036363">
        <w:rPr>
          <w:lang w:val="fr-FR"/>
        </w:rPr>
        <w:t>.</w:t>
      </w:r>
      <w:r w:rsidRPr="00036363">
        <w:rPr>
          <w:lang w:val="fr-FR"/>
        </w:rPr>
        <w:t>15</w:t>
      </w:r>
      <w:r w:rsidRPr="00D11D38">
        <w:rPr>
          <w:lang w:val="fr-FR"/>
        </w:rPr>
        <w:t xml:space="preserve"> et du groupe de travail permanent de la Commission d</w:t>
      </w:r>
      <w:r w:rsidR="00887612">
        <w:rPr>
          <w:lang w:val="fr-FR"/>
        </w:rPr>
        <w:t>’</w:t>
      </w:r>
      <w:r w:rsidRPr="00D11D38">
        <w:rPr>
          <w:lang w:val="fr-FR"/>
        </w:rPr>
        <w:t>experts du RID</w:t>
      </w:r>
      <w:r w:rsidR="00036363" w:rsidRPr="00036363">
        <w:rPr>
          <w:lang w:val="fr-FR"/>
        </w:rPr>
        <w:t>.</w:t>
      </w:r>
      <w:r w:rsidRPr="00D11D38">
        <w:rPr>
          <w:lang w:val="fr-FR"/>
        </w:rPr>
        <w:t xml:space="preserve"> La Réunion commune a approuvé cette demande</w:t>
      </w:r>
      <w:r w:rsidR="00036363" w:rsidRPr="00036363">
        <w:rPr>
          <w:lang w:val="fr-FR"/>
        </w:rPr>
        <w:t>.</w:t>
      </w:r>
    </w:p>
    <w:p w14:paraId="31D85E79" w14:textId="4BAFE77D" w:rsidR="00CE245A" w:rsidRPr="00D11D38" w:rsidRDefault="00CE245A" w:rsidP="00CD20E5">
      <w:pPr>
        <w:pStyle w:val="HChG"/>
        <w:rPr>
          <w:lang w:val="fr-FR"/>
        </w:rPr>
      </w:pPr>
      <w:r w:rsidRPr="00D11D38">
        <w:rPr>
          <w:lang w:val="fr-FR"/>
        </w:rPr>
        <w:lastRenderedPageBreak/>
        <w:tab/>
        <w:t>VI</w:t>
      </w:r>
      <w:r w:rsidR="00036363" w:rsidRPr="00036363">
        <w:rPr>
          <w:lang w:val="fr-FR"/>
        </w:rPr>
        <w:t>.</w:t>
      </w:r>
      <w:r w:rsidRPr="00D11D38">
        <w:rPr>
          <w:lang w:val="fr-FR"/>
        </w:rPr>
        <w:tab/>
        <w:t>Interprétation du RID, de l</w:t>
      </w:r>
      <w:r w:rsidR="00887612">
        <w:rPr>
          <w:lang w:val="fr-FR"/>
        </w:rPr>
        <w:t>’</w:t>
      </w:r>
      <w:r w:rsidRPr="00D11D38">
        <w:rPr>
          <w:lang w:val="fr-FR"/>
        </w:rPr>
        <w:t>ADR et de l</w:t>
      </w:r>
      <w:r w:rsidR="00887612">
        <w:rPr>
          <w:lang w:val="fr-FR"/>
        </w:rPr>
        <w:t>’</w:t>
      </w:r>
      <w:r w:rsidRPr="00D11D38">
        <w:rPr>
          <w:lang w:val="fr-FR"/>
        </w:rPr>
        <w:t xml:space="preserve">ADN </w:t>
      </w:r>
      <w:r w:rsidR="00135EB4">
        <w:rPr>
          <w:lang w:val="fr-FR"/>
        </w:rPr>
        <w:br/>
      </w:r>
      <w:r w:rsidRPr="00D11D38">
        <w:rPr>
          <w:lang w:val="fr-FR"/>
        </w:rPr>
        <w:t xml:space="preserve">(point </w:t>
      </w:r>
      <w:r w:rsidRPr="00036363">
        <w:rPr>
          <w:lang w:val="fr-FR"/>
        </w:rPr>
        <w:t>4</w:t>
      </w:r>
      <w:r w:rsidRPr="00D11D38">
        <w:rPr>
          <w:lang w:val="fr-FR"/>
        </w:rPr>
        <w:t xml:space="preserve"> de l</w:t>
      </w:r>
      <w:r w:rsidR="00887612">
        <w:rPr>
          <w:lang w:val="fr-FR"/>
        </w:rPr>
        <w:t>’</w:t>
      </w:r>
      <w:r w:rsidRPr="00D11D38">
        <w:rPr>
          <w:lang w:val="fr-FR"/>
        </w:rPr>
        <w:t>ordre du jour)</w:t>
      </w:r>
    </w:p>
    <w:p w14:paraId="54AD1B5A" w14:textId="17A895FF" w:rsidR="00CE245A" w:rsidRPr="00D11D38" w:rsidRDefault="00CE245A" w:rsidP="00CD20E5">
      <w:pPr>
        <w:pStyle w:val="H23G"/>
        <w:rPr>
          <w:lang w:val="fr-FR"/>
        </w:rPr>
      </w:pPr>
      <w:r w:rsidRPr="00D11D38">
        <w:rPr>
          <w:lang w:val="fr-FR"/>
        </w:rPr>
        <w:tab/>
      </w:r>
      <w:r w:rsidRPr="00036363">
        <w:rPr>
          <w:lang w:val="fr-FR"/>
        </w:rPr>
        <w:t>1</w:t>
      </w:r>
      <w:r w:rsidR="00036363" w:rsidRPr="00036363">
        <w:rPr>
          <w:lang w:val="fr-FR"/>
        </w:rPr>
        <w:t>.</w:t>
      </w:r>
      <w:r w:rsidRPr="00D11D38">
        <w:rPr>
          <w:lang w:val="fr-FR"/>
        </w:rPr>
        <w:tab/>
        <w:t xml:space="preserve">Personnes devant suivre une formation obligatoire conformément au chapitre </w:t>
      </w:r>
      <w:r w:rsidRPr="00036363">
        <w:rPr>
          <w:lang w:val="fr-FR"/>
        </w:rPr>
        <w:t>1</w:t>
      </w:r>
      <w:r w:rsidR="00036363" w:rsidRPr="00036363">
        <w:rPr>
          <w:lang w:val="fr-FR"/>
        </w:rPr>
        <w:t>.</w:t>
      </w:r>
      <w:r w:rsidRPr="00036363">
        <w:rPr>
          <w:lang w:val="fr-FR"/>
        </w:rPr>
        <w:t>3</w:t>
      </w:r>
    </w:p>
    <w:p w14:paraId="0FFF2BE8" w14:textId="411A18A7"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 informel</w:t>
      </w:r>
      <w:r w:rsidR="00887612">
        <w:rPr>
          <w:lang w:val="fr-FR"/>
        </w:rPr>
        <w:t> :</w:t>
      </w:r>
      <w:r w:rsidRPr="00D11D38">
        <w:rPr>
          <w:lang w:val="fr-FR"/>
        </w:rPr>
        <w:tab/>
        <w:t>INF</w:t>
      </w:r>
      <w:r w:rsidR="00036363" w:rsidRPr="00036363">
        <w:rPr>
          <w:lang w:val="fr-FR"/>
        </w:rPr>
        <w:t>.</w:t>
      </w:r>
      <w:r w:rsidRPr="00036363">
        <w:rPr>
          <w:lang w:val="fr-FR"/>
        </w:rPr>
        <w:t>8</w:t>
      </w:r>
      <w:r w:rsidRPr="00D11D38">
        <w:rPr>
          <w:lang w:val="fr-FR"/>
        </w:rPr>
        <w:t xml:space="preserve"> (Royaume des Pays-Bas)</w:t>
      </w:r>
    </w:p>
    <w:p w14:paraId="4B441F73" w14:textId="2381D80C" w:rsidR="00CE245A" w:rsidRPr="00D11D38" w:rsidRDefault="00CE245A" w:rsidP="00CD20E5">
      <w:pPr>
        <w:pStyle w:val="SingleTxtG"/>
        <w:rPr>
          <w:lang w:val="fr-FR"/>
        </w:rPr>
      </w:pPr>
      <w:r w:rsidRPr="00036363">
        <w:rPr>
          <w:lang w:val="fr-FR"/>
        </w:rPr>
        <w:t>23</w:t>
      </w:r>
      <w:r w:rsidR="00036363" w:rsidRPr="00036363">
        <w:rPr>
          <w:lang w:val="fr-FR"/>
        </w:rPr>
        <w:t>.</w:t>
      </w:r>
      <w:r w:rsidRPr="00D11D38">
        <w:rPr>
          <w:lang w:val="fr-FR"/>
        </w:rPr>
        <w:tab/>
        <w:t xml:space="preserve">La Réunion commune a accueilli favorablement le document et a convenu de la nécessité de clarifier les dispositions des chapitres </w:t>
      </w:r>
      <w:r w:rsidRPr="00036363">
        <w:rPr>
          <w:lang w:val="fr-FR"/>
        </w:rPr>
        <w:t>1</w:t>
      </w:r>
      <w:r w:rsidR="00036363" w:rsidRPr="00036363">
        <w:rPr>
          <w:lang w:val="fr-FR"/>
        </w:rPr>
        <w:t>.</w:t>
      </w:r>
      <w:r w:rsidRPr="00036363">
        <w:rPr>
          <w:lang w:val="fr-FR"/>
        </w:rPr>
        <w:t>3</w:t>
      </w:r>
      <w:r w:rsidRPr="00D11D38">
        <w:rPr>
          <w:lang w:val="fr-FR"/>
        </w:rPr>
        <w:t xml:space="preserve"> et </w:t>
      </w:r>
      <w:r w:rsidRPr="00036363">
        <w:rPr>
          <w:lang w:val="fr-FR"/>
        </w:rPr>
        <w:t>1</w:t>
      </w:r>
      <w:r w:rsidR="00036363" w:rsidRPr="00036363">
        <w:rPr>
          <w:lang w:val="fr-FR"/>
        </w:rPr>
        <w:t>.</w:t>
      </w:r>
      <w:r w:rsidRPr="00036363">
        <w:rPr>
          <w:lang w:val="fr-FR"/>
        </w:rPr>
        <w:t>4</w:t>
      </w:r>
      <w:r w:rsidRPr="00D11D38">
        <w:rPr>
          <w:lang w:val="fr-FR"/>
        </w:rPr>
        <w:t xml:space="preserve"> du RID, de l</w:t>
      </w:r>
      <w:r w:rsidR="00887612">
        <w:rPr>
          <w:lang w:val="fr-FR"/>
        </w:rPr>
        <w:t>’</w:t>
      </w:r>
      <w:r w:rsidRPr="00D11D38">
        <w:rPr>
          <w:lang w:val="fr-FR"/>
        </w:rPr>
        <w:t>ADR et de l</w:t>
      </w:r>
      <w:r w:rsidR="00887612">
        <w:rPr>
          <w:lang w:val="fr-FR"/>
        </w:rPr>
        <w:t>’</w:t>
      </w:r>
      <w:r w:rsidRPr="00D11D38">
        <w:rPr>
          <w:lang w:val="fr-FR"/>
        </w:rPr>
        <w:t>ADN</w:t>
      </w:r>
      <w:r w:rsidR="00036363" w:rsidRPr="00036363">
        <w:rPr>
          <w:lang w:val="fr-FR"/>
        </w:rPr>
        <w:t>.</w:t>
      </w:r>
      <w:r w:rsidRPr="00D11D38">
        <w:rPr>
          <w:lang w:val="fr-FR"/>
        </w:rPr>
        <w:t xml:space="preserve"> Certaines délégations étaient d</w:t>
      </w:r>
      <w:r w:rsidR="00887612">
        <w:rPr>
          <w:lang w:val="fr-FR"/>
        </w:rPr>
        <w:t>’</w:t>
      </w:r>
      <w:r w:rsidRPr="00D11D38">
        <w:rPr>
          <w:lang w:val="fr-FR"/>
        </w:rPr>
        <w:t>avis que toutes les personnes intervenant dans le transport des marchandises dangereuses devaient être formées indépendamment de leur situation professionnelle, tandis que d</w:t>
      </w:r>
      <w:r w:rsidR="00887612">
        <w:rPr>
          <w:lang w:val="fr-FR"/>
        </w:rPr>
        <w:t>’</w:t>
      </w:r>
      <w:r w:rsidRPr="00D11D38">
        <w:rPr>
          <w:lang w:val="fr-FR"/>
        </w:rPr>
        <w:t>autres ont conseillé d</w:t>
      </w:r>
      <w:r w:rsidR="00887612">
        <w:rPr>
          <w:lang w:val="fr-FR"/>
        </w:rPr>
        <w:t>’</w:t>
      </w:r>
      <w:r w:rsidRPr="00D11D38">
        <w:rPr>
          <w:lang w:val="fr-FR"/>
        </w:rPr>
        <w:t>être prudent quant aux conséquences que cela pourrait avoir en termes de responsabilité, en particulier en cas de sous-traitance ou de prêt de personnel</w:t>
      </w:r>
      <w:r w:rsidR="00036363" w:rsidRPr="00036363">
        <w:rPr>
          <w:lang w:val="fr-FR"/>
        </w:rPr>
        <w:t>.</w:t>
      </w:r>
    </w:p>
    <w:p w14:paraId="0F775326" w14:textId="23A2D351" w:rsidR="00CE245A" w:rsidRPr="00D11D38" w:rsidRDefault="00CE245A" w:rsidP="00CD20E5">
      <w:pPr>
        <w:pStyle w:val="SingleTxtG"/>
        <w:rPr>
          <w:lang w:val="fr-FR"/>
        </w:rPr>
      </w:pPr>
      <w:r w:rsidRPr="00036363">
        <w:rPr>
          <w:lang w:val="fr-FR"/>
        </w:rPr>
        <w:t>24</w:t>
      </w:r>
      <w:r w:rsidR="00036363" w:rsidRPr="00036363">
        <w:rPr>
          <w:lang w:val="fr-FR"/>
        </w:rPr>
        <w:t>.</w:t>
      </w:r>
      <w:r w:rsidRPr="00D11D38">
        <w:rPr>
          <w:lang w:val="fr-FR"/>
        </w:rPr>
        <w:tab/>
        <w:t xml:space="preserve">Le représentant du Royaume des Pays-Bas a proposé de soumettre, à la session suivante, une nouvelle proposition qui tiendrait compte des observations reçues et des dispositions actuelles du chapitre </w:t>
      </w:r>
      <w:r w:rsidRPr="00036363">
        <w:rPr>
          <w:lang w:val="fr-FR"/>
        </w:rPr>
        <w:t>1</w:t>
      </w:r>
      <w:r w:rsidR="00036363" w:rsidRPr="00036363">
        <w:rPr>
          <w:lang w:val="fr-FR"/>
        </w:rPr>
        <w:t>.</w:t>
      </w:r>
      <w:r w:rsidRPr="00036363">
        <w:rPr>
          <w:lang w:val="fr-FR"/>
        </w:rPr>
        <w:t>3</w:t>
      </w:r>
      <w:r w:rsidRPr="00D11D38">
        <w:rPr>
          <w:lang w:val="fr-FR"/>
        </w:rPr>
        <w:t xml:space="preserve"> du Règlement type</w:t>
      </w:r>
      <w:r w:rsidR="00036363" w:rsidRPr="00036363">
        <w:rPr>
          <w:lang w:val="fr-FR"/>
        </w:rPr>
        <w:t>.</w:t>
      </w:r>
    </w:p>
    <w:p w14:paraId="6FBDA082" w14:textId="40CB9643" w:rsidR="00CE245A" w:rsidRPr="00D11D38" w:rsidRDefault="00CE245A" w:rsidP="00CD20E5">
      <w:pPr>
        <w:pStyle w:val="HChG"/>
        <w:rPr>
          <w:lang w:val="fr-FR"/>
        </w:rPr>
      </w:pPr>
      <w:r w:rsidRPr="00D11D38">
        <w:rPr>
          <w:lang w:val="fr-FR"/>
        </w:rPr>
        <w:tab/>
        <w:t>VII</w:t>
      </w:r>
      <w:r w:rsidR="00036363" w:rsidRPr="00036363">
        <w:rPr>
          <w:lang w:val="fr-FR"/>
        </w:rPr>
        <w:t>.</w:t>
      </w:r>
      <w:r w:rsidRPr="00D11D38">
        <w:rPr>
          <w:lang w:val="fr-FR"/>
        </w:rPr>
        <w:tab/>
        <w:t>Propositions d</w:t>
      </w:r>
      <w:r w:rsidR="00887612">
        <w:rPr>
          <w:lang w:val="fr-FR"/>
        </w:rPr>
        <w:t>’</w:t>
      </w:r>
      <w:r w:rsidRPr="00D11D38">
        <w:rPr>
          <w:lang w:val="fr-FR"/>
        </w:rPr>
        <w:t>amendements au RID, à l</w:t>
      </w:r>
      <w:r w:rsidR="00887612">
        <w:rPr>
          <w:lang w:val="fr-FR"/>
        </w:rPr>
        <w:t>’</w:t>
      </w:r>
      <w:r w:rsidRPr="00D11D38">
        <w:rPr>
          <w:lang w:val="fr-FR"/>
        </w:rPr>
        <w:t>ADR et à l</w:t>
      </w:r>
      <w:r w:rsidR="00887612">
        <w:rPr>
          <w:lang w:val="fr-FR"/>
        </w:rPr>
        <w:t>’</w:t>
      </w:r>
      <w:r w:rsidRPr="00D11D38">
        <w:rPr>
          <w:lang w:val="fr-FR"/>
        </w:rPr>
        <w:t xml:space="preserve">ADN (point </w:t>
      </w:r>
      <w:r w:rsidRPr="00036363">
        <w:rPr>
          <w:lang w:val="fr-FR"/>
        </w:rPr>
        <w:t>5</w:t>
      </w:r>
      <w:r w:rsidRPr="00D11D38">
        <w:rPr>
          <w:lang w:val="fr-FR"/>
        </w:rPr>
        <w:t xml:space="preserve"> de l</w:t>
      </w:r>
      <w:r w:rsidR="00887612">
        <w:rPr>
          <w:lang w:val="fr-FR"/>
        </w:rPr>
        <w:t>’</w:t>
      </w:r>
      <w:r w:rsidRPr="00D11D38">
        <w:rPr>
          <w:lang w:val="fr-FR"/>
        </w:rPr>
        <w:t>ordre du jour)</w:t>
      </w:r>
    </w:p>
    <w:p w14:paraId="58C394E9" w14:textId="7023CCC2" w:rsidR="00CE245A" w:rsidRPr="00D11D38" w:rsidRDefault="00CE245A" w:rsidP="00CD20E5">
      <w:pPr>
        <w:pStyle w:val="H1G"/>
        <w:rPr>
          <w:lang w:val="fr-FR"/>
        </w:rPr>
      </w:pPr>
      <w:r w:rsidRPr="00D11D38">
        <w:rPr>
          <w:lang w:val="fr-FR"/>
        </w:rPr>
        <w:tab/>
        <w:t>A</w:t>
      </w:r>
      <w:r w:rsidR="00036363" w:rsidRPr="00036363">
        <w:rPr>
          <w:lang w:val="fr-FR"/>
        </w:rPr>
        <w:t>.</w:t>
      </w:r>
      <w:r w:rsidRPr="00D11D38">
        <w:rPr>
          <w:lang w:val="fr-FR"/>
        </w:rPr>
        <w:tab/>
        <w:t>Questions en suspens</w:t>
      </w:r>
    </w:p>
    <w:p w14:paraId="623487E2" w14:textId="478D94DE" w:rsidR="00CE245A" w:rsidRPr="00D11D38" w:rsidRDefault="00CE245A" w:rsidP="00CD20E5">
      <w:pPr>
        <w:pStyle w:val="H23G"/>
        <w:rPr>
          <w:lang w:val="fr-FR"/>
        </w:rPr>
      </w:pPr>
      <w:bookmarkStart w:id="0" w:name="_Hlk50725266"/>
      <w:r w:rsidRPr="00D11D38">
        <w:rPr>
          <w:lang w:val="fr-FR"/>
        </w:rPr>
        <w:tab/>
      </w:r>
      <w:r w:rsidRPr="00036363">
        <w:rPr>
          <w:lang w:val="fr-FR"/>
        </w:rPr>
        <w:t>1</w:t>
      </w:r>
      <w:r w:rsidR="00036363" w:rsidRPr="00036363">
        <w:rPr>
          <w:lang w:val="fr-FR"/>
        </w:rPr>
        <w:t>.</w:t>
      </w:r>
      <w:r w:rsidRPr="00D11D38">
        <w:rPr>
          <w:lang w:val="fr-FR"/>
        </w:rPr>
        <w:tab/>
        <w:t xml:space="preserve">Marquage des bouteilles de GPL − </w:t>
      </w: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3</w:t>
      </w:r>
      <w:r w:rsidR="00036363" w:rsidRPr="00036363">
        <w:rPr>
          <w:lang w:val="fr-FR"/>
        </w:rPr>
        <w:t>.</w:t>
      </w:r>
      <w:r w:rsidRPr="00036363">
        <w:rPr>
          <w:lang w:val="fr-FR"/>
        </w:rPr>
        <w:t>9</w:t>
      </w:r>
      <w:r w:rsidR="00036363" w:rsidRPr="00036363">
        <w:rPr>
          <w:lang w:val="fr-FR"/>
        </w:rPr>
        <w:t>.</w:t>
      </w:r>
      <w:r w:rsidRPr="00036363">
        <w:rPr>
          <w:lang w:val="fr-FR"/>
        </w:rPr>
        <w:t>4</w:t>
      </w:r>
      <w:bookmarkEnd w:id="0"/>
    </w:p>
    <w:p w14:paraId="144DCFC2" w14:textId="705A0B4E"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lang w:val="fr-FR"/>
        </w:rPr>
        <w:t>Document</w:t>
      </w:r>
      <w:r w:rsidR="00887612">
        <w:rPr>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43</w:t>
      </w:r>
      <w:r w:rsidRPr="00D11D38">
        <w:rPr>
          <w:lang w:val="fr-FR"/>
        </w:rPr>
        <w:t xml:space="preserve"> (</w:t>
      </w:r>
      <w:proofErr w:type="spellStart"/>
      <w:r w:rsidRPr="00D11D38">
        <w:rPr>
          <w:lang w:val="fr-FR"/>
        </w:rPr>
        <w:t>Liquid</w:t>
      </w:r>
      <w:proofErr w:type="spellEnd"/>
      <w:r w:rsidRPr="00D11D38">
        <w:rPr>
          <w:lang w:val="fr-FR"/>
        </w:rPr>
        <w:t xml:space="preserve"> Gas Europe)</w:t>
      </w:r>
    </w:p>
    <w:p w14:paraId="0827F31D" w14:textId="7A1764E6" w:rsidR="00CE245A" w:rsidRPr="00D11D38" w:rsidRDefault="00CE245A" w:rsidP="00CD20E5">
      <w:pPr>
        <w:pStyle w:val="SingleTxtG"/>
        <w:rPr>
          <w:lang w:val="fr-FR"/>
        </w:rPr>
      </w:pPr>
      <w:r w:rsidRPr="00036363">
        <w:rPr>
          <w:lang w:val="fr-FR"/>
        </w:rPr>
        <w:t>25</w:t>
      </w:r>
      <w:r w:rsidR="00036363" w:rsidRPr="00036363">
        <w:rPr>
          <w:lang w:val="fr-FR"/>
        </w:rPr>
        <w:t>.</w:t>
      </w:r>
      <w:r w:rsidRPr="00D11D38">
        <w:rPr>
          <w:lang w:val="fr-FR"/>
        </w:rPr>
        <w:tab/>
        <w:t>Rappelant le débat tenu sur ce sujet à sa précédente session, la Réunion commune a pris note des préoccupations suscitées par la proposition</w:t>
      </w:r>
      <w:r w:rsidR="00036363" w:rsidRPr="00036363">
        <w:rPr>
          <w:lang w:val="fr-FR"/>
        </w:rPr>
        <w:t>.</w:t>
      </w:r>
      <w:r w:rsidRPr="00D11D38">
        <w:rPr>
          <w:lang w:val="fr-FR"/>
        </w:rPr>
        <w:t xml:space="preserve"> La plupart des représentants qui ont pris la parole ont demandé davantage d</w:t>
      </w:r>
      <w:r w:rsidR="00887612">
        <w:rPr>
          <w:lang w:val="fr-FR"/>
        </w:rPr>
        <w:t>’</w:t>
      </w:r>
      <w:r w:rsidRPr="00D11D38">
        <w:rPr>
          <w:lang w:val="fr-FR"/>
        </w:rPr>
        <w:t>éléments permettant de justifier le fait que les données sur la masse des bouteilles, l</w:t>
      </w:r>
      <w:r w:rsidR="00887612">
        <w:rPr>
          <w:lang w:val="fr-FR"/>
        </w:rPr>
        <w:t>’</w:t>
      </w:r>
      <w:r w:rsidRPr="00D11D38">
        <w:rPr>
          <w:lang w:val="fr-FR"/>
        </w:rPr>
        <w:t>épaisseur minimale des parois et le filetage des bouteilles ne soient plus nécessaires</w:t>
      </w:r>
      <w:r w:rsidR="00036363" w:rsidRPr="00036363">
        <w:rPr>
          <w:lang w:val="fr-FR"/>
        </w:rPr>
        <w:t>.</w:t>
      </w:r>
      <w:r w:rsidRPr="00D11D38">
        <w:rPr>
          <w:lang w:val="fr-FR"/>
        </w:rPr>
        <w:t xml:space="preserve"> Certaines délégations souhaitaient qu</w:t>
      </w:r>
      <w:r w:rsidR="00887612">
        <w:rPr>
          <w:lang w:val="fr-FR"/>
        </w:rPr>
        <w:t>’</w:t>
      </w:r>
      <w:r w:rsidRPr="00D11D38">
        <w:rPr>
          <w:lang w:val="fr-FR"/>
        </w:rPr>
        <w:t>on adopte une approche plus systématique au lieu de prévoir une exemption, tandis que d</w:t>
      </w:r>
      <w:r w:rsidR="00887612">
        <w:rPr>
          <w:lang w:val="fr-FR"/>
        </w:rPr>
        <w:t>’</w:t>
      </w:r>
      <w:r w:rsidRPr="00D11D38">
        <w:rPr>
          <w:lang w:val="fr-FR"/>
        </w:rPr>
        <w:t>autres ont souligné qu</w:t>
      </w:r>
      <w:r w:rsidR="00887612">
        <w:rPr>
          <w:lang w:val="fr-FR"/>
        </w:rPr>
        <w:t>’</w:t>
      </w:r>
      <w:r w:rsidRPr="00D11D38">
        <w:rPr>
          <w:lang w:val="fr-FR"/>
        </w:rPr>
        <w:t>il fallait étudier soigneusement les gaz supplémentaires qu</w:t>
      </w:r>
      <w:r w:rsidR="00887612">
        <w:rPr>
          <w:lang w:val="fr-FR"/>
        </w:rPr>
        <w:t>’</w:t>
      </w:r>
      <w:r w:rsidRPr="00D11D38">
        <w:rPr>
          <w:lang w:val="fr-FR"/>
        </w:rPr>
        <w:t>il était proposé d</w:t>
      </w:r>
      <w:r w:rsidR="00887612">
        <w:rPr>
          <w:lang w:val="fr-FR"/>
        </w:rPr>
        <w:t>’</w:t>
      </w:r>
      <w:r w:rsidRPr="00D11D38">
        <w:rPr>
          <w:lang w:val="fr-FR"/>
        </w:rPr>
        <w:t xml:space="preserve">inclure au </w:t>
      </w: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3</w:t>
      </w:r>
      <w:r w:rsidR="00036363" w:rsidRPr="00036363">
        <w:rPr>
          <w:lang w:val="fr-FR"/>
        </w:rPr>
        <w:t>.</w:t>
      </w:r>
      <w:r w:rsidRPr="00036363">
        <w:rPr>
          <w:lang w:val="fr-FR"/>
        </w:rPr>
        <w:t>9</w:t>
      </w:r>
      <w:r w:rsidR="00036363" w:rsidRPr="00036363">
        <w:rPr>
          <w:lang w:val="fr-FR"/>
        </w:rPr>
        <w:t>.</w:t>
      </w:r>
      <w:r w:rsidRPr="00036363">
        <w:rPr>
          <w:lang w:val="fr-FR"/>
        </w:rPr>
        <w:t>4</w:t>
      </w:r>
      <w:r w:rsidRPr="00D11D38">
        <w:rPr>
          <w:lang w:val="fr-FR"/>
        </w:rPr>
        <w:t xml:space="preserve"> afin d</w:t>
      </w:r>
      <w:r w:rsidR="00887612">
        <w:rPr>
          <w:lang w:val="fr-FR"/>
        </w:rPr>
        <w:t>’</w:t>
      </w:r>
      <w:r w:rsidRPr="00D11D38">
        <w:rPr>
          <w:lang w:val="fr-FR"/>
        </w:rPr>
        <w:t>éviter qu</w:t>
      </w:r>
      <w:r w:rsidR="00887612">
        <w:rPr>
          <w:lang w:val="fr-FR"/>
        </w:rPr>
        <w:t>’</w:t>
      </w:r>
      <w:r w:rsidRPr="00D11D38">
        <w:rPr>
          <w:lang w:val="fr-FR"/>
        </w:rPr>
        <w:t>il y ait des lacunes dans les procédures de contrôle</w:t>
      </w:r>
      <w:r w:rsidR="00036363" w:rsidRPr="00036363">
        <w:rPr>
          <w:lang w:val="fr-FR"/>
        </w:rPr>
        <w:t>.</w:t>
      </w:r>
    </w:p>
    <w:p w14:paraId="7FA64465" w14:textId="71219DEE" w:rsidR="00CE245A" w:rsidRPr="00D11D38" w:rsidRDefault="00CE245A" w:rsidP="00CD20E5">
      <w:pPr>
        <w:pStyle w:val="SingleTxtG"/>
        <w:rPr>
          <w:lang w:val="fr-FR"/>
        </w:rPr>
      </w:pPr>
      <w:r w:rsidRPr="00036363">
        <w:rPr>
          <w:lang w:val="fr-FR"/>
        </w:rPr>
        <w:t>26</w:t>
      </w:r>
      <w:r w:rsidR="00036363" w:rsidRPr="00036363">
        <w:rPr>
          <w:lang w:val="fr-FR"/>
        </w:rPr>
        <w:t>.</w:t>
      </w:r>
      <w:r w:rsidRPr="00D11D38">
        <w:rPr>
          <w:lang w:val="fr-FR"/>
        </w:rPr>
        <w:tab/>
        <w:t xml:space="preserve">Le représentant de </w:t>
      </w:r>
      <w:proofErr w:type="spellStart"/>
      <w:r w:rsidRPr="00D11D38">
        <w:rPr>
          <w:lang w:val="fr-FR"/>
        </w:rPr>
        <w:t>Liquid</w:t>
      </w:r>
      <w:proofErr w:type="spellEnd"/>
      <w:r w:rsidRPr="00D11D38">
        <w:rPr>
          <w:lang w:val="fr-FR"/>
        </w:rPr>
        <w:t xml:space="preserve"> Gas Europe a invité toutes les délégations à lui faire parvenir leurs commentaires par courrier électronique</w:t>
      </w:r>
      <w:r w:rsidR="00036363" w:rsidRPr="00036363">
        <w:rPr>
          <w:lang w:val="fr-FR"/>
        </w:rPr>
        <w:t>.</w:t>
      </w:r>
      <w:r w:rsidRPr="00D11D38">
        <w:rPr>
          <w:lang w:val="fr-FR"/>
        </w:rPr>
        <w:t xml:space="preserve"> Il s</w:t>
      </w:r>
      <w:r w:rsidR="00887612">
        <w:rPr>
          <w:lang w:val="fr-FR"/>
        </w:rPr>
        <w:t>’</w:t>
      </w:r>
      <w:r w:rsidRPr="00D11D38">
        <w:rPr>
          <w:lang w:val="fr-FR"/>
        </w:rPr>
        <w:t>est proposé de faire des recherches sur l</w:t>
      </w:r>
      <w:r w:rsidR="00887612">
        <w:rPr>
          <w:lang w:val="fr-FR"/>
        </w:rPr>
        <w:t>’</w:t>
      </w:r>
      <w:r w:rsidRPr="00D11D38">
        <w:rPr>
          <w:lang w:val="fr-FR"/>
        </w:rPr>
        <w:t>historique des dispositions actuelles et de communiquer des informations supplémentaires à la Réunion commune</w:t>
      </w:r>
      <w:r w:rsidR="00036363" w:rsidRPr="00036363">
        <w:rPr>
          <w:lang w:val="fr-FR"/>
        </w:rPr>
        <w:t>.</w:t>
      </w:r>
      <w:r w:rsidRPr="00D11D38">
        <w:rPr>
          <w:lang w:val="fr-FR"/>
        </w:rPr>
        <w:t xml:space="preserve"> Il a été convenu de reprendre l</w:t>
      </w:r>
      <w:r w:rsidR="00887612">
        <w:rPr>
          <w:lang w:val="fr-FR"/>
        </w:rPr>
        <w:t>’</w:t>
      </w:r>
      <w:r w:rsidRPr="00D11D38">
        <w:rPr>
          <w:lang w:val="fr-FR"/>
        </w:rPr>
        <w:t xml:space="preserve">examen de cette question à la session suivante, en mars </w:t>
      </w:r>
      <w:r w:rsidRPr="00036363">
        <w:rPr>
          <w:lang w:val="fr-FR"/>
        </w:rPr>
        <w:t>2025</w:t>
      </w:r>
      <w:r w:rsidR="00036363" w:rsidRPr="00036363">
        <w:rPr>
          <w:lang w:val="fr-FR"/>
        </w:rPr>
        <w:t>.</w:t>
      </w:r>
    </w:p>
    <w:p w14:paraId="289AE4FB" w14:textId="7A4C6A4C" w:rsidR="00CE245A" w:rsidRPr="00D11D38" w:rsidRDefault="00CE245A" w:rsidP="00CD20E5">
      <w:pPr>
        <w:pStyle w:val="H23G"/>
        <w:rPr>
          <w:lang w:val="fr-FR"/>
        </w:rPr>
      </w:pPr>
      <w:r w:rsidRPr="00D11D38">
        <w:rPr>
          <w:lang w:val="fr-FR"/>
        </w:rPr>
        <w:tab/>
      </w:r>
      <w:r w:rsidRPr="00036363">
        <w:rPr>
          <w:lang w:val="fr-FR"/>
        </w:rPr>
        <w:t>2</w:t>
      </w:r>
      <w:r w:rsidR="00036363" w:rsidRPr="00036363">
        <w:rPr>
          <w:lang w:val="fr-FR"/>
        </w:rPr>
        <w:t>.</w:t>
      </w:r>
      <w:r w:rsidRPr="00D11D38">
        <w:rPr>
          <w:lang w:val="fr-FR"/>
        </w:rPr>
        <w:tab/>
        <w:t>Définition révisée du terme «</w:t>
      </w:r>
      <w:r w:rsidR="00B4054B">
        <w:rPr>
          <w:lang w:val="fr-FR"/>
        </w:rPr>
        <w:t> </w:t>
      </w:r>
      <w:r w:rsidRPr="00D11D38">
        <w:rPr>
          <w:lang w:val="fr-FR"/>
        </w:rPr>
        <w:t>gaz de pétrole liquéfié</w:t>
      </w:r>
      <w:r w:rsidR="00B4054B">
        <w:rPr>
          <w:lang w:val="fr-FR"/>
        </w:rPr>
        <w:t> </w:t>
      </w:r>
      <w:r w:rsidRPr="00D11D38">
        <w:rPr>
          <w:lang w:val="fr-FR"/>
        </w:rPr>
        <w:t>»</w:t>
      </w:r>
    </w:p>
    <w:p w14:paraId="594F48A0" w14:textId="36D0B5C1"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44</w:t>
      </w:r>
      <w:r w:rsidRPr="00D11D38">
        <w:rPr>
          <w:lang w:val="fr-FR"/>
        </w:rPr>
        <w:t xml:space="preserve"> (</w:t>
      </w:r>
      <w:proofErr w:type="spellStart"/>
      <w:r w:rsidRPr="00D11D38">
        <w:rPr>
          <w:lang w:val="fr-FR"/>
        </w:rPr>
        <w:t>Liquid</w:t>
      </w:r>
      <w:proofErr w:type="spellEnd"/>
      <w:r w:rsidRPr="00D11D38">
        <w:rPr>
          <w:lang w:val="fr-FR"/>
        </w:rPr>
        <w:t xml:space="preserve"> Gas Europe)</w:t>
      </w:r>
    </w:p>
    <w:p w14:paraId="51A1FAFD" w14:textId="10E0CB5A"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4F049E" w:rsidRPr="00036363">
        <w:rPr>
          <w:i/>
          <w:iCs/>
          <w:lang w:val="fr-FR"/>
        </w:rPr>
        <w:t>s</w:t>
      </w:r>
      <w:r w:rsidRPr="00036363">
        <w:rPr>
          <w:i/>
          <w:iCs/>
          <w:lang w:val="fr-FR"/>
        </w:rPr>
        <w:t xml:space="preserve"> informel</w:t>
      </w:r>
      <w:r w:rsidR="004F049E">
        <w:rPr>
          <w:i/>
          <w:iCs/>
          <w:lang w:val="fr-FR"/>
        </w:rPr>
        <w:t>s</w:t>
      </w:r>
      <w:r w:rsidR="00FC5953" w:rsidRPr="00FC5953">
        <w:rPr>
          <w:iCs/>
          <w:lang w:val="fr-FR"/>
        </w:rPr>
        <w:t> :</w:t>
      </w:r>
      <w:r w:rsidRPr="00D11D38">
        <w:rPr>
          <w:lang w:val="fr-FR"/>
        </w:rPr>
        <w:tab/>
        <w:t>INF</w:t>
      </w:r>
      <w:r w:rsidR="00036363" w:rsidRPr="00036363">
        <w:rPr>
          <w:lang w:val="fr-FR"/>
        </w:rPr>
        <w:t>.</w:t>
      </w:r>
      <w:r w:rsidRPr="00036363">
        <w:rPr>
          <w:lang w:val="fr-FR"/>
        </w:rPr>
        <w:t>27</w:t>
      </w:r>
      <w:r w:rsidRPr="00D11D38">
        <w:rPr>
          <w:lang w:val="fr-FR"/>
        </w:rPr>
        <w:t xml:space="preserve"> et INF</w:t>
      </w:r>
      <w:r w:rsidR="00036363" w:rsidRPr="00036363">
        <w:rPr>
          <w:lang w:val="fr-FR"/>
        </w:rPr>
        <w:t>.</w:t>
      </w:r>
      <w:r w:rsidRPr="00036363">
        <w:rPr>
          <w:lang w:val="fr-FR"/>
        </w:rPr>
        <w:t>27</w:t>
      </w:r>
      <w:r w:rsidRPr="00D11D38">
        <w:rPr>
          <w:lang w:val="fr-FR"/>
        </w:rPr>
        <w:t>/Rev</w:t>
      </w:r>
      <w:r w:rsidR="00036363" w:rsidRPr="00036363">
        <w:rPr>
          <w:lang w:val="fr-FR"/>
        </w:rPr>
        <w:t>.</w:t>
      </w:r>
      <w:r w:rsidRPr="00036363">
        <w:rPr>
          <w:lang w:val="fr-FR"/>
        </w:rPr>
        <w:t>1</w:t>
      </w:r>
      <w:r w:rsidRPr="00D11D38">
        <w:rPr>
          <w:lang w:val="fr-FR"/>
        </w:rPr>
        <w:t xml:space="preserve"> (</w:t>
      </w:r>
      <w:proofErr w:type="spellStart"/>
      <w:r w:rsidRPr="00D11D38">
        <w:rPr>
          <w:lang w:val="fr-FR"/>
        </w:rPr>
        <w:t>Liquid</w:t>
      </w:r>
      <w:proofErr w:type="spellEnd"/>
      <w:r w:rsidRPr="00D11D38">
        <w:rPr>
          <w:lang w:val="fr-FR"/>
        </w:rPr>
        <w:t xml:space="preserve"> Gas Europe)</w:t>
      </w:r>
    </w:p>
    <w:p w14:paraId="4E26A615" w14:textId="1A62EEAD" w:rsidR="00CE245A" w:rsidRPr="00D11D38" w:rsidRDefault="00CE245A" w:rsidP="00CD20E5">
      <w:pPr>
        <w:pStyle w:val="SingleTxtG"/>
        <w:rPr>
          <w:lang w:val="fr-FR"/>
        </w:rPr>
      </w:pPr>
      <w:r w:rsidRPr="00036363">
        <w:rPr>
          <w:lang w:val="fr-FR"/>
        </w:rPr>
        <w:t>27</w:t>
      </w:r>
      <w:r w:rsidR="00036363" w:rsidRPr="00036363">
        <w:rPr>
          <w:lang w:val="fr-FR"/>
        </w:rPr>
        <w:t>.</w:t>
      </w:r>
      <w:r w:rsidRPr="00D11D38">
        <w:rPr>
          <w:lang w:val="fr-FR"/>
        </w:rPr>
        <w:tab/>
        <w:t>Rappelant ses discussions antérieures sur le sujet, la Réunion commune a pris acte de la décision prise par le Sous-Comité d</w:t>
      </w:r>
      <w:r w:rsidR="00887612">
        <w:rPr>
          <w:lang w:val="fr-FR"/>
        </w:rPr>
        <w:t>’</w:t>
      </w:r>
      <w:r w:rsidRPr="00D11D38">
        <w:rPr>
          <w:lang w:val="fr-FR"/>
        </w:rPr>
        <w:t xml:space="preserve">experts du transport des marchandises dangereuses (Sous-Comité TMD), à sa session de juin </w:t>
      </w:r>
      <w:r w:rsidRPr="00036363">
        <w:rPr>
          <w:lang w:val="fr-FR"/>
        </w:rPr>
        <w:t>2024</w:t>
      </w:r>
      <w:r w:rsidRPr="00D11D38">
        <w:rPr>
          <w:lang w:val="fr-FR"/>
        </w:rPr>
        <w:t>, d</w:t>
      </w:r>
      <w:r w:rsidR="00887612">
        <w:rPr>
          <w:lang w:val="fr-FR"/>
        </w:rPr>
        <w:t>’</w:t>
      </w:r>
      <w:r w:rsidRPr="00D11D38">
        <w:rPr>
          <w:lang w:val="fr-FR"/>
        </w:rPr>
        <w:t>accepter une disposition spéciale permettant l</w:t>
      </w:r>
      <w:r w:rsidR="00887612">
        <w:rPr>
          <w:lang w:val="fr-FR"/>
        </w:rPr>
        <w:t>’</w:t>
      </w:r>
      <w:r w:rsidRPr="00D11D38">
        <w:rPr>
          <w:lang w:val="fr-FR"/>
        </w:rPr>
        <w:t xml:space="preserve">affectation des mélanges de GPL ne contenant pas plus de </w:t>
      </w:r>
      <w:r w:rsidRPr="00036363">
        <w:rPr>
          <w:lang w:val="fr-FR"/>
        </w:rPr>
        <w:t>12</w:t>
      </w:r>
      <w:r w:rsidR="00887612">
        <w:rPr>
          <w:lang w:val="fr-FR"/>
        </w:rPr>
        <w:t> %</w:t>
      </w:r>
      <w:r w:rsidRPr="00D11D38">
        <w:rPr>
          <w:lang w:val="fr-FR"/>
        </w:rPr>
        <w:t xml:space="preserve"> (masse) d</w:t>
      </w:r>
      <w:r w:rsidR="00887612">
        <w:rPr>
          <w:lang w:val="fr-FR"/>
        </w:rPr>
        <w:t>’</w:t>
      </w:r>
      <w:r w:rsidRPr="00D11D38">
        <w:rPr>
          <w:lang w:val="fr-FR"/>
        </w:rPr>
        <w:t xml:space="preserve">éther méthylique ou diméthyléther (DME) au </w:t>
      </w:r>
      <w:r w:rsidR="00887612">
        <w:rPr>
          <w:lang w:val="fr-FR"/>
        </w:rPr>
        <w:t>N</w:t>
      </w:r>
      <w:r w:rsidR="00887612" w:rsidRPr="002C26C9">
        <w:rPr>
          <w:lang w:val="fr-FR"/>
        </w:rPr>
        <w:t>o</w:t>
      </w:r>
      <w:r>
        <w:rPr>
          <w:lang w:val="fr-FR"/>
        </w:rPr>
        <w:t> </w:t>
      </w:r>
      <w:r w:rsidRPr="00D11D38">
        <w:rPr>
          <w:lang w:val="fr-FR"/>
        </w:rPr>
        <w:t>ONU </w:t>
      </w:r>
      <w:r w:rsidRPr="00036363">
        <w:rPr>
          <w:lang w:val="fr-FR"/>
        </w:rPr>
        <w:t>1075</w:t>
      </w:r>
      <w:r w:rsidRPr="00D11D38">
        <w:rPr>
          <w:lang w:val="fr-FR"/>
        </w:rPr>
        <w:t xml:space="preserve"> et au </w:t>
      </w:r>
      <w:r w:rsidR="00887612">
        <w:rPr>
          <w:lang w:val="fr-FR"/>
        </w:rPr>
        <w:t>N</w:t>
      </w:r>
      <w:r w:rsidR="00887612" w:rsidRPr="002C26C9">
        <w:rPr>
          <w:lang w:val="fr-FR"/>
        </w:rPr>
        <w:t>o</w:t>
      </w:r>
      <w:r>
        <w:rPr>
          <w:lang w:val="fr-FR"/>
        </w:rPr>
        <w:t> </w:t>
      </w:r>
      <w:r w:rsidRPr="00D11D38">
        <w:rPr>
          <w:lang w:val="fr-FR"/>
        </w:rPr>
        <w:t>ONU </w:t>
      </w:r>
      <w:r w:rsidRPr="00036363">
        <w:rPr>
          <w:lang w:val="fr-FR"/>
        </w:rPr>
        <w:t>1965</w:t>
      </w:r>
      <w:r w:rsidR="00036363" w:rsidRPr="00036363">
        <w:rPr>
          <w:lang w:val="fr-FR"/>
        </w:rPr>
        <w:t>.</w:t>
      </w:r>
      <w:r w:rsidRPr="00D11D38">
        <w:rPr>
          <w:lang w:val="fr-FR"/>
        </w:rPr>
        <w:t xml:space="preserve"> Ces</w:t>
      </w:r>
      <w:r w:rsidR="00E02FD9">
        <w:rPr>
          <w:lang w:val="fr-FR"/>
        </w:rPr>
        <w:t> </w:t>
      </w:r>
      <w:r w:rsidRPr="00D11D38">
        <w:rPr>
          <w:lang w:val="fr-FR"/>
        </w:rPr>
        <w:t>amendements seraient intégrés dans la vingt-quatrième édition révisée du Règlement type, qui devrait être publiée au milieu de l</w:t>
      </w:r>
      <w:r w:rsidR="00887612">
        <w:rPr>
          <w:lang w:val="fr-FR"/>
        </w:rPr>
        <w:t>’</w:t>
      </w:r>
      <w:r w:rsidRPr="00D11D38">
        <w:rPr>
          <w:lang w:val="fr-FR"/>
        </w:rPr>
        <w:t xml:space="preserve">année </w:t>
      </w:r>
      <w:r w:rsidRPr="00036363">
        <w:rPr>
          <w:lang w:val="fr-FR"/>
        </w:rPr>
        <w:t>2025</w:t>
      </w:r>
      <w:r w:rsidR="00036363" w:rsidRPr="00036363">
        <w:rPr>
          <w:lang w:val="fr-FR"/>
        </w:rPr>
        <w:t>.</w:t>
      </w:r>
    </w:p>
    <w:p w14:paraId="3BBE5C3B" w14:textId="584C2BA3" w:rsidR="00CE245A" w:rsidRPr="00D11D38" w:rsidRDefault="00CE245A" w:rsidP="00CD20E5">
      <w:pPr>
        <w:pStyle w:val="SingleTxtG"/>
        <w:rPr>
          <w:lang w:val="fr-FR"/>
        </w:rPr>
      </w:pPr>
      <w:r w:rsidRPr="00036363">
        <w:rPr>
          <w:lang w:val="fr-FR"/>
        </w:rPr>
        <w:t>28</w:t>
      </w:r>
      <w:r w:rsidR="00036363" w:rsidRPr="00036363">
        <w:rPr>
          <w:lang w:val="fr-FR"/>
        </w:rPr>
        <w:t>.</w:t>
      </w:r>
      <w:r w:rsidRPr="00D11D38">
        <w:rPr>
          <w:lang w:val="fr-FR"/>
        </w:rPr>
        <w:tab/>
        <w:t>Sur la base du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44</w:t>
      </w:r>
      <w:r w:rsidRPr="00D11D38">
        <w:rPr>
          <w:lang w:val="fr-FR"/>
        </w:rPr>
        <w:t xml:space="preserve"> et du document informel INF</w:t>
      </w:r>
      <w:r w:rsidR="00036363" w:rsidRPr="00036363">
        <w:rPr>
          <w:lang w:val="fr-FR"/>
        </w:rPr>
        <w:t>.</w:t>
      </w:r>
      <w:r w:rsidRPr="00036363">
        <w:rPr>
          <w:lang w:val="fr-FR"/>
        </w:rPr>
        <w:t>27</w:t>
      </w:r>
      <w:r w:rsidRPr="00D11D38">
        <w:rPr>
          <w:lang w:val="fr-FR"/>
        </w:rPr>
        <w:t xml:space="preserve">, la Réunion commune a discuté de la meilleure manière de donner suite à cette décision dans les éditions </w:t>
      </w:r>
      <w:r w:rsidRPr="00036363">
        <w:rPr>
          <w:lang w:val="fr-FR"/>
        </w:rPr>
        <w:t>2027</w:t>
      </w:r>
      <w:r w:rsidRPr="00D11D38">
        <w:rPr>
          <w:lang w:val="fr-FR"/>
        </w:rPr>
        <w:t xml:space="preserve"> du RID, de l</w:t>
      </w:r>
      <w:r w:rsidR="00887612">
        <w:rPr>
          <w:lang w:val="fr-FR"/>
        </w:rPr>
        <w:t>’</w:t>
      </w:r>
      <w:r w:rsidRPr="00D11D38">
        <w:rPr>
          <w:lang w:val="fr-FR"/>
        </w:rPr>
        <w:t>ADR et de l</w:t>
      </w:r>
      <w:r w:rsidR="00887612">
        <w:rPr>
          <w:lang w:val="fr-FR"/>
        </w:rPr>
        <w:t>’</w:t>
      </w:r>
      <w:r w:rsidRPr="00D11D38">
        <w:rPr>
          <w:lang w:val="fr-FR"/>
        </w:rPr>
        <w:t>ADN</w:t>
      </w:r>
      <w:r w:rsidR="00036363" w:rsidRPr="00036363">
        <w:rPr>
          <w:lang w:val="fr-FR"/>
        </w:rPr>
        <w:t>.</w:t>
      </w:r>
    </w:p>
    <w:p w14:paraId="10E50CCB" w14:textId="76565AC6" w:rsidR="00CE245A" w:rsidRPr="00D11D38" w:rsidRDefault="00CE245A" w:rsidP="00CD20E5">
      <w:pPr>
        <w:pStyle w:val="SingleTxtG"/>
        <w:rPr>
          <w:lang w:val="fr-FR"/>
        </w:rPr>
      </w:pPr>
      <w:r w:rsidRPr="00036363">
        <w:rPr>
          <w:lang w:val="fr-FR"/>
        </w:rPr>
        <w:lastRenderedPageBreak/>
        <w:t>29</w:t>
      </w:r>
      <w:r w:rsidR="00036363" w:rsidRPr="00036363">
        <w:rPr>
          <w:lang w:val="fr-FR"/>
        </w:rPr>
        <w:t>.</w:t>
      </w:r>
      <w:r w:rsidRPr="00D11D38">
        <w:rPr>
          <w:lang w:val="fr-FR"/>
        </w:rPr>
        <w:tab/>
        <w:t>À l</w:t>
      </w:r>
      <w:r w:rsidR="00887612">
        <w:rPr>
          <w:lang w:val="fr-FR"/>
        </w:rPr>
        <w:t>’</w:t>
      </w:r>
      <w:r w:rsidRPr="00D11D38">
        <w:rPr>
          <w:lang w:val="fr-FR"/>
        </w:rPr>
        <w:t>issue de la discussion, la Réunion commune a adopté les amendements proposés dans le document informel INF</w:t>
      </w:r>
      <w:r w:rsidR="00036363" w:rsidRPr="00036363">
        <w:rPr>
          <w:lang w:val="fr-FR"/>
        </w:rPr>
        <w:t>.</w:t>
      </w:r>
      <w:r w:rsidRPr="00036363">
        <w:rPr>
          <w:lang w:val="fr-FR"/>
        </w:rPr>
        <w:t>27</w:t>
      </w:r>
      <w:r w:rsidRPr="00D11D38">
        <w:rPr>
          <w:lang w:val="fr-FR"/>
        </w:rPr>
        <w:t>/Rev</w:t>
      </w:r>
      <w:r w:rsidR="00036363" w:rsidRPr="00036363">
        <w:rPr>
          <w:lang w:val="fr-FR"/>
        </w:rPr>
        <w:t>.</w:t>
      </w:r>
      <w:r w:rsidRPr="00036363">
        <w:rPr>
          <w:lang w:val="fr-FR"/>
        </w:rPr>
        <w:t>1</w:t>
      </w:r>
      <w:r w:rsidRPr="00D11D38">
        <w:rPr>
          <w:lang w:val="fr-FR"/>
        </w:rPr>
        <w:t xml:space="preserve"> (voir annexe II)</w:t>
      </w:r>
      <w:r w:rsidR="00036363" w:rsidRPr="00036363">
        <w:rPr>
          <w:lang w:val="fr-FR"/>
        </w:rPr>
        <w:t>.</w:t>
      </w:r>
    </w:p>
    <w:p w14:paraId="3E28748E" w14:textId="307D4CE5" w:rsidR="00CE245A" w:rsidRPr="00D11D38" w:rsidRDefault="00CE245A" w:rsidP="00CD20E5">
      <w:pPr>
        <w:pStyle w:val="SingleTxtG"/>
        <w:rPr>
          <w:lang w:val="fr-FR"/>
        </w:rPr>
      </w:pPr>
      <w:r w:rsidRPr="00036363">
        <w:rPr>
          <w:lang w:val="fr-FR"/>
        </w:rPr>
        <w:t>30</w:t>
      </w:r>
      <w:r w:rsidR="00036363" w:rsidRPr="00036363">
        <w:rPr>
          <w:lang w:val="fr-FR"/>
        </w:rPr>
        <w:t>.</w:t>
      </w:r>
      <w:r w:rsidRPr="00D11D38">
        <w:rPr>
          <w:lang w:val="fr-FR"/>
        </w:rPr>
        <w:tab/>
        <w:t>Le Président du Sous-Comité TMD s</w:t>
      </w:r>
      <w:r w:rsidR="00887612">
        <w:rPr>
          <w:lang w:val="fr-FR"/>
        </w:rPr>
        <w:t>’</w:t>
      </w:r>
      <w:r w:rsidRPr="00D11D38">
        <w:rPr>
          <w:lang w:val="fr-FR"/>
        </w:rPr>
        <w:t>est félicité de la décision de la Réunion commune de faire concorder la définition du terme « gaz de pétrole liquéfié » dans le RID, l</w:t>
      </w:r>
      <w:r w:rsidR="00887612">
        <w:rPr>
          <w:lang w:val="fr-FR"/>
        </w:rPr>
        <w:t>’</w:t>
      </w:r>
      <w:r w:rsidRPr="00D11D38">
        <w:rPr>
          <w:lang w:val="fr-FR"/>
        </w:rPr>
        <w:t>ADR et l</w:t>
      </w:r>
      <w:r w:rsidR="00887612">
        <w:rPr>
          <w:lang w:val="fr-FR"/>
        </w:rPr>
        <w:t>’</w:t>
      </w:r>
      <w:r w:rsidRPr="00D11D38">
        <w:rPr>
          <w:lang w:val="fr-FR"/>
        </w:rPr>
        <w:t>ADN avec la nouvelle disposition spéciale que le Sous-Comité TMD avait décidé d</w:t>
      </w:r>
      <w:r w:rsidR="00887612">
        <w:rPr>
          <w:lang w:val="fr-FR"/>
        </w:rPr>
        <w:t>’</w:t>
      </w:r>
      <w:r w:rsidRPr="00D11D38">
        <w:rPr>
          <w:lang w:val="fr-FR"/>
        </w:rPr>
        <w:t>inclure dans la vingt-quatrième édition du Règlement type</w:t>
      </w:r>
      <w:r w:rsidR="00036363" w:rsidRPr="00036363">
        <w:rPr>
          <w:lang w:val="fr-FR"/>
        </w:rPr>
        <w:t>.</w:t>
      </w:r>
    </w:p>
    <w:p w14:paraId="310C36E4" w14:textId="3EF05F0B" w:rsidR="00CE245A" w:rsidRPr="00D11D38" w:rsidRDefault="00CE245A" w:rsidP="00CD20E5">
      <w:pPr>
        <w:pStyle w:val="H23G"/>
        <w:rPr>
          <w:lang w:val="fr-FR"/>
        </w:rPr>
      </w:pPr>
      <w:r w:rsidRPr="00D11D38">
        <w:rPr>
          <w:lang w:val="fr-FR"/>
        </w:rPr>
        <w:tab/>
      </w:r>
      <w:r w:rsidRPr="00036363">
        <w:rPr>
          <w:lang w:val="fr-FR"/>
        </w:rPr>
        <w:t>3</w:t>
      </w:r>
      <w:r w:rsidR="00036363" w:rsidRPr="00036363">
        <w:rPr>
          <w:lang w:val="fr-FR"/>
        </w:rPr>
        <w:t>.</w:t>
      </w:r>
      <w:r w:rsidRPr="00D11D38">
        <w:rPr>
          <w:lang w:val="fr-FR"/>
        </w:rPr>
        <w:tab/>
        <w:t>Livraison du dernier kilomètre</w:t>
      </w:r>
    </w:p>
    <w:p w14:paraId="3CA2915C" w14:textId="2E732CC0"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Documents informels</w:t>
      </w:r>
      <w:r w:rsidR="00FC5953" w:rsidRPr="00FC5953">
        <w:rPr>
          <w:iCs/>
          <w:lang w:val="fr-FR"/>
        </w:rPr>
        <w:t> :</w:t>
      </w:r>
      <w:r w:rsidRPr="00D11D38">
        <w:rPr>
          <w:lang w:val="fr-FR"/>
        </w:rPr>
        <w:tab/>
        <w:t>INF</w:t>
      </w:r>
      <w:r w:rsidR="00036363" w:rsidRPr="00036363">
        <w:rPr>
          <w:lang w:val="fr-FR"/>
        </w:rPr>
        <w:t>.</w:t>
      </w:r>
      <w:r w:rsidRPr="00036363">
        <w:rPr>
          <w:lang w:val="fr-FR"/>
        </w:rPr>
        <w:t>4</w:t>
      </w:r>
      <w:r w:rsidRPr="00D11D38">
        <w:rPr>
          <w:lang w:val="fr-FR"/>
        </w:rPr>
        <w:t xml:space="preserve"> (COSTHA)</w:t>
      </w:r>
      <w:r w:rsidRPr="00D11D38">
        <w:rPr>
          <w:lang w:val="fr-FR"/>
        </w:rPr>
        <w:br/>
        <w:t>INF</w:t>
      </w:r>
      <w:r w:rsidR="00036363" w:rsidRPr="00036363">
        <w:rPr>
          <w:lang w:val="fr-FR"/>
        </w:rPr>
        <w:t>.</w:t>
      </w:r>
      <w:r w:rsidRPr="00036363">
        <w:rPr>
          <w:lang w:val="fr-FR"/>
        </w:rPr>
        <w:t>12</w:t>
      </w:r>
      <w:r w:rsidRPr="00D11D38">
        <w:rPr>
          <w:lang w:val="fr-FR"/>
        </w:rPr>
        <w:t xml:space="preserve"> (FEA)</w:t>
      </w:r>
    </w:p>
    <w:p w14:paraId="43AF49AB" w14:textId="6941D5BE" w:rsidR="00CE245A" w:rsidRPr="00D11D38" w:rsidRDefault="00CE245A" w:rsidP="00CD20E5">
      <w:pPr>
        <w:pStyle w:val="SingleTxtG"/>
        <w:rPr>
          <w:lang w:val="fr-FR"/>
        </w:rPr>
      </w:pPr>
      <w:r w:rsidRPr="00036363">
        <w:rPr>
          <w:lang w:val="fr-FR"/>
        </w:rPr>
        <w:t>31</w:t>
      </w:r>
      <w:r w:rsidR="00036363" w:rsidRPr="00036363">
        <w:rPr>
          <w:lang w:val="fr-FR"/>
        </w:rPr>
        <w:t>.</w:t>
      </w:r>
      <w:r w:rsidRPr="00D11D38">
        <w:rPr>
          <w:lang w:val="fr-FR"/>
        </w:rPr>
        <w:tab/>
        <w:t>La Réunion commune a pris note des propositions contenues dans les documents informels INF</w:t>
      </w:r>
      <w:r w:rsidR="00036363" w:rsidRPr="00036363">
        <w:rPr>
          <w:lang w:val="fr-FR"/>
        </w:rPr>
        <w:t>.</w:t>
      </w:r>
      <w:r w:rsidRPr="00036363">
        <w:rPr>
          <w:lang w:val="fr-FR"/>
        </w:rPr>
        <w:t>4</w:t>
      </w:r>
      <w:r w:rsidRPr="00D11D38">
        <w:rPr>
          <w:lang w:val="fr-FR"/>
        </w:rPr>
        <w:t xml:space="preserve"> et INF</w:t>
      </w:r>
      <w:r w:rsidR="00036363" w:rsidRPr="00036363">
        <w:rPr>
          <w:lang w:val="fr-FR"/>
        </w:rPr>
        <w:t>.</w:t>
      </w:r>
      <w:r w:rsidRPr="00036363">
        <w:rPr>
          <w:lang w:val="fr-FR"/>
        </w:rPr>
        <w:t>12</w:t>
      </w:r>
      <w:r w:rsidR="00036363" w:rsidRPr="00036363">
        <w:rPr>
          <w:lang w:val="fr-FR"/>
        </w:rPr>
        <w:t>.</w:t>
      </w:r>
      <w:r w:rsidRPr="00D11D38">
        <w:rPr>
          <w:lang w:val="fr-FR"/>
        </w:rPr>
        <w:t xml:space="preserve"> La plupart des représentants ont estimé que la portée des propositions était trop vaste, mais ont reconnu qu</w:t>
      </w:r>
      <w:r w:rsidR="00887612">
        <w:rPr>
          <w:lang w:val="fr-FR"/>
        </w:rPr>
        <w:t>’</w:t>
      </w:r>
      <w:r w:rsidRPr="00D11D38">
        <w:rPr>
          <w:lang w:val="fr-FR"/>
        </w:rPr>
        <w:t>il fallait résoudre la question exposée dans le document informel INF</w:t>
      </w:r>
      <w:r w:rsidR="00036363" w:rsidRPr="00036363">
        <w:rPr>
          <w:lang w:val="fr-FR"/>
        </w:rPr>
        <w:t>.</w:t>
      </w:r>
      <w:r w:rsidRPr="00036363">
        <w:rPr>
          <w:lang w:val="fr-FR"/>
        </w:rPr>
        <w:t>4</w:t>
      </w:r>
      <w:r w:rsidR="00036363" w:rsidRPr="00036363">
        <w:rPr>
          <w:lang w:val="fr-FR"/>
        </w:rPr>
        <w:t>.</w:t>
      </w:r>
    </w:p>
    <w:p w14:paraId="36A9F765" w14:textId="46FC84F2" w:rsidR="00CE245A" w:rsidRPr="00D11D38" w:rsidRDefault="00CE245A" w:rsidP="00CD20E5">
      <w:pPr>
        <w:pStyle w:val="SingleTxtG"/>
        <w:rPr>
          <w:lang w:val="fr-FR"/>
        </w:rPr>
      </w:pPr>
      <w:r w:rsidRPr="00036363">
        <w:rPr>
          <w:lang w:val="fr-FR"/>
        </w:rPr>
        <w:t>32</w:t>
      </w:r>
      <w:r w:rsidR="00036363" w:rsidRPr="00036363">
        <w:rPr>
          <w:lang w:val="fr-FR"/>
        </w:rPr>
        <w:t>.</w:t>
      </w:r>
      <w:r w:rsidRPr="00D11D38">
        <w:rPr>
          <w:lang w:val="fr-FR"/>
        </w:rPr>
        <w:tab/>
        <w:t>Le représentant du COSTHA s</w:t>
      </w:r>
      <w:r w:rsidR="00887612">
        <w:rPr>
          <w:lang w:val="fr-FR"/>
        </w:rPr>
        <w:t>’</w:t>
      </w:r>
      <w:r w:rsidRPr="00D11D38">
        <w:rPr>
          <w:lang w:val="fr-FR"/>
        </w:rPr>
        <w:t xml:space="preserve">est proposé de soumettre une proposition révisée en tenant compte des observations formulées lors des débats en séance plénière et de la réunion du </w:t>
      </w:r>
      <w:r>
        <w:rPr>
          <w:lang w:val="fr-FR"/>
        </w:rPr>
        <w:t>g</w:t>
      </w:r>
      <w:r w:rsidRPr="00D11D38">
        <w:rPr>
          <w:lang w:val="fr-FR"/>
        </w:rPr>
        <w:t>roupe de travail tenue à l</w:t>
      </w:r>
      <w:r w:rsidR="00887612">
        <w:rPr>
          <w:lang w:val="fr-FR"/>
        </w:rPr>
        <w:t>’</w:t>
      </w:r>
      <w:r w:rsidRPr="00D11D38">
        <w:rPr>
          <w:lang w:val="fr-FR"/>
        </w:rPr>
        <w:t>heure du déjeuner</w:t>
      </w:r>
      <w:r w:rsidR="00036363" w:rsidRPr="00036363">
        <w:rPr>
          <w:lang w:val="fr-FR"/>
        </w:rPr>
        <w:t>.</w:t>
      </w:r>
    </w:p>
    <w:p w14:paraId="3184A21A" w14:textId="6AD9185D" w:rsidR="00CE245A" w:rsidRPr="00D11D38" w:rsidRDefault="00CE245A" w:rsidP="00CD20E5">
      <w:pPr>
        <w:pStyle w:val="H23G"/>
        <w:rPr>
          <w:lang w:val="fr-FR"/>
        </w:rPr>
      </w:pPr>
      <w:r w:rsidRPr="00D11D38">
        <w:rPr>
          <w:lang w:val="fr-FR"/>
        </w:rPr>
        <w:tab/>
      </w:r>
      <w:r w:rsidRPr="00036363">
        <w:rPr>
          <w:lang w:val="fr-FR"/>
        </w:rPr>
        <w:t>4</w:t>
      </w:r>
      <w:r w:rsidR="00036363" w:rsidRPr="00036363">
        <w:rPr>
          <w:lang w:val="fr-FR"/>
        </w:rPr>
        <w:t>.</w:t>
      </w:r>
      <w:r w:rsidRPr="00D11D38">
        <w:rPr>
          <w:lang w:val="fr-FR"/>
        </w:rPr>
        <w:tab/>
        <w:t>Marchandises dangereuses contenues dans des machines, des appareils ou des objets − objets usagés</w:t>
      </w:r>
    </w:p>
    <w:p w14:paraId="484B9311" w14:textId="51D3AF81"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Documents informels</w:t>
      </w:r>
      <w:r w:rsidR="00FC5953" w:rsidRPr="00FC5953">
        <w:rPr>
          <w:iCs/>
          <w:lang w:val="fr-FR"/>
        </w:rPr>
        <w:t> :</w:t>
      </w:r>
      <w:r w:rsidRPr="00D11D38">
        <w:rPr>
          <w:lang w:val="fr-FR"/>
        </w:rPr>
        <w:tab/>
        <w:t>INF</w:t>
      </w:r>
      <w:r w:rsidR="00036363" w:rsidRPr="00036363">
        <w:rPr>
          <w:lang w:val="fr-FR"/>
        </w:rPr>
        <w:t>.</w:t>
      </w:r>
      <w:r w:rsidRPr="00036363">
        <w:rPr>
          <w:lang w:val="fr-FR"/>
        </w:rPr>
        <w:t>17</w:t>
      </w:r>
      <w:r w:rsidRPr="00D11D38">
        <w:rPr>
          <w:lang w:val="fr-FR"/>
        </w:rPr>
        <w:t xml:space="preserve"> et INF</w:t>
      </w:r>
      <w:r w:rsidR="00036363" w:rsidRPr="00036363">
        <w:rPr>
          <w:lang w:val="fr-FR"/>
        </w:rPr>
        <w:t>.</w:t>
      </w:r>
      <w:r w:rsidRPr="00036363">
        <w:rPr>
          <w:lang w:val="fr-FR"/>
        </w:rPr>
        <w:t>31</w:t>
      </w:r>
      <w:r w:rsidRPr="00D11D38">
        <w:rPr>
          <w:lang w:val="fr-FR"/>
        </w:rPr>
        <w:t xml:space="preserve"> (Allemagne, Cefic)</w:t>
      </w:r>
    </w:p>
    <w:p w14:paraId="1655C1EE" w14:textId="0AFE9333" w:rsidR="00CE245A" w:rsidRPr="00D11D38" w:rsidRDefault="00CE245A" w:rsidP="00CD20E5">
      <w:pPr>
        <w:pStyle w:val="SingleTxtG"/>
        <w:rPr>
          <w:lang w:val="fr-FR"/>
        </w:rPr>
      </w:pPr>
      <w:r w:rsidRPr="00036363">
        <w:rPr>
          <w:lang w:val="fr-FR"/>
        </w:rPr>
        <w:t>33</w:t>
      </w:r>
      <w:r w:rsidR="00036363" w:rsidRPr="00036363">
        <w:rPr>
          <w:lang w:val="fr-FR"/>
        </w:rPr>
        <w:t>.</w:t>
      </w:r>
      <w:r w:rsidRPr="00D11D38">
        <w:rPr>
          <w:lang w:val="fr-FR"/>
        </w:rPr>
        <w:tab/>
        <w:t>La Réunion commune a pris note du soutien de principe accordé aux solutions proposées dans le document informel INF</w:t>
      </w:r>
      <w:r w:rsidR="00036363" w:rsidRPr="00036363">
        <w:rPr>
          <w:lang w:val="fr-FR"/>
        </w:rPr>
        <w:t>.</w:t>
      </w:r>
      <w:r w:rsidRPr="00036363">
        <w:rPr>
          <w:lang w:val="fr-FR"/>
        </w:rPr>
        <w:t>17</w:t>
      </w:r>
      <w:r w:rsidR="00036363" w:rsidRPr="00036363">
        <w:rPr>
          <w:lang w:val="fr-FR"/>
        </w:rPr>
        <w:t>.</w:t>
      </w:r>
      <w:r w:rsidRPr="00D11D38">
        <w:rPr>
          <w:lang w:val="fr-FR"/>
        </w:rPr>
        <w:t xml:space="preserve"> La plupart des représentants qui ont pris la parole étaient d</w:t>
      </w:r>
      <w:r w:rsidR="00887612">
        <w:rPr>
          <w:lang w:val="fr-FR"/>
        </w:rPr>
        <w:t>’</w:t>
      </w:r>
      <w:r w:rsidRPr="00D11D38">
        <w:rPr>
          <w:lang w:val="fr-FR"/>
        </w:rPr>
        <w:t>avis que des éclaircissements supplémentaires étaient nécessaires, quelle que soit l</w:t>
      </w:r>
      <w:r w:rsidR="00887612">
        <w:rPr>
          <w:lang w:val="fr-FR"/>
        </w:rPr>
        <w:t>’</w:t>
      </w:r>
      <w:r w:rsidRPr="00D11D38">
        <w:rPr>
          <w:lang w:val="fr-FR"/>
        </w:rPr>
        <w:t>option retenue, afin d</w:t>
      </w:r>
      <w:r w:rsidR="00887612">
        <w:rPr>
          <w:lang w:val="fr-FR"/>
        </w:rPr>
        <w:t>’</w:t>
      </w:r>
      <w:r w:rsidRPr="00D11D38">
        <w:rPr>
          <w:lang w:val="fr-FR"/>
        </w:rPr>
        <w:t>éviter que les nouvelles dispositions soient mal appliquées</w:t>
      </w:r>
      <w:r w:rsidR="00036363" w:rsidRPr="00036363">
        <w:rPr>
          <w:lang w:val="fr-FR"/>
        </w:rPr>
        <w:t>.</w:t>
      </w:r>
      <w:r w:rsidRPr="00D11D38">
        <w:rPr>
          <w:lang w:val="fr-FR"/>
        </w:rPr>
        <w:t xml:space="preserve"> Il</w:t>
      </w:r>
      <w:r w:rsidR="00957D4C">
        <w:rPr>
          <w:lang w:val="fr-FR"/>
        </w:rPr>
        <w:t> </w:t>
      </w:r>
      <w:r w:rsidRPr="00D11D38">
        <w:rPr>
          <w:lang w:val="fr-FR"/>
        </w:rPr>
        <w:t>a</w:t>
      </w:r>
      <w:r w:rsidR="00957D4C">
        <w:rPr>
          <w:lang w:val="fr-FR"/>
        </w:rPr>
        <w:t> </w:t>
      </w:r>
      <w:r w:rsidRPr="00D11D38">
        <w:rPr>
          <w:lang w:val="fr-FR"/>
        </w:rPr>
        <w:t>été convenu d</w:t>
      </w:r>
      <w:r w:rsidR="00887612">
        <w:rPr>
          <w:lang w:val="fr-FR"/>
        </w:rPr>
        <w:t>’</w:t>
      </w:r>
      <w:r w:rsidRPr="00D11D38">
        <w:rPr>
          <w:lang w:val="fr-FR"/>
        </w:rPr>
        <w:t>exclure de ces dérogations les matières ou objets des classes</w:t>
      </w:r>
      <w:r w:rsidR="00085F2A">
        <w:rPr>
          <w:lang w:val="fr-FR"/>
        </w:rPr>
        <w:t> </w:t>
      </w:r>
      <w:r w:rsidRPr="00036363">
        <w:rPr>
          <w:lang w:val="fr-FR"/>
        </w:rPr>
        <w:t>1</w:t>
      </w:r>
      <w:r w:rsidRPr="00D11D38">
        <w:rPr>
          <w:lang w:val="fr-FR"/>
        </w:rPr>
        <w:t xml:space="preserve"> et </w:t>
      </w:r>
      <w:r w:rsidRPr="00036363">
        <w:rPr>
          <w:lang w:val="fr-FR"/>
        </w:rPr>
        <w:t>7</w:t>
      </w:r>
      <w:r w:rsidRPr="00D11D38">
        <w:rPr>
          <w:lang w:val="fr-FR"/>
        </w:rPr>
        <w:t>, et</w:t>
      </w:r>
      <w:r w:rsidR="00957D4C">
        <w:rPr>
          <w:lang w:val="fr-FR"/>
        </w:rPr>
        <w:t> </w:t>
      </w:r>
      <w:r w:rsidRPr="00D11D38">
        <w:rPr>
          <w:lang w:val="fr-FR"/>
        </w:rPr>
        <w:t>d</w:t>
      </w:r>
      <w:r w:rsidR="00887612">
        <w:rPr>
          <w:lang w:val="fr-FR"/>
        </w:rPr>
        <w:t>’</w:t>
      </w:r>
      <w:r w:rsidRPr="00D11D38">
        <w:rPr>
          <w:lang w:val="fr-FR"/>
        </w:rPr>
        <w:t>envisager l</w:t>
      </w:r>
      <w:r w:rsidR="00887612">
        <w:rPr>
          <w:lang w:val="fr-FR"/>
        </w:rPr>
        <w:t>’</w:t>
      </w:r>
      <w:r w:rsidRPr="00D11D38">
        <w:rPr>
          <w:lang w:val="fr-FR"/>
        </w:rPr>
        <w:t>élaboration de dispositions supplémentaires relatives au nettoyage préalable et aux informations devant figurer dans le document de transport</w:t>
      </w:r>
      <w:r w:rsidR="00036363" w:rsidRPr="00036363">
        <w:rPr>
          <w:lang w:val="fr-FR"/>
        </w:rPr>
        <w:t>.</w:t>
      </w:r>
    </w:p>
    <w:p w14:paraId="72FD7743" w14:textId="16E8E64F" w:rsidR="00CE245A" w:rsidRPr="00D11D38" w:rsidRDefault="00CE245A" w:rsidP="00CD20E5">
      <w:pPr>
        <w:pStyle w:val="SingleTxtG"/>
        <w:rPr>
          <w:lang w:val="fr-FR"/>
        </w:rPr>
      </w:pPr>
      <w:r w:rsidRPr="00036363">
        <w:rPr>
          <w:lang w:val="fr-FR"/>
        </w:rPr>
        <w:t>34</w:t>
      </w:r>
      <w:r w:rsidR="00036363" w:rsidRPr="00036363">
        <w:rPr>
          <w:lang w:val="fr-FR"/>
        </w:rPr>
        <w:t>.</w:t>
      </w:r>
      <w:r w:rsidRPr="00D11D38">
        <w:rPr>
          <w:lang w:val="fr-FR"/>
        </w:rPr>
        <w:tab/>
        <w:t>Les délégations ont été invitées à envoyer leurs commentaires écrits par courrier électronique aux représentants de l</w:t>
      </w:r>
      <w:r w:rsidR="00887612">
        <w:rPr>
          <w:lang w:val="fr-FR"/>
        </w:rPr>
        <w:t>’</w:t>
      </w:r>
      <w:r w:rsidRPr="00D11D38">
        <w:rPr>
          <w:lang w:val="fr-FR"/>
        </w:rPr>
        <w:t>Allemagne ou du Cefic, qui ont proposé de soumettre une proposition actualisée à la session suivante</w:t>
      </w:r>
      <w:r w:rsidR="00036363" w:rsidRPr="00036363">
        <w:rPr>
          <w:lang w:val="fr-FR"/>
        </w:rPr>
        <w:t>.</w:t>
      </w:r>
    </w:p>
    <w:p w14:paraId="00D54133" w14:textId="1F7A2E23" w:rsidR="00CE245A" w:rsidRPr="00D11D38" w:rsidRDefault="00CE245A" w:rsidP="00CD20E5">
      <w:pPr>
        <w:pStyle w:val="H23G"/>
        <w:rPr>
          <w:lang w:val="fr-FR"/>
        </w:rPr>
      </w:pPr>
      <w:r w:rsidRPr="00D11D38">
        <w:rPr>
          <w:lang w:val="fr-FR"/>
        </w:rPr>
        <w:tab/>
      </w:r>
      <w:r w:rsidRPr="00036363">
        <w:rPr>
          <w:lang w:val="fr-FR"/>
        </w:rPr>
        <w:t>5</w:t>
      </w:r>
      <w:r w:rsidR="00036363" w:rsidRPr="00036363">
        <w:rPr>
          <w:lang w:val="fr-FR"/>
        </w:rPr>
        <w:t>.</w:t>
      </w:r>
      <w:r w:rsidRPr="00D11D38">
        <w:rPr>
          <w:lang w:val="fr-FR"/>
        </w:rPr>
        <w:tab/>
        <w:t>Documents de transport</w:t>
      </w:r>
      <w:r w:rsidR="00887612">
        <w:rPr>
          <w:lang w:val="fr-FR"/>
        </w:rPr>
        <w:t> :</w:t>
      </w:r>
      <w:r w:rsidRPr="00D11D38">
        <w:rPr>
          <w:lang w:val="fr-FR"/>
        </w:rPr>
        <w:t xml:space="preserve"> nouvelle note au </w:t>
      </w:r>
      <w:r w:rsidRPr="00036363">
        <w:rPr>
          <w:lang w:val="fr-FR"/>
        </w:rPr>
        <w:t>5</w:t>
      </w:r>
      <w:r w:rsidR="00036363" w:rsidRPr="00036363">
        <w:rPr>
          <w:lang w:val="fr-FR"/>
        </w:rPr>
        <w:t>.</w:t>
      </w:r>
      <w:r w:rsidRPr="00036363">
        <w:rPr>
          <w:lang w:val="fr-FR"/>
        </w:rPr>
        <w:t>4</w:t>
      </w:r>
      <w:r w:rsidR="00036363" w:rsidRPr="00036363">
        <w:rPr>
          <w:lang w:val="fr-FR"/>
        </w:rPr>
        <w:t>.</w:t>
      </w:r>
      <w:r w:rsidRPr="00036363">
        <w:rPr>
          <w:lang w:val="fr-FR"/>
        </w:rPr>
        <w:t>0</w:t>
      </w:r>
      <w:r w:rsidR="00036363" w:rsidRPr="00036363">
        <w:rPr>
          <w:lang w:val="fr-FR"/>
        </w:rPr>
        <w:t>.</w:t>
      </w:r>
      <w:r w:rsidRPr="00036363">
        <w:rPr>
          <w:lang w:val="fr-FR"/>
        </w:rPr>
        <w:t>2</w:t>
      </w:r>
    </w:p>
    <w:p w14:paraId="1032FEBF" w14:textId="5A9F4C7C"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21</w:t>
      </w:r>
      <w:r w:rsidRPr="00D11D38">
        <w:rPr>
          <w:lang w:val="fr-FR"/>
        </w:rPr>
        <w:t xml:space="preserve"> (Allemagne, France)</w:t>
      </w:r>
    </w:p>
    <w:p w14:paraId="0F63A83A" w14:textId="2100F4DE" w:rsidR="00CE245A" w:rsidRPr="00D11D38" w:rsidRDefault="00CE245A" w:rsidP="00CD20E5">
      <w:pPr>
        <w:pStyle w:val="SingleTxtG"/>
        <w:rPr>
          <w:lang w:val="fr-FR"/>
        </w:rPr>
      </w:pPr>
      <w:r w:rsidRPr="00036363">
        <w:rPr>
          <w:lang w:val="fr-FR"/>
        </w:rPr>
        <w:t>35</w:t>
      </w:r>
      <w:r w:rsidR="00036363" w:rsidRPr="00036363">
        <w:rPr>
          <w:lang w:val="fr-FR"/>
        </w:rPr>
        <w:t>.</w:t>
      </w:r>
      <w:r w:rsidRPr="00D11D38">
        <w:rPr>
          <w:lang w:val="fr-FR"/>
        </w:rPr>
        <w:tab/>
        <w:t xml:space="preserve">La Réunion commune a accueilli favorablement la proposition tendant à clarifier davantage les nouveaux amendements aux </w:t>
      </w:r>
      <w:r w:rsidRPr="00036363">
        <w:rPr>
          <w:lang w:val="fr-FR"/>
        </w:rPr>
        <w:t>5</w:t>
      </w:r>
      <w:r w:rsidR="00036363" w:rsidRPr="00036363">
        <w:rPr>
          <w:lang w:val="fr-FR"/>
        </w:rPr>
        <w:t>.</w:t>
      </w:r>
      <w:r w:rsidRPr="00036363">
        <w:rPr>
          <w:lang w:val="fr-FR"/>
        </w:rPr>
        <w:t>4</w:t>
      </w:r>
      <w:r w:rsidR="00036363" w:rsidRPr="00036363">
        <w:rPr>
          <w:lang w:val="fr-FR"/>
        </w:rPr>
        <w:t>.</w:t>
      </w:r>
      <w:r w:rsidRPr="00036363">
        <w:rPr>
          <w:lang w:val="fr-FR"/>
        </w:rPr>
        <w:t>0</w:t>
      </w:r>
      <w:r w:rsidR="00036363" w:rsidRPr="00036363">
        <w:rPr>
          <w:lang w:val="fr-FR"/>
        </w:rPr>
        <w:t>.</w:t>
      </w:r>
      <w:r w:rsidRPr="00036363">
        <w:rPr>
          <w:lang w:val="fr-FR"/>
        </w:rPr>
        <w:t>1</w:t>
      </w:r>
      <w:r w:rsidRPr="00D11D38">
        <w:rPr>
          <w:lang w:val="fr-FR"/>
        </w:rPr>
        <w:t xml:space="preserve"> et </w:t>
      </w:r>
      <w:r w:rsidRPr="00036363">
        <w:rPr>
          <w:lang w:val="fr-FR"/>
        </w:rPr>
        <w:t>5</w:t>
      </w:r>
      <w:r w:rsidR="00036363" w:rsidRPr="00036363">
        <w:rPr>
          <w:lang w:val="fr-FR"/>
        </w:rPr>
        <w:t>.</w:t>
      </w:r>
      <w:r w:rsidRPr="00036363">
        <w:rPr>
          <w:lang w:val="fr-FR"/>
        </w:rPr>
        <w:t>4</w:t>
      </w:r>
      <w:r w:rsidR="00036363" w:rsidRPr="00036363">
        <w:rPr>
          <w:lang w:val="fr-FR"/>
        </w:rPr>
        <w:t>.</w:t>
      </w:r>
      <w:r w:rsidRPr="00036363">
        <w:rPr>
          <w:lang w:val="fr-FR"/>
        </w:rPr>
        <w:t>0</w:t>
      </w:r>
      <w:r w:rsidR="00036363" w:rsidRPr="00036363">
        <w:rPr>
          <w:lang w:val="fr-FR"/>
        </w:rPr>
        <w:t>.</w:t>
      </w:r>
      <w:r w:rsidRPr="00036363">
        <w:rPr>
          <w:lang w:val="fr-FR"/>
        </w:rPr>
        <w:t>2</w:t>
      </w:r>
      <w:r w:rsidRPr="00D11D38">
        <w:rPr>
          <w:lang w:val="fr-FR"/>
        </w:rPr>
        <w:t xml:space="preserve"> dans les éditions </w:t>
      </w:r>
      <w:r w:rsidRPr="00036363">
        <w:rPr>
          <w:lang w:val="fr-FR"/>
        </w:rPr>
        <w:t>2025</w:t>
      </w:r>
      <w:r w:rsidRPr="00D11D38">
        <w:rPr>
          <w:lang w:val="fr-FR"/>
        </w:rPr>
        <w:t xml:space="preserve"> du RID, de l</w:t>
      </w:r>
      <w:r w:rsidR="00887612">
        <w:rPr>
          <w:lang w:val="fr-FR"/>
        </w:rPr>
        <w:t>’</w:t>
      </w:r>
      <w:r w:rsidRPr="00D11D38">
        <w:rPr>
          <w:lang w:val="fr-FR"/>
        </w:rPr>
        <w:t>ADR et de l</w:t>
      </w:r>
      <w:r w:rsidR="00887612">
        <w:rPr>
          <w:lang w:val="fr-FR"/>
        </w:rPr>
        <w:t>’</w:t>
      </w:r>
      <w:r w:rsidRPr="00D11D38">
        <w:rPr>
          <w:lang w:val="fr-FR"/>
        </w:rPr>
        <w:t>ADN afin de rendre apparent le lien entre la description des marchandises et le moyen de transport dans le document de transport électronique</w:t>
      </w:r>
      <w:r w:rsidR="00036363" w:rsidRPr="00036363">
        <w:rPr>
          <w:lang w:val="fr-FR"/>
        </w:rPr>
        <w:t>.</w:t>
      </w:r>
      <w:r w:rsidRPr="00D11D38">
        <w:rPr>
          <w:lang w:val="fr-FR"/>
        </w:rPr>
        <w:t xml:space="preserve"> Il a été convenu qu</w:t>
      </w:r>
      <w:r w:rsidR="00887612">
        <w:rPr>
          <w:lang w:val="fr-FR"/>
        </w:rPr>
        <w:t>’</w:t>
      </w:r>
      <w:r w:rsidRPr="00D11D38">
        <w:rPr>
          <w:lang w:val="fr-FR"/>
        </w:rPr>
        <w:t>il fallait régler rapidement cette question importante</w:t>
      </w:r>
      <w:r>
        <w:rPr>
          <w:lang w:val="fr-FR"/>
        </w:rPr>
        <w:t xml:space="preserve"> et</w:t>
      </w:r>
      <w:r w:rsidRPr="00D11D38">
        <w:rPr>
          <w:lang w:val="fr-FR"/>
        </w:rPr>
        <w:t xml:space="preserve"> ten</w:t>
      </w:r>
      <w:r>
        <w:rPr>
          <w:lang w:val="fr-FR"/>
        </w:rPr>
        <w:t>ir</w:t>
      </w:r>
      <w:r w:rsidRPr="00D11D38">
        <w:rPr>
          <w:lang w:val="fr-FR"/>
        </w:rPr>
        <w:t xml:space="preserve"> compte de l</w:t>
      </w:r>
      <w:r w:rsidR="00887612">
        <w:rPr>
          <w:lang w:val="fr-FR"/>
        </w:rPr>
        <w:t>’</w:t>
      </w:r>
      <w:r w:rsidRPr="00D11D38">
        <w:rPr>
          <w:lang w:val="fr-FR"/>
        </w:rPr>
        <w:t>intention initiale des dispositions</w:t>
      </w:r>
      <w:r w:rsidR="00036363" w:rsidRPr="00036363">
        <w:rPr>
          <w:lang w:val="fr-FR"/>
        </w:rPr>
        <w:t>.</w:t>
      </w:r>
    </w:p>
    <w:p w14:paraId="7D3978F1" w14:textId="1F2946CB" w:rsidR="00CE245A" w:rsidRPr="00D11D38" w:rsidRDefault="00CE245A" w:rsidP="00CD20E5">
      <w:pPr>
        <w:pStyle w:val="SingleTxtG"/>
        <w:rPr>
          <w:lang w:val="fr-FR"/>
        </w:rPr>
      </w:pPr>
      <w:r w:rsidRPr="00036363">
        <w:rPr>
          <w:lang w:val="fr-FR"/>
        </w:rPr>
        <w:t>36</w:t>
      </w:r>
      <w:r w:rsidR="00036363" w:rsidRPr="00036363">
        <w:rPr>
          <w:lang w:val="fr-FR"/>
        </w:rPr>
        <w:t>.</w:t>
      </w:r>
      <w:r w:rsidRPr="00D11D38">
        <w:rPr>
          <w:lang w:val="fr-FR"/>
        </w:rPr>
        <w:tab/>
        <w:t>La Réunion commune a invité la France et l</w:t>
      </w:r>
      <w:r w:rsidR="00887612">
        <w:rPr>
          <w:lang w:val="fr-FR"/>
        </w:rPr>
        <w:t>’</w:t>
      </w:r>
      <w:r w:rsidRPr="00D11D38">
        <w:rPr>
          <w:lang w:val="fr-FR"/>
        </w:rPr>
        <w:t>Allemagne à soumettre un document officiel actualisé pour examen à la session suivante</w:t>
      </w:r>
      <w:r w:rsidR="00036363" w:rsidRPr="00036363">
        <w:rPr>
          <w:lang w:val="fr-FR"/>
        </w:rPr>
        <w:t>.</w:t>
      </w:r>
    </w:p>
    <w:p w14:paraId="20E1C321" w14:textId="0AA632ED" w:rsidR="00CE245A" w:rsidRPr="00D11D38" w:rsidRDefault="00CE245A" w:rsidP="00CD20E5">
      <w:pPr>
        <w:pStyle w:val="H1G"/>
        <w:rPr>
          <w:lang w:val="fr-FR"/>
        </w:rPr>
      </w:pPr>
      <w:r w:rsidRPr="00D11D38">
        <w:rPr>
          <w:lang w:val="fr-FR"/>
        </w:rPr>
        <w:tab/>
        <w:t>B</w:t>
      </w:r>
      <w:r w:rsidR="00036363" w:rsidRPr="00036363">
        <w:rPr>
          <w:lang w:val="fr-FR"/>
        </w:rPr>
        <w:t>.</w:t>
      </w:r>
      <w:r w:rsidRPr="00D11D38">
        <w:rPr>
          <w:lang w:val="fr-FR"/>
        </w:rPr>
        <w:tab/>
        <w:t>Nouvelles propositions</w:t>
      </w:r>
    </w:p>
    <w:p w14:paraId="100797BE" w14:textId="00EA7992" w:rsidR="00CE245A" w:rsidRPr="00D11D38" w:rsidRDefault="00CE245A" w:rsidP="00CD20E5">
      <w:pPr>
        <w:pStyle w:val="H23G"/>
        <w:rPr>
          <w:lang w:val="fr-FR"/>
        </w:rPr>
      </w:pPr>
      <w:r w:rsidRPr="00D11D38">
        <w:rPr>
          <w:lang w:val="fr-FR"/>
        </w:rPr>
        <w:tab/>
      </w:r>
      <w:r w:rsidRPr="00036363">
        <w:rPr>
          <w:lang w:val="fr-FR"/>
        </w:rPr>
        <w:t>1</w:t>
      </w:r>
      <w:r w:rsidR="00036363" w:rsidRPr="00036363">
        <w:rPr>
          <w:lang w:val="fr-FR"/>
        </w:rPr>
        <w:t>.</w:t>
      </w:r>
      <w:r w:rsidRPr="00D11D38">
        <w:rPr>
          <w:lang w:val="fr-FR"/>
        </w:rPr>
        <w:tab/>
        <w:t xml:space="preserve">Modification des prescriptions applicables aux récipients à pression autorisés </w:t>
      </w:r>
      <w:r w:rsidR="00CD20E5">
        <w:rPr>
          <w:lang w:val="fr-FR"/>
        </w:rPr>
        <w:br/>
      </w:r>
      <w:r w:rsidRPr="00D11D38">
        <w:rPr>
          <w:lang w:val="fr-FR"/>
        </w:rPr>
        <w:t>par le Département des transports des États-Unis d</w:t>
      </w:r>
      <w:r w:rsidR="00887612">
        <w:rPr>
          <w:lang w:val="fr-FR"/>
        </w:rPr>
        <w:t>’</w:t>
      </w:r>
      <w:r w:rsidRPr="00D11D38">
        <w:rPr>
          <w:lang w:val="fr-FR"/>
        </w:rPr>
        <w:t xml:space="preserve">Amérique en ce qui concerne </w:t>
      </w:r>
      <w:r w:rsidR="00CD20E5">
        <w:rPr>
          <w:lang w:val="fr-FR"/>
        </w:rPr>
        <w:br/>
      </w:r>
      <w:r w:rsidRPr="00D11D38">
        <w:rPr>
          <w:lang w:val="fr-FR"/>
        </w:rPr>
        <w:t>leur élimination dans un État partie au RID, à l</w:t>
      </w:r>
      <w:r w:rsidR="00887612">
        <w:rPr>
          <w:lang w:val="fr-FR"/>
        </w:rPr>
        <w:t>’</w:t>
      </w:r>
      <w:r w:rsidRPr="00D11D38">
        <w:rPr>
          <w:lang w:val="fr-FR"/>
        </w:rPr>
        <w:t>ADR ou à l</w:t>
      </w:r>
      <w:r w:rsidR="00887612">
        <w:rPr>
          <w:lang w:val="fr-FR"/>
        </w:rPr>
        <w:t>’</w:t>
      </w:r>
      <w:r w:rsidRPr="00D11D38">
        <w:rPr>
          <w:lang w:val="fr-FR"/>
        </w:rPr>
        <w:t>ADN</w:t>
      </w:r>
    </w:p>
    <w:p w14:paraId="0E5503D5" w14:textId="7682FBD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28</w:t>
      </w:r>
      <w:r w:rsidRPr="00D11D38">
        <w:rPr>
          <w:lang w:val="fr-FR"/>
        </w:rPr>
        <w:t xml:space="preserve"> (EIGA)</w:t>
      </w:r>
    </w:p>
    <w:p w14:paraId="6E80B182" w14:textId="44B95247" w:rsidR="00CE245A" w:rsidRPr="00D11D38" w:rsidRDefault="00CE245A" w:rsidP="00CD20E5">
      <w:pPr>
        <w:pStyle w:val="SingleTxtG"/>
        <w:rPr>
          <w:lang w:val="fr-FR"/>
        </w:rPr>
      </w:pPr>
      <w:r w:rsidRPr="00036363">
        <w:rPr>
          <w:lang w:val="fr-FR"/>
        </w:rPr>
        <w:t>37</w:t>
      </w:r>
      <w:r w:rsidR="00036363" w:rsidRPr="00036363">
        <w:rPr>
          <w:lang w:val="fr-FR"/>
        </w:rPr>
        <w:t>.</w:t>
      </w:r>
      <w:r w:rsidRPr="00D11D38">
        <w:rPr>
          <w:lang w:val="fr-FR"/>
        </w:rPr>
        <w:tab/>
        <w:t xml:space="preserve">Certains représentants étaient en principe </w:t>
      </w:r>
      <w:r>
        <w:rPr>
          <w:lang w:val="fr-FR"/>
        </w:rPr>
        <w:t>en faveur des</w:t>
      </w:r>
      <w:r w:rsidRPr="00D11D38">
        <w:rPr>
          <w:lang w:val="fr-FR"/>
        </w:rPr>
        <w:t xml:space="preserve"> amendements proposés dans le document</w:t>
      </w:r>
      <w:r w:rsidR="00036363" w:rsidRPr="00036363">
        <w:rPr>
          <w:lang w:val="fr-FR"/>
        </w:rPr>
        <w:t>.</w:t>
      </w:r>
      <w:r w:rsidRPr="00D11D38">
        <w:rPr>
          <w:lang w:val="fr-FR"/>
        </w:rPr>
        <w:t xml:space="preserve"> D</w:t>
      </w:r>
      <w:r w:rsidR="00887612">
        <w:rPr>
          <w:lang w:val="fr-FR"/>
        </w:rPr>
        <w:t>’</w:t>
      </w:r>
      <w:r w:rsidRPr="00D11D38">
        <w:rPr>
          <w:lang w:val="fr-FR"/>
        </w:rPr>
        <w:t>autres étaient d</w:t>
      </w:r>
      <w:r w:rsidR="00887612">
        <w:rPr>
          <w:lang w:val="fr-FR"/>
        </w:rPr>
        <w:t>’</w:t>
      </w:r>
      <w:r w:rsidRPr="00D11D38">
        <w:rPr>
          <w:lang w:val="fr-FR"/>
        </w:rPr>
        <w:t xml:space="preserve">avis que </w:t>
      </w:r>
      <w:r>
        <w:rPr>
          <w:lang w:val="fr-FR"/>
        </w:rPr>
        <w:t>c</w:t>
      </w:r>
      <w:r w:rsidRPr="00D11D38">
        <w:rPr>
          <w:lang w:val="fr-FR"/>
        </w:rPr>
        <w:t>es amendements n</w:t>
      </w:r>
      <w:r w:rsidR="00887612">
        <w:rPr>
          <w:lang w:val="fr-FR"/>
        </w:rPr>
        <w:t>’</w:t>
      </w:r>
      <w:r w:rsidRPr="00D11D38">
        <w:rPr>
          <w:lang w:val="fr-FR"/>
        </w:rPr>
        <w:t>étaient pas nécessaires et souhaitaient qu</w:t>
      </w:r>
      <w:r w:rsidR="00887612">
        <w:rPr>
          <w:lang w:val="fr-FR"/>
        </w:rPr>
        <w:t>’</w:t>
      </w:r>
      <w:r w:rsidRPr="00D11D38">
        <w:rPr>
          <w:lang w:val="fr-FR"/>
        </w:rPr>
        <w:t>une justification plus détaillée</w:t>
      </w:r>
      <w:r>
        <w:rPr>
          <w:lang w:val="fr-FR"/>
        </w:rPr>
        <w:t xml:space="preserve"> </w:t>
      </w:r>
      <w:r w:rsidRPr="00D11D38">
        <w:rPr>
          <w:lang w:val="fr-FR"/>
        </w:rPr>
        <w:t>leur soit présentée</w:t>
      </w:r>
      <w:r w:rsidR="00036363" w:rsidRPr="00036363">
        <w:rPr>
          <w:lang w:val="fr-FR"/>
        </w:rPr>
        <w:t>.</w:t>
      </w:r>
      <w:r w:rsidRPr="00D11D38">
        <w:rPr>
          <w:lang w:val="fr-FR"/>
        </w:rPr>
        <w:t xml:space="preserve"> Certaines délégations ont </w:t>
      </w:r>
      <w:r w:rsidRPr="00D11D38">
        <w:rPr>
          <w:lang w:val="fr-FR"/>
        </w:rPr>
        <w:lastRenderedPageBreak/>
        <w:t>estimé que le délai après la date prévue pour le contrôle périodique suivant devrait être limité</w:t>
      </w:r>
      <w:r w:rsidR="00036363" w:rsidRPr="00036363">
        <w:rPr>
          <w:lang w:val="fr-FR"/>
        </w:rPr>
        <w:t>.</w:t>
      </w:r>
      <w:r w:rsidRPr="00D11D38">
        <w:rPr>
          <w:lang w:val="fr-FR"/>
        </w:rPr>
        <w:t xml:space="preserve"> Il a été noté que les dispositions actuelles avaient été rédigées de manière à garantir qu</w:t>
      </w:r>
      <w:r w:rsidR="00887612">
        <w:rPr>
          <w:lang w:val="fr-FR"/>
        </w:rPr>
        <w:t>’</w:t>
      </w:r>
      <w:r w:rsidRPr="00D11D38">
        <w:rPr>
          <w:lang w:val="fr-FR"/>
        </w:rPr>
        <w:t>après l</w:t>
      </w:r>
      <w:r w:rsidR="00887612">
        <w:rPr>
          <w:lang w:val="fr-FR"/>
        </w:rPr>
        <w:t>’</w:t>
      </w:r>
      <w:r w:rsidRPr="00D11D38">
        <w:rPr>
          <w:lang w:val="fr-FR"/>
        </w:rPr>
        <w:t>utilisation des gaz contenus dans les récipients à pression, les récipients à pression vides seraient renvoyés aux États-Unis d</w:t>
      </w:r>
      <w:r w:rsidR="00887612">
        <w:rPr>
          <w:lang w:val="fr-FR"/>
        </w:rPr>
        <w:t>’</w:t>
      </w:r>
      <w:r w:rsidRPr="00D11D38">
        <w:rPr>
          <w:lang w:val="fr-FR"/>
        </w:rPr>
        <w:t>Amérique</w:t>
      </w:r>
      <w:r w:rsidR="00036363" w:rsidRPr="00036363">
        <w:rPr>
          <w:lang w:val="fr-FR"/>
        </w:rPr>
        <w:t>.</w:t>
      </w:r>
    </w:p>
    <w:p w14:paraId="5A26ABBB" w14:textId="7AF28C87" w:rsidR="00CE245A" w:rsidRPr="00D11D38" w:rsidRDefault="00CE245A" w:rsidP="00CD20E5">
      <w:pPr>
        <w:pStyle w:val="SingleTxtG"/>
        <w:rPr>
          <w:lang w:val="fr-FR"/>
        </w:rPr>
      </w:pPr>
      <w:r w:rsidRPr="00036363">
        <w:rPr>
          <w:lang w:val="fr-FR"/>
        </w:rPr>
        <w:t>38</w:t>
      </w:r>
      <w:r w:rsidR="00036363" w:rsidRPr="00036363">
        <w:rPr>
          <w:lang w:val="fr-FR"/>
        </w:rPr>
        <w:t>.</w:t>
      </w:r>
      <w:r w:rsidRPr="00D11D38">
        <w:rPr>
          <w:lang w:val="fr-FR"/>
        </w:rPr>
        <w:tab/>
        <w:t>La Réunion commune a décidé de reprendre l</w:t>
      </w:r>
      <w:r w:rsidR="00887612">
        <w:rPr>
          <w:lang w:val="fr-FR"/>
        </w:rPr>
        <w:t>’</w:t>
      </w:r>
      <w:r w:rsidRPr="00D11D38">
        <w:rPr>
          <w:lang w:val="fr-FR"/>
        </w:rPr>
        <w:t xml:space="preserve">examen de la question à sa session suivante, en mars </w:t>
      </w:r>
      <w:r w:rsidRPr="00036363">
        <w:rPr>
          <w:lang w:val="fr-FR"/>
        </w:rPr>
        <w:t>2025</w:t>
      </w:r>
      <w:r w:rsidRPr="00D11D38">
        <w:rPr>
          <w:lang w:val="fr-FR"/>
        </w:rPr>
        <w:t>, sur la base d</w:t>
      </w:r>
      <w:r w:rsidR="00887612">
        <w:rPr>
          <w:lang w:val="fr-FR"/>
        </w:rPr>
        <w:t>’</w:t>
      </w:r>
      <w:r w:rsidRPr="00D11D38">
        <w:rPr>
          <w:lang w:val="fr-FR"/>
        </w:rPr>
        <w:t>un nouveau document qui serait soumis par l</w:t>
      </w:r>
      <w:r w:rsidR="00887612">
        <w:rPr>
          <w:lang w:val="fr-FR"/>
        </w:rPr>
        <w:t>’</w:t>
      </w:r>
      <w:r w:rsidRPr="00D11D38">
        <w:rPr>
          <w:lang w:val="fr-FR"/>
        </w:rPr>
        <w:t>EIGA</w:t>
      </w:r>
      <w:r w:rsidR="00036363" w:rsidRPr="00036363">
        <w:rPr>
          <w:lang w:val="fr-FR"/>
        </w:rPr>
        <w:t>.</w:t>
      </w:r>
    </w:p>
    <w:p w14:paraId="1897072B" w14:textId="15005F7B" w:rsidR="00CE245A" w:rsidRPr="00D11D38" w:rsidRDefault="00CE245A" w:rsidP="00CD20E5">
      <w:pPr>
        <w:pStyle w:val="H23G"/>
        <w:rPr>
          <w:lang w:val="fr-FR"/>
        </w:rPr>
      </w:pPr>
      <w:r w:rsidRPr="00D11D38">
        <w:rPr>
          <w:lang w:val="fr-FR"/>
        </w:rPr>
        <w:tab/>
      </w:r>
      <w:r w:rsidRPr="00036363">
        <w:rPr>
          <w:lang w:val="fr-FR"/>
        </w:rPr>
        <w:t>2</w:t>
      </w:r>
      <w:r w:rsidR="00036363" w:rsidRPr="00036363">
        <w:rPr>
          <w:lang w:val="fr-FR"/>
        </w:rPr>
        <w:t>.</w:t>
      </w:r>
      <w:r w:rsidRPr="00D11D38">
        <w:rPr>
          <w:lang w:val="fr-FR"/>
        </w:rPr>
        <w:tab/>
        <w:t>Propositions d</w:t>
      </w:r>
      <w:r w:rsidR="00887612">
        <w:rPr>
          <w:lang w:val="fr-FR"/>
        </w:rPr>
        <w:t>’</w:t>
      </w:r>
      <w:r w:rsidRPr="00D11D38">
        <w:rPr>
          <w:lang w:val="fr-FR"/>
        </w:rPr>
        <w:t xml:space="preserve">amendements aux </w:t>
      </w:r>
      <w:r w:rsidRPr="00036363">
        <w:rPr>
          <w:lang w:val="fr-FR"/>
        </w:rPr>
        <w:t>4</w:t>
      </w:r>
      <w:r w:rsidR="00036363" w:rsidRPr="00036363">
        <w:rPr>
          <w:lang w:val="fr-FR"/>
        </w:rPr>
        <w:t>.</w:t>
      </w:r>
      <w:r w:rsidRPr="00036363">
        <w:rPr>
          <w:lang w:val="fr-FR"/>
        </w:rPr>
        <w:t>1</w:t>
      </w:r>
      <w:r w:rsidR="00036363" w:rsidRPr="00036363">
        <w:rPr>
          <w:lang w:val="fr-FR"/>
        </w:rPr>
        <w:t>.</w:t>
      </w:r>
      <w:r w:rsidRPr="00036363">
        <w:rPr>
          <w:lang w:val="fr-FR"/>
        </w:rPr>
        <w:t>1</w:t>
      </w:r>
      <w:r w:rsidR="00036363" w:rsidRPr="00036363">
        <w:rPr>
          <w:lang w:val="fr-FR"/>
        </w:rPr>
        <w:t>.</w:t>
      </w:r>
      <w:r w:rsidRPr="00036363">
        <w:rPr>
          <w:lang w:val="fr-FR"/>
        </w:rPr>
        <w:t>11</w:t>
      </w:r>
      <w:r w:rsidRPr="00D11D38">
        <w:rPr>
          <w:lang w:val="fr-FR"/>
        </w:rPr>
        <w:t xml:space="preserve"> et </w:t>
      </w:r>
      <w:r w:rsidRPr="00036363">
        <w:rPr>
          <w:lang w:val="fr-FR"/>
        </w:rPr>
        <w:t>4</w:t>
      </w:r>
      <w:r w:rsidR="00036363" w:rsidRPr="00036363">
        <w:rPr>
          <w:lang w:val="fr-FR"/>
        </w:rPr>
        <w:t>.</w:t>
      </w:r>
      <w:r w:rsidRPr="00036363">
        <w:rPr>
          <w:lang w:val="fr-FR"/>
        </w:rPr>
        <w:t>1</w:t>
      </w:r>
      <w:r w:rsidR="00036363" w:rsidRPr="00036363">
        <w:rPr>
          <w:lang w:val="fr-FR"/>
        </w:rPr>
        <w:t>.</w:t>
      </w:r>
      <w:r w:rsidRPr="00036363">
        <w:rPr>
          <w:lang w:val="fr-FR"/>
        </w:rPr>
        <w:t>1</w:t>
      </w:r>
      <w:r w:rsidR="00036363" w:rsidRPr="00036363">
        <w:rPr>
          <w:lang w:val="fr-FR"/>
        </w:rPr>
        <w:t>.</w:t>
      </w:r>
      <w:r w:rsidRPr="00036363">
        <w:rPr>
          <w:lang w:val="fr-FR"/>
        </w:rPr>
        <w:t>2</w:t>
      </w:r>
      <w:r w:rsidRPr="00D11D38">
        <w:rPr>
          <w:lang w:val="fr-FR"/>
        </w:rPr>
        <w:t xml:space="preserve"> du RID et de l</w:t>
      </w:r>
      <w:r w:rsidR="00887612">
        <w:rPr>
          <w:lang w:val="fr-FR"/>
        </w:rPr>
        <w:t>’</w:t>
      </w:r>
      <w:r w:rsidRPr="00D11D38">
        <w:rPr>
          <w:lang w:val="fr-FR"/>
        </w:rPr>
        <w:t>ADR concernant les</w:t>
      </w:r>
      <w:r w:rsidR="00CD20E5">
        <w:rPr>
          <w:lang w:val="fr-FR"/>
        </w:rPr>
        <w:t> </w:t>
      </w:r>
      <w:r w:rsidRPr="00D11D38">
        <w:rPr>
          <w:lang w:val="fr-FR"/>
        </w:rPr>
        <w:t>emballages vides non nettoyés</w:t>
      </w:r>
    </w:p>
    <w:p w14:paraId="74FAB51D" w14:textId="4032721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32</w:t>
      </w:r>
      <w:r w:rsidRPr="00D11D38">
        <w:rPr>
          <w:lang w:val="fr-FR"/>
        </w:rPr>
        <w:t xml:space="preserve"> (FEAD)</w:t>
      </w:r>
    </w:p>
    <w:p w14:paraId="51031817" w14:textId="051AA06C"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25</w:t>
      </w:r>
      <w:r w:rsidRPr="00D11D38">
        <w:rPr>
          <w:lang w:val="fr-FR"/>
        </w:rPr>
        <w:t xml:space="preserve"> (Irlande)</w:t>
      </w:r>
    </w:p>
    <w:p w14:paraId="7EBFFC40" w14:textId="4130DFD3" w:rsidR="00CE245A" w:rsidRPr="00D11D38" w:rsidRDefault="00CE245A" w:rsidP="00CD20E5">
      <w:pPr>
        <w:pStyle w:val="SingleTxtG"/>
        <w:rPr>
          <w:lang w:val="fr-FR"/>
        </w:rPr>
      </w:pPr>
      <w:r w:rsidRPr="00036363">
        <w:rPr>
          <w:lang w:val="fr-FR"/>
        </w:rPr>
        <w:t>39</w:t>
      </w:r>
      <w:r w:rsidR="00036363" w:rsidRPr="00036363">
        <w:rPr>
          <w:lang w:val="fr-FR"/>
        </w:rPr>
        <w:t>.</w:t>
      </w:r>
      <w:r w:rsidRPr="00D11D38">
        <w:rPr>
          <w:lang w:val="fr-FR"/>
        </w:rPr>
        <w:tab/>
        <w:t>La Réunion commune a approuvé le principe sous-tendant les amendements proposés dans le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32</w:t>
      </w:r>
      <w:r w:rsidRPr="00D11D38">
        <w:rPr>
          <w:lang w:val="fr-FR"/>
        </w:rPr>
        <w:t>, tel que modifié par le document informel INF</w:t>
      </w:r>
      <w:r w:rsidR="00036363" w:rsidRPr="00036363">
        <w:rPr>
          <w:lang w:val="fr-FR"/>
        </w:rPr>
        <w:t>.</w:t>
      </w:r>
      <w:r w:rsidRPr="00036363">
        <w:rPr>
          <w:lang w:val="fr-FR"/>
        </w:rPr>
        <w:t>25</w:t>
      </w:r>
      <w:r w:rsidR="00036363" w:rsidRPr="00036363">
        <w:rPr>
          <w:lang w:val="fr-FR"/>
        </w:rPr>
        <w:t>.</w:t>
      </w:r>
      <w:r w:rsidRPr="00D11D38">
        <w:rPr>
          <w:lang w:val="fr-FR"/>
        </w:rPr>
        <w:t xml:space="preserve"> Certaines délégations ont recommandé que des modifications supplémentaires soient apportées au libellé à ajouter et ont indiqué qu</w:t>
      </w:r>
      <w:r w:rsidR="00887612">
        <w:rPr>
          <w:lang w:val="fr-FR"/>
        </w:rPr>
        <w:t>’</w:t>
      </w:r>
      <w:r w:rsidRPr="00D11D38">
        <w:rPr>
          <w:lang w:val="fr-FR"/>
        </w:rPr>
        <w:t>elles préféraient réorganiser les nouvelles dispositions</w:t>
      </w:r>
      <w:r w:rsidR="00036363" w:rsidRPr="00036363">
        <w:rPr>
          <w:lang w:val="fr-FR"/>
        </w:rPr>
        <w:t>.</w:t>
      </w:r>
    </w:p>
    <w:p w14:paraId="3D66A11B" w14:textId="13FA5F04" w:rsidR="00887612" w:rsidRDefault="00CE245A" w:rsidP="00CD20E5">
      <w:pPr>
        <w:pStyle w:val="SingleTxtG"/>
        <w:rPr>
          <w:lang w:val="fr-FR"/>
        </w:rPr>
      </w:pPr>
      <w:r w:rsidRPr="00036363">
        <w:rPr>
          <w:lang w:val="fr-FR"/>
        </w:rPr>
        <w:t>40</w:t>
      </w:r>
      <w:r w:rsidR="00036363" w:rsidRPr="00036363">
        <w:rPr>
          <w:lang w:val="fr-FR"/>
        </w:rPr>
        <w:t>.</w:t>
      </w:r>
      <w:r w:rsidRPr="00D11D38">
        <w:rPr>
          <w:lang w:val="fr-FR"/>
        </w:rPr>
        <w:tab/>
        <w:t>Après une réunion organisée à l</w:t>
      </w:r>
      <w:r w:rsidR="00887612">
        <w:rPr>
          <w:lang w:val="fr-FR"/>
        </w:rPr>
        <w:t>’</w:t>
      </w:r>
      <w:r w:rsidRPr="00D11D38">
        <w:rPr>
          <w:lang w:val="fr-FR"/>
        </w:rPr>
        <w:t>heure du déjeuner, il a été décidé de retravailler la proposition</w:t>
      </w:r>
      <w:r w:rsidR="00036363" w:rsidRPr="00036363">
        <w:rPr>
          <w:lang w:val="fr-FR"/>
        </w:rPr>
        <w:t>.</w:t>
      </w:r>
      <w:r w:rsidRPr="00D11D38">
        <w:rPr>
          <w:lang w:val="fr-FR"/>
        </w:rPr>
        <w:t xml:space="preserve"> La Réunion commune a accueilli favorablement la proposition de la FEAD d</w:t>
      </w:r>
      <w:r w:rsidR="00887612">
        <w:rPr>
          <w:lang w:val="fr-FR"/>
        </w:rPr>
        <w:t>’</w:t>
      </w:r>
      <w:r w:rsidRPr="00D11D38">
        <w:rPr>
          <w:lang w:val="fr-FR"/>
        </w:rPr>
        <w:t xml:space="preserve">organiser une réunion intersessions du </w:t>
      </w:r>
      <w:r>
        <w:rPr>
          <w:lang w:val="fr-FR"/>
        </w:rPr>
        <w:t>g</w:t>
      </w:r>
      <w:r w:rsidRPr="00D11D38">
        <w:rPr>
          <w:lang w:val="fr-FR"/>
        </w:rPr>
        <w:t>roupe de travail et d</w:t>
      </w:r>
      <w:r w:rsidR="00887612">
        <w:rPr>
          <w:lang w:val="fr-FR"/>
        </w:rPr>
        <w:t>’</w:t>
      </w:r>
      <w:r w:rsidRPr="00D11D38">
        <w:rPr>
          <w:lang w:val="fr-FR"/>
        </w:rPr>
        <w:t>établir avec l</w:t>
      </w:r>
      <w:r w:rsidR="00887612">
        <w:rPr>
          <w:lang w:val="fr-FR"/>
        </w:rPr>
        <w:t>’</w:t>
      </w:r>
      <w:r w:rsidRPr="00D11D38">
        <w:rPr>
          <w:lang w:val="fr-FR"/>
        </w:rPr>
        <w:t>Irlande un document officiel actualisé qui tiendrait compte des observations formulées et serait soumis à la session suivante</w:t>
      </w:r>
      <w:r w:rsidR="00036363" w:rsidRPr="00036363">
        <w:rPr>
          <w:lang w:val="fr-FR"/>
        </w:rPr>
        <w:t>.</w:t>
      </w:r>
    </w:p>
    <w:p w14:paraId="0FD6E9BA" w14:textId="50BFB23C" w:rsidR="00CE245A" w:rsidRPr="00D11D38" w:rsidRDefault="00CE245A" w:rsidP="00CD20E5">
      <w:pPr>
        <w:pStyle w:val="H23G"/>
        <w:rPr>
          <w:lang w:val="fr-FR"/>
        </w:rPr>
      </w:pPr>
      <w:r w:rsidRPr="00D11D38">
        <w:rPr>
          <w:lang w:val="fr-FR"/>
        </w:rPr>
        <w:tab/>
      </w:r>
      <w:r w:rsidRPr="00036363">
        <w:rPr>
          <w:lang w:val="fr-FR"/>
        </w:rPr>
        <w:t>3</w:t>
      </w:r>
      <w:r w:rsidR="00036363" w:rsidRPr="00036363">
        <w:rPr>
          <w:lang w:val="fr-FR"/>
        </w:rPr>
        <w:t>.</w:t>
      </w:r>
      <w:r w:rsidRPr="00D11D38">
        <w:rPr>
          <w:lang w:val="fr-FR"/>
        </w:rPr>
        <w:tab/>
        <w:t>Transport de récipients à pression dont la conformité doit être évaluée hors du lieu de</w:t>
      </w:r>
      <w:r w:rsidR="00CD20E5">
        <w:rPr>
          <w:lang w:val="fr-FR"/>
        </w:rPr>
        <w:t> </w:t>
      </w:r>
      <w:r w:rsidRPr="00D11D38">
        <w:rPr>
          <w:lang w:val="fr-FR"/>
        </w:rPr>
        <w:t>fabrication</w:t>
      </w:r>
    </w:p>
    <w:p w14:paraId="42D12B15" w14:textId="56FBF6A9"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35</w:t>
      </w:r>
      <w:r w:rsidRPr="00D11D38">
        <w:rPr>
          <w:lang w:val="fr-FR"/>
        </w:rPr>
        <w:t xml:space="preserve"> (ECMA)</w:t>
      </w:r>
    </w:p>
    <w:p w14:paraId="6D6EAC67" w14:textId="6F1CFCB6" w:rsidR="00CE245A" w:rsidRPr="00D11D38" w:rsidRDefault="00CE245A" w:rsidP="00CD20E5">
      <w:pPr>
        <w:pStyle w:val="SingleTxtG"/>
        <w:rPr>
          <w:lang w:val="fr-FR"/>
        </w:rPr>
      </w:pPr>
      <w:r w:rsidRPr="00036363">
        <w:rPr>
          <w:lang w:val="fr-FR"/>
        </w:rPr>
        <w:t>41</w:t>
      </w:r>
      <w:r w:rsidR="00036363" w:rsidRPr="00036363">
        <w:rPr>
          <w:lang w:val="fr-FR"/>
        </w:rPr>
        <w:t>.</w:t>
      </w:r>
      <w:r w:rsidRPr="00D11D38">
        <w:rPr>
          <w:lang w:val="fr-FR"/>
        </w:rPr>
        <w:tab/>
        <w:t>Certains des représentants qui ont pris la parole ont souligné que la référence aux normes énumérées au chapitre </w:t>
      </w:r>
      <w:r w:rsidRPr="00036363">
        <w:rPr>
          <w:lang w:val="fr-FR"/>
        </w:rPr>
        <w:t>6</w:t>
      </w:r>
      <w:r w:rsidR="00036363" w:rsidRPr="00036363">
        <w:rPr>
          <w:lang w:val="fr-FR"/>
        </w:rPr>
        <w:t>.</w:t>
      </w:r>
      <w:r w:rsidRPr="00036363">
        <w:rPr>
          <w:lang w:val="fr-FR"/>
        </w:rPr>
        <w:t>2</w:t>
      </w:r>
      <w:r w:rsidRPr="00D11D38">
        <w:rPr>
          <w:lang w:val="fr-FR"/>
        </w:rPr>
        <w:t xml:space="preserve"> était trop large et que les récipients à pression composites du type</w:t>
      </w:r>
      <w:r w:rsidR="004C3A84">
        <w:rPr>
          <w:lang w:val="fr-FR"/>
        </w:rPr>
        <w:t> </w:t>
      </w:r>
      <w:r w:rsidRPr="00036363">
        <w:rPr>
          <w:lang w:val="fr-FR"/>
        </w:rPr>
        <w:t>4</w:t>
      </w:r>
      <w:r w:rsidRPr="00D11D38">
        <w:rPr>
          <w:lang w:val="fr-FR"/>
        </w:rPr>
        <w:t xml:space="preserve"> n</w:t>
      </w:r>
      <w:r w:rsidR="00887612">
        <w:rPr>
          <w:lang w:val="fr-FR"/>
        </w:rPr>
        <w:t>’</w:t>
      </w:r>
      <w:r w:rsidRPr="00D11D38">
        <w:rPr>
          <w:lang w:val="fr-FR"/>
        </w:rPr>
        <w:t>étaient pas définis dans le RID, l</w:t>
      </w:r>
      <w:r w:rsidR="00887612">
        <w:rPr>
          <w:lang w:val="fr-FR"/>
        </w:rPr>
        <w:t>’</w:t>
      </w:r>
      <w:r w:rsidRPr="00D11D38">
        <w:rPr>
          <w:lang w:val="fr-FR"/>
        </w:rPr>
        <w:t>ADR et l</w:t>
      </w:r>
      <w:r w:rsidR="00887612">
        <w:rPr>
          <w:lang w:val="fr-FR"/>
        </w:rPr>
        <w:t>’</w:t>
      </w:r>
      <w:r w:rsidRPr="00D11D38">
        <w:rPr>
          <w:lang w:val="fr-FR"/>
        </w:rPr>
        <w:t>ADN</w:t>
      </w:r>
      <w:r w:rsidR="00036363" w:rsidRPr="00036363">
        <w:rPr>
          <w:lang w:val="fr-FR"/>
        </w:rPr>
        <w:t>.</w:t>
      </w:r>
      <w:r w:rsidRPr="00D11D38">
        <w:rPr>
          <w:lang w:val="fr-FR"/>
        </w:rPr>
        <w:t xml:space="preserve"> D</w:t>
      </w:r>
      <w:r w:rsidR="00887612">
        <w:rPr>
          <w:lang w:val="fr-FR"/>
        </w:rPr>
        <w:t>’</w:t>
      </w:r>
      <w:r w:rsidRPr="00D11D38">
        <w:rPr>
          <w:lang w:val="fr-FR"/>
        </w:rPr>
        <w:t>autres étaient d</w:t>
      </w:r>
      <w:r w:rsidR="00887612">
        <w:rPr>
          <w:lang w:val="fr-FR"/>
        </w:rPr>
        <w:t>’</w:t>
      </w:r>
      <w:r w:rsidRPr="00D11D38">
        <w:rPr>
          <w:lang w:val="fr-FR"/>
        </w:rPr>
        <w:t>avis que les amendements proposés devraient être étayés par des justifications supplémentaires</w:t>
      </w:r>
      <w:r w:rsidR="00036363" w:rsidRPr="00036363">
        <w:rPr>
          <w:lang w:val="fr-FR"/>
        </w:rPr>
        <w:t>.</w:t>
      </w:r>
    </w:p>
    <w:p w14:paraId="49D8DB36" w14:textId="035EAD38" w:rsidR="00CE245A" w:rsidRPr="00D11D38" w:rsidRDefault="00CE245A" w:rsidP="00CD20E5">
      <w:pPr>
        <w:pStyle w:val="SingleTxtG"/>
        <w:rPr>
          <w:lang w:val="fr-FR"/>
        </w:rPr>
      </w:pPr>
      <w:r w:rsidRPr="00036363">
        <w:rPr>
          <w:lang w:val="fr-FR"/>
        </w:rPr>
        <w:t>42</w:t>
      </w:r>
      <w:r w:rsidR="00036363" w:rsidRPr="00036363">
        <w:rPr>
          <w:lang w:val="fr-FR"/>
        </w:rPr>
        <w:t>.</w:t>
      </w:r>
      <w:r w:rsidRPr="00D11D38">
        <w:rPr>
          <w:lang w:val="fr-FR"/>
        </w:rPr>
        <w:tab/>
        <w:t>La Réunion commune a apporté son soutien de principe à la proposition et a convenu de poursuivre la discussion à sa session suivante, sur la base d</w:t>
      </w:r>
      <w:r w:rsidR="00887612">
        <w:rPr>
          <w:lang w:val="fr-FR"/>
        </w:rPr>
        <w:t>’</w:t>
      </w:r>
      <w:r w:rsidRPr="00D11D38">
        <w:rPr>
          <w:lang w:val="fr-FR"/>
        </w:rPr>
        <w:t>un nouveau document officiel qui serait soumis par l</w:t>
      </w:r>
      <w:r w:rsidR="00887612">
        <w:rPr>
          <w:lang w:val="fr-FR"/>
        </w:rPr>
        <w:t>’</w:t>
      </w:r>
      <w:r w:rsidRPr="00D11D38">
        <w:rPr>
          <w:lang w:val="fr-FR"/>
        </w:rPr>
        <w:t>ECMA</w:t>
      </w:r>
      <w:r w:rsidR="00036363" w:rsidRPr="00036363">
        <w:rPr>
          <w:lang w:val="fr-FR"/>
        </w:rPr>
        <w:t>.</w:t>
      </w:r>
    </w:p>
    <w:p w14:paraId="1F5E80C2" w14:textId="2F4071A1" w:rsidR="00CE245A" w:rsidRPr="00D11D38" w:rsidRDefault="00CE245A" w:rsidP="00CD20E5">
      <w:pPr>
        <w:pStyle w:val="H23G"/>
        <w:rPr>
          <w:lang w:val="fr-FR"/>
        </w:rPr>
      </w:pPr>
      <w:r w:rsidRPr="00D11D38">
        <w:rPr>
          <w:lang w:val="fr-FR"/>
        </w:rPr>
        <w:tab/>
      </w:r>
      <w:r w:rsidRPr="00036363">
        <w:rPr>
          <w:lang w:val="fr-FR"/>
        </w:rPr>
        <w:t>4</w:t>
      </w:r>
      <w:r w:rsidR="00036363" w:rsidRPr="00036363">
        <w:rPr>
          <w:lang w:val="fr-FR"/>
        </w:rPr>
        <w:t>.</w:t>
      </w:r>
      <w:r w:rsidRPr="00D11D38">
        <w:rPr>
          <w:lang w:val="fr-FR"/>
        </w:rPr>
        <w:tab/>
        <w:t xml:space="preserve">Récipients à pression fabriqués conformément à la norme EN </w:t>
      </w:r>
      <w:r w:rsidRPr="00036363">
        <w:rPr>
          <w:lang w:val="fr-FR"/>
        </w:rPr>
        <w:t>17339</w:t>
      </w:r>
    </w:p>
    <w:p w14:paraId="077E59AA" w14:textId="50D24B8A"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36</w:t>
      </w:r>
      <w:r w:rsidRPr="00D11D38">
        <w:rPr>
          <w:lang w:val="fr-FR"/>
        </w:rPr>
        <w:t xml:space="preserve"> (ECMA)</w:t>
      </w:r>
    </w:p>
    <w:p w14:paraId="1542714D" w14:textId="69027036"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28</w:t>
      </w:r>
      <w:r w:rsidRPr="00D11D38">
        <w:rPr>
          <w:lang w:val="fr-FR"/>
        </w:rPr>
        <w:t>/Rev</w:t>
      </w:r>
      <w:r w:rsidR="00036363" w:rsidRPr="00036363">
        <w:rPr>
          <w:lang w:val="fr-FR"/>
        </w:rPr>
        <w:t>.</w:t>
      </w:r>
      <w:r w:rsidRPr="00036363">
        <w:rPr>
          <w:lang w:val="fr-FR"/>
        </w:rPr>
        <w:t>1</w:t>
      </w:r>
      <w:r w:rsidRPr="00D11D38">
        <w:rPr>
          <w:lang w:val="fr-FR"/>
        </w:rPr>
        <w:t xml:space="preserve"> (ECMA)</w:t>
      </w:r>
    </w:p>
    <w:p w14:paraId="310166B3" w14:textId="50CA8E77" w:rsidR="00CE245A" w:rsidRPr="00D11D38" w:rsidRDefault="00CE245A" w:rsidP="007459D7">
      <w:pPr>
        <w:pStyle w:val="SingleTxtG"/>
        <w:rPr>
          <w:lang w:val="fr-FR"/>
        </w:rPr>
      </w:pPr>
      <w:r w:rsidRPr="00036363">
        <w:rPr>
          <w:lang w:val="fr-FR"/>
        </w:rPr>
        <w:t>43</w:t>
      </w:r>
      <w:r w:rsidR="00036363" w:rsidRPr="00036363">
        <w:rPr>
          <w:lang w:val="fr-FR"/>
        </w:rPr>
        <w:t>.</w:t>
      </w:r>
      <w:r w:rsidRPr="00D11D38">
        <w:rPr>
          <w:lang w:val="fr-FR"/>
        </w:rPr>
        <w:tab/>
        <w:t>La Réunion commune a approuvé le principe sous-tendant les amendements proposés dans le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36</w:t>
      </w:r>
      <w:r w:rsidR="00036363" w:rsidRPr="00036363">
        <w:rPr>
          <w:lang w:val="fr-FR"/>
        </w:rPr>
        <w:t>.</w:t>
      </w:r>
      <w:r w:rsidRPr="00D11D38">
        <w:rPr>
          <w:lang w:val="fr-FR"/>
        </w:rPr>
        <w:t xml:space="preserve"> À l</w:t>
      </w:r>
      <w:r w:rsidR="00887612">
        <w:rPr>
          <w:lang w:val="fr-FR"/>
        </w:rPr>
        <w:t>’</w:t>
      </w:r>
      <w:r w:rsidRPr="00D11D38">
        <w:rPr>
          <w:lang w:val="fr-FR"/>
        </w:rPr>
        <w:t>issue de la discussion, la Réunion commune a adopté les amendements proposés dans le document informel INF</w:t>
      </w:r>
      <w:r w:rsidR="00036363" w:rsidRPr="00036363">
        <w:rPr>
          <w:lang w:val="fr-FR"/>
        </w:rPr>
        <w:t>.</w:t>
      </w:r>
      <w:r w:rsidRPr="00036363">
        <w:rPr>
          <w:lang w:val="fr-FR"/>
        </w:rPr>
        <w:t>28</w:t>
      </w:r>
      <w:r w:rsidRPr="00D11D38">
        <w:rPr>
          <w:lang w:val="fr-FR"/>
        </w:rPr>
        <w:t>/Rev</w:t>
      </w:r>
      <w:r w:rsidR="00036363" w:rsidRPr="00036363">
        <w:rPr>
          <w:lang w:val="fr-FR"/>
        </w:rPr>
        <w:t>.</w:t>
      </w:r>
      <w:r w:rsidRPr="00036363">
        <w:rPr>
          <w:lang w:val="fr-FR"/>
        </w:rPr>
        <w:t>1</w:t>
      </w:r>
      <w:r w:rsidRPr="00D11D38">
        <w:rPr>
          <w:lang w:val="fr-FR"/>
        </w:rPr>
        <w:t xml:space="preserve"> (voir annexe</w:t>
      </w:r>
      <w:r w:rsidR="006E673B">
        <w:rPr>
          <w:lang w:val="fr-FR"/>
        </w:rPr>
        <w:t> </w:t>
      </w:r>
      <w:r w:rsidRPr="00D11D38">
        <w:rPr>
          <w:lang w:val="fr-FR"/>
        </w:rPr>
        <w:t>II)</w:t>
      </w:r>
      <w:r w:rsidR="00036363" w:rsidRPr="00036363">
        <w:rPr>
          <w:lang w:val="fr-FR"/>
        </w:rPr>
        <w:t>.</w:t>
      </w:r>
    </w:p>
    <w:p w14:paraId="1DCD9EB2" w14:textId="72980C78" w:rsidR="00CE245A" w:rsidRPr="00D11D38" w:rsidRDefault="00CE245A" w:rsidP="007459D7">
      <w:pPr>
        <w:pStyle w:val="H23G"/>
        <w:rPr>
          <w:lang w:val="fr-FR"/>
        </w:rPr>
      </w:pPr>
      <w:r w:rsidRPr="00D11D38">
        <w:rPr>
          <w:lang w:val="fr-FR"/>
        </w:rPr>
        <w:tab/>
      </w:r>
      <w:r w:rsidRPr="00036363">
        <w:rPr>
          <w:lang w:val="fr-FR"/>
        </w:rPr>
        <w:t>5</w:t>
      </w:r>
      <w:r w:rsidR="00036363" w:rsidRPr="00036363">
        <w:rPr>
          <w:lang w:val="fr-FR"/>
        </w:rPr>
        <w:t>.</w:t>
      </w:r>
      <w:r w:rsidRPr="00D11D38">
        <w:rPr>
          <w:lang w:val="fr-FR"/>
        </w:rPr>
        <w:tab/>
        <w:t>Transport des appareils à pression fixes fabriqués conformément à un code de</w:t>
      </w:r>
      <w:r w:rsidR="007459D7">
        <w:rPr>
          <w:lang w:val="fr-FR"/>
        </w:rPr>
        <w:t> </w:t>
      </w:r>
      <w:r w:rsidRPr="00D11D38">
        <w:rPr>
          <w:lang w:val="fr-FR"/>
        </w:rPr>
        <w:t>conception reconnu par une autorité nationale compétente</w:t>
      </w:r>
    </w:p>
    <w:p w14:paraId="744DD8F2" w14:textId="648D7232"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37</w:t>
      </w:r>
      <w:r w:rsidRPr="00D11D38">
        <w:rPr>
          <w:lang w:val="fr-FR"/>
        </w:rPr>
        <w:t xml:space="preserve"> (ECMA)</w:t>
      </w:r>
    </w:p>
    <w:p w14:paraId="6988A449" w14:textId="67FB0C87"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13</w:t>
      </w:r>
      <w:r w:rsidRPr="00D11D38">
        <w:rPr>
          <w:lang w:val="fr-FR"/>
        </w:rPr>
        <w:t xml:space="preserve"> (Royaume-Uni)</w:t>
      </w:r>
    </w:p>
    <w:p w14:paraId="3A1385C6" w14:textId="3B96B2ED" w:rsidR="00CE245A" w:rsidRPr="00D11D38" w:rsidRDefault="00CE245A" w:rsidP="007459D7">
      <w:pPr>
        <w:pStyle w:val="SingleTxtG"/>
        <w:rPr>
          <w:lang w:val="fr-FR"/>
        </w:rPr>
      </w:pPr>
      <w:r w:rsidRPr="00036363">
        <w:rPr>
          <w:lang w:val="fr-FR"/>
        </w:rPr>
        <w:t>44</w:t>
      </w:r>
      <w:r w:rsidR="00036363" w:rsidRPr="00036363">
        <w:rPr>
          <w:lang w:val="fr-FR"/>
        </w:rPr>
        <w:t>.</w:t>
      </w:r>
      <w:r w:rsidRPr="00D11D38">
        <w:rPr>
          <w:lang w:val="fr-FR"/>
        </w:rPr>
        <w:tab/>
        <w:t>La plupart des représentants ont estimé que le champ d</w:t>
      </w:r>
      <w:r w:rsidR="00887612">
        <w:rPr>
          <w:lang w:val="fr-FR"/>
        </w:rPr>
        <w:t>’</w:t>
      </w:r>
      <w:r w:rsidRPr="00D11D38">
        <w:rPr>
          <w:lang w:val="fr-FR"/>
        </w:rPr>
        <w:t>application proposé dans les deux documents était trop large et qu</w:t>
      </w:r>
      <w:r w:rsidR="00887612">
        <w:rPr>
          <w:lang w:val="fr-FR"/>
        </w:rPr>
        <w:t>’</w:t>
      </w:r>
      <w:r w:rsidRPr="00D11D38">
        <w:rPr>
          <w:lang w:val="fr-FR"/>
        </w:rPr>
        <w:t xml:space="preserve">il devait être limité </w:t>
      </w:r>
      <w:r>
        <w:rPr>
          <w:lang w:val="fr-FR"/>
        </w:rPr>
        <w:t>à des</w:t>
      </w:r>
      <w:r w:rsidRPr="00D11D38">
        <w:rPr>
          <w:lang w:val="fr-FR"/>
        </w:rPr>
        <w:t xml:space="preserve"> r</w:t>
      </w:r>
      <w:r>
        <w:rPr>
          <w:lang w:val="fr-FR"/>
        </w:rPr>
        <w:t>é</w:t>
      </w:r>
      <w:r w:rsidRPr="00D11D38">
        <w:rPr>
          <w:lang w:val="fr-FR"/>
        </w:rPr>
        <w:t>servoirs composites fixes</w:t>
      </w:r>
      <w:r>
        <w:rPr>
          <w:lang w:val="fr-FR"/>
        </w:rPr>
        <w:t xml:space="preserve"> particuliers</w:t>
      </w:r>
      <w:r w:rsidR="00036363" w:rsidRPr="00036363">
        <w:rPr>
          <w:lang w:val="fr-FR"/>
        </w:rPr>
        <w:t>.</w:t>
      </w:r>
      <w:r w:rsidRPr="00D11D38">
        <w:rPr>
          <w:lang w:val="fr-FR"/>
        </w:rPr>
        <w:t xml:space="preserve"> D</w:t>
      </w:r>
      <w:r w:rsidR="00887612">
        <w:rPr>
          <w:lang w:val="fr-FR"/>
        </w:rPr>
        <w:t>’</w:t>
      </w:r>
      <w:r w:rsidRPr="00D11D38">
        <w:rPr>
          <w:lang w:val="fr-FR"/>
        </w:rPr>
        <w:t xml:space="preserve">autres ont indiqué que pour des raisons de sécurité, outre la pression maximale de </w:t>
      </w:r>
      <w:r w:rsidRPr="00036363">
        <w:rPr>
          <w:lang w:val="fr-FR"/>
        </w:rPr>
        <w:t>20</w:t>
      </w:r>
      <w:r w:rsidR="00CD2A6A">
        <w:rPr>
          <w:lang w:val="fr-FR"/>
        </w:rPr>
        <w:t> </w:t>
      </w:r>
      <w:r w:rsidRPr="00D11D38">
        <w:rPr>
          <w:lang w:val="fr-FR"/>
        </w:rPr>
        <w:t xml:space="preserve">bar, il faudrait fixer une limite de </w:t>
      </w:r>
      <w:r w:rsidRPr="00036363">
        <w:rPr>
          <w:lang w:val="fr-FR"/>
        </w:rPr>
        <w:t>10</w:t>
      </w:r>
      <w:r w:rsidR="00887612">
        <w:rPr>
          <w:lang w:val="fr-FR"/>
        </w:rPr>
        <w:t> %</w:t>
      </w:r>
      <w:r w:rsidRPr="00D11D38">
        <w:rPr>
          <w:lang w:val="fr-FR"/>
        </w:rPr>
        <w:t xml:space="preserve"> de la pression de service du récipient</w:t>
      </w:r>
      <w:r w:rsidR="00036363" w:rsidRPr="00036363">
        <w:rPr>
          <w:lang w:val="fr-FR"/>
        </w:rPr>
        <w:t>.</w:t>
      </w:r>
      <w:r w:rsidRPr="00D11D38">
        <w:rPr>
          <w:lang w:val="fr-FR"/>
        </w:rPr>
        <w:t xml:space="preserve"> Il a été recommandé de ne pas mentionner le </w:t>
      </w:r>
      <w:r w:rsidR="00887612">
        <w:rPr>
          <w:lang w:val="fr-FR"/>
        </w:rPr>
        <w:t>N</w:t>
      </w:r>
      <w:r w:rsidR="00887612" w:rsidRPr="002C26C9">
        <w:rPr>
          <w:lang w:val="fr-FR"/>
        </w:rPr>
        <w:t>o</w:t>
      </w:r>
      <w:r>
        <w:rPr>
          <w:lang w:val="fr-FR"/>
        </w:rPr>
        <w:t> </w:t>
      </w:r>
      <w:r w:rsidRPr="00D11D38">
        <w:rPr>
          <w:lang w:val="fr-FR"/>
        </w:rPr>
        <w:t>ONU </w:t>
      </w:r>
      <w:r w:rsidRPr="00036363">
        <w:rPr>
          <w:lang w:val="fr-FR"/>
        </w:rPr>
        <w:t>1002</w:t>
      </w:r>
      <w:r w:rsidR="00036363" w:rsidRPr="00036363">
        <w:rPr>
          <w:lang w:val="fr-FR"/>
        </w:rPr>
        <w:t>.</w:t>
      </w:r>
    </w:p>
    <w:p w14:paraId="19FFBD12" w14:textId="7BDDCE3C" w:rsidR="00CE245A" w:rsidRPr="00D11D38" w:rsidRDefault="00CE245A" w:rsidP="00896CAF">
      <w:pPr>
        <w:pStyle w:val="SingleTxtG"/>
        <w:keepLines/>
        <w:rPr>
          <w:lang w:val="fr-FR"/>
        </w:rPr>
      </w:pPr>
      <w:r w:rsidRPr="00036363">
        <w:rPr>
          <w:lang w:val="fr-FR"/>
        </w:rPr>
        <w:lastRenderedPageBreak/>
        <w:t>45</w:t>
      </w:r>
      <w:r w:rsidR="00036363" w:rsidRPr="00036363">
        <w:rPr>
          <w:lang w:val="fr-FR"/>
        </w:rPr>
        <w:t>.</w:t>
      </w:r>
      <w:r w:rsidRPr="00D11D38">
        <w:rPr>
          <w:lang w:val="fr-FR"/>
        </w:rPr>
        <w:tab/>
        <w:t>Les représentants du Royaume-Uni et de l</w:t>
      </w:r>
      <w:r w:rsidR="00887612">
        <w:rPr>
          <w:lang w:val="fr-FR"/>
        </w:rPr>
        <w:t>’</w:t>
      </w:r>
      <w:r w:rsidRPr="00D11D38">
        <w:rPr>
          <w:lang w:val="fr-FR"/>
        </w:rPr>
        <w:t>ECMA ont invité toutes les délégations à leur faire parvenir leurs commentaires par courrier électronique et ont proposé d</w:t>
      </w:r>
      <w:r w:rsidR="00887612">
        <w:rPr>
          <w:lang w:val="fr-FR"/>
        </w:rPr>
        <w:t>’</w:t>
      </w:r>
      <w:r w:rsidRPr="00D11D38">
        <w:rPr>
          <w:lang w:val="fr-FR"/>
        </w:rPr>
        <w:t>élaborer ensemble, pour la session suivante, un nouveau document qui tiendrait compte des observations reçues</w:t>
      </w:r>
      <w:r w:rsidR="00036363" w:rsidRPr="00036363">
        <w:rPr>
          <w:lang w:val="fr-FR"/>
        </w:rPr>
        <w:t>.</w:t>
      </w:r>
    </w:p>
    <w:p w14:paraId="0305219A" w14:textId="7CFD9563" w:rsidR="00CE245A" w:rsidRPr="00D11D38" w:rsidRDefault="00CE245A" w:rsidP="007459D7">
      <w:pPr>
        <w:pStyle w:val="H23G"/>
        <w:rPr>
          <w:lang w:val="fr-FR"/>
        </w:rPr>
      </w:pPr>
      <w:r w:rsidRPr="00D11D38">
        <w:rPr>
          <w:lang w:val="fr-FR"/>
        </w:rPr>
        <w:tab/>
      </w:r>
      <w:r w:rsidRPr="00036363">
        <w:rPr>
          <w:lang w:val="fr-FR"/>
        </w:rPr>
        <w:t>6</w:t>
      </w:r>
      <w:r w:rsidR="00036363" w:rsidRPr="00036363">
        <w:rPr>
          <w:lang w:val="fr-FR"/>
        </w:rPr>
        <w:t>.</w:t>
      </w:r>
      <w:r w:rsidRPr="00D11D38">
        <w:rPr>
          <w:lang w:val="fr-FR"/>
        </w:rPr>
        <w:tab/>
        <w:t>Procédures nationales visant à déterminer les intervalles entre les contrôles des</w:t>
      </w:r>
      <w:r w:rsidR="007459D7">
        <w:rPr>
          <w:lang w:val="fr-FR"/>
        </w:rPr>
        <w:t> </w:t>
      </w:r>
      <w:r w:rsidRPr="00D11D38">
        <w:rPr>
          <w:lang w:val="fr-FR"/>
        </w:rPr>
        <w:t xml:space="preserve">récipients à pression en matériaux composites conformément </w:t>
      </w:r>
      <w:r w:rsidR="007459D7">
        <w:rPr>
          <w:lang w:val="fr-FR"/>
        </w:rPr>
        <w:br/>
      </w:r>
      <w:r w:rsidRPr="00D11D38">
        <w:rPr>
          <w:lang w:val="fr-FR"/>
        </w:rPr>
        <w:t>à l</w:t>
      </w:r>
      <w:r w:rsidR="00887612">
        <w:rPr>
          <w:lang w:val="fr-FR"/>
        </w:rPr>
        <w:t>’</w:t>
      </w:r>
      <w:r w:rsidRPr="00D11D38">
        <w:rPr>
          <w:lang w:val="fr-FR"/>
        </w:rPr>
        <w:t>instruction d</w:t>
      </w:r>
      <w:r w:rsidR="00887612">
        <w:rPr>
          <w:lang w:val="fr-FR"/>
        </w:rPr>
        <w:t>’</w:t>
      </w:r>
      <w:r w:rsidRPr="00D11D38">
        <w:rPr>
          <w:lang w:val="fr-FR"/>
        </w:rPr>
        <w:t>emballage P</w:t>
      </w:r>
      <w:r w:rsidRPr="00036363">
        <w:rPr>
          <w:lang w:val="fr-FR"/>
        </w:rPr>
        <w:t>200</w:t>
      </w:r>
      <w:r w:rsidRPr="00D11D38">
        <w:rPr>
          <w:lang w:val="fr-FR"/>
        </w:rPr>
        <w:t xml:space="preserve"> (par</w:t>
      </w:r>
      <w:r w:rsidR="00036363" w:rsidRPr="00036363">
        <w:rPr>
          <w:lang w:val="fr-FR"/>
        </w:rPr>
        <w:t>.</w:t>
      </w:r>
      <w:r w:rsidR="00597A01">
        <w:rPr>
          <w:lang w:val="fr-FR"/>
        </w:rPr>
        <w:t> </w:t>
      </w:r>
      <w:r w:rsidRPr="00036363">
        <w:rPr>
          <w:lang w:val="fr-FR"/>
        </w:rPr>
        <w:t>9</w:t>
      </w:r>
      <w:r w:rsidRPr="00D11D38">
        <w:rPr>
          <w:lang w:val="fr-FR"/>
        </w:rPr>
        <w:t>)</w:t>
      </w:r>
    </w:p>
    <w:p w14:paraId="76E6BE0D" w14:textId="415E760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41</w:t>
      </w:r>
      <w:r w:rsidRPr="00D11D38">
        <w:rPr>
          <w:lang w:val="fr-FR"/>
        </w:rPr>
        <w:t xml:space="preserve"> (Allemagne)</w:t>
      </w:r>
    </w:p>
    <w:p w14:paraId="0D15DFE8" w14:textId="010620BE" w:rsidR="00CE245A" w:rsidRPr="00D11D38" w:rsidRDefault="00CE245A" w:rsidP="007459D7">
      <w:pPr>
        <w:pStyle w:val="SingleTxtG"/>
        <w:rPr>
          <w:lang w:val="fr-FR"/>
        </w:rPr>
      </w:pPr>
      <w:r w:rsidRPr="00036363">
        <w:rPr>
          <w:lang w:val="fr-FR"/>
        </w:rPr>
        <w:t>46</w:t>
      </w:r>
      <w:r w:rsidR="00036363" w:rsidRPr="00036363">
        <w:rPr>
          <w:lang w:val="fr-FR"/>
        </w:rPr>
        <w:t>.</w:t>
      </w:r>
      <w:r w:rsidRPr="00D11D38">
        <w:rPr>
          <w:lang w:val="fr-FR"/>
        </w:rPr>
        <w:tab/>
        <w:t>La Réunion commune s</w:t>
      </w:r>
      <w:r w:rsidR="00887612">
        <w:rPr>
          <w:lang w:val="fr-FR"/>
        </w:rPr>
        <w:t>’</w:t>
      </w:r>
      <w:r w:rsidRPr="00D11D38">
        <w:rPr>
          <w:lang w:val="fr-FR"/>
        </w:rPr>
        <w:t>est félicitée de l</w:t>
      </w:r>
      <w:r w:rsidR="00887612">
        <w:rPr>
          <w:lang w:val="fr-FR"/>
        </w:rPr>
        <w:t>’</w:t>
      </w:r>
      <w:r w:rsidRPr="00D11D38">
        <w:rPr>
          <w:lang w:val="fr-FR"/>
        </w:rPr>
        <w:t>initiative prise par l</w:t>
      </w:r>
      <w:r w:rsidR="00887612">
        <w:rPr>
          <w:lang w:val="fr-FR"/>
        </w:rPr>
        <w:t>’</w:t>
      </w:r>
      <w:r w:rsidRPr="00D11D38">
        <w:rPr>
          <w:lang w:val="fr-FR"/>
        </w:rPr>
        <w:t>Allemagne et destinée à recueillir des informations auprès des États contractants au RID/Parties contractantes à l</w:t>
      </w:r>
      <w:r w:rsidR="00887612">
        <w:rPr>
          <w:lang w:val="fr-FR"/>
        </w:rPr>
        <w:t>’</w:t>
      </w:r>
      <w:r w:rsidRPr="00D11D38">
        <w:rPr>
          <w:lang w:val="fr-FR"/>
        </w:rPr>
        <w:t>ADR en ce qui concerne les procédures nationales dans le but d</w:t>
      </w:r>
      <w:r w:rsidR="00887612">
        <w:rPr>
          <w:lang w:val="fr-FR"/>
        </w:rPr>
        <w:t>’</w:t>
      </w:r>
      <w:r w:rsidRPr="00D11D38">
        <w:rPr>
          <w:lang w:val="fr-FR"/>
        </w:rPr>
        <w:t>allonger les intervalles entre les contrôles des récipients à pression en matériaux composites</w:t>
      </w:r>
      <w:r w:rsidR="00036363" w:rsidRPr="00036363">
        <w:rPr>
          <w:lang w:val="fr-FR"/>
        </w:rPr>
        <w:t>.</w:t>
      </w:r>
      <w:r w:rsidRPr="00D11D38">
        <w:rPr>
          <w:lang w:val="fr-FR"/>
        </w:rPr>
        <w:t xml:space="preserve"> Les représentants ont été invités à adresser leurs réponses aux trois questions figurant au paragraphe </w:t>
      </w:r>
      <w:r w:rsidRPr="00036363">
        <w:rPr>
          <w:lang w:val="fr-FR"/>
        </w:rPr>
        <w:t>6</w:t>
      </w:r>
      <w:r w:rsidRPr="00D11D38">
        <w:rPr>
          <w:lang w:val="fr-FR"/>
        </w:rPr>
        <w:t xml:space="preserve"> du document au représentant de l</w:t>
      </w:r>
      <w:r w:rsidR="00887612">
        <w:rPr>
          <w:lang w:val="fr-FR"/>
        </w:rPr>
        <w:t>’</w:t>
      </w:r>
      <w:r w:rsidRPr="00D11D38">
        <w:rPr>
          <w:lang w:val="fr-FR"/>
        </w:rPr>
        <w:t>Allemagne (</w:t>
      </w:r>
      <w:hyperlink r:id="rId9" w:history="1">
        <w:r w:rsidR="00473D4B" w:rsidRPr="00283C8C">
          <w:rPr>
            <w:rStyle w:val="Hyperlink"/>
            <w:lang w:val="fr-FR"/>
          </w:rPr>
          <w:t>georg</w:t>
        </w:r>
        <w:r w:rsidR="00036363" w:rsidRPr="00036363">
          <w:rPr>
            <w:rStyle w:val="Hyperlink"/>
            <w:lang w:val="fr-FR"/>
          </w:rPr>
          <w:t>.</w:t>
        </w:r>
        <w:r w:rsidR="00473D4B" w:rsidRPr="00283C8C">
          <w:rPr>
            <w:rStyle w:val="Hyperlink"/>
            <w:lang w:val="fr-FR"/>
          </w:rPr>
          <w:t>mair@bam</w:t>
        </w:r>
        <w:r w:rsidR="00036363" w:rsidRPr="00036363">
          <w:rPr>
            <w:rStyle w:val="Hyperlink"/>
            <w:lang w:val="fr-FR"/>
          </w:rPr>
          <w:t>.</w:t>
        </w:r>
        <w:r w:rsidR="00473D4B" w:rsidRPr="00283C8C">
          <w:rPr>
            <w:rStyle w:val="Hyperlink"/>
            <w:lang w:val="fr-FR"/>
          </w:rPr>
          <w:t>de</w:t>
        </w:r>
      </w:hyperlink>
      <w:r w:rsidRPr="00D11D38">
        <w:rPr>
          <w:lang w:val="fr-FR"/>
        </w:rPr>
        <w:t>), qui a proposé de faire le point sur les informations qu</w:t>
      </w:r>
      <w:r w:rsidR="00887612">
        <w:rPr>
          <w:lang w:val="fr-FR"/>
        </w:rPr>
        <w:t>’</w:t>
      </w:r>
      <w:r w:rsidRPr="00D11D38">
        <w:rPr>
          <w:lang w:val="fr-FR"/>
        </w:rPr>
        <w:t>il aurait reçues à la session suivante</w:t>
      </w:r>
      <w:r w:rsidR="00036363" w:rsidRPr="00036363">
        <w:rPr>
          <w:lang w:val="fr-FR"/>
        </w:rPr>
        <w:t>.</w:t>
      </w:r>
    </w:p>
    <w:p w14:paraId="1B3B6FF8" w14:textId="5FFAF92B" w:rsidR="00CE245A" w:rsidRPr="00D11D38" w:rsidRDefault="00CE245A" w:rsidP="007459D7">
      <w:pPr>
        <w:pStyle w:val="H23G"/>
        <w:rPr>
          <w:lang w:val="fr-FR"/>
        </w:rPr>
      </w:pPr>
      <w:r w:rsidRPr="00D11D38">
        <w:rPr>
          <w:lang w:val="fr-FR"/>
        </w:rPr>
        <w:tab/>
      </w:r>
      <w:r w:rsidRPr="00036363">
        <w:rPr>
          <w:lang w:val="fr-FR"/>
        </w:rPr>
        <w:t>7</w:t>
      </w:r>
      <w:r w:rsidR="00036363" w:rsidRPr="00036363">
        <w:rPr>
          <w:lang w:val="fr-FR"/>
        </w:rPr>
        <w:t>.</w:t>
      </w:r>
      <w:r w:rsidRPr="00D11D38">
        <w:rPr>
          <w:lang w:val="fr-FR"/>
        </w:rPr>
        <w:tab/>
        <w:t>Proposition d</w:t>
      </w:r>
      <w:r w:rsidR="00887612">
        <w:rPr>
          <w:lang w:val="fr-FR"/>
        </w:rPr>
        <w:t>’</w:t>
      </w:r>
      <w:r w:rsidRPr="00D11D38">
        <w:rPr>
          <w:lang w:val="fr-FR"/>
        </w:rPr>
        <w:t xml:space="preserve">amendements au </w:t>
      </w:r>
      <w:r w:rsidRPr="00036363">
        <w:rPr>
          <w:lang w:val="fr-FR"/>
        </w:rPr>
        <w:t>5</w:t>
      </w:r>
      <w:r w:rsidR="00036363" w:rsidRPr="00036363">
        <w:rPr>
          <w:lang w:val="fr-FR"/>
        </w:rPr>
        <w:t>.</w:t>
      </w:r>
      <w:r w:rsidRPr="00036363">
        <w:rPr>
          <w:lang w:val="fr-FR"/>
        </w:rPr>
        <w:t>4</w:t>
      </w:r>
      <w:r w:rsidR="00036363" w:rsidRPr="00036363">
        <w:rPr>
          <w:lang w:val="fr-FR"/>
        </w:rPr>
        <w:t>.</w:t>
      </w:r>
      <w:r w:rsidRPr="00036363">
        <w:rPr>
          <w:lang w:val="fr-FR"/>
        </w:rPr>
        <w:t>1</w:t>
      </w:r>
      <w:r w:rsidR="00036363" w:rsidRPr="00036363">
        <w:rPr>
          <w:lang w:val="fr-FR"/>
        </w:rPr>
        <w:t>.</w:t>
      </w:r>
      <w:r w:rsidRPr="00036363">
        <w:rPr>
          <w:lang w:val="fr-FR"/>
        </w:rPr>
        <w:t>1</w:t>
      </w:r>
      <w:r w:rsidR="00036363" w:rsidRPr="00036363">
        <w:rPr>
          <w:lang w:val="fr-FR"/>
        </w:rPr>
        <w:t>.</w:t>
      </w:r>
      <w:r w:rsidRPr="00036363">
        <w:rPr>
          <w:lang w:val="fr-FR"/>
        </w:rPr>
        <w:t>3</w:t>
      </w:r>
      <w:r w:rsidR="00036363" w:rsidRPr="00036363">
        <w:rPr>
          <w:lang w:val="fr-FR"/>
        </w:rPr>
        <w:t>.</w:t>
      </w:r>
      <w:r w:rsidRPr="00036363">
        <w:rPr>
          <w:lang w:val="fr-FR"/>
        </w:rPr>
        <w:t>2</w:t>
      </w:r>
      <w:r w:rsidRPr="00D11D38">
        <w:rPr>
          <w:lang w:val="fr-FR"/>
        </w:rPr>
        <w:t xml:space="preserve"> du RID et de l</w:t>
      </w:r>
      <w:r w:rsidR="00887612">
        <w:rPr>
          <w:lang w:val="fr-FR"/>
        </w:rPr>
        <w:t>’</w:t>
      </w:r>
      <w:r w:rsidRPr="00D11D38">
        <w:rPr>
          <w:lang w:val="fr-FR"/>
        </w:rPr>
        <w:t>ADR concernant les</w:t>
      </w:r>
      <w:r w:rsidR="007459D7">
        <w:rPr>
          <w:lang w:val="fr-FR"/>
        </w:rPr>
        <w:t> </w:t>
      </w:r>
      <w:r w:rsidRPr="00D11D38">
        <w:rPr>
          <w:lang w:val="fr-FR"/>
        </w:rPr>
        <w:t xml:space="preserve">informations relatives à la quantité transportée figurant </w:t>
      </w:r>
      <w:r w:rsidR="007459D7">
        <w:rPr>
          <w:lang w:val="fr-FR"/>
        </w:rPr>
        <w:br/>
      </w:r>
      <w:r w:rsidRPr="00D11D38">
        <w:rPr>
          <w:lang w:val="fr-FR"/>
        </w:rPr>
        <w:t>dans le document de transport</w:t>
      </w:r>
    </w:p>
    <w:p w14:paraId="524348C5" w14:textId="5D4B08B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42</w:t>
      </w:r>
      <w:r w:rsidRPr="00D11D38">
        <w:rPr>
          <w:lang w:val="fr-FR"/>
        </w:rPr>
        <w:t xml:space="preserve"> (Irlande et FEAD)</w:t>
      </w:r>
    </w:p>
    <w:p w14:paraId="7A4B98EF" w14:textId="34D165EA" w:rsidR="00CE245A" w:rsidRPr="00D11D38" w:rsidRDefault="00CE245A" w:rsidP="007459D7">
      <w:pPr>
        <w:pStyle w:val="SingleTxtG"/>
        <w:rPr>
          <w:lang w:val="fr-FR"/>
        </w:rPr>
      </w:pPr>
      <w:r w:rsidRPr="00036363">
        <w:rPr>
          <w:lang w:val="fr-FR"/>
        </w:rPr>
        <w:t>47</w:t>
      </w:r>
      <w:r w:rsidR="00036363" w:rsidRPr="00036363">
        <w:rPr>
          <w:lang w:val="fr-FR"/>
        </w:rPr>
        <w:t>.</w:t>
      </w:r>
      <w:r w:rsidRPr="00D11D38">
        <w:rPr>
          <w:lang w:val="fr-FR"/>
        </w:rPr>
        <w:tab/>
        <w:t>La plupart des représentants qui sont intervenus ont exprimé des réserves concernant le nouvel alinéa b), relatif à l</w:t>
      </w:r>
      <w:r w:rsidR="00887612">
        <w:rPr>
          <w:lang w:val="fr-FR"/>
        </w:rPr>
        <w:t>’</w:t>
      </w:r>
      <w:r w:rsidRPr="00D11D38">
        <w:rPr>
          <w:lang w:val="fr-FR"/>
        </w:rPr>
        <w:t xml:space="preserve">estimation de la quantité de déchets (et renvoyant au </w:t>
      </w:r>
      <w:r w:rsidRPr="00036363">
        <w:rPr>
          <w:lang w:val="fr-FR"/>
        </w:rPr>
        <w:t>1</w:t>
      </w:r>
      <w:r w:rsidR="00036363" w:rsidRPr="00036363">
        <w:rPr>
          <w:lang w:val="fr-FR"/>
        </w:rPr>
        <w:t>.</w:t>
      </w:r>
      <w:r w:rsidRPr="00036363">
        <w:rPr>
          <w:lang w:val="fr-FR"/>
        </w:rPr>
        <w:t>10</w:t>
      </w:r>
      <w:r w:rsidR="00036363" w:rsidRPr="00036363">
        <w:rPr>
          <w:lang w:val="fr-FR"/>
        </w:rPr>
        <w:t>.</w:t>
      </w:r>
      <w:r w:rsidRPr="00036363">
        <w:rPr>
          <w:lang w:val="fr-FR"/>
        </w:rPr>
        <w:t>3</w:t>
      </w:r>
      <w:r w:rsidR="00036363" w:rsidRPr="00036363">
        <w:rPr>
          <w:lang w:val="fr-FR"/>
        </w:rPr>
        <w:t>.</w:t>
      </w:r>
      <w:r w:rsidRPr="00036363">
        <w:rPr>
          <w:lang w:val="fr-FR"/>
        </w:rPr>
        <w:t>1</w:t>
      </w:r>
      <w:r w:rsidR="00036363" w:rsidRPr="00036363">
        <w:rPr>
          <w:lang w:val="fr-FR"/>
        </w:rPr>
        <w:t>.</w:t>
      </w:r>
      <w:r w:rsidRPr="00036363">
        <w:rPr>
          <w:lang w:val="fr-FR"/>
        </w:rPr>
        <w:t>2</w:t>
      </w:r>
      <w:r w:rsidRPr="00D11D38">
        <w:rPr>
          <w:lang w:val="fr-FR"/>
        </w:rPr>
        <w:t>), et ont indiqué qu</w:t>
      </w:r>
      <w:r w:rsidR="00887612">
        <w:rPr>
          <w:lang w:val="fr-FR"/>
        </w:rPr>
        <w:t>’</w:t>
      </w:r>
      <w:r w:rsidRPr="00D11D38">
        <w:rPr>
          <w:lang w:val="fr-FR"/>
        </w:rPr>
        <w:t xml:space="preserve">ils préféraient conserver les dispositions sous leur forme actuelle (renvoi au </w:t>
      </w:r>
      <w:r w:rsidRPr="00036363">
        <w:rPr>
          <w:lang w:val="fr-FR"/>
        </w:rPr>
        <w:t>2</w:t>
      </w:r>
      <w:r w:rsidR="00036363" w:rsidRPr="00036363">
        <w:rPr>
          <w:lang w:val="fr-FR"/>
        </w:rPr>
        <w:t>.</w:t>
      </w:r>
      <w:r w:rsidRPr="00036363">
        <w:rPr>
          <w:lang w:val="fr-FR"/>
        </w:rPr>
        <w:t>1</w:t>
      </w:r>
      <w:r w:rsidR="00036363" w:rsidRPr="00036363">
        <w:rPr>
          <w:lang w:val="fr-FR"/>
        </w:rPr>
        <w:t>.</w:t>
      </w:r>
      <w:r w:rsidRPr="00036363">
        <w:rPr>
          <w:lang w:val="fr-FR"/>
        </w:rPr>
        <w:t>3</w:t>
      </w:r>
      <w:r w:rsidR="00036363" w:rsidRPr="00036363">
        <w:rPr>
          <w:lang w:val="fr-FR"/>
        </w:rPr>
        <w:t>.</w:t>
      </w:r>
      <w:r w:rsidRPr="00036363">
        <w:rPr>
          <w:lang w:val="fr-FR"/>
        </w:rPr>
        <w:t>5</w:t>
      </w:r>
      <w:r w:rsidR="00036363" w:rsidRPr="00036363">
        <w:rPr>
          <w:lang w:val="fr-FR"/>
        </w:rPr>
        <w:t>.</w:t>
      </w:r>
      <w:r w:rsidRPr="00036363">
        <w:rPr>
          <w:lang w:val="fr-FR"/>
        </w:rPr>
        <w:t>3</w:t>
      </w:r>
      <w:r w:rsidRPr="00D11D38">
        <w:rPr>
          <w:lang w:val="fr-FR"/>
        </w:rPr>
        <w:t>)</w:t>
      </w:r>
      <w:r w:rsidR="00036363" w:rsidRPr="00036363">
        <w:rPr>
          <w:lang w:val="fr-FR"/>
        </w:rPr>
        <w:t>.</w:t>
      </w:r>
      <w:r w:rsidRPr="00D11D38">
        <w:rPr>
          <w:lang w:val="fr-FR"/>
        </w:rPr>
        <w:t xml:space="preserve"> D</w:t>
      </w:r>
      <w:r w:rsidR="00887612">
        <w:rPr>
          <w:lang w:val="fr-FR"/>
        </w:rPr>
        <w:t>’</w:t>
      </w:r>
      <w:r w:rsidRPr="00D11D38">
        <w:rPr>
          <w:lang w:val="fr-FR"/>
        </w:rPr>
        <w:t>autres ont demandé que la justification des modifications proposées soit étoffée et que des précisions soient apportées sur ce qu</w:t>
      </w:r>
      <w:r w:rsidR="00887612">
        <w:rPr>
          <w:lang w:val="fr-FR"/>
        </w:rPr>
        <w:t>’</w:t>
      </w:r>
      <w:r w:rsidRPr="00D11D38">
        <w:rPr>
          <w:lang w:val="fr-FR"/>
        </w:rPr>
        <w:t>étaient les « informations nécessaires à la détermination » du degré de remplissage des citernes</w:t>
      </w:r>
      <w:r w:rsidR="00036363" w:rsidRPr="00036363">
        <w:rPr>
          <w:lang w:val="fr-FR"/>
        </w:rPr>
        <w:t>.</w:t>
      </w:r>
    </w:p>
    <w:p w14:paraId="41371431" w14:textId="64C05C9C" w:rsidR="00CE245A" w:rsidRPr="00D11D38" w:rsidRDefault="00CE245A" w:rsidP="007459D7">
      <w:pPr>
        <w:pStyle w:val="SingleTxtG"/>
        <w:rPr>
          <w:lang w:val="fr-FR"/>
        </w:rPr>
      </w:pPr>
      <w:r w:rsidRPr="00036363">
        <w:rPr>
          <w:lang w:val="fr-FR"/>
        </w:rPr>
        <w:t>48</w:t>
      </w:r>
      <w:r w:rsidR="00036363" w:rsidRPr="00036363">
        <w:rPr>
          <w:lang w:val="fr-FR"/>
        </w:rPr>
        <w:t>.</w:t>
      </w:r>
      <w:r w:rsidRPr="00D11D38">
        <w:rPr>
          <w:lang w:val="fr-FR"/>
        </w:rPr>
        <w:tab/>
        <w:t>Comme suite aux débats, le représentant de la FEAD a proposé de revoir la proposition à la lumière des observations formulées, de l</w:t>
      </w:r>
      <w:r w:rsidR="00887612">
        <w:rPr>
          <w:lang w:val="fr-FR"/>
        </w:rPr>
        <w:t>’</w:t>
      </w:r>
      <w:r w:rsidRPr="00D11D38">
        <w:rPr>
          <w:lang w:val="fr-FR"/>
        </w:rPr>
        <w:t xml:space="preserve">examiner plus avant lors de la réunion intersessions (voir le paragraphe </w:t>
      </w:r>
      <w:r w:rsidRPr="00036363">
        <w:rPr>
          <w:lang w:val="fr-FR"/>
        </w:rPr>
        <w:t>40</w:t>
      </w:r>
      <w:r w:rsidRPr="00D11D38">
        <w:rPr>
          <w:lang w:val="fr-FR"/>
        </w:rPr>
        <w:t xml:space="preserve"> ci-dessus) et d</w:t>
      </w:r>
      <w:r w:rsidR="00887612">
        <w:rPr>
          <w:lang w:val="fr-FR"/>
        </w:rPr>
        <w:t>’</w:t>
      </w:r>
      <w:r w:rsidRPr="00D11D38">
        <w:rPr>
          <w:lang w:val="fr-FR"/>
        </w:rPr>
        <w:t>en soumettre une version améliorée à la session suivante</w:t>
      </w:r>
      <w:r w:rsidR="00036363" w:rsidRPr="00036363">
        <w:rPr>
          <w:lang w:val="fr-FR"/>
        </w:rPr>
        <w:t>.</w:t>
      </w:r>
    </w:p>
    <w:p w14:paraId="790E6FF1" w14:textId="1C3E313A" w:rsidR="00CE245A" w:rsidRPr="00D11D38" w:rsidRDefault="00CE245A" w:rsidP="007459D7">
      <w:pPr>
        <w:pStyle w:val="H23G"/>
        <w:rPr>
          <w:lang w:val="fr-FR"/>
        </w:rPr>
      </w:pPr>
      <w:r w:rsidRPr="00D11D38">
        <w:rPr>
          <w:lang w:val="fr-FR"/>
        </w:rPr>
        <w:tab/>
      </w:r>
      <w:r w:rsidRPr="00036363">
        <w:rPr>
          <w:lang w:val="fr-FR"/>
        </w:rPr>
        <w:t>8</w:t>
      </w:r>
      <w:r w:rsidR="00036363" w:rsidRPr="00036363">
        <w:rPr>
          <w:lang w:val="fr-FR"/>
        </w:rPr>
        <w:t>.</w:t>
      </w:r>
      <w:r w:rsidRPr="00D11D38">
        <w:rPr>
          <w:lang w:val="fr-FR"/>
        </w:rPr>
        <w:tab/>
        <w:t>Modifications d</w:t>
      </w:r>
      <w:r w:rsidR="00887612">
        <w:rPr>
          <w:lang w:val="fr-FR"/>
        </w:rPr>
        <w:t>’</w:t>
      </w:r>
      <w:r w:rsidRPr="00D11D38">
        <w:rPr>
          <w:lang w:val="fr-FR"/>
        </w:rPr>
        <w:t>ordre rédactionnel à apporter au RID, à l</w:t>
      </w:r>
      <w:r w:rsidR="00887612">
        <w:rPr>
          <w:lang w:val="fr-FR"/>
        </w:rPr>
        <w:t>’</w:t>
      </w:r>
      <w:r w:rsidRPr="00D11D38">
        <w:rPr>
          <w:lang w:val="fr-FR"/>
        </w:rPr>
        <w:t>ADR et à l</w:t>
      </w:r>
      <w:r w:rsidR="00887612">
        <w:rPr>
          <w:lang w:val="fr-FR"/>
        </w:rPr>
        <w:t>’</w:t>
      </w:r>
      <w:r w:rsidRPr="00D11D38">
        <w:rPr>
          <w:lang w:val="fr-FR"/>
        </w:rPr>
        <w:t>ADN</w:t>
      </w:r>
    </w:p>
    <w:p w14:paraId="39E97014" w14:textId="1FF9B8AF"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46</w:t>
      </w:r>
      <w:r w:rsidRPr="00D11D38">
        <w:rPr>
          <w:lang w:val="fr-FR"/>
        </w:rPr>
        <w:t xml:space="preserve"> (secrétariats)</w:t>
      </w:r>
    </w:p>
    <w:p w14:paraId="4B7D8F19" w14:textId="4E490BF6" w:rsidR="00CE245A" w:rsidRPr="00D11D38" w:rsidRDefault="00CE245A" w:rsidP="007459D7">
      <w:pPr>
        <w:pStyle w:val="SingleTxtG"/>
        <w:rPr>
          <w:b/>
          <w:bCs/>
          <w:lang w:val="fr-FR"/>
        </w:rPr>
      </w:pPr>
      <w:r w:rsidRPr="00036363">
        <w:rPr>
          <w:lang w:val="fr-FR"/>
        </w:rPr>
        <w:t>49</w:t>
      </w:r>
      <w:r w:rsidR="00036363" w:rsidRPr="00036363">
        <w:rPr>
          <w:lang w:val="fr-FR"/>
        </w:rPr>
        <w:t>.</w:t>
      </w:r>
      <w:r w:rsidRPr="00D11D38">
        <w:rPr>
          <w:lang w:val="fr-FR"/>
        </w:rPr>
        <w:tab/>
        <w:t>La Réunion commune a adopté les modifications qu</w:t>
      </w:r>
      <w:r w:rsidR="00887612">
        <w:rPr>
          <w:lang w:val="fr-FR"/>
        </w:rPr>
        <w:t>’</w:t>
      </w:r>
      <w:r w:rsidRPr="00D11D38">
        <w:rPr>
          <w:lang w:val="fr-FR"/>
        </w:rPr>
        <w:t>il était proposé d</w:t>
      </w:r>
      <w:r w:rsidR="00887612">
        <w:rPr>
          <w:lang w:val="fr-FR"/>
        </w:rPr>
        <w:t>’</w:t>
      </w:r>
      <w:r w:rsidRPr="00D11D38">
        <w:rPr>
          <w:lang w:val="fr-FR"/>
        </w:rPr>
        <w:t>apporter au RID, à l</w:t>
      </w:r>
      <w:r w:rsidR="00887612">
        <w:rPr>
          <w:lang w:val="fr-FR"/>
        </w:rPr>
        <w:t>’</w:t>
      </w:r>
      <w:r w:rsidRPr="00D11D38">
        <w:rPr>
          <w:lang w:val="fr-FR"/>
        </w:rPr>
        <w:t>ADR et à l</w:t>
      </w:r>
      <w:r w:rsidR="00887612">
        <w:rPr>
          <w:lang w:val="fr-FR"/>
        </w:rPr>
        <w:t>’</w:t>
      </w:r>
      <w:r w:rsidRPr="00D11D38">
        <w:rPr>
          <w:lang w:val="fr-FR"/>
        </w:rPr>
        <w:t xml:space="preserve">ADN en vue de leur entrée en vigueur le </w:t>
      </w:r>
      <w:r w:rsidR="00887612" w:rsidRPr="00036363">
        <w:rPr>
          <w:lang w:val="fr-FR"/>
        </w:rPr>
        <w:t>1</w:t>
      </w:r>
      <w:r w:rsidR="00887612" w:rsidRPr="00887612">
        <w:rPr>
          <w:vertAlign w:val="superscript"/>
          <w:lang w:val="fr-FR"/>
        </w:rPr>
        <w:t>er</w:t>
      </w:r>
      <w:r w:rsidRPr="00D11D38">
        <w:rPr>
          <w:lang w:val="fr-FR"/>
        </w:rPr>
        <w:t xml:space="preserve"> janvier </w:t>
      </w:r>
      <w:r w:rsidRPr="00036363">
        <w:rPr>
          <w:lang w:val="fr-FR"/>
        </w:rPr>
        <w:t>2027</w:t>
      </w:r>
      <w:r w:rsidRPr="00D11D38">
        <w:rPr>
          <w:lang w:val="fr-FR"/>
        </w:rPr>
        <w:t xml:space="preserve"> (voir annexe II)</w:t>
      </w:r>
      <w:r w:rsidR="00036363" w:rsidRPr="00036363">
        <w:rPr>
          <w:lang w:val="fr-FR"/>
        </w:rPr>
        <w:t>.</w:t>
      </w:r>
      <w:r w:rsidRPr="00D11D38">
        <w:rPr>
          <w:lang w:val="fr-FR"/>
        </w:rPr>
        <w:t xml:space="preserve"> En ce qui concerne la nouvelle note de bas de page relative à la disposition spéciale </w:t>
      </w:r>
      <w:r w:rsidRPr="00036363">
        <w:rPr>
          <w:lang w:val="fr-FR"/>
        </w:rPr>
        <w:t>407</w:t>
      </w:r>
      <w:r w:rsidRPr="00D11D38">
        <w:rPr>
          <w:lang w:val="fr-FR"/>
        </w:rPr>
        <w:t>, il a</w:t>
      </w:r>
      <w:r w:rsidR="00EB5D59">
        <w:rPr>
          <w:lang w:val="fr-FR"/>
        </w:rPr>
        <w:t> </w:t>
      </w:r>
      <w:r w:rsidRPr="00D11D38">
        <w:rPr>
          <w:lang w:val="fr-FR"/>
        </w:rPr>
        <w:t>été décidé de faire concorder la version française avec la version anglaise sur la base d</w:t>
      </w:r>
      <w:r w:rsidR="00887612">
        <w:rPr>
          <w:lang w:val="fr-FR"/>
        </w:rPr>
        <w:t>’</w:t>
      </w:r>
      <w:r w:rsidRPr="00D11D38">
        <w:rPr>
          <w:lang w:val="fr-FR"/>
        </w:rPr>
        <w:t>un document officiel qui serait soumis en vue de la session suivante</w:t>
      </w:r>
      <w:r w:rsidR="00036363" w:rsidRPr="00036363">
        <w:rPr>
          <w:lang w:val="fr-FR"/>
        </w:rPr>
        <w:t>.</w:t>
      </w:r>
      <w:r w:rsidRPr="00D11D38">
        <w:rPr>
          <w:lang w:val="fr-FR"/>
        </w:rPr>
        <w:t xml:space="preserve"> La Réunion commune a par ailleurs approuvé la proposition des secrétariats destinée à garantir une utilisation cohérente des abréviations dans les éditions </w:t>
      </w:r>
      <w:r w:rsidRPr="00036363">
        <w:rPr>
          <w:lang w:val="fr-FR"/>
        </w:rPr>
        <w:t>2027</w:t>
      </w:r>
      <w:r w:rsidRPr="00D11D38">
        <w:rPr>
          <w:lang w:val="fr-FR"/>
        </w:rPr>
        <w:t xml:space="preserve"> du RID, de l</w:t>
      </w:r>
      <w:r w:rsidR="00887612">
        <w:rPr>
          <w:lang w:val="fr-FR"/>
        </w:rPr>
        <w:t>’</w:t>
      </w:r>
      <w:r w:rsidRPr="00D11D38">
        <w:rPr>
          <w:lang w:val="fr-FR"/>
        </w:rPr>
        <w:t>ADR et de l</w:t>
      </w:r>
      <w:r w:rsidR="00887612">
        <w:rPr>
          <w:lang w:val="fr-FR"/>
        </w:rPr>
        <w:t>’</w:t>
      </w:r>
      <w:r w:rsidRPr="00D11D38">
        <w:rPr>
          <w:lang w:val="fr-FR"/>
        </w:rPr>
        <w:t>ADN</w:t>
      </w:r>
      <w:r w:rsidR="00036363" w:rsidRPr="00036363">
        <w:rPr>
          <w:lang w:val="fr-FR"/>
        </w:rPr>
        <w:t>.</w:t>
      </w:r>
    </w:p>
    <w:p w14:paraId="2AE79823" w14:textId="75D84BA8" w:rsidR="00CE245A" w:rsidRPr="00D11D38" w:rsidRDefault="00CE245A" w:rsidP="007459D7">
      <w:pPr>
        <w:pStyle w:val="H23G"/>
        <w:rPr>
          <w:lang w:val="fr-FR"/>
        </w:rPr>
      </w:pPr>
      <w:r w:rsidRPr="00D11D38">
        <w:rPr>
          <w:lang w:val="fr-FR"/>
        </w:rPr>
        <w:tab/>
      </w:r>
      <w:r w:rsidRPr="00036363">
        <w:rPr>
          <w:lang w:val="fr-FR"/>
        </w:rPr>
        <w:t>9</w:t>
      </w:r>
      <w:r w:rsidR="00036363" w:rsidRPr="00036363">
        <w:rPr>
          <w:lang w:val="fr-FR"/>
        </w:rPr>
        <w:t>.</w:t>
      </w:r>
      <w:r w:rsidRPr="00D11D38">
        <w:rPr>
          <w:lang w:val="fr-FR"/>
        </w:rPr>
        <w:tab/>
        <w:t xml:space="preserve">Amendements de conséquence aux dispositions spéciales </w:t>
      </w:r>
      <w:r w:rsidRPr="00036363">
        <w:rPr>
          <w:lang w:val="fr-FR"/>
        </w:rPr>
        <w:t>310</w:t>
      </w:r>
      <w:r w:rsidRPr="00D11D38">
        <w:rPr>
          <w:lang w:val="fr-FR"/>
        </w:rPr>
        <w:t xml:space="preserve"> et </w:t>
      </w:r>
      <w:r w:rsidRPr="00036363">
        <w:rPr>
          <w:lang w:val="fr-FR"/>
        </w:rPr>
        <w:t>388</w:t>
      </w:r>
    </w:p>
    <w:p w14:paraId="11C43954" w14:textId="4D4731F4"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16</w:t>
      </w:r>
      <w:r w:rsidRPr="00D11D38">
        <w:rPr>
          <w:lang w:val="fr-FR"/>
        </w:rPr>
        <w:t xml:space="preserve"> (secrétariat de l</w:t>
      </w:r>
      <w:r w:rsidR="00887612">
        <w:rPr>
          <w:lang w:val="fr-FR"/>
        </w:rPr>
        <w:t>’</w:t>
      </w:r>
      <w:r w:rsidRPr="00D11D38">
        <w:rPr>
          <w:lang w:val="fr-FR"/>
        </w:rPr>
        <w:t>OTIF)</w:t>
      </w:r>
    </w:p>
    <w:p w14:paraId="2FD8115A" w14:textId="6B7218DF" w:rsidR="00CE245A" w:rsidRPr="00D11D38" w:rsidRDefault="00CE245A" w:rsidP="007459D7">
      <w:pPr>
        <w:pStyle w:val="SingleTxtG"/>
        <w:rPr>
          <w:lang w:val="fr-FR"/>
        </w:rPr>
      </w:pPr>
      <w:r w:rsidRPr="00036363">
        <w:rPr>
          <w:lang w:val="fr-FR"/>
        </w:rPr>
        <w:t>50</w:t>
      </w:r>
      <w:r w:rsidR="00036363" w:rsidRPr="00036363">
        <w:rPr>
          <w:lang w:val="fr-FR"/>
        </w:rPr>
        <w:t>.</w:t>
      </w:r>
      <w:r w:rsidRPr="00D11D38">
        <w:rPr>
          <w:lang w:val="fr-FR"/>
        </w:rPr>
        <w:tab/>
        <w:t>Le document a été retiré par son auteur</w:t>
      </w:r>
      <w:r w:rsidR="00036363" w:rsidRPr="00036363">
        <w:rPr>
          <w:lang w:val="fr-FR"/>
        </w:rPr>
        <w:t>.</w:t>
      </w:r>
    </w:p>
    <w:p w14:paraId="0F1E6844" w14:textId="5D7FF98E" w:rsidR="00CE245A" w:rsidRPr="00D11D38" w:rsidRDefault="00CE245A" w:rsidP="007459D7">
      <w:pPr>
        <w:pStyle w:val="H23G"/>
        <w:rPr>
          <w:lang w:val="fr-FR"/>
        </w:rPr>
      </w:pPr>
      <w:r w:rsidRPr="00D11D38">
        <w:rPr>
          <w:lang w:val="fr-FR"/>
        </w:rPr>
        <w:tab/>
      </w:r>
      <w:r w:rsidRPr="00036363">
        <w:rPr>
          <w:lang w:val="fr-FR"/>
        </w:rPr>
        <w:t>10</w:t>
      </w:r>
      <w:r w:rsidR="00036363" w:rsidRPr="00036363">
        <w:rPr>
          <w:lang w:val="fr-FR"/>
        </w:rPr>
        <w:t>.</w:t>
      </w:r>
      <w:r w:rsidRPr="00D11D38">
        <w:rPr>
          <w:lang w:val="fr-FR"/>
        </w:rPr>
        <w:tab/>
        <w:t xml:space="preserve">EN </w:t>
      </w:r>
      <w:r w:rsidRPr="00036363">
        <w:rPr>
          <w:lang w:val="fr-FR"/>
        </w:rPr>
        <w:t>17339</w:t>
      </w:r>
      <w:r w:rsidR="00887612">
        <w:rPr>
          <w:lang w:val="fr-FR"/>
        </w:rPr>
        <w:t>:</w:t>
      </w:r>
      <w:r w:rsidRPr="00036363">
        <w:rPr>
          <w:lang w:val="fr-FR"/>
        </w:rPr>
        <w:t>2020</w:t>
      </w:r>
      <w:r w:rsidRPr="00D11D38">
        <w:rPr>
          <w:lang w:val="fr-FR"/>
        </w:rPr>
        <w:t xml:space="preserve"> Bouteilles à gaz transportables − Bouteilles et tubes entièrement bobinées en matériaux composites carbones pour l</w:t>
      </w:r>
      <w:r w:rsidR="00887612">
        <w:rPr>
          <w:lang w:val="fr-FR"/>
        </w:rPr>
        <w:t>’</w:t>
      </w:r>
      <w:r w:rsidRPr="00D11D38">
        <w:rPr>
          <w:lang w:val="fr-FR"/>
        </w:rPr>
        <w:t>hydrogène</w:t>
      </w:r>
    </w:p>
    <w:p w14:paraId="1C929F85" w14:textId="324E4A0E"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887612">
        <w:rPr>
          <w:lang w:val="fr-FR"/>
        </w:rPr>
        <w:t> :</w:t>
      </w:r>
      <w:r w:rsidRPr="00D11D38">
        <w:rPr>
          <w:lang w:val="fr-FR"/>
        </w:rPr>
        <w:tab/>
        <w:t>INF</w:t>
      </w:r>
      <w:r w:rsidR="00036363" w:rsidRPr="00036363">
        <w:rPr>
          <w:lang w:val="fr-FR"/>
        </w:rPr>
        <w:t>.</w:t>
      </w:r>
      <w:r w:rsidRPr="00036363">
        <w:rPr>
          <w:lang w:val="fr-FR"/>
        </w:rPr>
        <w:t>18</w:t>
      </w:r>
      <w:r w:rsidRPr="00D11D38">
        <w:rPr>
          <w:lang w:val="fr-FR"/>
        </w:rPr>
        <w:t xml:space="preserve"> (ECMA)</w:t>
      </w:r>
    </w:p>
    <w:p w14:paraId="3FFE683D" w14:textId="739EA3E0" w:rsidR="00CE245A" w:rsidRPr="00D11D38" w:rsidRDefault="00CE245A" w:rsidP="007459D7">
      <w:pPr>
        <w:pStyle w:val="SingleTxtG"/>
        <w:rPr>
          <w:lang w:val="fr-FR"/>
        </w:rPr>
      </w:pPr>
      <w:r w:rsidRPr="00036363">
        <w:rPr>
          <w:lang w:val="fr-FR"/>
        </w:rPr>
        <w:t>51</w:t>
      </w:r>
      <w:r w:rsidR="00036363" w:rsidRPr="00036363">
        <w:rPr>
          <w:lang w:val="fr-FR"/>
        </w:rPr>
        <w:t>.</w:t>
      </w:r>
      <w:r w:rsidRPr="00D11D38">
        <w:rPr>
          <w:lang w:val="fr-FR"/>
        </w:rPr>
        <w:tab/>
        <w:t>La Réunion commune a pris note des informations communiquées par l</w:t>
      </w:r>
      <w:r w:rsidR="00887612">
        <w:rPr>
          <w:lang w:val="fr-FR"/>
        </w:rPr>
        <w:t>’</w:t>
      </w:r>
      <w:r w:rsidRPr="00D11D38">
        <w:rPr>
          <w:lang w:val="fr-FR"/>
        </w:rPr>
        <w:t>ECMA et a décidé de reprendre l</w:t>
      </w:r>
      <w:r w:rsidR="00887612">
        <w:rPr>
          <w:lang w:val="fr-FR"/>
        </w:rPr>
        <w:t>’</w:t>
      </w:r>
      <w:r w:rsidRPr="00D11D38">
        <w:rPr>
          <w:lang w:val="fr-FR"/>
        </w:rPr>
        <w:t>examen de la question à sa session suivante sur la base d</w:t>
      </w:r>
      <w:r w:rsidR="00887612">
        <w:rPr>
          <w:lang w:val="fr-FR"/>
        </w:rPr>
        <w:t>’</w:t>
      </w:r>
      <w:r w:rsidRPr="00D11D38">
        <w:rPr>
          <w:lang w:val="fr-FR"/>
        </w:rPr>
        <w:t>un document officiel</w:t>
      </w:r>
      <w:r w:rsidR="00036363" w:rsidRPr="00036363">
        <w:rPr>
          <w:lang w:val="fr-FR"/>
        </w:rPr>
        <w:t>.</w:t>
      </w:r>
    </w:p>
    <w:p w14:paraId="1DF1CB79" w14:textId="6619F74A" w:rsidR="00CE245A" w:rsidRPr="00D11D38" w:rsidRDefault="00CE245A" w:rsidP="007459D7">
      <w:pPr>
        <w:pStyle w:val="H23G"/>
        <w:rPr>
          <w:lang w:val="fr-FR"/>
        </w:rPr>
      </w:pPr>
      <w:r w:rsidRPr="00D11D38">
        <w:rPr>
          <w:lang w:val="fr-FR"/>
        </w:rPr>
        <w:lastRenderedPageBreak/>
        <w:tab/>
      </w:r>
      <w:r w:rsidRPr="00036363">
        <w:rPr>
          <w:lang w:val="fr-FR"/>
        </w:rPr>
        <w:t>11</w:t>
      </w:r>
      <w:r w:rsidR="00036363" w:rsidRPr="00036363">
        <w:rPr>
          <w:lang w:val="fr-FR"/>
        </w:rPr>
        <w:t>.</w:t>
      </w:r>
      <w:r w:rsidRPr="00D11D38">
        <w:rPr>
          <w:lang w:val="fr-FR"/>
        </w:rPr>
        <w:tab/>
        <w:t>Interprétation selon laquelle l</w:t>
      </w:r>
      <w:r w:rsidR="00887612">
        <w:rPr>
          <w:lang w:val="fr-FR"/>
        </w:rPr>
        <w:t>’</w:t>
      </w:r>
      <w:r w:rsidRPr="00D11D38">
        <w:rPr>
          <w:lang w:val="fr-FR"/>
        </w:rPr>
        <w:t xml:space="preserve">expéditeur est tenu de désigner un conseiller </w:t>
      </w:r>
      <w:r w:rsidR="007459D7">
        <w:rPr>
          <w:lang w:val="fr-FR"/>
        </w:rPr>
        <w:br/>
      </w:r>
      <w:r w:rsidRPr="00D11D38">
        <w:rPr>
          <w:lang w:val="fr-FR"/>
        </w:rPr>
        <w:t xml:space="preserve">à la sécurité des marchandises dangereuses par mode de transport </w:t>
      </w:r>
      <w:r w:rsidR="007459D7">
        <w:rPr>
          <w:lang w:val="fr-FR"/>
        </w:rPr>
        <w:br/>
      </w:r>
      <w:r w:rsidRPr="00D11D38">
        <w:rPr>
          <w:lang w:val="fr-FR"/>
        </w:rPr>
        <w:t>dans le cas d</w:t>
      </w:r>
      <w:r w:rsidR="00887612">
        <w:rPr>
          <w:lang w:val="fr-FR"/>
        </w:rPr>
        <w:t>’</w:t>
      </w:r>
      <w:r w:rsidRPr="00D11D38">
        <w:rPr>
          <w:lang w:val="fr-FR"/>
        </w:rPr>
        <w:t>opérations multimodales</w:t>
      </w:r>
    </w:p>
    <w:p w14:paraId="6017963B" w14:textId="20CDF7A5"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887612">
        <w:rPr>
          <w:lang w:val="fr-FR"/>
        </w:rPr>
        <w:t> :</w:t>
      </w:r>
      <w:r w:rsidRPr="00D11D38">
        <w:rPr>
          <w:lang w:val="fr-FR"/>
        </w:rPr>
        <w:tab/>
        <w:t>INF</w:t>
      </w:r>
      <w:r w:rsidR="00036363" w:rsidRPr="00036363">
        <w:rPr>
          <w:lang w:val="fr-FR"/>
        </w:rPr>
        <w:t>.</w:t>
      </w:r>
      <w:r w:rsidRPr="00036363">
        <w:rPr>
          <w:lang w:val="fr-FR"/>
        </w:rPr>
        <w:t>19</w:t>
      </w:r>
      <w:r w:rsidRPr="00D11D38">
        <w:rPr>
          <w:lang w:val="fr-FR"/>
        </w:rPr>
        <w:t xml:space="preserve"> (Cefic)</w:t>
      </w:r>
    </w:p>
    <w:p w14:paraId="03EB34E5" w14:textId="490E98BD" w:rsidR="00CE245A" w:rsidRPr="00D11D38" w:rsidRDefault="00CE245A" w:rsidP="007459D7">
      <w:pPr>
        <w:pStyle w:val="SingleTxtG"/>
        <w:rPr>
          <w:lang w:val="fr-FR"/>
        </w:rPr>
      </w:pPr>
      <w:r w:rsidRPr="00036363">
        <w:rPr>
          <w:lang w:val="fr-FR"/>
        </w:rPr>
        <w:t>52</w:t>
      </w:r>
      <w:r w:rsidR="00036363" w:rsidRPr="00036363">
        <w:rPr>
          <w:lang w:val="fr-FR"/>
        </w:rPr>
        <w:t>.</w:t>
      </w:r>
      <w:r w:rsidRPr="00D11D38">
        <w:rPr>
          <w:lang w:val="fr-FR"/>
        </w:rPr>
        <w:tab/>
        <w:t>Consciente que la question soulevée était complexe, la Réunion commune a estimé qu</w:t>
      </w:r>
      <w:r w:rsidR="00887612">
        <w:rPr>
          <w:lang w:val="fr-FR"/>
        </w:rPr>
        <w:t>’</w:t>
      </w:r>
      <w:r w:rsidRPr="00D11D38">
        <w:rPr>
          <w:lang w:val="fr-FR"/>
        </w:rPr>
        <w:t>il était nécessaire de préciser les dispositions du RID, de l</w:t>
      </w:r>
      <w:r w:rsidR="00887612">
        <w:rPr>
          <w:lang w:val="fr-FR"/>
        </w:rPr>
        <w:t>’</w:t>
      </w:r>
      <w:r w:rsidRPr="00D11D38">
        <w:rPr>
          <w:lang w:val="fr-FR"/>
        </w:rPr>
        <w:t>ADR et de l</w:t>
      </w:r>
      <w:r w:rsidR="00887612">
        <w:rPr>
          <w:lang w:val="fr-FR"/>
        </w:rPr>
        <w:t>’</w:t>
      </w:r>
      <w:r w:rsidRPr="00D11D38">
        <w:rPr>
          <w:lang w:val="fr-FR"/>
        </w:rPr>
        <w:t>ADN relatives aux obligations et aux responsabilités afin d</w:t>
      </w:r>
      <w:r w:rsidR="00887612">
        <w:rPr>
          <w:lang w:val="fr-FR"/>
        </w:rPr>
        <w:t>’</w:t>
      </w:r>
      <w:r w:rsidRPr="00D11D38">
        <w:rPr>
          <w:lang w:val="fr-FR"/>
        </w:rPr>
        <w:t>éviter qu</w:t>
      </w:r>
      <w:r w:rsidR="00887612">
        <w:rPr>
          <w:lang w:val="fr-FR"/>
        </w:rPr>
        <w:t>’</w:t>
      </w:r>
      <w:r w:rsidRPr="00D11D38">
        <w:rPr>
          <w:lang w:val="fr-FR"/>
        </w:rPr>
        <w:t>elles puissent être interprétées de différentes façons</w:t>
      </w:r>
      <w:r w:rsidR="00036363" w:rsidRPr="00036363">
        <w:rPr>
          <w:lang w:val="fr-FR"/>
        </w:rPr>
        <w:t>.</w:t>
      </w:r>
      <w:r w:rsidRPr="00D11D38">
        <w:rPr>
          <w:lang w:val="fr-FR"/>
        </w:rPr>
        <w:t xml:space="preserve"> La plupart des représentants étaient d</w:t>
      </w:r>
      <w:r w:rsidR="00887612">
        <w:rPr>
          <w:lang w:val="fr-FR"/>
        </w:rPr>
        <w:t>’</w:t>
      </w:r>
      <w:r w:rsidRPr="00D11D38">
        <w:rPr>
          <w:lang w:val="fr-FR"/>
        </w:rPr>
        <w:t>avis que les divergences d</w:t>
      </w:r>
      <w:r w:rsidR="00887612">
        <w:rPr>
          <w:lang w:val="fr-FR"/>
        </w:rPr>
        <w:t>’</w:t>
      </w:r>
      <w:r w:rsidRPr="00D11D38">
        <w:rPr>
          <w:lang w:val="fr-FR"/>
        </w:rPr>
        <w:t>interprétation étaient liées au fait que les sous-traitants auxquels il était fait appel dans le cadre des opérations de transport, notamment des opérations intermodales, relevaient de la compétence des États</w:t>
      </w:r>
      <w:r w:rsidR="00036363" w:rsidRPr="00036363">
        <w:rPr>
          <w:lang w:val="fr-FR"/>
        </w:rPr>
        <w:t>.</w:t>
      </w:r>
    </w:p>
    <w:p w14:paraId="7158F866" w14:textId="5337D677" w:rsidR="00CE245A" w:rsidRPr="00D11D38" w:rsidRDefault="00CE245A" w:rsidP="007459D7">
      <w:pPr>
        <w:pStyle w:val="SingleTxtG"/>
        <w:rPr>
          <w:lang w:val="fr-FR"/>
        </w:rPr>
      </w:pPr>
      <w:r w:rsidRPr="00036363">
        <w:rPr>
          <w:lang w:val="fr-FR"/>
        </w:rPr>
        <w:t>53</w:t>
      </w:r>
      <w:r w:rsidR="00036363" w:rsidRPr="00036363">
        <w:rPr>
          <w:lang w:val="fr-FR"/>
        </w:rPr>
        <w:t>.</w:t>
      </w:r>
      <w:r w:rsidRPr="00D11D38">
        <w:rPr>
          <w:lang w:val="fr-FR"/>
        </w:rPr>
        <w:tab/>
        <w:t>La Réunion commune a décidé de poursuivre sa réflexion à la session suivante et de chercher à déterminer s</w:t>
      </w:r>
      <w:r w:rsidR="00887612">
        <w:rPr>
          <w:lang w:val="fr-FR"/>
        </w:rPr>
        <w:t>’</w:t>
      </w:r>
      <w:r w:rsidRPr="00D11D38">
        <w:rPr>
          <w:lang w:val="fr-FR"/>
        </w:rPr>
        <w:t>il convenait de mettre au point de nouvelles dispositions qui porteraient sur les conseillers à la sécurité dans le cas du transport multimodal des marchandises dangereuses</w:t>
      </w:r>
      <w:r w:rsidR="00036363" w:rsidRPr="00036363">
        <w:rPr>
          <w:lang w:val="fr-FR"/>
        </w:rPr>
        <w:t>.</w:t>
      </w:r>
      <w:r w:rsidRPr="00D11D38">
        <w:rPr>
          <w:lang w:val="fr-FR"/>
        </w:rPr>
        <w:t xml:space="preserve"> Le représentant du Cefic s</w:t>
      </w:r>
      <w:r w:rsidR="00887612">
        <w:rPr>
          <w:lang w:val="fr-FR"/>
        </w:rPr>
        <w:t>’</w:t>
      </w:r>
      <w:r w:rsidRPr="00D11D38">
        <w:rPr>
          <w:lang w:val="fr-FR"/>
        </w:rPr>
        <w:t>est porté volontaire pour établir un nouveau document qui tiendrait compte des observations formulées</w:t>
      </w:r>
      <w:r w:rsidR="00036363" w:rsidRPr="00036363">
        <w:rPr>
          <w:lang w:val="fr-FR"/>
        </w:rPr>
        <w:t>.</w:t>
      </w:r>
    </w:p>
    <w:p w14:paraId="7D3E5EA2" w14:textId="3CB3A0D5" w:rsidR="00CE245A" w:rsidRPr="00D11D38" w:rsidRDefault="00CE245A" w:rsidP="007459D7">
      <w:pPr>
        <w:pStyle w:val="HChG"/>
        <w:rPr>
          <w:lang w:val="fr-FR"/>
        </w:rPr>
      </w:pPr>
      <w:r w:rsidRPr="00D11D38">
        <w:rPr>
          <w:lang w:val="fr-FR"/>
        </w:rPr>
        <w:tab/>
        <w:t>VIII</w:t>
      </w:r>
      <w:r w:rsidR="00036363" w:rsidRPr="00036363">
        <w:rPr>
          <w:lang w:val="fr-FR"/>
        </w:rPr>
        <w:t>.</w:t>
      </w:r>
      <w:r w:rsidRPr="00D11D38">
        <w:rPr>
          <w:lang w:val="fr-FR"/>
        </w:rPr>
        <w:tab/>
        <w:t xml:space="preserve">Rapports des groupes de travail informels </w:t>
      </w:r>
      <w:r w:rsidR="007459D7">
        <w:rPr>
          <w:lang w:val="fr-FR"/>
        </w:rPr>
        <w:br/>
      </w:r>
      <w:r w:rsidRPr="00D11D38">
        <w:rPr>
          <w:lang w:val="fr-FR"/>
        </w:rPr>
        <w:t xml:space="preserve">(point </w:t>
      </w:r>
      <w:r w:rsidRPr="00036363">
        <w:rPr>
          <w:lang w:val="fr-FR"/>
        </w:rPr>
        <w:t>6</w:t>
      </w:r>
      <w:r w:rsidRPr="00D11D38">
        <w:rPr>
          <w:lang w:val="fr-FR"/>
        </w:rPr>
        <w:t xml:space="preserve"> de l</w:t>
      </w:r>
      <w:r w:rsidR="00887612">
        <w:rPr>
          <w:lang w:val="fr-FR"/>
        </w:rPr>
        <w:t>’</w:t>
      </w:r>
      <w:r w:rsidRPr="00D11D38">
        <w:rPr>
          <w:lang w:val="fr-FR"/>
        </w:rPr>
        <w:t>ordre du jour)</w:t>
      </w:r>
      <w:bookmarkStart w:id="1" w:name="_Hlk51257359"/>
      <w:bookmarkEnd w:id="1"/>
    </w:p>
    <w:p w14:paraId="5CC1572C" w14:textId="45B9A746" w:rsidR="00CE245A" w:rsidRPr="00D11D38" w:rsidRDefault="00CE245A" w:rsidP="007459D7">
      <w:pPr>
        <w:pStyle w:val="H1G"/>
        <w:rPr>
          <w:szCs w:val="24"/>
          <w:lang w:val="fr-FR"/>
        </w:rPr>
      </w:pPr>
      <w:r w:rsidRPr="00D11D38">
        <w:rPr>
          <w:lang w:val="fr-FR"/>
        </w:rPr>
        <w:tab/>
        <w:t>A</w:t>
      </w:r>
      <w:r w:rsidR="00036363" w:rsidRPr="00036363">
        <w:rPr>
          <w:lang w:val="fr-FR"/>
        </w:rPr>
        <w:t>.</w:t>
      </w:r>
      <w:r w:rsidRPr="00D11D38">
        <w:rPr>
          <w:lang w:val="fr-FR"/>
        </w:rPr>
        <w:tab/>
        <w:t>Rapport sur la septième réunion du groupe de travail informel de</w:t>
      </w:r>
      <w:r w:rsidR="007459D7">
        <w:rPr>
          <w:lang w:val="fr-FR"/>
        </w:rPr>
        <w:t> </w:t>
      </w:r>
      <w:r w:rsidRPr="00D11D38">
        <w:rPr>
          <w:lang w:val="fr-FR"/>
        </w:rPr>
        <w:t>l</w:t>
      </w:r>
      <w:r w:rsidR="00887612">
        <w:rPr>
          <w:lang w:val="fr-FR"/>
        </w:rPr>
        <w:t>’</w:t>
      </w:r>
      <w:r w:rsidRPr="00D11D38">
        <w:rPr>
          <w:lang w:val="fr-FR"/>
        </w:rPr>
        <w:t>apprentissage en ligne</w:t>
      </w:r>
    </w:p>
    <w:p w14:paraId="003A299A" w14:textId="197783C8"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w:t>
      </w:r>
      <w:r w:rsidR="00FC5953" w:rsidRPr="00FC5953">
        <w:rPr>
          <w:iCs/>
          <w:lang w:val="fr-FR"/>
        </w:rPr>
        <w:t> :</w:t>
      </w:r>
      <w:r w:rsidRPr="00D11D38">
        <w:rPr>
          <w:lang w:val="fr-FR"/>
        </w:rPr>
        <w:tab/>
        <w:t>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38</w:t>
      </w:r>
      <w:r w:rsidRPr="00D11D38">
        <w:rPr>
          <w:lang w:val="fr-FR"/>
        </w:rPr>
        <w:t xml:space="preserve"> (Allemagne, IRU)</w:t>
      </w:r>
    </w:p>
    <w:p w14:paraId="525A9AAA" w14:textId="131D6DE2"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15</w:t>
      </w:r>
      <w:r w:rsidRPr="00D11D38">
        <w:rPr>
          <w:lang w:val="fr-FR"/>
        </w:rPr>
        <w:t>/Rev</w:t>
      </w:r>
      <w:r w:rsidR="00036363" w:rsidRPr="00036363">
        <w:rPr>
          <w:lang w:val="fr-FR"/>
        </w:rPr>
        <w:t>.</w:t>
      </w:r>
      <w:r w:rsidRPr="00036363">
        <w:rPr>
          <w:lang w:val="fr-FR"/>
        </w:rPr>
        <w:t>1</w:t>
      </w:r>
      <w:r w:rsidRPr="00D11D38">
        <w:rPr>
          <w:lang w:val="fr-FR"/>
        </w:rPr>
        <w:t xml:space="preserve"> (Allemagne, IRU)</w:t>
      </w:r>
    </w:p>
    <w:p w14:paraId="6AF7CCB1" w14:textId="522AEC8D" w:rsidR="00887612" w:rsidRDefault="00CE245A" w:rsidP="007459D7">
      <w:pPr>
        <w:pStyle w:val="SingleTxtG"/>
        <w:rPr>
          <w:lang w:val="fr-FR"/>
        </w:rPr>
      </w:pPr>
      <w:r w:rsidRPr="00036363">
        <w:rPr>
          <w:lang w:val="fr-FR"/>
        </w:rPr>
        <w:t>54</w:t>
      </w:r>
      <w:r w:rsidR="00036363" w:rsidRPr="00036363">
        <w:rPr>
          <w:lang w:val="fr-FR"/>
        </w:rPr>
        <w:t>.</w:t>
      </w:r>
      <w:r w:rsidRPr="00D11D38">
        <w:rPr>
          <w:lang w:val="fr-FR"/>
        </w:rPr>
        <w:tab/>
        <w:t>La Réunion commune s</w:t>
      </w:r>
      <w:r w:rsidR="00887612">
        <w:rPr>
          <w:lang w:val="fr-FR"/>
        </w:rPr>
        <w:t>’</w:t>
      </w:r>
      <w:r w:rsidRPr="00D11D38">
        <w:rPr>
          <w:lang w:val="fr-FR"/>
        </w:rPr>
        <w:t>est félicitée des résultats obtenus par le groupe de travail informel et a pris note des commentaires d</w:t>
      </w:r>
      <w:r w:rsidR="00887612">
        <w:rPr>
          <w:lang w:val="fr-FR"/>
        </w:rPr>
        <w:t>’</w:t>
      </w:r>
      <w:r w:rsidRPr="00D11D38">
        <w:rPr>
          <w:lang w:val="fr-FR"/>
        </w:rPr>
        <w:t>ordre général formulés au sujet de la proposition figurant dans l</w:t>
      </w:r>
      <w:r w:rsidR="00887612">
        <w:rPr>
          <w:lang w:val="fr-FR"/>
        </w:rPr>
        <w:t>’</w:t>
      </w:r>
      <w:r w:rsidRPr="00D11D38">
        <w:rPr>
          <w:lang w:val="fr-FR"/>
        </w:rPr>
        <w:t>annexe du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2024</w:t>
      </w:r>
      <w:r w:rsidRPr="00D11D38">
        <w:rPr>
          <w:lang w:val="fr-FR"/>
        </w:rPr>
        <w:t>/</w:t>
      </w:r>
      <w:r w:rsidRPr="00036363">
        <w:rPr>
          <w:lang w:val="fr-FR"/>
        </w:rPr>
        <w:t>38</w:t>
      </w:r>
      <w:r w:rsidRPr="00D11D38">
        <w:rPr>
          <w:lang w:val="fr-FR"/>
        </w:rPr>
        <w:t>, complétée par le document informel INF</w:t>
      </w:r>
      <w:r w:rsidR="00036363" w:rsidRPr="00036363">
        <w:rPr>
          <w:lang w:val="fr-FR"/>
        </w:rPr>
        <w:t>.</w:t>
      </w:r>
      <w:r w:rsidRPr="00036363">
        <w:rPr>
          <w:lang w:val="fr-FR"/>
        </w:rPr>
        <w:t>15</w:t>
      </w:r>
      <w:r w:rsidRPr="00D11D38">
        <w:rPr>
          <w:lang w:val="fr-FR"/>
        </w:rPr>
        <w:t>/Rev</w:t>
      </w:r>
      <w:r w:rsidR="00036363" w:rsidRPr="00036363">
        <w:rPr>
          <w:lang w:val="fr-FR"/>
        </w:rPr>
        <w:t>.</w:t>
      </w:r>
      <w:r w:rsidRPr="00036363">
        <w:rPr>
          <w:lang w:val="fr-FR"/>
        </w:rPr>
        <w:t>1</w:t>
      </w:r>
      <w:r w:rsidR="00036363" w:rsidRPr="00036363">
        <w:rPr>
          <w:lang w:val="fr-FR"/>
        </w:rPr>
        <w:t>.</w:t>
      </w:r>
      <w:r w:rsidRPr="00D11D38">
        <w:rPr>
          <w:lang w:val="fr-FR"/>
        </w:rPr>
        <w:t xml:space="preserve"> Elle a approuvé le texte entre crochets, sous réserve de la décision finale du Comité de sécurité de l</w:t>
      </w:r>
      <w:r w:rsidR="00887612">
        <w:rPr>
          <w:lang w:val="fr-FR"/>
        </w:rPr>
        <w:t>’</w:t>
      </w:r>
      <w:r w:rsidRPr="00D11D38">
        <w:rPr>
          <w:lang w:val="fr-FR"/>
        </w:rPr>
        <w:t>ADN, et a souligné que cette disposition n</w:t>
      </w:r>
      <w:r w:rsidR="00887612">
        <w:rPr>
          <w:lang w:val="fr-FR"/>
        </w:rPr>
        <w:t>’</w:t>
      </w:r>
      <w:r w:rsidRPr="00D11D38">
        <w:rPr>
          <w:lang w:val="fr-FR"/>
        </w:rPr>
        <w:t>était pas nécessaire pour la formation relative à l</w:t>
      </w:r>
      <w:r w:rsidR="00887612">
        <w:rPr>
          <w:lang w:val="fr-FR"/>
        </w:rPr>
        <w:t>’</w:t>
      </w:r>
      <w:r w:rsidRPr="00D11D38">
        <w:rPr>
          <w:lang w:val="fr-FR"/>
        </w:rPr>
        <w:t>ADR</w:t>
      </w:r>
      <w:r w:rsidR="00036363" w:rsidRPr="00036363">
        <w:rPr>
          <w:lang w:val="fr-FR"/>
        </w:rPr>
        <w:t>.</w:t>
      </w:r>
      <w:r w:rsidRPr="00D11D38">
        <w:rPr>
          <w:lang w:val="fr-FR"/>
        </w:rPr>
        <w:t xml:space="preserve"> En ce qui concerne le délai de neuf mois prévu au </w:t>
      </w:r>
      <w:r w:rsidRPr="00036363">
        <w:rPr>
          <w:lang w:val="fr-FR"/>
        </w:rPr>
        <w:t>8</w:t>
      </w:r>
      <w:r w:rsidR="00036363" w:rsidRPr="00036363">
        <w:rPr>
          <w:lang w:val="fr-FR"/>
        </w:rPr>
        <w:t>.</w:t>
      </w:r>
      <w:r w:rsidRPr="00036363">
        <w:rPr>
          <w:lang w:val="fr-FR"/>
        </w:rPr>
        <w:t>2</w:t>
      </w:r>
      <w:r w:rsidR="00036363" w:rsidRPr="00036363">
        <w:rPr>
          <w:lang w:val="fr-FR"/>
        </w:rPr>
        <w:t>.</w:t>
      </w:r>
      <w:r w:rsidRPr="00036363">
        <w:rPr>
          <w:lang w:val="fr-FR"/>
        </w:rPr>
        <w:t>2</w:t>
      </w:r>
      <w:r w:rsidR="00036363" w:rsidRPr="00036363">
        <w:rPr>
          <w:lang w:val="fr-FR"/>
        </w:rPr>
        <w:t>.</w:t>
      </w:r>
      <w:r w:rsidRPr="00036363">
        <w:rPr>
          <w:lang w:val="fr-FR"/>
        </w:rPr>
        <w:t>5</w:t>
      </w:r>
      <w:r w:rsidRPr="00D11D38">
        <w:rPr>
          <w:lang w:val="fr-FR"/>
        </w:rPr>
        <w:t>, la Réunion commune a jugé préférable une solution harmonisée pour tous les types de formation</w:t>
      </w:r>
      <w:r w:rsidR="00036363" w:rsidRPr="00036363">
        <w:rPr>
          <w:lang w:val="fr-FR"/>
        </w:rPr>
        <w:t>.</w:t>
      </w:r>
      <w:r w:rsidRPr="00D11D38">
        <w:rPr>
          <w:lang w:val="fr-FR"/>
        </w:rPr>
        <w:t xml:space="preserve"> Il a été demandé d</w:t>
      </w:r>
      <w:r w:rsidR="00887612">
        <w:rPr>
          <w:lang w:val="fr-FR"/>
        </w:rPr>
        <w:t>’</w:t>
      </w:r>
      <w:r w:rsidRPr="00D11D38">
        <w:rPr>
          <w:lang w:val="fr-FR"/>
        </w:rPr>
        <w:t>adapter les versions française et allemande des annexes</w:t>
      </w:r>
      <w:r w:rsidR="00036363" w:rsidRPr="00036363">
        <w:rPr>
          <w:lang w:val="fr-FR"/>
        </w:rPr>
        <w:t>.</w:t>
      </w:r>
    </w:p>
    <w:p w14:paraId="19B5AFF9" w14:textId="4E43865C" w:rsidR="00CE245A" w:rsidRPr="00D11D38" w:rsidRDefault="00CE245A" w:rsidP="007459D7">
      <w:pPr>
        <w:pStyle w:val="SingleTxtG"/>
        <w:rPr>
          <w:lang w:val="fr-FR"/>
        </w:rPr>
      </w:pPr>
      <w:r w:rsidRPr="00036363">
        <w:rPr>
          <w:lang w:val="fr-FR"/>
        </w:rPr>
        <w:t>55</w:t>
      </w:r>
      <w:r w:rsidR="00036363" w:rsidRPr="00036363">
        <w:rPr>
          <w:lang w:val="fr-FR"/>
        </w:rPr>
        <w:t>.</w:t>
      </w:r>
      <w:r w:rsidRPr="00D11D38">
        <w:rPr>
          <w:lang w:val="fr-FR"/>
        </w:rPr>
        <w:tab/>
        <w:t>La Réunion commune a demandé au secrétariat de soumettre un document actualisé aux sessions suivantes du WP</w:t>
      </w:r>
      <w:r w:rsidR="00036363" w:rsidRPr="00036363">
        <w:rPr>
          <w:lang w:val="fr-FR"/>
        </w:rPr>
        <w:t>.</w:t>
      </w:r>
      <w:r w:rsidRPr="00036363">
        <w:rPr>
          <w:lang w:val="fr-FR"/>
        </w:rPr>
        <w:t>15</w:t>
      </w:r>
      <w:r w:rsidRPr="00D11D38">
        <w:rPr>
          <w:lang w:val="fr-FR"/>
        </w:rPr>
        <w:t xml:space="preserve"> et du Comité de sécurité de l</w:t>
      </w:r>
      <w:r w:rsidR="00887612">
        <w:rPr>
          <w:lang w:val="fr-FR"/>
        </w:rPr>
        <w:t>’</w:t>
      </w:r>
      <w:r w:rsidRPr="00D11D38">
        <w:rPr>
          <w:lang w:val="fr-FR"/>
        </w:rPr>
        <w:t>ADN afin qu</w:t>
      </w:r>
      <w:r w:rsidR="00887612">
        <w:rPr>
          <w:lang w:val="fr-FR"/>
        </w:rPr>
        <w:t>’</w:t>
      </w:r>
      <w:r w:rsidRPr="00D11D38">
        <w:rPr>
          <w:lang w:val="fr-FR"/>
        </w:rPr>
        <w:t>ils lui donnent la suite voulue</w:t>
      </w:r>
      <w:r w:rsidR="00036363" w:rsidRPr="00036363">
        <w:rPr>
          <w:lang w:val="fr-FR"/>
        </w:rPr>
        <w:t>.</w:t>
      </w:r>
    </w:p>
    <w:p w14:paraId="6A2CA0D2" w14:textId="30133B90" w:rsidR="00CE245A" w:rsidRPr="00D11D38" w:rsidRDefault="00CE245A" w:rsidP="007459D7">
      <w:pPr>
        <w:pStyle w:val="H1G"/>
        <w:rPr>
          <w:lang w:val="fr-FR"/>
        </w:rPr>
      </w:pPr>
      <w:r w:rsidRPr="00D11D38">
        <w:rPr>
          <w:lang w:val="fr-FR"/>
        </w:rPr>
        <w:tab/>
        <w:t>B</w:t>
      </w:r>
      <w:r w:rsidR="00036363" w:rsidRPr="00036363">
        <w:rPr>
          <w:lang w:val="fr-FR"/>
        </w:rPr>
        <w:t>.</w:t>
      </w:r>
      <w:r w:rsidRPr="00D11D38">
        <w:rPr>
          <w:lang w:val="fr-FR"/>
        </w:rPr>
        <w:tab/>
        <w:t>Rapport du groupe de travail informel des références à l</w:t>
      </w:r>
      <w:r w:rsidR="00887612">
        <w:rPr>
          <w:lang w:val="fr-FR"/>
        </w:rPr>
        <w:t>’</w:t>
      </w:r>
      <w:r w:rsidRPr="00D11D38">
        <w:rPr>
          <w:lang w:val="fr-FR"/>
        </w:rPr>
        <w:t>autorité compétente</w:t>
      </w:r>
    </w:p>
    <w:p w14:paraId="4D228F6D" w14:textId="0882BF00" w:rsidR="00CE245A" w:rsidRPr="00D11D38" w:rsidRDefault="00CE245A" w:rsidP="00B26193">
      <w:pPr>
        <w:pStyle w:val="SingleTxtG"/>
        <w:tabs>
          <w:tab w:val="clear" w:pos="1701"/>
          <w:tab w:val="clear" w:pos="2268"/>
          <w:tab w:val="clear" w:pos="2835"/>
          <w:tab w:val="left" w:pos="3402"/>
        </w:tabs>
        <w:ind w:left="3402" w:hanging="2268"/>
        <w:jc w:val="left"/>
        <w:rPr>
          <w:lang w:val="fr-FR"/>
        </w:rPr>
      </w:pPr>
      <w:r w:rsidRPr="00036363">
        <w:rPr>
          <w:i/>
          <w:iCs/>
          <w:lang w:val="fr-FR"/>
        </w:rPr>
        <w:t>Document informel</w:t>
      </w:r>
      <w:r w:rsidR="00887612">
        <w:rPr>
          <w:lang w:val="fr-FR"/>
        </w:rPr>
        <w:t> :</w:t>
      </w:r>
      <w:r w:rsidRPr="00D11D38">
        <w:rPr>
          <w:lang w:val="fr-FR"/>
        </w:rPr>
        <w:tab/>
        <w:t>INF</w:t>
      </w:r>
      <w:r w:rsidR="00036363" w:rsidRPr="00036363">
        <w:rPr>
          <w:lang w:val="fr-FR"/>
        </w:rPr>
        <w:t>.</w:t>
      </w:r>
      <w:r w:rsidRPr="00036363">
        <w:rPr>
          <w:lang w:val="fr-FR"/>
        </w:rPr>
        <w:t>11</w:t>
      </w:r>
      <w:r w:rsidRPr="00D11D38">
        <w:rPr>
          <w:lang w:val="fr-FR"/>
        </w:rPr>
        <w:t xml:space="preserve"> (Suisse)</w:t>
      </w:r>
    </w:p>
    <w:p w14:paraId="41E51B18" w14:textId="2BB7CE13" w:rsidR="00CE245A" w:rsidRPr="00D11D38" w:rsidRDefault="00CE245A" w:rsidP="007459D7">
      <w:pPr>
        <w:pStyle w:val="SingleTxtG"/>
        <w:rPr>
          <w:lang w:val="fr-FR"/>
        </w:rPr>
      </w:pPr>
      <w:r w:rsidRPr="00036363">
        <w:rPr>
          <w:lang w:val="fr-FR"/>
        </w:rPr>
        <w:t>56</w:t>
      </w:r>
      <w:r w:rsidR="00036363" w:rsidRPr="00036363">
        <w:rPr>
          <w:lang w:val="fr-FR"/>
        </w:rPr>
        <w:t>.</w:t>
      </w:r>
      <w:r w:rsidRPr="00D11D38">
        <w:rPr>
          <w:lang w:val="fr-FR"/>
        </w:rPr>
        <w:tab/>
        <w:t>La Réunion commune a accueilli avec intérêt le rapport relatif aux réunions récentes du groupe de travail informel</w:t>
      </w:r>
      <w:r w:rsidR="00036363" w:rsidRPr="00036363">
        <w:rPr>
          <w:lang w:val="fr-FR"/>
        </w:rPr>
        <w:t>.</w:t>
      </w:r>
      <w:r w:rsidRPr="00D11D38">
        <w:rPr>
          <w:lang w:val="fr-FR"/>
        </w:rPr>
        <w:t xml:space="preserve"> Elle a noté que la réunion suivante devait se tenir en ligne le </w:t>
      </w:r>
      <w:r w:rsidRPr="00036363">
        <w:rPr>
          <w:lang w:val="fr-FR"/>
        </w:rPr>
        <w:t>24</w:t>
      </w:r>
      <w:r w:rsidRPr="00D11D38">
        <w:rPr>
          <w:lang w:val="fr-FR"/>
        </w:rPr>
        <w:t xml:space="preserve"> septembre </w:t>
      </w:r>
      <w:r w:rsidRPr="00036363">
        <w:rPr>
          <w:lang w:val="fr-FR"/>
        </w:rPr>
        <w:t>2024</w:t>
      </w:r>
      <w:r w:rsidRPr="00D11D38">
        <w:rPr>
          <w:lang w:val="fr-FR"/>
        </w:rPr>
        <w:t xml:space="preserve"> et que des experts de l</w:t>
      </w:r>
      <w:r w:rsidR="00887612">
        <w:rPr>
          <w:lang w:val="fr-FR"/>
        </w:rPr>
        <w:t>’</w:t>
      </w:r>
      <w:r w:rsidRPr="00D11D38">
        <w:rPr>
          <w:lang w:val="fr-FR"/>
        </w:rPr>
        <w:t>ADN devaient y participer</w:t>
      </w:r>
      <w:r w:rsidR="00036363" w:rsidRPr="00036363">
        <w:rPr>
          <w:lang w:val="fr-FR"/>
        </w:rPr>
        <w:t>.</w:t>
      </w:r>
      <w:r w:rsidRPr="00D11D38">
        <w:rPr>
          <w:lang w:val="fr-FR"/>
        </w:rPr>
        <w:t xml:space="preserve"> Elle a également noté que les documents les plus importants du groupe pouvaient être consultés sur le wiki de la CEE</w:t>
      </w:r>
      <w:r w:rsidRPr="00036363">
        <w:rPr>
          <w:rStyle w:val="FootnoteReference"/>
        </w:rPr>
        <w:footnoteReference w:id="2"/>
      </w:r>
      <w:r w:rsidR="00036363" w:rsidRPr="00036363">
        <w:rPr>
          <w:lang w:val="fr-FR"/>
        </w:rPr>
        <w:t>.</w:t>
      </w:r>
    </w:p>
    <w:p w14:paraId="0D4D4109" w14:textId="77828E50" w:rsidR="00CE245A" w:rsidRPr="00D11D38" w:rsidRDefault="00CE245A" w:rsidP="00573B1F">
      <w:pPr>
        <w:pStyle w:val="H1G"/>
        <w:spacing w:after="220"/>
        <w:rPr>
          <w:lang w:val="fr-FR"/>
        </w:rPr>
      </w:pPr>
      <w:r w:rsidRPr="00D11D38">
        <w:rPr>
          <w:lang w:val="fr-FR"/>
        </w:rPr>
        <w:lastRenderedPageBreak/>
        <w:tab/>
        <w:t>C</w:t>
      </w:r>
      <w:r w:rsidR="00036363" w:rsidRPr="00036363">
        <w:rPr>
          <w:lang w:val="fr-FR"/>
        </w:rPr>
        <w:t>.</w:t>
      </w:r>
      <w:r w:rsidRPr="00D11D38">
        <w:rPr>
          <w:lang w:val="fr-FR"/>
        </w:rPr>
        <w:tab/>
        <w:t>Rapport du groupe de travail informel de la réduction du risque de</w:t>
      </w:r>
      <w:r w:rsidR="007459D7">
        <w:rPr>
          <w:lang w:val="fr-FR"/>
        </w:rPr>
        <w:t> </w:t>
      </w:r>
      <w:r w:rsidRPr="00D11D38">
        <w:rPr>
          <w:lang w:val="fr-FR"/>
        </w:rPr>
        <w:t>BLEVE</w:t>
      </w:r>
    </w:p>
    <w:p w14:paraId="67C4BD86" w14:textId="503EE9D6" w:rsidR="00CE245A" w:rsidRPr="00D11D38" w:rsidRDefault="00CE245A" w:rsidP="00573B1F">
      <w:pPr>
        <w:pStyle w:val="SingleTxtG"/>
        <w:tabs>
          <w:tab w:val="clear" w:pos="1701"/>
          <w:tab w:val="clear" w:pos="2268"/>
          <w:tab w:val="clear" w:pos="2835"/>
          <w:tab w:val="left" w:pos="3402"/>
        </w:tabs>
        <w:spacing w:after="100" w:line="236" w:lineRule="atLeast"/>
        <w:ind w:left="3402" w:hanging="2268"/>
        <w:jc w:val="left"/>
        <w:rPr>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14</w:t>
      </w:r>
      <w:r w:rsidRPr="00D11D38">
        <w:rPr>
          <w:lang w:val="fr-FR"/>
        </w:rPr>
        <w:t xml:space="preserve"> (Royaume-Uni au nom du groupe de travail informel)</w:t>
      </w:r>
    </w:p>
    <w:p w14:paraId="01A7B3EC" w14:textId="09B72501" w:rsidR="00CE245A" w:rsidRPr="00D11D38" w:rsidRDefault="00CE245A" w:rsidP="00573B1F">
      <w:pPr>
        <w:pStyle w:val="SingleTxtG"/>
        <w:spacing w:after="100" w:line="236" w:lineRule="atLeast"/>
        <w:rPr>
          <w:lang w:val="fr-FR"/>
        </w:rPr>
      </w:pPr>
      <w:r w:rsidRPr="00036363">
        <w:rPr>
          <w:lang w:val="fr-FR"/>
        </w:rPr>
        <w:t>57</w:t>
      </w:r>
      <w:r w:rsidR="00036363" w:rsidRPr="00036363">
        <w:rPr>
          <w:lang w:val="fr-FR"/>
        </w:rPr>
        <w:t>.</w:t>
      </w:r>
      <w:r w:rsidRPr="00D11D38">
        <w:rPr>
          <w:lang w:val="fr-FR"/>
        </w:rPr>
        <w:tab/>
        <w:t>La Réunion commune a pris note des progrès réalisés par le groupe de travail informel</w:t>
      </w:r>
      <w:r w:rsidR="00036363" w:rsidRPr="00036363">
        <w:rPr>
          <w:lang w:val="fr-FR"/>
        </w:rPr>
        <w:t>.</w:t>
      </w:r>
      <w:r w:rsidRPr="00D11D38">
        <w:rPr>
          <w:lang w:val="fr-FR"/>
        </w:rPr>
        <w:t xml:space="preserve"> Elle a accueilli favorablement les conclusions du groupe et s</w:t>
      </w:r>
      <w:r w:rsidR="00887612">
        <w:rPr>
          <w:lang w:val="fr-FR"/>
        </w:rPr>
        <w:t>’</w:t>
      </w:r>
      <w:r w:rsidRPr="00D11D38">
        <w:rPr>
          <w:lang w:val="fr-FR"/>
        </w:rPr>
        <w:t>est félicitée que la question soit examinée à la session suivante du Groupe de travail des dispositions générales de sécurité (GRSG), qui relève du Forum mondial de l</w:t>
      </w:r>
      <w:r w:rsidR="00887612">
        <w:rPr>
          <w:lang w:val="fr-FR"/>
        </w:rPr>
        <w:t>’</w:t>
      </w:r>
      <w:r w:rsidRPr="00D11D38">
        <w:rPr>
          <w:lang w:val="fr-FR"/>
        </w:rPr>
        <w:t>harmonisation des Règlements concernant les véhicules, et à la session de novembre du WP</w:t>
      </w:r>
      <w:r w:rsidR="00036363" w:rsidRPr="00036363">
        <w:rPr>
          <w:lang w:val="fr-FR"/>
        </w:rPr>
        <w:t>.</w:t>
      </w:r>
      <w:r w:rsidRPr="00036363">
        <w:rPr>
          <w:lang w:val="fr-FR"/>
        </w:rPr>
        <w:t>15</w:t>
      </w:r>
      <w:r w:rsidRPr="00D11D38">
        <w:rPr>
          <w:lang w:val="fr-FR"/>
        </w:rPr>
        <w:t>, sur la base du document ECE/TRANS/WP</w:t>
      </w:r>
      <w:r w:rsidR="00036363" w:rsidRPr="00036363">
        <w:rPr>
          <w:lang w:val="fr-FR"/>
        </w:rPr>
        <w:t>.</w:t>
      </w:r>
      <w:r w:rsidRPr="00036363">
        <w:rPr>
          <w:lang w:val="fr-FR"/>
        </w:rPr>
        <w:t>15</w:t>
      </w:r>
      <w:r w:rsidRPr="00D11D38">
        <w:rPr>
          <w:lang w:val="fr-FR"/>
        </w:rPr>
        <w:t>/</w:t>
      </w:r>
      <w:r w:rsidRPr="00036363">
        <w:rPr>
          <w:lang w:val="fr-FR"/>
        </w:rPr>
        <w:t>2024</w:t>
      </w:r>
      <w:r w:rsidRPr="00D11D38">
        <w:rPr>
          <w:lang w:val="fr-FR"/>
        </w:rPr>
        <w:t>/</w:t>
      </w:r>
      <w:r w:rsidRPr="00036363">
        <w:rPr>
          <w:lang w:val="fr-FR"/>
        </w:rPr>
        <w:t>17</w:t>
      </w:r>
      <w:r w:rsidR="00036363" w:rsidRPr="00036363">
        <w:rPr>
          <w:lang w:val="fr-FR"/>
        </w:rPr>
        <w:t>.</w:t>
      </w:r>
    </w:p>
    <w:p w14:paraId="19AE09FA" w14:textId="4A501E96" w:rsidR="00CE245A" w:rsidRPr="00D11D38" w:rsidRDefault="00CE245A" w:rsidP="00573B1F">
      <w:pPr>
        <w:pStyle w:val="HChG"/>
        <w:spacing w:before="340" w:after="220"/>
        <w:rPr>
          <w:lang w:val="fr-FR"/>
        </w:rPr>
      </w:pPr>
      <w:bookmarkStart w:id="2" w:name="_Hlk51257529"/>
      <w:r w:rsidRPr="00D11D38">
        <w:rPr>
          <w:lang w:val="fr-FR"/>
        </w:rPr>
        <w:tab/>
        <w:t>IX</w:t>
      </w:r>
      <w:r w:rsidR="00036363" w:rsidRPr="00036363">
        <w:rPr>
          <w:lang w:val="fr-FR"/>
        </w:rPr>
        <w:t>.</w:t>
      </w:r>
      <w:r w:rsidRPr="00D11D38">
        <w:rPr>
          <w:lang w:val="fr-FR"/>
        </w:rPr>
        <w:tab/>
        <w:t xml:space="preserve">Accidents et gestion des risques (point </w:t>
      </w:r>
      <w:r w:rsidRPr="00036363">
        <w:rPr>
          <w:lang w:val="fr-FR"/>
        </w:rPr>
        <w:t>7</w:t>
      </w:r>
      <w:r w:rsidRPr="00D11D38">
        <w:rPr>
          <w:lang w:val="fr-FR"/>
        </w:rPr>
        <w:t xml:space="preserve"> de l</w:t>
      </w:r>
      <w:r w:rsidR="00887612">
        <w:rPr>
          <w:lang w:val="fr-FR"/>
        </w:rPr>
        <w:t>’</w:t>
      </w:r>
      <w:r w:rsidRPr="00D11D38">
        <w:rPr>
          <w:lang w:val="fr-FR"/>
        </w:rPr>
        <w:t>ordre du jour)</w:t>
      </w:r>
    </w:p>
    <w:bookmarkEnd w:id="2"/>
    <w:p w14:paraId="44C179DD" w14:textId="6BD0EC57" w:rsidR="00CE245A" w:rsidRPr="00D11D38" w:rsidRDefault="00CE245A" w:rsidP="00573B1F">
      <w:pPr>
        <w:pStyle w:val="H1G"/>
        <w:spacing w:before="340" w:after="220"/>
        <w:rPr>
          <w:lang w:val="fr-FR"/>
        </w:rPr>
      </w:pPr>
      <w:r w:rsidRPr="00D11D38">
        <w:rPr>
          <w:lang w:val="fr-FR"/>
        </w:rPr>
        <w:tab/>
      </w:r>
      <w:r w:rsidRPr="00D11D38">
        <w:rPr>
          <w:lang w:val="fr-FR"/>
        </w:rPr>
        <w:tab/>
        <w:t>Amélioration du rapport sur des événements survenus pendant le</w:t>
      </w:r>
      <w:r w:rsidR="007459D7">
        <w:rPr>
          <w:lang w:val="fr-FR"/>
        </w:rPr>
        <w:t> </w:t>
      </w:r>
      <w:r w:rsidRPr="00D11D38">
        <w:rPr>
          <w:lang w:val="fr-FR"/>
        </w:rPr>
        <w:t>transport de marchandises dangereuses</w:t>
      </w:r>
    </w:p>
    <w:p w14:paraId="4D6CE18C" w14:textId="16A29E7C" w:rsidR="00CE245A" w:rsidRPr="00D11D38" w:rsidRDefault="00CE245A" w:rsidP="00573B1F">
      <w:pPr>
        <w:pStyle w:val="SingleTxtG"/>
        <w:tabs>
          <w:tab w:val="clear" w:pos="1701"/>
          <w:tab w:val="clear" w:pos="2268"/>
          <w:tab w:val="clear" w:pos="2835"/>
          <w:tab w:val="left" w:pos="3402"/>
        </w:tabs>
        <w:spacing w:after="100" w:line="236" w:lineRule="atLeast"/>
        <w:ind w:left="3402" w:hanging="2268"/>
        <w:jc w:val="left"/>
        <w:rPr>
          <w:lang w:val="fr-FR"/>
        </w:rPr>
      </w:pPr>
      <w:r w:rsidRPr="00036363">
        <w:rPr>
          <w:i/>
          <w:iCs/>
          <w:lang w:val="fr-FR"/>
        </w:rPr>
        <w:t>Document informel</w:t>
      </w:r>
      <w:r w:rsidR="00887612">
        <w:rPr>
          <w:lang w:val="fr-FR"/>
        </w:rPr>
        <w:t> :</w:t>
      </w:r>
      <w:r w:rsidRPr="00D11D38">
        <w:rPr>
          <w:lang w:val="fr-FR"/>
        </w:rPr>
        <w:tab/>
        <w:t>INF</w:t>
      </w:r>
      <w:r w:rsidR="00036363" w:rsidRPr="00036363">
        <w:rPr>
          <w:lang w:val="fr-FR"/>
        </w:rPr>
        <w:t>.</w:t>
      </w:r>
      <w:r w:rsidRPr="00036363">
        <w:rPr>
          <w:lang w:val="fr-FR"/>
        </w:rPr>
        <w:t>23</w:t>
      </w:r>
      <w:r w:rsidRPr="00D11D38">
        <w:rPr>
          <w:lang w:val="fr-FR"/>
        </w:rPr>
        <w:t xml:space="preserve"> (France)</w:t>
      </w:r>
    </w:p>
    <w:p w14:paraId="65159A50" w14:textId="16212E8C" w:rsidR="00CE245A" w:rsidRPr="00D11D38" w:rsidRDefault="00CE245A" w:rsidP="00573B1F">
      <w:pPr>
        <w:pStyle w:val="SingleTxtG"/>
        <w:spacing w:after="100" w:line="236" w:lineRule="atLeast"/>
        <w:rPr>
          <w:lang w:val="fr-FR"/>
        </w:rPr>
      </w:pPr>
      <w:r w:rsidRPr="00036363">
        <w:rPr>
          <w:lang w:val="fr-FR"/>
        </w:rPr>
        <w:t>58</w:t>
      </w:r>
      <w:r w:rsidR="00036363" w:rsidRPr="00036363">
        <w:rPr>
          <w:lang w:val="fr-FR"/>
        </w:rPr>
        <w:t>.</w:t>
      </w:r>
      <w:r w:rsidRPr="00D11D38">
        <w:rPr>
          <w:lang w:val="fr-FR"/>
        </w:rPr>
        <w:tab/>
        <w:t>La Réunion commune s</w:t>
      </w:r>
      <w:r w:rsidR="00887612">
        <w:rPr>
          <w:lang w:val="fr-FR"/>
        </w:rPr>
        <w:t>’</w:t>
      </w:r>
      <w:r w:rsidRPr="00D11D38">
        <w:rPr>
          <w:lang w:val="fr-FR"/>
        </w:rPr>
        <w:t>est félicitée de l</w:t>
      </w:r>
      <w:r w:rsidR="00887612">
        <w:rPr>
          <w:lang w:val="fr-FR"/>
        </w:rPr>
        <w:t>’</w:t>
      </w:r>
      <w:r w:rsidRPr="00D11D38">
        <w:rPr>
          <w:lang w:val="fr-FR"/>
        </w:rPr>
        <w:t>initiative prise par la France aux fins de la poursuite des travaux du groupe de travail informel</w:t>
      </w:r>
      <w:r w:rsidR="00036363" w:rsidRPr="00036363">
        <w:rPr>
          <w:lang w:val="fr-FR"/>
        </w:rPr>
        <w:t>.</w:t>
      </w:r>
      <w:r w:rsidRPr="00D11D38">
        <w:rPr>
          <w:lang w:val="fr-FR"/>
        </w:rPr>
        <w:t xml:space="preserve"> La plupart des représentants ne considéraient pas les rapports d</w:t>
      </w:r>
      <w:r w:rsidR="00887612">
        <w:rPr>
          <w:lang w:val="fr-FR"/>
        </w:rPr>
        <w:t>’</w:t>
      </w:r>
      <w:r w:rsidRPr="00D11D38">
        <w:rPr>
          <w:lang w:val="fr-FR"/>
        </w:rPr>
        <w:t>accident comme un outil de collecte de données pour l</w:t>
      </w:r>
      <w:r w:rsidR="00887612">
        <w:rPr>
          <w:lang w:val="fr-FR"/>
        </w:rPr>
        <w:t>’</w:t>
      </w:r>
      <w:r w:rsidRPr="00D11D38">
        <w:rPr>
          <w:lang w:val="fr-FR"/>
        </w:rPr>
        <w:t>analyse des risques</w:t>
      </w:r>
      <w:r w:rsidR="00036363" w:rsidRPr="00036363">
        <w:rPr>
          <w:lang w:val="fr-FR"/>
        </w:rPr>
        <w:t>.</w:t>
      </w:r>
      <w:r w:rsidRPr="00D11D38">
        <w:rPr>
          <w:lang w:val="fr-FR"/>
        </w:rPr>
        <w:t xml:space="preserve"> Cependant, la plupart des représentants ont souligné qu</w:t>
      </w:r>
      <w:r w:rsidR="00887612">
        <w:rPr>
          <w:lang w:val="fr-FR"/>
        </w:rPr>
        <w:t>’</w:t>
      </w:r>
      <w:r w:rsidRPr="00D11D38">
        <w:rPr>
          <w:lang w:val="fr-FR"/>
        </w:rPr>
        <w:t>il importait de disposer d</w:t>
      </w:r>
      <w:r w:rsidR="00887612">
        <w:rPr>
          <w:lang w:val="fr-FR"/>
        </w:rPr>
        <w:t>’</w:t>
      </w:r>
      <w:r w:rsidRPr="00D11D38">
        <w:rPr>
          <w:lang w:val="fr-FR"/>
        </w:rPr>
        <w:t>un modèle harmonisé et uniforme de rapport pour les accidents survenant pendant le transport ferroviaire et la gestion des risques y afférents, conforme aux méthodes d</w:t>
      </w:r>
      <w:r w:rsidR="00887612">
        <w:rPr>
          <w:lang w:val="fr-FR"/>
        </w:rPr>
        <w:t>’</w:t>
      </w:r>
      <w:r w:rsidRPr="00D11D38">
        <w:rPr>
          <w:lang w:val="fr-FR"/>
        </w:rPr>
        <w:t>évaluation du niveau de sécurité et des performances en matière de sécurité des opérateurs ferroviaires</w:t>
      </w:r>
      <w:r w:rsidR="00036363" w:rsidRPr="00036363">
        <w:rPr>
          <w:lang w:val="fr-FR"/>
        </w:rPr>
        <w:t>.</w:t>
      </w:r>
      <w:r w:rsidRPr="00D11D38">
        <w:rPr>
          <w:lang w:val="fr-FR"/>
        </w:rPr>
        <w:t xml:space="preserve"> Les participants se sont interrogés sur la nécessité de continuer d</w:t>
      </w:r>
      <w:r w:rsidR="00887612">
        <w:rPr>
          <w:lang w:val="fr-FR"/>
        </w:rPr>
        <w:t>’</w:t>
      </w:r>
      <w:r w:rsidRPr="00D11D38">
        <w:rPr>
          <w:lang w:val="fr-FR"/>
        </w:rPr>
        <w:t>harmoniser l</w:t>
      </w:r>
      <w:r w:rsidR="00887612">
        <w:rPr>
          <w:lang w:val="fr-FR"/>
        </w:rPr>
        <w:t>’</w:t>
      </w:r>
      <w:r w:rsidRPr="00D11D38">
        <w:rPr>
          <w:lang w:val="fr-FR"/>
        </w:rPr>
        <w:t>établissement de rapports sur les accidents pour l</w:t>
      </w:r>
      <w:r w:rsidR="00887612">
        <w:rPr>
          <w:lang w:val="fr-FR"/>
        </w:rPr>
        <w:t>’</w:t>
      </w:r>
      <w:r w:rsidRPr="00D11D38">
        <w:rPr>
          <w:lang w:val="fr-FR"/>
        </w:rPr>
        <w:t>ensemble des modes de transport</w:t>
      </w:r>
      <w:r w:rsidR="00036363" w:rsidRPr="00036363">
        <w:rPr>
          <w:lang w:val="fr-FR"/>
        </w:rPr>
        <w:t>.</w:t>
      </w:r>
    </w:p>
    <w:p w14:paraId="08CDE2D5" w14:textId="093B807E" w:rsidR="00CE245A" w:rsidRPr="00D11D38" w:rsidRDefault="00CE245A" w:rsidP="00573B1F">
      <w:pPr>
        <w:pStyle w:val="SingleTxtG"/>
        <w:spacing w:after="100" w:line="236" w:lineRule="atLeast"/>
        <w:rPr>
          <w:lang w:val="fr-FR"/>
        </w:rPr>
      </w:pPr>
      <w:r w:rsidRPr="00036363">
        <w:rPr>
          <w:lang w:val="fr-FR"/>
        </w:rPr>
        <w:t>59</w:t>
      </w:r>
      <w:r w:rsidR="00036363" w:rsidRPr="00036363">
        <w:rPr>
          <w:lang w:val="fr-FR"/>
        </w:rPr>
        <w:t>.</w:t>
      </w:r>
      <w:r w:rsidRPr="00D11D38">
        <w:rPr>
          <w:lang w:val="fr-FR"/>
        </w:rPr>
        <w:tab/>
        <w:t>La Réunion commune a accueilli favorablement la proposition de la France consistant à organiser une nouvelle réunion du groupe de travail informel afin de revoir le mandat, dans</w:t>
      </w:r>
      <w:r w:rsidR="008715DB">
        <w:rPr>
          <w:lang w:val="fr-FR"/>
        </w:rPr>
        <w:t> </w:t>
      </w:r>
      <w:r w:rsidRPr="00D11D38">
        <w:rPr>
          <w:lang w:val="fr-FR"/>
        </w:rPr>
        <w:t>un premier temps, compte tenu des besoins des différents modes de transport, et à communiquer les conclusions de cette réunion à la session suivante</w:t>
      </w:r>
      <w:r w:rsidR="00036363" w:rsidRPr="00036363">
        <w:rPr>
          <w:lang w:val="fr-FR"/>
        </w:rPr>
        <w:t>.</w:t>
      </w:r>
      <w:r w:rsidRPr="00D11D38">
        <w:rPr>
          <w:lang w:val="fr-FR"/>
        </w:rPr>
        <w:t xml:space="preserve"> Pour l</w:t>
      </w:r>
      <w:r w:rsidR="00887612">
        <w:rPr>
          <w:lang w:val="fr-FR"/>
        </w:rPr>
        <w:t>’</w:t>
      </w:r>
      <w:r w:rsidRPr="00D11D38">
        <w:rPr>
          <w:lang w:val="fr-FR"/>
        </w:rPr>
        <w:t>organisation des travaux futurs, la France a demandé que des observations écrites soient communiquées sur le document informel INF</w:t>
      </w:r>
      <w:r w:rsidR="00036363" w:rsidRPr="00036363">
        <w:rPr>
          <w:lang w:val="fr-FR"/>
        </w:rPr>
        <w:t>.</w:t>
      </w:r>
      <w:r w:rsidRPr="00036363">
        <w:rPr>
          <w:lang w:val="fr-FR"/>
        </w:rPr>
        <w:t>19</w:t>
      </w:r>
      <w:r w:rsidRPr="00D11D38">
        <w:rPr>
          <w:lang w:val="fr-FR"/>
        </w:rPr>
        <w:t xml:space="preserve"> de la session d</w:t>
      </w:r>
      <w:r>
        <w:rPr>
          <w:lang w:val="fr-FR"/>
        </w:rPr>
        <w:t>e</w:t>
      </w:r>
      <w:r w:rsidRPr="00D11D38">
        <w:rPr>
          <w:lang w:val="fr-FR"/>
        </w:rPr>
        <w:t xml:space="preserve"> printemps </w:t>
      </w:r>
      <w:r w:rsidRPr="00036363">
        <w:rPr>
          <w:lang w:val="fr-FR"/>
        </w:rPr>
        <w:t>2024</w:t>
      </w:r>
      <w:r w:rsidR="00036363" w:rsidRPr="00036363">
        <w:rPr>
          <w:lang w:val="fr-FR"/>
        </w:rPr>
        <w:t>.</w:t>
      </w:r>
    </w:p>
    <w:p w14:paraId="5D83AAD7" w14:textId="52948D8B" w:rsidR="00CE245A" w:rsidRPr="00D11D38" w:rsidRDefault="00CE245A" w:rsidP="00573B1F">
      <w:pPr>
        <w:pStyle w:val="HChG"/>
        <w:spacing w:before="340" w:after="220"/>
        <w:rPr>
          <w:lang w:val="fr-FR"/>
        </w:rPr>
      </w:pPr>
      <w:r w:rsidRPr="00D11D38">
        <w:rPr>
          <w:lang w:val="fr-FR"/>
        </w:rPr>
        <w:tab/>
        <w:t>X</w:t>
      </w:r>
      <w:r w:rsidR="00036363" w:rsidRPr="00036363">
        <w:rPr>
          <w:lang w:val="fr-FR"/>
        </w:rPr>
        <w:t>.</w:t>
      </w:r>
      <w:r w:rsidRPr="00D11D38">
        <w:rPr>
          <w:lang w:val="fr-FR"/>
        </w:rPr>
        <w:tab/>
        <w:t>Programme de développement durable à l</w:t>
      </w:r>
      <w:r w:rsidR="00887612">
        <w:rPr>
          <w:lang w:val="fr-FR"/>
        </w:rPr>
        <w:t>’</w:t>
      </w:r>
      <w:r w:rsidRPr="00D11D38">
        <w:rPr>
          <w:lang w:val="fr-FR"/>
        </w:rPr>
        <w:t xml:space="preserve">horizon </w:t>
      </w:r>
      <w:r w:rsidRPr="00036363">
        <w:rPr>
          <w:lang w:val="fr-FR"/>
        </w:rPr>
        <w:t>2030</w:t>
      </w:r>
      <w:r w:rsidRPr="00D11D38">
        <w:rPr>
          <w:lang w:val="fr-FR"/>
        </w:rPr>
        <w:t xml:space="preserve"> (point </w:t>
      </w:r>
      <w:r w:rsidRPr="00036363">
        <w:rPr>
          <w:lang w:val="fr-FR"/>
        </w:rPr>
        <w:t>8</w:t>
      </w:r>
      <w:r w:rsidRPr="00D11D38">
        <w:rPr>
          <w:lang w:val="fr-FR"/>
        </w:rPr>
        <w:t xml:space="preserve"> de l</w:t>
      </w:r>
      <w:r w:rsidR="00887612">
        <w:rPr>
          <w:lang w:val="fr-FR"/>
        </w:rPr>
        <w:t>’</w:t>
      </w:r>
      <w:r w:rsidRPr="00D11D38">
        <w:rPr>
          <w:lang w:val="fr-FR"/>
        </w:rPr>
        <w:t>ordre du jour)</w:t>
      </w:r>
    </w:p>
    <w:p w14:paraId="1F3DF36B" w14:textId="2BDFE02D" w:rsidR="00CE245A" w:rsidRPr="00D11D38" w:rsidRDefault="00CE245A" w:rsidP="00573B1F">
      <w:pPr>
        <w:pStyle w:val="SingleTxtG"/>
        <w:tabs>
          <w:tab w:val="clear" w:pos="1701"/>
          <w:tab w:val="clear" w:pos="2268"/>
          <w:tab w:val="clear" w:pos="2835"/>
          <w:tab w:val="left" w:pos="3402"/>
        </w:tabs>
        <w:spacing w:after="100" w:line="234" w:lineRule="atLeast"/>
        <w:ind w:left="3402" w:hanging="2268"/>
        <w:jc w:val="left"/>
        <w:rPr>
          <w:bCs/>
          <w:lang w:val="fr-FR"/>
        </w:rPr>
      </w:pPr>
      <w:r w:rsidRPr="00036363">
        <w:rPr>
          <w:i/>
          <w:iCs/>
          <w:lang w:val="fr-FR"/>
        </w:rPr>
        <w:t>Document informel</w:t>
      </w:r>
      <w:r w:rsidR="00FC5953" w:rsidRPr="00FC5953">
        <w:rPr>
          <w:iCs/>
          <w:lang w:val="fr-FR"/>
        </w:rPr>
        <w:t> :</w:t>
      </w:r>
      <w:r w:rsidRPr="00D11D38">
        <w:rPr>
          <w:lang w:val="fr-FR"/>
        </w:rPr>
        <w:tab/>
        <w:t>INF</w:t>
      </w:r>
      <w:r w:rsidR="00036363" w:rsidRPr="00036363">
        <w:rPr>
          <w:lang w:val="fr-FR"/>
        </w:rPr>
        <w:t>.</w:t>
      </w:r>
      <w:r w:rsidRPr="00036363">
        <w:rPr>
          <w:lang w:val="fr-FR"/>
        </w:rPr>
        <w:t>29</w:t>
      </w:r>
      <w:r w:rsidRPr="00D11D38">
        <w:rPr>
          <w:lang w:val="fr-FR"/>
        </w:rPr>
        <w:t xml:space="preserve"> (secrétariat de la CEE)</w:t>
      </w:r>
    </w:p>
    <w:p w14:paraId="26B00645" w14:textId="1EC557B1" w:rsidR="00CE245A" w:rsidRPr="00D11D38" w:rsidRDefault="00CE245A" w:rsidP="00573B1F">
      <w:pPr>
        <w:pStyle w:val="SingleTxtG"/>
        <w:spacing w:after="100" w:line="234" w:lineRule="atLeast"/>
        <w:rPr>
          <w:lang w:val="fr-FR"/>
        </w:rPr>
      </w:pPr>
      <w:r w:rsidRPr="00036363">
        <w:rPr>
          <w:lang w:val="fr-FR"/>
        </w:rPr>
        <w:t>60</w:t>
      </w:r>
      <w:r w:rsidR="00036363" w:rsidRPr="00036363">
        <w:rPr>
          <w:lang w:val="fr-FR"/>
        </w:rPr>
        <w:t>.</w:t>
      </w:r>
      <w:r w:rsidRPr="00D11D38">
        <w:rPr>
          <w:lang w:val="fr-FR"/>
        </w:rPr>
        <w:tab/>
        <w:t>La Réunion commune a été informée que la quatre-vingt-sixième session du Comité des transports intérieurs (CTI) s</w:t>
      </w:r>
      <w:r w:rsidR="00887612">
        <w:rPr>
          <w:lang w:val="fr-FR"/>
        </w:rPr>
        <w:t>’</w:t>
      </w:r>
      <w:r w:rsidRPr="00D11D38">
        <w:rPr>
          <w:lang w:val="fr-FR"/>
        </w:rPr>
        <w:t xml:space="preserve">était tenue à Genève du </w:t>
      </w:r>
      <w:r w:rsidRPr="00036363">
        <w:rPr>
          <w:lang w:val="fr-FR"/>
        </w:rPr>
        <w:t>20</w:t>
      </w:r>
      <w:r w:rsidRPr="00D11D38">
        <w:rPr>
          <w:lang w:val="fr-FR"/>
        </w:rPr>
        <w:t xml:space="preserve"> au </w:t>
      </w:r>
      <w:r w:rsidRPr="00036363">
        <w:rPr>
          <w:lang w:val="fr-FR"/>
        </w:rPr>
        <w:t>23</w:t>
      </w:r>
      <w:r w:rsidRPr="00D11D38">
        <w:rPr>
          <w:lang w:val="fr-FR"/>
        </w:rPr>
        <w:t xml:space="preserve"> février </w:t>
      </w:r>
      <w:r w:rsidRPr="00036363">
        <w:rPr>
          <w:lang w:val="fr-FR"/>
        </w:rPr>
        <w:t>2024</w:t>
      </w:r>
      <w:r w:rsidRPr="00D11D38">
        <w:rPr>
          <w:lang w:val="fr-FR"/>
        </w:rPr>
        <w:t xml:space="preserve"> (voir le rapport publié sous la cote ECE/TRANS/</w:t>
      </w:r>
      <w:r w:rsidRPr="00036363">
        <w:rPr>
          <w:lang w:val="fr-FR"/>
        </w:rPr>
        <w:t>344</w:t>
      </w:r>
      <w:r w:rsidRPr="00D11D38">
        <w:rPr>
          <w:lang w:val="fr-FR"/>
        </w:rPr>
        <w:t>)</w:t>
      </w:r>
      <w:r w:rsidR="00036363" w:rsidRPr="00036363">
        <w:rPr>
          <w:lang w:val="fr-FR"/>
        </w:rPr>
        <w:t>.</w:t>
      </w:r>
      <w:r w:rsidRPr="00D11D38">
        <w:rPr>
          <w:lang w:val="fr-FR"/>
        </w:rPr>
        <w:t xml:space="preserve"> Elle a pris note des résultats du CTI concernant l</w:t>
      </w:r>
      <w:r w:rsidR="00887612">
        <w:rPr>
          <w:lang w:val="fr-FR"/>
        </w:rPr>
        <w:t>’</w:t>
      </w:r>
      <w:r w:rsidRPr="00D11D38">
        <w:rPr>
          <w:lang w:val="fr-FR"/>
        </w:rPr>
        <w:t>exécution de son mandat révisé et de sa Stratégie à l</w:t>
      </w:r>
      <w:r w:rsidR="00887612">
        <w:rPr>
          <w:lang w:val="fr-FR"/>
        </w:rPr>
        <w:t>’</w:t>
      </w:r>
      <w:r w:rsidRPr="00D11D38">
        <w:rPr>
          <w:lang w:val="fr-FR"/>
        </w:rPr>
        <w:t xml:space="preserve">horizon </w:t>
      </w:r>
      <w:r w:rsidRPr="00036363">
        <w:rPr>
          <w:lang w:val="fr-FR"/>
        </w:rPr>
        <w:t>2030</w:t>
      </w:r>
      <w:r w:rsidR="00036363" w:rsidRPr="00036363">
        <w:rPr>
          <w:lang w:val="fr-FR"/>
        </w:rPr>
        <w:t>.</w:t>
      </w:r>
    </w:p>
    <w:p w14:paraId="49ED59F6" w14:textId="11B05574" w:rsidR="00CE245A" w:rsidRPr="00D11D38" w:rsidRDefault="00CE245A" w:rsidP="00573B1F">
      <w:pPr>
        <w:pStyle w:val="SingleTxtG"/>
        <w:widowControl w:val="0"/>
        <w:spacing w:after="100" w:line="234" w:lineRule="atLeast"/>
        <w:rPr>
          <w:lang w:val="fr-FR"/>
        </w:rPr>
      </w:pPr>
      <w:r w:rsidRPr="00036363">
        <w:rPr>
          <w:lang w:val="fr-FR"/>
        </w:rPr>
        <w:t>61</w:t>
      </w:r>
      <w:r w:rsidR="00036363" w:rsidRPr="00036363">
        <w:rPr>
          <w:lang w:val="fr-FR"/>
        </w:rPr>
        <w:t>.</w:t>
      </w:r>
      <w:r w:rsidRPr="00D11D38">
        <w:rPr>
          <w:lang w:val="fr-FR"/>
        </w:rPr>
        <w:tab/>
        <w:t>La Réunion commune s</w:t>
      </w:r>
      <w:r w:rsidR="00887612">
        <w:rPr>
          <w:lang w:val="fr-FR"/>
        </w:rPr>
        <w:t>’</w:t>
      </w:r>
      <w:r w:rsidRPr="00D11D38">
        <w:rPr>
          <w:lang w:val="fr-FR"/>
        </w:rPr>
        <w:t>est félicitée de l</w:t>
      </w:r>
      <w:r w:rsidR="00887612">
        <w:rPr>
          <w:lang w:val="fr-FR"/>
        </w:rPr>
        <w:t>’</w:t>
      </w:r>
      <w:r w:rsidRPr="00D11D38">
        <w:rPr>
          <w:lang w:val="fr-FR"/>
        </w:rPr>
        <w:t>adoption par le CTI de sa Stratégie sur la réduction des émissions de gaz à effet de serre dans les transports intérieurs (Stratégie de décarbonation du CTI), telle qu</w:t>
      </w:r>
      <w:r w:rsidR="00887612">
        <w:rPr>
          <w:lang w:val="fr-FR"/>
        </w:rPr>
        <w:t>’</w:t>
      </w:r>
      <w:r w:rsidRPr="00D11D38">
        <w:rPr>
          <w:lang w:val="fr-FR"/>
        </w:rPr>
        <w:t>elle figure à l</w:t>
      </w:r>
      <w:r w:rsidR="00887612">
        <w:rPr>
          <w:lang w:val="fr-FR"/>
        </w:rPr>
        <w:t>’</w:t>
      </w:r>
      <w:r w:rsidRPr="00D11D38">
        <w:rPr>
          <w:lang w:val="fr-FR"/>
        </w:rPr>
        <w:t>annexe I du document ECE/TRANS/</w:t>
      </w:r>
      <w:r w:rsidRPr="00036363">
        <w:rPr>
          <w:lang w:val="fr-FR"/>
        </w:rPr>
        <w:t>344</w:t>
      </w:r>
      <w:r w:rsidRPr="00D11D38">
        <w:rPr>
          <w:lang w:val="fr-FR"/>
        </w:rPr>
        <w:t>, et</w:t>
      </w:r>
      <w:r w:rsidR="007B12DD">
        <w:rPr>
          <w:lang w:val="fr-FR"/>
        </w:rPr>
        <w:t> </w:t>
      </w:r>
      <w:r w:rsidRPr="00D11D38">
        <w:rPr>
          <w:lang w:val="fr-FR"/>
        </w:rPr>
        <w:t>a</w:t>
      </w:r>
      <w:r w:rsidR="007B12DD">
        <w:rPr>
          <w:lang w:val="fr-FR"/>
        </w:rPr>
        <w:t> </w:t>
      </w:r>
      <w:r w:rsidRPr="00D11D38">
        <w:rPr>
          <w:lang w:val="fr-FR"/>
        </w:rPr>
        <w:t>souscrit à la demande du CTI d</w:t>
      </w:r>
      <w:r w:rsidR="00887612">
        <w:rPr>
          <w:lang w:val="fr-FR"/>
        </w:rPr>
        <w:t>’</w:t>
      </w:r>
      <w:r w:rsidRPr="00D11D38">
        <w:rPr>
          <w:lang w:val="fr-FR"/>
        </w:rPr>
        <w:t>aligner son programme de travail en conséquence (ECE/TRANS/</w:t>
      </w:r>
      <w:r w:rsidRPr="00036363">
        <w:rPr>
          <w:lang w:val="fr-FR"/>
        </w:rPr>
        <w:t>344</w:t>
      </w:r>
      <w:r w:rsidRPr="00D11D38">
        <w:rPr>
          <w:lang w:val="fr-FR"/>
        </w:rPr>
        <w:t>, par</w:t>
      </w:r>
      <w:r w:rsidR="00036363" w:rsidRPr="00036363">
        <w:rPr>
          <w:lang w:val="fr-FR"/>
        </w:rPr>
        <w:t>.</w:t>
      </w:r>
      <w:r w:rsidRPr="00D11D38">
        <w:rPr>
          <w:lang w:val="fr-FR"/>
        </w:rPr>
        <w:t> </w:t>
      </w:r>
      <w:r w:rsidRPr="00036363">
        <w:rPr>
          <w:lang w:val="fr-FR"/>
        </w:rPr>
        <w:t>15</w:t>
      </w:r>
      <w:r w:rsidRPr="00D11D38">
        <w:rPr>
          <w:lang w:val="fr-FR"/>
        </w:rPr>
        <w:t>)</w:t>
      </w:r>
      <w:r w:rsidR="00036363" w:rsidRPr="00036363">
        <w:rPr>
          <w:lang w:val="fr-FR"/>
        </w:rPr>
        <w:t>.</w:t>
      </w:r>
      <w:r w:rsidRPr="00D11D38">
        <w:rPr>
          <w:lang w:val="fr-FR"/>
        </w:rPr>
        <w:t xml:space="preserve"> L</w:t>
      </w:r>
      <w:r w:rsidR="00887612">
        <w:rPr>
          <w:lang w:val="fr-FR"/>
        </w:rPr>
        <w:t>’</w:t>
      </w:r>
      <w:r w:rsidRPr="00D11D38">
        <w:rPr>
          <w:lang w:val="fr-FR"/>
        </w:rPr>
        <w:t>adoption de la Stratégie constitue une étape importante dans les efforts déployés en vue de la décarbonation des transports, puisque les trois piliers du transport mondial (aérien, terrestre et maritime) peuvent désormais être traités dans le cadre des Nations Unies, grâce à une vision à long terme ambitieuse et un cap bien défini pour aller de l</w:t>
      </w:r>
      <w:r w:rsidR="00887612">
        <w:rPr>
          <w:lang w:val="fr-FR"/>
        </w:rPr>
        <w:t>’</w:t>
      </w:r>
      <w:r w:rsidRPr="00D11D38">
        <w:rPr>
          <w:lang w:val="fr-FR"/>
        </w:rPr>
        <w:t>avant</w:t>
      </w:r>
      <w:r w:rsidR="00036363" w:rsidRPr="00036363">
        <w:rPr>
          <w:lang w:val="fr-FR"/>
        </w:rPr>
        <w:t>.</w:t>
      </w:r>
      <w:r w:rsidRPr="00D11D38">
        <w:rPr>
          <w:lang w:val="fr-FR"/>
        </w:rPr>
        <w:t xml:space="preserve"> La Stratégie de décarbonation du CTI complète la Stratégie de l</w:t>
      </w:r>
      <w:r w:rsidR="00887612">
        <w:rPr>
          <w:lang w:val="fr-FR"/>
        </w:rPr>
        <w:t>’</w:t>
      </w:r>
      <w:r w:rsidRPr="00D11D38">
        <w:rPr>
          <w:lang w:val="fr-FR"/>
        </w:rPr>
        <w:t xml:space="preserve">Organisation maritime internationale (OMI) de </w:t>
      </w:r>
      <w:r w:rsidRPr="00036363">
        <w:rPr>
          <w:lang w:val="fr-FR"/>
        </w:rPr>
        <w:t>2023</w:t>
      </w:r>
      <w:r w:rsidRPr="00D11D38">
        <w:rPr>
          <w:lang w:val="fr-FR"/>
        </w:rPr>
        <w:t xml:space="preserve"> concernant la réduction des émissions de gaz à effet de serre provenant des navires et l</w:t>
      </w:r>
      <w:r w:rsidR="00887612">
        <w:rPr>
          <w:lang w:val="fr-FR"/>
        </w:rPr>
        <w:t>’</w:t>
      </w:r>
      <w:r w:rsidRPr="00D11D38">
        <w:rPr>
          <w:lang w:val="fr-FR"/>
        </w:rPr>
        <w:t>objectif ambitieux à long terme de réduction à zéro des émissions nettes de carbone provenant de l</w:t>
      </w:r>
      <w:r w:rsidR="00887612">
        <w:rPr>
          <w:lang w:val="fr-FR"/>
        </w:rPr>
        <w:t>’</w:t>
      </w:r>
      <w:r w:rsidRPr="00D11D38">
        <w:rPr>
          <w:lang w:val="fr-FR"/>
        </w:rPr>
        <w:t>aviation d</w:t>
      </w:r>
      <w:r w:rsidR="00887612">
        <w:rPr>
          <w:lang w:val="fr-FR"/>
        </w:rPr>
        <w:t>’</w:t>
      </w:r>
      <w:r w:rsidRPr="00D11D38">
        <w:rPr>
          <w:lang w:val="fr-FR"/>
        </w:rPr>
        <w:t xml:space="preserve">ici à </w:t>
      </w:r>
      <w:r w:rsidRPr="00036363">
        <w:rPr>
          <w:lang w:val="fr-FR"/>
        </w:rPr>
        <w:t>2050</w:t>
      </w:r>
      <w:r w:rsidRPr="00D11D38">
        <w:rPr>
          <w:lang w:val="fr-FR"/>
        </w:rPr>
        <w:t xml:space="preserve">, adopté en </w:t>
      </w:r>
      <w:r w:rsidRPr="00036363">
        <w:rPr>
          <w:lang w:val="fr-FR"/>
        </w:rPr>
        <w:t>2022</w:t>
      </w:r>
      <w:r w:rsidRPr="00D11D38">
        <w:rPr>
          <w:lang w:val="fr-FR"/>
        </w:rPr>
        <w:t xml:space="preserve"> par l</w:t>
      </w:r>
      <w:r w:rsidR="00887612">
        <w:rPr>
          <w:lang w:val="fr-FR"/>
        </w:rPr>
        <w:t>’</w:t>
      </w:r>
      <w:r w:rsidRPr="00D11D38">
        <w:rPr>
          <w:lang w:val="fr-FR"/>
        </w:rPr>
        <w:t>Organisation de l</w:t>
      </w:r>
      <w:r w:rsidR="00887612">
        <w:rPr>
          <w:lang w:val="fr-FR"/>
        </w:rPr>
        <w:t>’</w:t>
      </w:r>
      <w:r w:rsidRPr="00D11D38">
        <w:rPr>
          <w:lang w:val="fr-FR"/>
        </w:rPr>
        <w:t>aviation civile internationale (OACI)</w:t>
      </w:r>
      <w:r w:rsidR="00036363" w:rsidRPr="00036363">
        <w:rPr>
          <w:lang w:val="fr-FR"/>
        </w:rPr>
        <w:t>.</w:t>
      </w:r>
      <w:r w:rsidRPr="00D11D38">
        <w:rPr>
          <w:lang w:val="fr-FR"/>
        </w:rPr>
        <w:t xml:space="preserve"> La Réunion commune a déjà contribué aux étapes liées aux mesures </w:t>
      </w:r>
      <w:r w:rsidRPr="00036363">
        <w:rPr>
          <w:lang w:val="fr-FR"/>
        </w:rPr>
        <w:t>1</w:t>
      </w:r>
      <w:r w:rsidRPr="00D11D38">
        <w:rPr>
          <w:lang w:val="fr-FR"/>
        </w:rPr>
        <w:t xml:space="preserve">, </w:t>
      </w:r>
      <w:r w:rsidRPr="00036363">
        <w:rPr>
          <w:lang w:val="fr-FR"/>
        </w:rPr>
        <w:t>6</w:t>
      </w:r>
      <w:r w:rsidRPr="00D11D38">
        <w:rPr>
          <w:lang w:val="fr-FR"/>
        </w:rPr>
        <w:t xml:space="preserve">, </w:t>
      </w:r>
      <w:r w:rsidRPr="00036363">
        <w:rPr>
          <w:lang w:val="fr-FR"/>
        </w:rPr>
        <w:t>18</w:t>
      </w:r>
      <w:r w:rsidRPr="00D11D38">
        <w:rPr>
          <w:lang w:val="fr-FR"/>
        </w:rPr>
        <w:t xml:space="preserve">, </w:t>
      </w:r>
      <w:r w:rsidRPr="00036363">
        <w:rPr>
          <w:lang w:val="fr-FR"/>
        </w:rPr>
        <w:t>26</w:t>
      </w:r>
      <w:r w:rsidRPr="00D11D38">
        <w:rPr>
          <w:lang w:val="fr-FR"/>
        </w:rPr>
        <w:t xml:space="preserve"> et </w:t>
      </w:r>
      <w:r w:rsidRPr="00036363">
        <w:rPr>
          <w:lang w:val="fr-FR"/>
        </w:rPr>
        <w:t>31</w:t>
      </w:r>
      <w:r w:rsidRPr="00D11D38">
        <w:rPr>
          <w:lang w:val="fr-FR"/>
        </w:rPr>
        <w:t xml:space="preserve"> du Plan d</w:t>
      </w:r>
      <w:r w:rsidR="00887612">
        <w:rPr>
          <w:lang w:val="fr-FR"/>
        </w:rPr>
        <w:t>’</w:t>
      </w:r>
      <w:r w:rsidRPr="00D11D38">
        <w:rPr>
          <w:lang w:val="fr-FR"/>
        </w:rPr>
        <w:t>action climatique initial du CTI, qui figure à l</w:t>
      </w:r>
      <w:r w:rsidR="00887612">
        <w:rPr>
          <w:lang w:val="fr-FR"/>
        </w:rPr>
        <w:t>’</w:t>
      </w:r>
      <w:r w:rsidRPr="00D11D38">
        <w:rPr>
          <w:lang w:val="fr-FR"/>
        </w:rPr>
        <w:t>annexe I du document ECE/TRANS/</w:t>
      </w:r>
      <w:r w:rsidRPr="00036363">
        <w:rPr>
          <w:lang w:val="fr-FR"/>
        </w:rPr>
        <w:t>344</w:t>
      </w:r>
      <w:r w:rsidR="00036363" w:rsidRPr="00036363">
        <w:rPr>
          <w:lang w:val="fr-FR"/>
        </w:rPr>
        <w:t>.</w:t>
      </w:r>
    </w:p>
    <w:p w14:paraId="31A1047D" w14:textId="69EDD6DC" w:rsidR="00CE245A" w:rsidRPr="00D11D38" w:rsidRDefault="00CE245A" w:rsidP="00F8222C">
      <w:pPr>
        <w:pStyle w:val="HChG"/>
        <w:rPr>
          <w:lang w:val="fr-FR"/>
        </w:rPr>
      </w:pPr>
      <w:r w:rsidRPr="00D11D38">
        <w:rPr>
          <w:lang w:val="fr-FR"/>
        </w:rPr>
        <w:lastRenderedPageBreak/>
        <w:tab/>
        <w:t>XI</w:t>
      </w:r>
      <w:r w:rsidR="00036363" w:rsidRPr="00036363">
        <w:rPr>
          <w:lang w:val="fr-FR"/>
        </w:rPr>
        <w:t>.</w:t>
      </w:r>
      <w:r w:rsidRPr="00D11D38">
        <w:rPr>
          <w:lang w:val="fr-FR"/>
        </w:rPr>
        <w:tab/>
        <w:t xml:space="preserve">Élection des personnes qui assureront la présidence </w:t>
      </w:r>
      <w:r w:rsidR="00F8222C">
        <w:rPr>
          <w:lang w:val="fr-FR"/>
        </w:rPr>
        <w:br/>
      </w:r>
      <w:r w:rsidRPr="00D11D38">
        <w:rPr>
          <w:lang w:val="fr-FR"/>
        </w:rPr>
        <w:t xml:space="preserve">et la vice-présidence en </w:t>
      </w:r>
      <w:r w:rsidRPr="00036363">
        <w:rPr>
          <w:lang w:val="fr-FR"/>
        </w:rPr>
        <w:t>2025</w:t>
      </w:r>
      <w:r w:rsidRPr="00D11D38">
        <w:rPr>
          <w:lang w:val="fr-FR"/>
        </w:rPr>
        <w:t xml:space="preserve"> </w:t>
      </w:r>
      <w:r w:rsidR="00F8222C">
        <w:rPr>
          <w:lang w:val="fr-FR"/>
        </w:rPr>
        <w:br/>
      </w:r>
      <w:r w:rsidRPr="00D11D38">
        <w:rPr>
          <w:lang w:val="fr-FR"/>
        </w:rPr>
        <w:t xml:space="preserve">(point </w:t>
      </w:r>
      <w:r w:rsidRPr="00036363">
        <w:rPr>
          <w:lang w:val="fr-FR"/>
        </w:rPr>
        <w:t>9</w:t>
      </w:r>
      <w:r w:rsidRPr="00D11D38">
        <w:rPr>
          <w:lang w:val="fr-FR"/>
        </w:rPr>
        <w:t xml:space="preserve"> de l</w:t>
      </w:r>
      <w:r w:rsidR="00887612">
        <w:rPr>
          <w:lang w:val="fr-FR"/>
        </w:rPr>
        <w:t>’</w:t>
      </w:r>
      <w:r w:rsidRPr="00D11D38">
        <w:rPr>
          <w:lang w:val="fr-FR"/>
        </w:rPr>
        <w:t>ordre du jour)</w:t>
      </w:r>
    </w:p>
    <w:p w14:paraId="09360C40" w14:textId="0F697780" w:rsidR="00CE245A" w:rsidRPr="00D11D38" w:rsidRDefault="00CE245A" w:rsidP="00F8222C">
      <w:pPr>
        <w:pStyle w:val="SingleTxtG"/>
        <w:rPr>
          <w:lang w:val="fr-FR"/>
        </w:rPr>
      </w:pPr>
      <w:r w:rsidRPr="00036363">
        <w:rPr>
          <w:lang w:val="fr-FR"/>
        </w:rPr>
        <w:t>62</w:t>
      </w:r>
      <w:r w:rsidR="00036363" w:rsidRPr="00036363">
        <w:rPr>
          <w:lang w:val="fr-FR"/>
        </w:rPr>
        <w:t>.</w:t>
      </w:r>
      <w:r w:rsidRPr="00D11D38">
        <w:rPr>
          <w:lang w:val="fr-FR"/>
        </w:rPr>
        <w:tab/>
      </w:r>
      <w:r w:rsidR="00887612">
        <w:rPr>
          <w:lang w:val="fr-FR"/>
        </w:rPr>
        <w:t>M</w:t>
      </w:r>
      <w:r w:rsidR="00887612" w:rsidRPr="00887612">
        <w:rPr>
          <w:vertAlign w:val="superscript"/>
          <w:lang w:val="fr-FR"/>
        </w:rPr>
        <w:t>me</w:t>
      </w:r>
      <w:r w:rsidRPr="00D11D38">
        <w:rPr>
          <w:lang w:val="fr-FR"/>
        </w:rPr>
        <w:t> S</w:t>
      </w:r>
      <w:r w:rsidR="00036363" w:rsidRPr="00036363">
        <w:rPr>
          <w:lang w:val="fr-FR"/>
        </w:rPr>
        <w:t>.</w:t>
      </w:r>
      <w:r w:rsidRPr="00D11D38">
        <w:rPr>
          <w:lang w:val="fr-FR"/>
        </w:rPr>
        <w:t xml:space="preserve"> Garc</w:t>
      </w:r>
      <w:r w:rsidR="00172B28">
        <w:rPr>
          <w:lang w:val="fr-FR"/>
        </w:rPr>
        <w:t>í</w:t>
      </w:r>
      <w:r w:rsidRPr="00D11D38">
        <w:rPr>
          <w:lang w:val="fr-FR"/>
        </w:rPr>
        <w:t>a Wolfrum (Espagne) et M</w:t>
      </w:r>
      <w:r w:rsidR="00036363" w:rsidRPr="00036363">
        <w:rPr>
          <w:lang w:val="fr-FR"/>
        </w:rPr>
        <w:t>.</w:t>
      </w:r>
      <w:r w:rsidRPr="00D11D38">
        <w:rPr>
          <w:lang w:val="fr-FR"/>
        </w:rPr>
        <w:t> S</w:t>
      </w:r>
      <w:r w:rsidR="00036363" w:rsidRPr="00036363">
        <w:rPr>
          <w:lang w:val="fr-FR"/>
        </w:rPr>
        <w:t>.</w:t>
      </w:r>
      <w:r w:rsidRPr="00D11D38">
        <w:rPr>
          <w:lang w:val="fr-FR"/>
        </w:rPr>
        <w:t xml:space="preserve"> Mahesh (Royaume des Pays-Bas) ont été réélus Présidente et Vice-Président pour </w:t>
      </w:r>
      <w:r w:rsidRPr="00036363">
        <w:rPr>
          <w:lang w:val="fr-FR"/>
        </w:rPr>
        <w:t>2025</w:t>
      </w:r>
      <w:r w:rsidR="00036363" w:rsidRPr="00036363">
        <w:rPr>
          <w:lang w:val="fr-FR"/>
        </w:rPr>
        <w:t>.</w:t>
      </w:r>
      <w:r w:rsidRPr="00D11D38">
        <w:rPr>
          <w:lang w:val="fr-FR"/>
        </w:rPr>
        <w:t xml:space="preserve"> La Présidente a annoncé qu</w:t>
      </w:r>
      <w:r w:rsidR="00887612">
        <w:rPr>
          <w:lang w:val="fr-FR"/>
        </w:rPr>
        <w:t>’</w:t>
      </w:r>
      <w:r w:rsidRPr="00D11D38">
        <w:rPr>
          <w:lang w:val="fr-FR"/>
        </w:rPr>
        <w:t>en raison d</w:t>
      </w:r>
      <w:r w:rsidR="00887612">
        <w:rPr>
          <w:lang w:val="fr-FR"/>
        </w:rPr>
        <w:t>’</w:t>
      </w:r>
      <w:r w:rsidRPr="00D11D38">
        <w:rPr>
          <w:lang w:val="fr-FR"/>
        </w:rPr>
        <w:t xml:space="preserve">autres engagements, elle ne pourrait sans doute plus exercer cette fonction en </w:t>
      </w:r>
      <w:r w:rsidRPr="00036363">
        <w:rPr>
          <w:lang w:val="fr-FR"/>
        </w:rPr>
        <w:t>2026</w:t>
      </w:r>
      <w:r w:rsidR="00036363" w:rsidRPr="00036363">
        <w:rPr>
          <w:lang w:val="fr-FR"/>
        </w:rPr>
        <w:t>.</w:t>
      </w:r>
    </w:p>
    <w:p w14:paraId="7980A8BF" w14:textId="6F8343C0" w:rsidR="00CE245A" w:rsidRPr="00D11D38" w:rsidRDefault="00CE245A" w:rsidP="00F8222C">
      <w:pPr>
        <w:pStyle w:val="HChG"/>
        <w:rPr>
          <w:lang w:val="fr-FR"/>
        </w:rPr>
      </w:pPr>
      <w:r w:rsidRPr="00D11D38">
        <w:rPr>
          <w:lang w:val="fr-FR"/>
        </w:rPr>
        <w:tab/>
        <w:t>XII</w:t>
      </w:r>
      <w:r w:rsidR="00036363" w:rsidRPr="00036363">
        <w:rPr>
          <w:lang w:val="fr-FR"/>
        </w:rPr>
        <w:t>.</w:t>
      </w:r>
      <w:r w:rsidRPr="00D11D38">
        <w:rPr>
          <w:lang w:val="fr-FR"/>
        </w:rPr>
        <w:tab/>
        <w:t xml:space="preserve">Travaux futurs (point </w:t>
      </w:r>
      <w:r w:rsidRPr="00036363">
        <w:rPr>
          <w:lang w:val="fr-FR"/>
        </w:rPr>
        <w:t>10</w:t>
      </w:r>
      <w:r w:rsidRPr="00D11D38">
        <w:rPr>
          <w:lang w:val="fr-FR"/>
        </w:rPr>
        <w:t xml:space="preserve"> de l</w:t>
      </w:r>
      <w:r w:rsidR="00887612">
        <w:rPr>
          <w:lang w:val="fr-FR"/>
        </w:rPr>
        <w:t>’</w:t>
      </w:r>
      <w:r w:rsidRPr="00D11D38">
        <w:rPr>
          <w:lang w:val="fr-FR"/>
        </w:rPr>
        <w:t>ordre du jour)</w:t>
      </w:r>
    </w:p>
    <w:p w14:paraId="57D69BC0" w14:textId="09DFF362" w:rsidR="00CE245A" w:rsidRPr="00EB56F1" w:rsidRDefault="00CE245A" w:rsidP="00F8222C">
      <w:pPr>
        <w:pStyle w:val="SingleTxtG"/>
        <w:rPr>
          <w:spacing w:val="-4"/>
          <w:lang w:val="fr-FR"/>
        </w:rPr>
      </w:pPr>
      <w:r w:rsidRPr="00036363">
        <w:rPr>
          <w:spacing w:val="-4"/>
          <w:lang w:val="fr-FR"/>
        </w:rPr>
        <w:t>63</w:t>
      </w:r>
      <w:r w:rsidR="00036363" w:rsidRPr="00036363">
        <w:rPr>
          <w:spacing w:val="-4"/>
          <w:lang w:val="fr-FR"/>
        </w:rPr>
        <w:t>.</w:t>
      </w:r>
      <w:r w:rsidRPr="00EB56F1">
        <w:rPr>
          <w:spacing w:val="-4"/>
          <w:lang w:val="fr-FR"/>
        </w:rPr>
        <w:tab/>
        <w:t xml:space="preserve">La Réunion commune a appris que la session suivante se tiendrait à Berne du </w:t>
      </w:r>
      <w:r w:rsidRPr="00036363">
        <w:rPr>
          <w:spacing w:val="-4"/>
          <w:lang w:val="fr-FR"/>
        </w:rPr>
        <w:t>24</w:t>
      </w:r>
      <w:r w:rsidRPr="00EB56F1">
        <w:rPr>
          <w:spacing w:val="-4"/>
          <w:lang w:val="fr-FR"/>
        </w:rPr>
        <w:t xml:space="preserve"> au </w:t>
      </w:r>
      <w:r w:rsidRPr="00036363">
        <w:rPr>
          <w:spacing w:val="-4"/>
          <w:lang w:val="fr-FR"/>
        </w:rPr>
        <w:t>28</w:t>
      </w:r>
      <w:r w:rsidRPr="00EB56F1">
        <w:rPr>
          <w:spacing w:val="-4"/>
          <w:lang w:val="fr-FR"/>
        </w:rPr>
        <w:t xml:space="preserve"> mars </w:t>
      </w:r>
      <w:r w:rsidRPr="00036363">
        <w:rPr>
          <w:spacing w:val="-4"/>
          <w:lang w:val="fr-FR"/>
        </w:rPr>
        <w:t>2025</w:t>
      </w:r>
      <w:r w:rsidRPr="00EB56F1">
        <w:rPr>
          <w:spacing w:val="-4"/>
          <w:lang w:val="fr-FR"/>
        </w:rPr>
        <w:t xml:space="preserve"> et que la date limite de soumission des documents était fixée au </w:t>
      </w:r>
      <w:r w:rsidRPr="00036363">
        <w:rPr>
          <w:spacing w:val="-4"/>
          <w:lang w:val="fr-FR"/>
        </w:rPr>
        <w:t>20</w:t>
      </w:r>
      <w:r w:rsidRPr="00EB56F1">
        <w:rPr>
          <w:spacing w:val="-4"/>
          <w:lang w:val="fr-FR"/>
        </w:rPr>
        <w:t xml:space="preserve"> décembre </w:t>
      </w:r>
      <w:r w:rsidRPr="00036363">
        <w:rPr>
          <w:spacing w:val="-4"/>
          <w:lang w:val="fr-FR"/>
        </w:rPr>
        <w:t>2024</w:t>
      </w:r>
      <w:r w:rsidR="00036363" w:rsidRPr="00036363">
        <w:rPr>
          <w:spacing w:val="-4"/>
          <w:lang w:val="fr-FR"/>
        </w:rPr>
        <w:t>.</w:t>
      </w:r>
    </w:p>
    <w:p w14:paraId="5F21F209" w14:textId="40184AC0" w:rsidR="00CE245A" w:rsidRPr="00D11D38" w:rsidRDefault="00CE245A" w:rsidP="00F8222C">
      <w:pPr>
        <w:pStyle w:val="SingleTxtG"/>
        <w:rPr>
          <w:lang w:val="fr-FR"/>
        </w:rPr>
      </w:pPr>
      <w:r w:rsidRPr="00036363">
        <w:rPr>
          <w:lang w:val="fr-FR"/>
        </w:rPr>
        <w:t>64</w:t>
      </w:r>
      <w:r w:rsidR="00036363" w:rsidRPr="00036363">
        <w:rPr>
          <w:lang w:val="fr-FR"/>
        </w:rPr>
        <w:t>.</w:t>
      </w:r>
      <w:r w:rsidRPr="00D11D38">
        <w:rPr>
          <w:lang w:val="fr-FR"/>
        </w:rPr>
        <w:tab/>
        <w:t>La Réunion commune a noté que la session suivante du Groupe de travail spécial de l</w:t>
      </w:r>
      <w:r w:rsidR="00887612">
        <w:rPr>
          <w:lang w:val="fr-FR"/>
        </w:rPr>
        <w:t>’</w:t>
      </w:r>
      <w:r w:rsidRPr="00D11D38">
        <w:rPr>
          <w:lang w:val="fr-FR"/>
        </w:rPr>
        <w:t>harmonisation du RID, de l</w:t>
      </w:r>
      <w:r w:rsidR="00887612">
        <w:rPr>
          <w:lang w:val="fr-FR"/>
        </w:rPr>
        <w:t>’</w:t>
      </w:r>
      <w:r w:rsidRPr="00D11D38">
        <w:rPr>
          <w:lang w:val="fr-FR"/>
        </w:rPr>
        <w:t>ADR et de l</w:t>
      </w:r>
      <w:r w:rsidR="00887612">
        <w:rPr>
          <w:lang w:val="fr-FR"/>
        </w:rPr>
        <w:t>’</w:t>
      </w:r>
      <w:r w:rsidRPr="00D11D38">
        <w:rPr>
          <w:lang w:val="fr-FR"/>
        </w:rPr>
        <w:t>ADN avec les Recommandations de l</w:t>
      </w:r>
      <w:r w:rsidR="00887612">
        <w:rPr>
          <w:lang w:val="fr-FR"/>
        </w:rPr>
        <w:t>’</w:t>
      </w:r>
      <w:r w:rsidRPr="00D11D38">
        <w:rPr>
          <w:lang w:val="fr-FR"/>
        </w:rPr>
        <w:t xml:space="preserve">ONU relatives au transport des marchandises dangereuses se tiendrait en principe à Genève les </w:t>
      </w:r>
      <w:r w:rsidRPr="00036363">
        <w:rPr>
          <w:lang w:val="fr-FR"/>
        </w:rPr>
        <w:t>15</w:t>
      </w:r>
      <w:r w:rsidRPr="00D11D38">
        <w:rPr>
          <w:lang w:val="fr-FR"/>
        </w:rPr>
        <w:t xml:space="preserve"> et </w:t>
      </w:r>
      <w:r w:rsidRPr="00036363">
        <w:rPr>
          <w:lang w:val="fr-FR"/>
        </w:rPr>
        <w:t>16</w:t>
      </w:r>
      <w:r w:rsidRPr="00D11D38">
        <w:rPr>
          <w:lang w:val="fr-FR"/>
        </w:rPr>
        <w:t xml:space="preserve"> avril </w:t>
      </w:r>
      <w:r w:rsidRPr="00036363">
        <w:rPr>
          <w:lang w:val="fr-FR"/>
        </w:rPr>
        <w:t>2025</w:t>
      </w:r>
      <w:r w:rsidR="00036363" w:rsidRPr="00036363">
        <w:rPr>
          <w:lang w:val="fr-FR"/>
        </w:rPr>
        <w:t>.</w:t>
      </w:r>
    </w:p>
    <w:p w14:paraId="344F2294" w14:textId="1B3A95F1" w:rsidR="00CE245A" w:rsidRPr="00D11D38" w:rsidRDefault="00CE245A" w:rsidP="00F8222C">
      <w:pPr>
        <w:pStyle w:val="HChG"/>
        <w:rPr>
          <w:lang w:val="fr-FR"/>
        </w:rPr>
      </w:pPr>
      <w:r w:rsidRPr="00D11D38">
        <w:rPr>
          <w:lang w:val="fr-FR"/>
        </w:rPr>
        <w:tab/>
        <w:t>XIII</w:t>
      </w:r>
      <w:r w:rsidR="00036363" w:rsidRPr="00036363">
        <w:rPr>
          <w:lang w:val="fr-FR"/>
        </w:rPr>
        <w:t>.</w:t>
      </w:r>
      <w:r w:rsidRPr="00D11D38">
        <w:rPr>
          <w:lang w:val="fr-FR"/>
        </w:rPr>
        <w:tab/>
        <w:t xml:space="preserve">Questions diverses (point </w:t>
      </w:r>
      <w:r w:rsidRPr="00036363">
        <w:rPr>
          <w:lang w:val="fr-FR"/>
        </w:rPr>
        <w:t>11</w:t>
      </w:r>
      <w:r w:rsidRPr="00D11D38">
        <w:rPr>
          <w:lang w:val="fr-FR"/>
        </w:rPr>
        <w:t xml:space="preserve"> de l</w:t>
      </w:r>
      <w:r w:rsidR="00887612">
        <w:rPr>
          <w:lang w:val="fr-FR"/>
        </w:rPr>
        <w:t>’</w:t>
      </w:r>
      <w:r w:rsidRPr="00D11D38">
        <w:rPr>
          <w:lang w:val="fr-FR"/>
        </w:rPr>
        <w:t>ordre du jour)</w:t>
      </w:r>
    </w:p>
    <w:p w14:paraId="5AEE6367" w14:textId="58E182C9" w:rsidR="00CE245A" w:rsidRPr="00D11D38" w:rsidRDefault="00CE245A" w:rsidP="00F8222C">
      <w:pPr>
        <w:pStyle w:val="SingleTxtG"/>
        <w:rPr>
          <w:lang w:val="fr-FR"/>
        </w:rPr>
      </w:pPr>
      <w:r w:rsidRPr="00036363">
        <w:rPr>
          <w:lang w:val="fr-FR"/>
        </w:rPr>
        <w:t>65</w:t>
      </w:r>
      <w:r w:rsidR="00036363" w:rsidRPr="00036363">
        <w:rPr>
          <w:lang w:val="fr-FR"/>
        </w:rPr>
        <w:t>.</w:t>
      </w:r>
      <w:r w:rsidRPr="00D11D38">
        <w:rPr>
          <w:lang w:val="fr-FR"/>
        </w:rPr>
        <w:tab/>
        <w:t>Aucun document n</w:t>
      </w:r>
      <w:r w:rsidR="00887612">
        <w:rPr>
          <w:lang w:val="fr-FR"/>
        </w:rPr>
        <w:t>’</w:t>
      </w:r>
      <w:r w:rsidRPr="00D11D38">
        <w:rPr>
          <w:lang w:val="fr-FR"/>
        </w:rPr>
        <w:t>ayant été soumis au titre de ce point de l</w:t>
      </w:r>
      <w:r w:rsidR="00887612">
        <w:rPr>
          <w:lang w:val="fr-FR"/>
        </w:rPr>
        <w:t>’</w:t>
      </w:r>
      <w:r w:rsidRPr="00D11D38">
        <w:rPr>
          <w:lang w:val="fr-FR"/>
        </w:rPr>
        <w:t>ordre du jour, la question n</w:t>
      </w:r>
      <w:r w:rsidR="00887612">
        <w:rPr>
          <w:lang w:val="fr-FR"/>
        </w:rPr>
        <w:t>’</w:t>
      </w:r>
      <w:r w:rsidRPr="00D11D38">
        <w:rPr>
          <w:lang w:val="fr-FR"/>
        </w:rPr>
        <w:t>a pas été abordée</w:t>
      </w:r>
      <w:r w:rsidR="00036363" w:rsidRPr="00036363">
        <w:rPr>
          <w:lang w:val="fr-FR"/>
        </w:rPr>
        <w:t>.</w:t>
      </w:r>
    </w:p>
    <w:p w14:paraId="066845E1" w14:textId="22070C8A" w:rsidR="00CE245A" w:rsidRPr="00D11D38" w:rsidRDefault="00CE245A" w:rsidP="00F8222C">
      <w:pPr>
        <w:pStyle w:val="HChG"/>
        <w:rPr>
          <w:lang w:val="fr-FR"/>
        </w:rPr>
      </w:pPr>
      <w:r w:rsidRPr="00D11D38">
        <w:rPr>
          <w:lang w:val="fr-FR"/>
        </w:rPr>
        <w:tab/>
        <w:t>XIV</w:t>
      </w:r>
      <w:r w:rsidR="00036363" w:rsidRPr="00036363">
        <w:rPr>
          <w:lang w:val="fr-FR"/>
        </w:rPr>
        <w:t>.</w:t>
      </w:r>
      <w:r w:rsidRPr="00D11D38">
        <w:rPr>
          <w:lang w:val="fr-FR"/>
        </w:rPr>
        <w:tab/>
        <w:t xml:space="preserve">Adoption du rapport (point </w:t>
      </w:r>
      <w:r w:rsidRPr="00036363">
        <w:rPr>
          <w:lang w:val="fr-FR"/>
        </w:rPr>
        <w:t>12</w:t>
      </w:r>
      <w:r w:rsidRPr="00D11D38">
        <w:rPr>
          <w:lang w:val="fr-FR"/>
        </w:rPr>
        <w:t xml:space="preserve"> de l</w:t>
      </w:r>
      <w:r w:rsidR="00887612">
        <w:rPr>
          <w:lang w:val="fr-FR"/>
        </w:rPr>
        <w:t>’</w:t>
      </w:r>
      <w:r w:rsidRPr="00D11D38">
        <w:rPr>
          <w:lang w:val="fr-FR"/>
        </w:rPr>
        <w:t>ordre du jour)</w:t>
      </w:r>
    </w:p>
    <w:p w14:paraId="694D8BF2" w14:textId="6EB6886B" w:rsidR="00CE245A" w:rsidRDefault="00CE245A" w:rsidP="00F8222C">
      <w:pPr>
        <w:pStyle w:val="SingleTxtG"/>
        <w:rPr>
          <w:lang w:val="fr-FR"/>
        </w:rPr>
      </w:pPr>
      <w:r w:rsidRPr="00036363">
        <w:rPr>
          <w:lang w:val="fr-FR"/>
        </w:rPr>
        <w:t>66</w:t>
      </w:r>
      <w:r w:rsidR="00036363" w:rsidRPr="00036363">
        <w:rPr>
          <w:lang w:val="fr-FR"/>
        </w:rPr>
        <w:t>.</w:t>
      </w:r>
      <w:r w:rsidRPr="00D11D38">
        <w:rPr>
          <w:lang w:val="fr-FR"/>
        </w:rPr>
        <w:tab/>
        <w:t>La Réunion commune a adopté le rapport de sa session d</w:t>
      </w:r>
      <w:r w:rsidR="00887612">
        <w:rPr>
          <w:lang w:val="fr-FR"/>
        </w:rPr>
        <w:t>’</w:t>
      </w:r>
      <w:r w:rsidRPr="00D11D38">
        <w:rPr>
          <w:lang w:val="fr-FR"/>
        </w:rPr>
        <w:t xml:space="preserve">automne </w:t>
      </w:r>
      <w:r w:rsidRPr="00036363">
        <w:rPr>
          <w:lang w:val="fr-FR"/>
        </w:rPr>
        <w:t>2024</w:t>
      </w:r>
      <w:r w:rsidRPr="00D11D38">
        <w:rPr>
          <w:lang w:val="fr-FR"/>
        </w:rPr>
        <w:t xml:space="preserve"> ainsi que les annexes de ce rapport sur la base d</w:t>
      </w:r>
      <w:r w:rsidR="00887612">
        <w:rPr>
          <w:lang w:val="fr-FR"/>
        </w:rPr>
        <w:t>’</w:t>
      </w:r>
      <w:r w:rsidRPr="00D11D38">
        <w:rPr>
          <w:lang w:val="fr-FR"/>
        </w:rPr>
        <w:t>un projet établi par les secrétariats</w:t>
      </w:r>
      <w:r w:rsidR="00036363" w:rsidRPr="00036363">
        <w:rPr>
          <w:lang w:val="fr-FR"/>
        </w:rPr>
        <w:t>.</w:t>
      </w:r>
    </w:p>
    <w:p w14:paraId="358F0448" w14:textId="77777777" w:rsidR="00F8222C" w:rsidRDefault="00F8222C" w:rsidP="00F8222C">
      <w:pPr>
        <w:pStyle w:val="SingleTxtG"/>
        <w:rPr>
          <w:lang w:val="fr-FR"/>
        </w:rPr>
      </w:pPr>
    </w:p>
    <w:p w14:paraId="5EFEC07E" w14:textId="5BE68527" w:rsidR="00CE245A" w:rsidRPr="00D11D38" w:rsidRDefault="00CE245A" w:rsidP="00F8222C">
      <w:pPr>
        <w:pStyle w:val="SingleTxtG"/>
        <w:rPr>
          <w:lang w:val="fr-FR"/>
        </w:rPr>
      </w:pPr>
      <w:r w:rsidRPr="00D11D38">
        <w:rPr>
          <w:lang w:val="fr-FR"/>
        </w:rPr>
        <w:br w:type="page"/>
      </w:r>
    </w:p>
    <w:p w14:paraId="6E2B8C18" w14:textId="77777777" w:rsidR="00CE245A" w:rsidRPr="00D11D38" w:rsidRDefault="00CE245A" w:rsidP="00F8222C">
      <w:pPr>
        <w:pStyle w:val="HChG"/>
        <w:rPr>
          <w:lang w:val="fr-FR"/>
        </w:rPr>
      </w:pPr>
      <w:bookmarkStart w:id="3" w:name="_Toc164258735"/>
      <w:r w:rsidRPr="00D11D38">
        <w:rPr>
          <w:lang w:val="fr-FR"/>
        </w:rPr>
        <w:lastRenderedPageBreak/>
        <w:t>Annexe I</w:t>
      </w:r>
      <w:bookmarkEnd w:id="3"/>
    </w:p>
    <w:p w14:paraId="17AA6B42" w14:textId="77777777" w:rsidR="00CE245A" w:rsidRPr="00D11D38" w:rsidRDefault="00CE245A" w:rsidP="00F8222C">
      <w:pPr>
        <w:pStyle w:val="HChG"/>
        <w:rPr>
          <w:lang w:val="fr-FR"/>
        </w:rPr>
      </w:pPr>
      <w:r w:rsidRPr="00D11D38">
        <w:rPr>
          <w:lang w:val="fr-FR"/>
        </w:rPr>
        <w:tab/>
      </w:r>
      <w:r w:rsidRPr="00D11D38">
        <w:rPr>
          <w:lang w:val="fr-FR"/>
        </w:rPr>
        <w:tab/>
        <w:t>Rapport du Groupe de travail des citernes</w:t>
      </w:r>
      <w:bookmarkStart w:id="4" w:name="_Toc164258736"/>
      <w:bookmarkEnd w:id="4"/>
    </w:p>
    <w:p w14:paraId="7FE1843C" w14:textId="57F6C06D" w:rsidR="00CE245A" w:rsidRDefault="00CE245A" w:rsidP="00F8222C">
      <w:pPr>
        <w:pStyle w:val="SingleTxtG"/>
        <w:rPr>
          <w:lang w:val="fr-FR"/>
        </w:rPr>
      </w:pPr>
      <w:bookmarkStart w:id="5" w:name="_Hlk53066336"/>
      <w:r w:rsidRPr="00D11D38">
        <w:rPr>
          <w:lang w:val="fr-FR"/>
        </w:rPr>
        <w:t>(voir le document ECE/TRANS/WP</w:t>
      </w:r>
      <w:r w:rsidR="00036363" w:rsidRPr="00036363">
        <w:rPr>
          <w:lang w:val="fr-FR"/>
        </w:rPr>
        <w:t>.</w:t>
      </w:r>
      <w:r w:rsidRPr="00036363">
        <w:rPr>
          <w:lang w:val="fr-FR"/>
        </w:rPr>
        <w:t>15</w:t>
      </w:r>
      <w:r w:rsidRPr="00D11D38">
        <w:rPr>
          <w:lang w:val="fr-FR"/>
        </w:rPr>
        <w:t>/AC</w:t>
      </w:r>
      <w:r w:rsidR="00036363" w:rsidRPr="00036363">
        <w:rPr>
          <w:lang w:val="fr-FR"/>
        </w:rPr>
        <w:t>.</w:t>
      </w:r>
      <w:r w:rsidRPr="00036363">
        <w:rPr>
          <w:lang w:val="fr-FR"/>
        </w:rPr>
        <w:t>1</w:t>
      </w:r>
      <w:r w:rsidRPr="00D11D38">
        <w:rPr>
          <w:lang w:val="fr-FR"/>
        </w:rPr>
        <w:t>/</w:t>
      </w:r>
      <w:r w:rsidRPr="00036363">
        <w:rPr>
          <w:lang w:val="fr-FR"/>
        </w:rPr>
        <w:t>174</w:t>
      </w:r>
      <w:r w:rsidRPr="00D11D38">
        <w:rPr>
          <w:lang w:val="fr-FR"/>
        </w:rPr>
        <w:t>/Add</w:t>
      </w:r>
      <w:r w:rsidR="00036363" w:rsidRPr="00036363">
        <w:rPr>
          <w:lang w:val="fr-FR"/>
        </w:rPr>
        <w:t>.</w:t>
      </w:r>
      <w:r w:rsidRPr="00036363">
        <w:rPr>
          <w:lang w:val="fr-FR"/>
        </w:rPr>
        <w:t>1</w:t>
      </w:r>
      <w:r w:rsidRPr="00D11D38">
        <w:rPr>
          <w:lang w:val="fr-FR"/>
        </w:rPr>
        <w:t>)</w:t>
      </w:r>
      <w:bookmarkEnd w:id="5"/>
    </w:p>
    <w:p w14:paraId="10E7D4CE" w14:textId="77777777" w:rsidR="00F8222C" w:rsidRDefault="00F8222C" w:rsidP="00F8222C">
      <w:pPr>
        <w:pStyle w:val="SingleTxtG"/>
        <w:rPr>
          <w:lang w:val="fr-FR"/>
        </w:rPr>
      </w:pPr>
      <w:bookmarkStart w:id="6" w:name="_Toc164258737"/>
    </w:p>
    <w:p w14:paraId="0DC2EE7A" w14:textId="77777777" w:rsidR="00F8222C" w:rsidRDefault="00F8222C" w:rsidP="00B7123E">
      <w:pPr>
        <w:pStyle w:val="SingleTxtG"/>
        <w:rPr>
          <w:lang w:val="fr-FR"/>
        </w:rPr>
      </w:pPr>
      <w:r>
        <w:rPr>
          <w:lang w:val="fr-FR"/>
        </w:rPr>
        <w:br w:type="page"/>
      </w:r>
    </w:p>
    <w:p w14:paraId="19764DFD" w14:textId="28DBA7D9" w:rsidR="00CE245A" w:rsidRPr="00D11D38" w:rsidRDefault="00CE245A" w:rsidP="00F8222C">
      <w:pPr>
        <w:pStyle w:val="HChG"/>
        <w:rPr>
          <w:lang w:val="fr-FR"/>
        </w:rPr>
      </w:pPr>
      <w:r w:rsidRPr="00D11D38">
        <w:rPr>
          <w:lang w:val="fr-FR"/>
        </w:rPr>
        <w:lastRenderedPageBreak/>
        <w:t>Annexe II</w:t>
      </w:r>
      <w:bookmarkEnd w:id="6"/>
    </w:p>
    <w:p w14:paraId="6A9A90EA" w14:textId="22E03B4B" w:rsidR="00CE245A" w:rsidRPr="00D11D38" w:rsidRDefault="00CE245A" w:rsidP="00F8222C">
      <w:pPr>
        <w:pStyle w:val="SingleTxtG"/>
        <w:jc w:val="right"/>
        <w:rPr>
          <w:lang w:val="fr-FR"/>
        </w:rPr>
      </w:pPr>
      <w:r w:rsidRPr="00D11D38">
        <w:rPr>
          <w:lang w:val="fr-FR"/>
        </w:rPr>
        <w:t>[Original</w:t>
      </w:r>
      <w:r w:rsidR="00887612">
        <w:rPr>
          <w:lang w:val="fr-FR"/>
        </w:rPr>
        <w:t> :</w:t>
      </w:r>
      <w:r w:rsidRPr="00D11D38">
        <w:rPr>
          <w:lang w:val="fr-FR"/>
        </w:rPr>
        <w:t xml:space="preserve"> anglais et français]</w:t>
      </w:r>
    </w:p>
    <w:p w14:paraId="46B64F14" w14:textId="6FC984DD" w:rsidR="00CE245A" w:rsidRPr="00D11D38" w:rsidRDefault="00CE245A" w:rsidP="00F8222C">
      <w:pPr>
        <w:pStyle w:val="HChG"/>
        <w:rPr>
          <w:lang w:val="fr-FR"/>
        </w:rPr>
      </w:pPr>
      <w:r w:rsidRPr="00D11D38">
        <w:rPr>
          <w:lang w:val="fr-FR"/>
        </w:rPr>
        <w:tab/>
      </w:r>
      <w:r w:rsidRPr="00D11D38">
        <w:rPr>
          <w:lang w:val="fr-FR"/>
        </w:rPr>
        <w:tab/>
        <w:t>Projet d</w:t>
      </w:r>
      <w:r w:rsidR="00887612">
        <w:rPr>
          <w:lang w:val="fr-FR"/>
        </w:rPr>
        <w:t>’</w:t>
      </w:r>
      <w:r w:rsidRPr="00D11D38">
        <w:rPr>
          <w:lang w:val="fr-FR"/>
        </w:rPr>
        <w:t>amendements au RID, à l</w:t>
      </w:r>
      <w:r w:rsidR="00887612">
        <w:rPr>
          <w:lang w:val="fr-FR"/>
        </w:rPr>
        <w:t>’</w:t>
      </w:r>
      <w:r w:rsidRPr="00D11D38">
        <w:rPr>
          <w:lang w:val="fr-FR"/>
        </w:rPr>
        <w:t>ADR et à l</w:t>
      </w:r>
      <w:r w:rsidR="00887612">
        <w:rPr>
          <w:lang w:val="fr-FR"/>
        </w:rPr>
        <w:t>’</w:t>
      </w:r>
      <w:r w:rsidRPr="00D11D38">
        <w:rPr>
          <w:lang w:val="fr-FR"/>
        </w:rPr>
        <w:t>ADN pour</w:t>
      </w:r>
      <w:r w:rsidR="00F8222C">
        <w:rPr>
          <w:lang w:val="fr-FR"/>
        </w:rPr>
        <w:t> </w:t>
      </w:r>
      <w:r w:rsidRPr="00D11D38">
        <w:rPr>
          <w:lang w:val="fr-FR"/>
        </w:rPr>
        <w:t xml:space="preserve">entrée en vigueur le </w:t>
      </w:r>
      <w:r w:rsidR="00887612" w:rsidRPr="00036363">
        <w:rPr>
          <w:lang w:val="fr-FR"/>
        </w:rPr>
        <w:t>1</w:t>
      </w:r>
      <w:r w:rsidR="00887612" w:rsidRPr="00887612">
        <w:rPr>
          <w:vertAlign w:val="superscript"/>
          <w:lang w:val="fr-FR"/>
        </w:rPr>
        <w:t>er</w:t>
      </w:r>
      <w:r w:rsidRPr="00D11D38">
        <w:rPr>
          <w:lang w:val="fr-FR"/>
        </w:rPr>
        <w:t xml:space="preserve"> janvier </w:t>
      </w:r>
      <w:r w:rsidRPr="00036363">
        <w:rPr>
          <w:lang w:val="fr-FR"/>
        </w:rPr>
        <w:t>2027</w:t>
      </w:r>
      <w:r w:rsidRPr="00D11D38">
        <w:rPr>
          <w:lang w:val="fr-FR"/>
        </w:rPr>
        <w:t xml:space="preserve"> (textes adoptés)</w:t>
      </w:r>
      <w:bookmarkStart w:id="7" w:name="_Toc164258738"/>
      <w:bookmarkEnd w:id="7"/>
    </w:p>
    <w:p w14:paraId="5B048596" w14:textId="4511DA2A" w:rsidR="00CE245A" w:rsidRPr="00D11D38" w:rsidRDefault="00CE245A" w:rsidP="00F8222C">
      <w:pPr>
        <w:pStyle w:val="H1G"/>
        <w:rPr>
          <w:lang w:val="fr-FR"/>
        </w:rPr>
      </w:pPr>
      <w:r w:rsidRPr="00D11D38">
        <w:rPr>
          <w:lang w:val="fr-FR"/>
        </w:rPr>
        <w:tab/>
      </w:r>
      <w:r w:rsidRPr="00D11D38">
        <w:rPr>
          <w:lang w:val="fr-FR"/>
        </w:rPr>
        <w:tab/>
        <w:t xml:space="preserve">Chapitre </w:t>
      </w:r>
      <w:r w:rsidRPr="00036363">
        <w:rPr>
          <w:lang w:val="fr-FR"/>
        </w:rPr>
        <w:t>1</w:t>
      </w:r>
      <w:r w:rsidR="00036363" w:rsidRPr="00036363">
        <w:rPr>
          <w:lang w:val="fr-FR"/>
        </w:rPr>
        <w:t>.</w:t>
      </w:r>
      <w:r w:rsidRPr="00036363">
        <w:rPr>
          <w:lang w:val="fr-FR"/>
        </w:rPr>
        <w:t>2</w:t>
      </w:r>
    </w:p>
    <w:p w14:paraId="5785A4BB" w14:textId="7A178234" w:rsidR="00CE245A" w:rsidRPr="00D11D38" w:rsidRDefault="00CE245A" w:rsidP="00EB55F6">
      <w:pPr>
        <w:pStyle w:val="SingleTxtG"/>
        <w:tabs>
          <w:tab w:val="clear" w:pos="1701"/>
          <w:tab w:val="clear" w:pos="2835"/>
        </w:tabs>
        <w:ind w:left="2268" w:hanging="1134"/>
        <w:rPr>
          <w:lang w:val="fr-FR" w:eastAsia="zh-CN"/>
        </w:rPr>
      </w:pPr>
      <w:r w:rsidRPr="00036363">
        <w:rPr>
          <w:lang w:val="fr-FR" w:eastAsia="zh-CN"/>
        </w:rPr>
        <w:t>1</w:t>
      </w:r>
      <w:r w:rsidR="00036363" w:rsidRPr="00036363">
        <w:rPr>
          <w:lang w:val="fr-FR" w:eastAsia="zh-CN"/>
        </w:rPr>
        <w:t>.</w:t>
      </w:r>
      <w:r w:rsidRPr="00036363">
        <w:rPr>
          <w:lang w:val="fr-FR" w:eastAsia="zh-CN"/>
        </w:rPr>
        <w:t>2</w:t>
      </w:r>
      <w:r w:rsidR="00036363" w:rsidRPr="00036363">
        <w:rPr>
          <w:lang w:val="fr-FR" w:eastAsia="zh-CN"/>
        </w:rPr>
        <w:t>.</w:t>
      </w:r>
      <w:r w:rsidRPr="00036363">
        <w:rPr>
          <w:lang w:val="fr-FR" w:eastAsia="zh-CN"/>
        </w:rPr>
        <w:t>1</w:t>
      </w:r>
      <w:r w:rsidRPr="00D11D38">
        <w:rPr>
          <w:lang w:val="fr-FR" w:eastAsia="zh-CN"/>
        </w:rPr>
        <w:tab/>
        <w:t>Dans la définition de « </w:t>
      </w:r>
      <w:r w:rsidRPr="00036363">
        <w:rPr>
          <w:i/>
          <w:iCs/>
          <w:lang w:val="fr-FR" w:eastAsia="zh-CN"/>
        </w:rPr>
        <w:t>Gaz de pétrole liquéfié (GPL)</w:t>
      </w:r>
      <w:r w:rsidRPr="00D11D38">
        <w:rPr>
          <w:lang w:val="fr-FR" w:eastAsia="zh-CN"/>
        </w:rPr>
        <w:t> », dans le paragraphe avant les notas, à la fin, remplacer le point-virgule par un point et ajouter</w:t>
      </w:r>
      <w:r w:rsidR="00887612">
        <w:rPr>
          <w:lang w:val="fr-FR" w:eastAsia="zh-CN"/>
        </w:rPr>
        <w:t> :</w:t>
      </w:r>
      <w:r w:rsidRPr="00D11D38">
        <w:rPr>
          <w:lang w:val="fr-FR" w:eastAsia="zh-CN"/>
        </w:rPr>
        <w:t xml:space="preserve"> « Le</w:t>
      </w:r>
      <w:r w:rsidR="00D53153">
        <w:rPr>
          <w:lang w:val="fr-FR" w:eastAsia="zh-CN"/>
        </w:rPr>
        <w:t> </w:t>
      </w:r>
      <w:r w:rsidRPr="00D11D38">
        <w:rPr>
          <w:lang w:val="fr-FR" w:eastAsia="zh-CN"/>
        </w:rPr>
        <w:t>GPL affecté aux Nos</w:t>
      </w:r>
      <w:r w:rsidR="002C26C9">
        <w:rPr>
          <w:lang w:val="fr-FR" w:eastAsia="zh-CN"/>
        </w:rPr>
        <w:t> </w:t>
      </w:r>
      <w:r w:rsidRPr="00D11D38">
        <w:rPr>
          <w:lang w:val="fr-FR" w:eastAsia="zh-CN"/>
        </w:rPr>
        <w:t xml:space="preserve">ONU </w:t>
      </w:r>
      <w:r w:rsidRPr="00036363">
        <w:rPr>
          <w:lang w:val="fr-FR" w:eastAsia="zh-CN"/>
        </w:rPr>
        <w:t>1075</w:t>
      </w:r>
      <w:r w:rsidRPr="00D11D38">
        <w:rPr>
          <w:lang w:val="fr-FR" w:eastAsia="zh-CN"/>
        </w:rPr>
        <w:t xml:space="preserve"> ou </w:t>
      </w:r>
      <w:r w:rsidRPr="00036363">
        <w:rPr>
          <w:lang w:val="fr-FR" w:eastAsia="zh-CN"/>
        </w:rPr>
        <w:t>1965</w:t>
      </w:r>
      <w:r w:rsidRPr="00D11D38">
        <w:rPr>
          <w:lang w:val="fr-FR" w:eastAsia="zh-CN"/>
        </w:rPr>
        <w:t xml:space="preserve"> peut contenir jusqu</w:t>
      </w:r>
      <w:r w:rsidR="00887612">
        <w:rPr>
          <w:lang w:val="fr-FR" w:eastAsia="zh-CN"/>
        </w:rPr>
        <w:t>’</w:t>
      </w:r>
      <w:r w:rsidRPr="00D11D38">
        <w:rPr>
          <w:lang w:val="fr-FR" w:eastAsia="zh-CN"/>
        </w:rPr>
        <w:t xml:space="preserve">à </w:t>
      </w:r>
      <w:r w:rsidRPr="00036363">
        <w:rPr>
          <w:lang w:val="fr-FR" w:eastAsia="zh-CN"/>
        </w:rPr>
        <w:t>12</w:t>
      </w:r>
      <w:r w:rsidR="00887612">
        <w:rPr>
          <w:lang w:val="fr-FR" w:eastAsia="zh-CN"/>
        </w:rPr>
        <w:t> %</w:t>
      </w:r>
      <w:r w:rsidRPr="00D11D38">
        <w:rPr>
          <w:lang w:val="fr-FR" w:eastAsia="zh-CN"/>
        </w:rPr>
        <w:t xml:space="preserve"> (masse) d</w:t>
      </w:r>
      <w:r w:rsidR="00887612">
        <w:rPr>
          <w:lang w:val="fr-FR" w:eastAsia="zh-CN"/>
        </w:rPr>
        <w:t>’</w:t>
      </w:r>
      <w:r w:rsidRPr="00D11D38">
        <w:rPr>
          <w:lang w:val="fr-FR" w:eastAsia="zh-CN"/>
        </w:rPr>
        <w:t>éther méthylique</w:t>
      </w:r>
      <w:r w:rsidR="00887612">
        <w:rPr>
          <w:lang w:val="fr-FR" w:eastAsia="zh-CN"/>
        </w:rPr>
        <w:t> ;</w:t>
      </w:r>
      <w:r w:rsidRPr="00D11D38">
        <w:rPr>
          <w:lang w:val="fr-FR" w:eastAsia="zh-CN"/>
        </w:rPr>
        <w:t> »</w:t>
      </w:r>
      <w:r w:rsidR="00036363" w:rsidRPr="00036363">
        <w:rPr>
          <w:lang w:val="fr-FR" w:eastAsia="zh-CN"/>
        </w:rPr>
        <w:t>.</w:t>
      </w:r>
    </w:p>
    <w:p w14:paraId="3D0D8096" w14:textId="6DDF6BFF" w:rsidR="00CE245A" w:rsidRPr="00036363" w:rsidRDefault="00CE245A" w:rsidP="00F8222C">
      <w:pPr>
        <w:pStyle w:val="SingleTxtG"/>
        <w:rPr>
          <w:i/>
          <w:iCs/>
          <w:lang w:val="fr-FR" w:eastAsia="zh-CN"/>
        </w:rPr>
      </w:pPr>
      <w:r w:rsidRPr="00036363">
        <w:rPr>
          <w:i/>
          <w:iCs/>
          <w:lang w:val="fr-FR" w:eastAsia="zh-CN"/>
        </w:rPr>
        <w:t>(Document de référence</w:t>
      </w:r>
      <w:r w:rsidR="00887612" w:rsidRPr="00036363">
        <w:rPr>
          <w:i/>
          <w:iCs/>
          <w:lang w:val="fr-FR" w:eastAsia="zh-CN"/>
        </w:rPr>
        <w:t> :</w:t>
      </w:r>
      <w:r w:rsidRPr="00036363">
        <w:rPr>
          <w:i/>
          <w:iCs/>
          <w:lang w:val="fr-FR" w:eastAsia="zh-CN"/>
        </w:rPr>
        <w:t xml:space="preserve"> document informel INF</w:t>
      </w:r>
      <w:r w:rsidR="00036363" w:rsidRPr="00036363">
        <w:rPr>
          <w:i/>
          <w:iCs/>
          <w:lang w:val="fr-FR" w:eastAsia="zh-CN"/>
        </w:rPr>
        <w:t>.</w:t>
      </w:r>
      <w:r w:rsidRPr="00036363">
        <w:rPr>
          <w:i/>
          <w:iCs/>
          <w:lang w:val="fr-FR" w:eastAsia="zh-CN"/>
        </w:rPr>
        <w:t>27/Rev</w:t>
      </w:r>
      <w:r w:rsidR="00036363" w:rsidRPr="00036363">
        <w:rPr>
          <w:i/>
          <w:iCs/>
          <w:lang w:val="fr-FR" w:eastAsia="zh-CN"/>
        </w:rPr>
        <w:t>.</w:t>
      </w:r>
      <w:r w:rsidRPr="00036363">
        <w:rPr>
          <w:i/>
          <w:iCs/>
          <w:lang w:val="fr-FR" w:eastAsia="zh-CN"/>
        </w:rPr>
        <w:t>1)</w:t>
      </w:r>
    </w:p>
    <w:p w14:paraId="4A0ACE7D" w14:textId="21277703" w:rsidR="00CE245A" w:rsidRPr="00D11D38" w:rsidRDefault="00CE245A" w:rsidP="00F8222C">
      <w:pPr>
        <w:pStyle w:val="H1G"/>
        <w:rPr>
          <w:lang w:val="fr-FR"/>
        </w:rPr>
      </w:pPr>
      <w:r w:rsidRPr="00D11D38">
        <w:rPr>
          <w:lang w:val="fr-FR"/>
        </w:rPr>
        <w:tab/>
      </w:r>
      <w:r w:rsidRPr="00D11D38">
        <w:rPr>
          <w:lang w:val="fr-FR"/>
        </w:rPr>
        <w:tab/>
        <w:t xml:space="preserve">Chapitre </w:t>
      </w:r>
      <w:r w:rsidRPr="00036363">
        <w:rPr>
          <w:lang w:val="fr-FR"/>
        </w:rPr>
        <w:t>1</w:t>
      </w:r>
      <w:r w:rsidR="00036363" w:rsidRPr="00036363">
        <w:rPr>
          <w:lang w:val="fr-FR"/>
        </w:rPr>
        <w:t>.</w:t>
      </w:r>
      <w:r w:rsidRPr="00036363">
        <w:rPr>
          <w:lang w:val="fr-FR"/>
        </w:rPr>
        <w:t>4</w:t>
      </w:r>
    </w:p>
    <w:p w14:paraId="1BA05CA4" w14:textId="45EABE0C" w:rsidR="00CE245A" w:rsidRPr="00D11D38" w:rsidRDefault="00CE245A" w:rsidP="00EB55F6">
      <w:pPr>
        <w:pStyle w:val="SingleTxtG"/>
        <w:tabs>
          <w:tab w:val="clear" w:pos="1701"/>
          <w:tab w:val="clear" w:pos="2835"/>
        </w:tabs>
        <w:ind w:left="2268" w:hanging="1134"/>
        <w:rPr>
          <w:rFonts w:eastAsia="SimSun"/>
          <w:lang w:val="fr-FR" w:eastAsia="zh-CN"/>
        </w:rPr>
      </w:pPr>
      <w:r w:rsidRPr="00036363">
        <w:rPr>
          <w:lang w:val="fr-FR" w:eastAsia="zh-CN"/>
        </w:rPr>
        <w:t>1</w:t>
      </w:r>
      <w:r w:rsidR="00036363" w:rsidRPr="00036363">
        <w:rPr>
          <w:lang w:val="fr-FR" w:eastAsia="zh-CN"/>
        </w:rPr>
        <w:t>.</w:t>
      </w:r>
      <w:r w:rsidRPr="00036363">
        <w:rPr>
          <w:lang w:val="fr-FR" w:eastAsia="zh-CN"/>
        </w:rPr>
        <w:t>4</w:t>
      </w:r>
      <w:r w:rsidR="00036363" w:rsidRPr="00036363">
        <w:rPr>
          <w:lang w:val="fr-FR" w:eastAsia="zh-CN"/>
        </w:rPr>
        <w:t>.</w:t>
      </w:r>
      <w:r w:rsidRPr="00036363">
        <w:rPr>
          <w:lang w:val="fr-FR" w:eastAsia="zh-CN"/>
        </w:rPr>
        <w:t>3</w:t>
      </w:r>
      <w:r w:rsidR="00036363" w:rsidRPr="00036363">
        <w:rPr>
          <w:lang w:val="fr-FR" w:eastAsia="zh-CN"/>
        </w:rPr>
        <w:t>.</w:t>
      </w:r>
      <w:r w:rsidRPr="00036363">
        <w:rPr>
          <w:lang w:val="fr-FR" w:eastAsia="zh-CN"/>
        </w:rPr>
        <w:t>3</w:t>
      </w:r>
      <w:r w:rsidRPr="00D11D38">
        <w:rPr>
          <w:lang w:val="fr-FR" w:eastAsia="zh-CN"/>
        </w:rPr>
        <w:tab/>
        <w:t>À l</w:t>
      </w:r>
      <w:r w:rsidR="00887612">
        <w:rPr>
          <w:lang w:val="fr-FR" w:eastAsia="zh-CN"/>
        </w:rPr>
        <w:t>’</w:t>
      </w:r>
      <w:r w:rsidRPr="00D11D38">
        <w:rPr>
          <w:lang w:val="fr-FR" w:eastAsia="zh-CN"/>
        </w:rPr>
        <w:t>alinéa e), remplacer «</w:t>
      </w:r>
      <w:r w:rsidR="00B4054B">
        <w:rPr>
          <w:lang w:val="fr-FR" w:eastAsia="zh-CN"/>
        </w:rPr>
        <w:t> </w:t>
      </w:r>
      <w:r w:rsidRPr="00D11D38">
        <w:rPr>
          <w:lang w:val="fr-FR" w:eastAsia="zh-CN"/>
        </w:rPr>
        <w:t>marchandise</w:t>
      </w:r>
      <w:r w:rsidR="00B4054B">
        <w:rPr>
          <w:lang w:val="fr-FR" w:eastAsia="zh-CN"/>
        </w:rPr>
        <w:t> </w:t>
      </w:r>
      <w:r w:rsidRPr="00D11D38">
        <w:rPr>
          <w:lang w:val="fr-FR" w:eastAsia="zh-CN"/>
        </w:rPr>
        <w:t>» par «</w:t>
      </w:r>
      <w:r w:rsidR="00B4054B">
        <w:rPr>
          <w:lang w:val="fr-FR" w:eastAsia="zh-CN"/>
        </w:rPr>
        <w:t> </w:t>
      </w:r>
      <w:r w:rsidRPr="00D11D38">
        <w:rPr>
          <w:lang w:val="fr-FR" w:eastAsia="zh-CN"/>
        </w:rPr>
        <w:t>matière</w:t>
      </w:r>
      <w:r w:rsidR="00B4054B">
        <w:rPr>
          <w:lang w:val="fr-FR" w:eastAsia="zh-CN"/>
        </w:rPr>
        <w:t> </w:t>
      </w:r>
      <w:r w:rsidRPr="00D11D38">
        <w:rPr>
          <w:lang w:val="fr-FR" w:eastAsia="zh-CN"/>
        </w:rPr>
        <w:t>»</w:t>
      </w:r>
      <w:r w:rsidR="00036363" w:rsidRPr="00036363">
        <w:rPr>
          <w:lang w:val="fr-FR" w:eastAsia="zh-CN"/>
        </w:rPr>
        <w:t>.</w:t>
      </w:r>
    </w:p>
    <w:p w14:paraId="720EC123" w14:textId="7A5AF8B4"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D11D38">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3)</w:t>
      </w:r>
    </w:p>
    <w:p w14:paraId="3B145972" w14:textId="29EA488E" w:rsidR="00CE245A" w:rsidRPr="00D11D38" w:rsidRDefault="00CE245A" w:rsidP="00F8222C">
      <w:pPr>
        <w:pStyle w:val="H1G"/>
        <w:rPr>
          <w:lang w:val="fr-FR"/>
        </w:rPr>
      </w:pPr>
      <w:r w:rsidRPr="00D11D38">
        <w:rPr>
          <w:lang w:val="fr-FR"/>
        </w:rPr>
        <w:tab/>
      </w:r>
      <w:r w:rsidRPr="00D11D38">
        <w:rPr>
          <w:lang w:val="fr-FR"/>
        </w:rPr>
        <w:tab/>
        <w:t xml:space="preserve">Chapitre </w:t>
      </w:r>
      <w:r w:rsidRPr="00036363">
        <w:rPr>
          <w:lang w:val="fr-FR"/>
        </w:rPr>
        <w:t>1</w:t>
      </w:r>
      <w:r w:rsidR="00036363" w:rsidRPr="00036363">
        <w:rPr>
          <w:lang w:val="fr-FR"/>
        </w:rPr>
        <w:t>.</w:t>
      </w:r>
      <w:r w:rsidRPr="00036363">
        <w:rPr>
          <w:lang w:val="fr-FR"/>
        </w:rPr>
        <w:t>6</w:t>
      </w:r>
    </w:p>
    <w:p w14:paraId="16B83C77" w14:textId="04461830" w:rsidR="00CE245A" w:rsidRPr="00D11D38" w:rsidRDefault="00CE245A" w:rsidP="00EB55F6">
      <w:pPr>
        <w:pStyle w:val="SingleTxtG"/>
        <w:tabs>
          <w:tab w:val="clear" w:pos="1701"/>
          <w:tab w:val="clear" w:pos="2835"/>
        </w:tabs>
        <w:ind w:left="2268" w:hanging="1134"/>
        <w:rPr>
          <w:rFonts w:eastAsia="SimSun"/>
          <w:lang w:val="fr-FR" w:eastAsia="zh-CN"/>
        </w:rPr>
      </w:pPr>
      <w:r w:rsidRPr="00036363">
        <w:rPr>
          <w:lang w:val="fr-FR" w:eastAsia="zh-CN"/>
        </w:rPr>
        <w:t>1</w:t>
      </w:r>
      <w:r w:rsidR="00036363" w:rsidRPr="00036363">
        <w:rPr>
          <w:lang w:val="fr-FR" w:eastAsia="zh-CN"/>
        </w:rPr>
        <w:t>.</w:t>
      </w:r>
      <w:r w:rsidRPr="00036363">
        <w:rPr>
          <w:lang w:val="fr-FR" w:eastAsia="zh-CN"/>
        </w:rPr>
        <w:t>6</w:t>
      </w:r>
      <w:r w:rsidR="00036363" w:rsidRPr="00036363">
        <w:rPr>
          <w:lang w:val="fr-FR" w:eastAsia="zh-CN"/>
        </w:rPr>
        <w:t>.</w:t>
      </w:r>
      <w:r w:rsidRPr="00036363">
        <w:rPr>
          <w:lang w:val="fr-FR" w:eastAsia="zh-CN"/>
        </w:rPr>
        <w:t>6</w:t>
      </w:r>
      <w:r w:rsidR="00036363" w:rsidRPr="00036363">
        <w:rPr>
          <w:lang w:val="fr-FR" w:eastAsia="zh-CN"/>
        </w:rPr>
        <w:t>.</w:t>
      </w:r>
      <w:r w:rsidRPr="00036363">
        <w:rPr>
          <w:lang w:val="fr-FR" w:eastAsia="zh-CN"/>
        </w:rPr>
        <w:t>3</w:t>
      </w:r>
      <w:r w:rsidRPr="00D11D38">
        <w:rPr>
          <w:lang w:val="fr-FR" w:eastAsia="zh-CN"/>
        </w:rPr>
        <w:tab/>
        <w:t>Dans le paragraphe suivant le titre, remplacer «</w:t>
      </w:r>
      <w:r w:rsidR="00B4054B">
        <w:rPr>
          <w:lang w:val="fr-FR" w:eastAsia="zh-CN"/>
        </w:rPr>
        <w:t> </w:t>
      </w:r>
      <w:r w:rsidRPr="00D11D38">
        <w:rPr>
          <w:lang w:val="fr-FR" w:eastAsia="zh-CN"/>
        </w:rPr>
        <w:t>Règlement de l</w:t>
      </w:r>
      <w:r w:rsidR="00887612">
        <w:rPr>
          <w:lang w:val="fr-FR" w:eastAsia="zh-CN"/>
        </w:rPr>
        <w:t>’</w:t>
      </w:r>
      <w:r w:rsidRPr="00D11D38">
        <w:rPr>
          <w:lang w:val="fr-FR" w:eastAsia="zh-CN"/>
        </w:rPr>
        <w:t>AIEA pour le transport des matières radioactives</w:t>
      </w:r>
      <w:r w:rsidR="00B4054B">
        <w:rPr>
          <w:lang w:val="fr-FR" w:eastAsia="zh-CN"/>
        </w:rPr>
        <w:t> </w:t>
      </w:r>
      <w:r w:rsidRPr="00D11D38">
        <w:rPr>
          <w:lang w:val="fr-FR" w:eastAsia="zh-CN"/>
        </w:rPr>
        <w:t>» par «</w:t>
      </w:r>
      <w:r w:rsidR="00B4054B">
        <w:rPr>
          <w:lang w:val="fr-FR" w:eastAsia="zh-CN"/>
        </w:rPr>
        <w:t> </w:t>
      </w:r>
      <w:r w:rsidRPr="00D11D38">
        <w:rPr>
          <w:lang w:val="fr-FR" w:eastAsia="zh-CN"/>
        </w:rPr>
        <w:t>Règlement de transport des matières radioactives de l</w:t>
      </w:r>
      <w:r w:rsidR="00887612">
        <w:rPr>
          <w:lang w:val="fr-FR" w:eastAsia="zh-CN"/>
        </w:rPr>
        <w:t>’</w:t>
      </w:r>
      <w:r w:rsidRPr="00D11D38">
        <w:rPr>
          <w:lang w:val="fr-FR" w:eastAsia="zh-CN"/>
        </w:rPr>
        <w:t>AIEA</w:t>
      </w:r>
      <w:r w:rsidR="00B4054B">
        <w:rPr>
          <w:lang w:val="fr-FR" w:eastAsia="zh-CN"/>
        </w:rPr>
        <w:t> </w:t>
      </w:r>
      <w:r w:rsidRPr="00D11D38">
        <w:rPr>
          <w:lang w:val="fr-FR" w:eastAsia="zh-CN"/>
        </w:rPr>
        <w:t>»</w:t>
      </w:r>
      <w:r w:rsidR="00036363" w:rsidRPr="00036363">
        <w:rPr>
          <w:lang w:val="fr-FR" w:eastAsia="zh-CN"/>
        </w:rPr>
        <w:t>.</w:t>
      </w:r>
    </w:p>
    <w:p w14:paraId="34F450BC" w14:textId="35829B61"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D11D38">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4)</w:t>
      </w:r>
    </w:p>
    <w:p w14:paraId="1BCA1C48" w14:textId="183CABA0" w:rsidR="00CE245A" w:rsidRPr="00D11D38" w:rsidRDefault="00CE245A" w:rsidP="00220B9D">
      <w:pPr>
        <w:pStyle w:val="H1G"/>
        <w:rPr>
          <w:lang w:val="fr-FR"/>
        </w:rPr>
      </w:pPr>
      <w:r w:rsidRPr="00D11D38">
        <w:rPr>
          <w:lang w:val="fr-FR"/>
        </w:rPr>
        <w:tab/>
      </w:r>
      <w:r w:rsidRPr="00D11D38">
        <w:rPr>
          <w:lang w:val="fr-FR"/>
        </w:rPr>
        <w:tab/>
        <w:t xml:space="preserve">Chapitre </w:t>
      </w:r>
      <w:r w:rsidRPr="00036363">
        <w:rPr>
          <w:lang w:val="fr-FR"/>
        </w:rPr>
        <w:t>1</w:t>
      </w:r>
      <w:r w:rsidR="00036363" w:rsidRPr="00036363">
        <w:rPr>
          <w:lang w:val="fr-FR"/>
        </w:rPr>
        <w:t>.</w:t>
      </w:r>
      <w:r w:rsidRPr="00036363">
        <w:rPr>
          <w:lang w:val="fr-FR"/>
        </w:rPr>
        <w:t>8</w:t>
      </w:r>
    </w:p>
    <w:p w14:paraId="33ABC3C8" w14:textId="0A63B7A2" w:rsidR="00CE245A" w:rsidRPr="00EB3946" w:rsidRDefault="00CE245A" w:rsidP="00EB55F6">
      <w:pPr>
        <w:pStyle w:val="SingleTxtG"/>
        <w:tabs>
          <w:tab w:val="clear" w:pos="1701"/>
          <w:tab w:val="clear" w:pos="2835"/>
        </w:tabs>
        <w:ind w:left="2268" w:hanging="1134"/>
        <w:rPr>
          <w:lang w:val="fr-FR"/>
        </w:rPr>
      </w:pPr>
      <w:r w:rsidRPr="00036363">
        <w:rPr>
          <w:lang w:val="fr-FR"/>
        </w:rPr>
        <w:t>1</w:t>
      </w:r>
      <w:r w:rsidR="00036363" w:rsidRPr="00036363">
        <w:rPr>
          <w:lang w:val="fr-FR"/>
        </w:rPr>
        <w:t>.</w:t>
      </w:r>
      <w:r w:rsidRPr="00036363">
        <w:rPr>
          <w:lang w:val="fr-FR"/>
        </w:rPr>
        <w:t>8</w:t>
      </w:r>
      <w:r w:rsidR="00036363" w:rsidRPr="00036363">
        <w:rPr>
          <w:lang w:val="fr-FR"/>
        </w:rPr>
        <w:t>.</w:t>
      </w:r>
      <w:r w:rsidRPr="00036363">
        <w:rPr>
          <w:lang w:val="fr-FR"/>
        </w:rPr>
        <w:t>7</w:t>
      </w:r>
      <w:r w:rsidR="00036363" w:rsidRPr="00036363">
        <w:rPr>
          <w:lang w:val="fr-FR"/>
        </w:rPr>
        <w:t>.</w:t>
      </w:r>
      <w:r w:rsidRPr="00036363">
        <w:rPr>
          <w:lang w:val="fr-FR"/>
        </w:rPr>
        <w:t>2</w:t>
      </w:r>
      <w:r w:rsidR="00036363" w:rsidRPr="00036363">
        <w:rPr>
          <w:lang w:val="fr-FR"/>
        </w:rPr>
        <w:t>.</w:t>
      </w:r>
      <w:r w:rsidRPr="00036363">
        <w:rPr>
          <w:lang w:val="fr-FR"/>
        </w:rPr>
        <w:t>2</w:t>
      </w:r>
      <w:r w:rsidR="00036363" w:rsidRPr="00036363">
        <w:rPr>
          <w:lang w:val="fr-FR"/>
        </w:rPr>
        <w:t>.</w:t>
      </w:r>
      <w:r w:rsidRPr="00036363">
        <w:rPr>
          <w:lang w:val="fr-FR"/>
        </w:rPr>
        <w:t>2</w:t>
      </w:r>
      <w:r w:rsidRPr="00EB3946">
        <w:rPr>
          <w:lang w:val="fr-FR"/>
        </w:rPr>
        <w:tab/>
        <w:t>Au premier paragraphe, dans la troisième phrase, remplacer « colonne (</w:t>
      </w:r>
      <w:r w:rsidRPr="00036363">
        <w:rPr>
          <w:lang w:val="fr-FR"/>
        </w:rPr>
        <w:t>5</w:t>
      </w:r>
      <w:r w:rsidRPr="00EB3946">
        <w:rPr>
          <w:lang w:val="fr-FR"/>
        </w:rPr>
        <w:t>) » par « colonne (</w:t>
      </w:r>
      <w:r w:rsidRPr="00036363">
        <w:rPr>
          <w:lang w:val="fr-FR"/>
        </w:rPr>
        <w:t>4</w:t>
      </w:r>
      <w:r w:rsidRPr="00EB3946">
        <w:rPr>
          <w:lang w:val="fr-FR"/>
        </w:rPr>
        <w:t>) »</w:t>
      </w:r>
      <w:r w:rsidR="00036363" w:rsidRPr="00036363">
        <w:rPr>
          <w:lang w:val="fr-FR"/>
        </w:rPr>
        <w:t>.</w:t>
      </w:r>
      <w:r w:rsidRPr="00EB3946">
        <w:rPr>
          <w:lang w:val="fr-FR"/>
        </w:rPr>
        <w:t xml:space="preserve"> Dans le Nota sous ce paragraphe, remplacer « colonne</w:t>
      </w:r>
      <w:r w:rsidR="007C3E72">
        <w:rPr>
          <w:lang w:val="fr-FR"/>
        </w:rPr>
        <w:t> </w:t>
      </w:r>
      <w:r w:rsidRPr="00EB3946">
        <w:rPr>
          <w:lang w:val="fr-FR"/>
        </w:rPr>
        <w:t>(</w:t>
      </w:r>
      <w:r w:rsidRPr="00036363">
        <w:rPr>
          <w:lang w:val="fr-FR"/>
        </w:rPr>
        <w:t>5</w:t>
      </w:r>
      <w:r w:rsidRPr="00EB3946">
        <w:rPr>
          <w:lang w:val="fr-FR"/>
        </w:rPr>
        <w:t>) » par « colonne (</w:t>
      </w:r>
      <w:r w:rsidRPr="00036363">
        <w:rPr>
          <w:lang w:val="fr-FR"/>
        </w:rPr>
        <w:t>4</w:t>
      </w:r>
      <w:r w:rsidRPr="00EB3946">
        <w:rPr>
          <w:lang w:val="fr-FR"/>
        </w:rPr>
        <w:t>) »</w:t>
      </w:r>
      <w:r w:rsidR="00036363" w:rsidRPr="00036363">
        <w:rPr>
          <w:lang w:val="fr-FR"/>
        </w:rPr>
        <w:t>.</w:t>
      </w:r>
    </w:p>
    <w:p w14:paraId="5F82B063" w14:textId="4548FAD5" w:rsidR="00CE245A" w:rsidRPr="00036363" w:rsidRDefault="00CE245A" w:rsidP="008E42F9">
      <w:pPr>
        <w:pStyle w:val="SingleTxtG"/>
        <w:rPr>
          <w:rFonts w:eastAsia="Calibri"/>
          <w:i/>
          <w:iCs/>
          <w:lang w:val="fr-FR"/>
        </w:rPr>
      </w:pPr>
      <w:r w:rsidRPr="00036363">
        <w:rPr>
          <w:rFonts w:eastAsia="Calibri"/>
          <w:i/>
          <w:iCs/>
          <w:lang w:val="fr-FR"/>
        </w:rPr>
        <w:t>(Document de référence</w:t>
      </w:r>
      <w:r w:rsidR="00887612" w:rsidRPr="00036363">
        <w:rPr>
          <w:rFonts w:eastAsia="Calibri"/>
          <w:i/>
          <w:iCs/>
          <w:lang w:val="fr-FR"/>
        </w:rPr>
        <w:t> :</w:t>
      </w:r>
      <w:r w:rsidRPr="00036363">
        <w:rPr>
          <w:rFonts w:eastAsia="Calibri"/>
          <w:i/>
          <w:iCs/>
          <w:lang w:val="fr-FR"/>
        </w:rPr>
        <w:t xml:space="preserve"> </w:t>
      </w:r>
      <w:r w:rsidRPr="00036363">
        <w:rPr>
          <w:i/>
          <w:iCs/>
          <w:lang w:val="fr-FR"/>
        </w:rPr>
        <w:t>document informel INF</w:t>
      </w:r>
      <w:r w:rsidR="00036363" w:rsidRPr="00036363">
        <w:rPr>
          <w:i/>
          <w:iCs/>
          <w:lang w:val="fr-FR"/>
        </w:rPr>
        <w:t>.</w:t>
      </w:r>
      <w:r w:rsidRPr="00036363">
        <w:rPr>
          <w:i/>
          <w:iCs/>
          <w:lang w:val="fr-FR"/>
        </w:rPr>
        <w:t>6</w:t>
      </w:r>
    </w:p>
    <w:p w14:paraId="33B5B2E9" w14:textId="03CDA17B" w:rsidR="00CE245A" w:rsidRPr="00D11D38" w:rsidRDefault="00CE245A" w:rsidP="00FE663F">
      <w:pPr>
        <w:pStyle w:val="SingleTxtG"/>
        <w:rPr>
          <w:lang w:val="fr-FR"/>
        </w:rPr>
      </w:pPr>
      <w:r w:rsidRPr="00D11D38">
        <w:rPr>
          <w:lang w:val="fr-FR"/>
        </w:rPr>
        <w:t>(ADR/ADN</w:t>
      </w:r>
      <w:r w:rsidR="00887612">
        <w:rPr>
          <w:lang w:val="fr-FR"/>
        </w:rPr>
        <w:t> :</w:t>
      </w:r>
      <w:r w:rsidRPr="00D11D38">
        <w:rPr>
          <w:lang w:val="fr-FR"/>
        </w:rPr>
        <w:t>)</w:t>
      </w:r>
    </w:p>
    <w:p w14:paraId="5C9D7287" w14:textId="09F081B9" w:rsidR="00CE245A" w:rsidRPr="00EB3946" w:rsidRDefault="00CE245A" w:rsidP="00EB55F6">
      <w:pPr>
        <w:pStyle w:val="SingleTxtG"/>
        <w:tabs>
          <w:tab w:val="clear" w:pos="1701"/>
          <w:tab w:val="clear" w:pos="2835"/>
        </w:tabs>
        <w:ind w:left="2268" w:hanging="1134"/>
        <w:rPr>
          <w:bCs/>
          <w:szCs w:val="28"/>
          <w:lang w:val="fr-FR"/>
        </w:rPr>
      </w:pPr>
      <w:r w:rsidRPr="00036363">
        <w:rPr>
          <w:lang w:val="fr-FR"/>
        </w:rPr>
        <w:t>1</w:t>
      </w:r>
      <w:r w:rsidR="00036363" w:rsidRPr="00036363">
        <w:rPr>
          <w:lang w:val="fr-FR"/>
        </w:rPr>
        <w:t>.</w:t>
      </w:r>
      <w:r w:rsidRPr="00036363">
        <w:rPr>
          <w:lang w:val="fr-FR"/>
        </w:rPr>
        <w:t>8</w:t>
      </w:r>
      <w:r w:rsidR="00036363" w:rsidRPr="00036363">
        <w:rPr>
          <w:lang w:val="fr-FR"/>
        </w:rPr>
        <w:t>.</w:t>
      </w:r>
      <w:r w:rsidRPr="00036363">
        <w:rPr>
          <w:lang w:val="fr-FR"/>
        </w:rPr>
        <w:t>8</w:t>
      </w:r>
      <w:r w:rsidR="00036363" w:rsidRPr="00036363">
        <w:rPr>
          <w:lang w:val="fr-FR"/>
        </w:rPr>
        <w:t>.</w:t>
      </w:r>
      <w:r w:rsidRPr="00036363">
        <w:rPr>
          <w:lang w:val="fr-FR"/>
        </w:rPr>
        <w:t>1</w:t>
      </w:r>
      <w:r w:rsidR="00036363" w:rsidRPr="00036363">
        <w:rPr>
          <w:lang w:val="fr-FR"/>
        </w:rPr>
        <w:t>.</w:t>
      </w:r>
      <w:r w:rsidRPr="00036363">
        <w:rPr>
          <w:lang w:val="fr-FR"/>
        </w:rPr>
        <w:t>4</w:t>
      </w:r>
      <w:r w:rsidRPr="00EB3946">
        <w:rPr>
          <w:lang w:val="fr-FR"/>
        </w:rPr>
        <w:tab/>
        <w:t>Remplacer « </w:t>
      </w:r>
      <w:r w:rsidRPr="00036363">
        <w:rPr>
          <w:lang w:val="fr-FR"/>
        </w:rPr>
        <w:t>1</w:t>
      </w:r>
      <w:r w:rsidR="00036363" w:rsidRPr="00036363">
        <w:rPr>
          <w:lang w:val="fr-FR"/>
        </w:rPr>
        <w:t>.</w:t>
      </w:r>
      <w:r w:rsidRPr="00036363">
        <w:rPr>
          <w:lang w:val="fr-FR"/>
        </w:rPr>
        <w:t>8</w:t>
      </w:r>
      <w:r w:rsidR="00036363" w:rsidRPr="00036363">
        <w:rPr>
          <w:lang w:val="fr-FR"/>
        </w:rPr>
        <w:t>.</w:t>
      </w:r>
      <w:r w:rsidRPr="00036363">
        <w:rPr>
          <w:lang w:val="fr-FR"/>
        </w:rPr>
        <w:t>7</w:t>
      </w:r>
      <w:r w:rsidR="00036363" w:rsidRPr="00036363">
        <w:rPr>
          <w:lang w:val="fr-FR"/>
        </w:rPr>
        <w:t>.</w:t>
      </w:r>
      <w:r w:rsidRPr="00036363">
        <w:rPr>
          <w:lang w:val="fr-FR"/>
        </w:rPr>
        <w:t>7</w:t>
      </w:r>
      <w:r w:rsidR="00036363" w:rsidRPr="00036363">
        <w:rPr>
          <w:lang w:val="fr-FR"/>
        </w:rPr>
        <w:t>.</w:t>
      </w:r>
      <w:r w:rsidRPr="00036363">
        <w:rPr>
          <w:lang w:val="fr-FR"/>
        </w:rPr>
        <w:t>1</w:t>
      </w:r>
      <w:r w:rsidRPr="00EB3946">
        <w:rPr>
          <w:lang w:val="fr-FR"/>
        </w:rPr>
        <w:t xml:space="preserve"> d) » par « </w:t>
      </w:r>
      <w:r w:rsidRPr="00036363">
        <w:rPr>
          <w:lang w:val="fr-FR"/>
        </w:rPr>
        <w:t>1</w:t>
      </w:r>
      <w:r w:rsidR="00036363" w:rsidRPr="00036363">
        <w:rPr>
          <w:lang w:val="fr-FR"/>
        </w:rPr>
        <w:t>.</w:t>
      </w:r>
      <w:r w:rsidRPr="00036363">
        <w:rPr>
          <w:lang w:val="fr-FR"/>
        </w:rPr>
        <w:t>8</w:t>
      </w:r>
      <w:r w:rsidR="00036363" w:rsidRPr="00036363">
        <w:rPr>
          <w:lang w:val="fr-FR"/>
        </w:rPr>
        <w:t>.</w:t>
      </w:r>
      <w:r w:rsidRPr="00036363">
        <w:rPr>
          <w:lang w:val="fr-FR"/>
        </w:rPr>
        <w:t>7</w:t>
      </w:r>
      <w:r w:rsidR="00036363" w:rsidRPr="00036363">
        <w:rPr>
          <w:lang w:val="fr-FR"/>
        </w:rPr>
        <w:t>.</w:t>
      </w:r>
      <w:r w:rsidRPr="00036363">
        <w:rPr>
          <w:lang w:val="fr-FR"/>
        </w:rPr>
        <w:t>7</w:t>
      </w:r>
      <w:r w:rsidR="00036363" w:rsidRPr="00036363">
        <w:rPr>
          <w:lang w:val="fr-FR"/>
        </w:rPr>
        <w:t>.</w:t>
      </w:r>
      <w:r w:rsidRPr="00036363">
        <w:rPr>
          <w:lang w:val="fr-FR"/>
        </w:rPr>
        <w:t>1</w:t>
      </w:r>
      <w:r w:rsidRPr="00EB3946">
        <w:rPr>
          <w:lang w:val="fr-FR"/>
        </w:rPr>
        <w:t xml:space="preserve"> b) ii) »</w:t>
      </w:r>
      <w:r w:rsidR="00036363" w:rsidRPr="00036363">
        <w:rPr>
          <w:lang w:val="fr-FR"/>
        </w:rPr>
        <w:t>.</w:t>
      </w:r>
    </w:p>
    <w:p w14:paraId="1F3F95BD" w14:textId="70AD6804"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1)</w:t>
      </w:r>
    </w:p>
    <w:p w14:paraId="65602E54" w14:textId="072BD945" w:rsidR="00CE245A" w:rsidRPr="00EB3946" w:rsidRDefault="00CE245A" w:rsidP="00220B9D">
      <w:pPr>
        <w:pStyle w:val="H1G"/>
        <w:rPr>
          <w:lang w:val="fr-FR"/>
        </w:rPr>
      </w:pPr>
      <w:r w:rsidRPr="00EB3946">
        <w:rPr>
          <w:lang w:val="fr-FR"/>
        </w:rPr>
        <w:tab/>
      </w:r>
      <w:r w:rsidRPr="00EB3946">
        <w:rPr>
          <w:lang w:val="fr-FR"/>
        </w:rPr>
        <w:tab/>
        <w:t xml:space="preserve">Chapitre </w:t>
      </w:r>
      <w:r w:rsidRPr="00036363">
        <w:rPr>
          <w:lang w:val="fr-FR"/>
        </w:rPr>
        <w:t>3</w:t>
      </w:r>
      <w:r w:rsidR="00036363" w:rsidRPr="00036363">
        <w:rPr>
          <w:lang w:val="fr-FR"/>
        </w:rPr>
        <w:t>.</w:t>
      </w:r>
      <w:r w:rsidRPr="00036363">
        <w:rPr>
          <w:lang w:val="fr-FR"/>
        </w:rPr>
        <w:t>1</w:t>
      </w:r>
    </w:p>
    <w:p w14:paraId="35DE2EF9" w14:textId="74B216E7" w:rsidR="00CE245A" w:rsidRPr="00EB3946" w:rsidRDefault="00CE245A" w:rsidP="00EB55F6">
      <w:pPr>
        <w:pStyle w:val="SingleTxtG"/>
        <w:tabs>
          <w:tab w:val="clear" w:pos="1701"/>
          <w:tab w:val="clear" w:pos="2835"/>
        </w:tabs>
        <w:ind w:left="2268" w:hanging="1134"/>
        <w:rPr>
          <w:rFonts w:eastAsia="SimSun"/>
          <w:lang w:val="fr-FR" w:eastAsia="zh-CN"/>
        </w:rPr>
      </w:pPr>
      <w:r w:rsidRPr="00036363">
        <w:rPr>
          <w:lang w:val="fr-FR" w:eastAsia="zh-CN"/>
        </w:rPr>
        <w:t>3</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2</w:t>
      </w:r>
      <w:r w:rsidR="00036363" w:rsidRPr="00036363">
        <w:rPr>
          <w:lang w:val="fr-FR" w:eastAsia="zh-CN"/>
        </w:rPr>
        <w:t>.</w:t>
      </w:r>
      <w:r w:rsidRPr="00036363">
        <w:rPr>
          <w:lang w:val="fr-FR" w:eastAsia="zh-CN"/>
        </w:rPr>
        <w:t>8</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3</w:t>
      </w:r>
      <w:r w:rsidRPr="00EB3946">
        <w:rPr>
          <w:lang w:val="fr-FR" w:eastAsia="zh-CN"/>
        </w:rPr>
        <w:tab/>
        <w:t>Dans les exemples, remplacer « UN » par « </w:t>
      </w:r>
      <w:r w:rsidR="00887612">
        <w:rPr>
          <w:lang w:val="fr-FR" w:eastAsia="zh-CN"/>
        </w:rPr>
        <w:t>N</w:t>
      </w:r>
      <w:r w:rsidR="00887612" w:rsidRPr="002C26C9">
        <w:rPr>
          <w:lang w:val="fr-FR" w:eastAsia="zh-CN"/>
        </w:rPr>
        <w:t>o</w:t>
      </w:r>
      <w:r>
        <w:rPr>
          <w:lang w:val="fr-FR" w:eastAsia="zh-CN"/>
        </w:rPr>
        <w:t> </w:t>
      </w:r>
      <w:r w:rsidRPr="00EB3946">
        <w:rPr>
          <w:lang w:val="fr-FR" w:eastAsia="zh-CN"/>
        </w:rPr>
        <w:t>ONU »</w:t>
      </w:r>
      <w:r w:rsidR="00036363" w:rsidRPr="00036363">
        <w:rPr>
          <w:lang w:val="fr-FR" w:eastAsia="zh-CN"/>
        </w:rPr>
        <w:t>.</w:t>
      </w:r>
    </w:p>
    <w:p w14:paraId="27BCD3DC" w14:textId="1CBB9F9A"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5)</w:t>
      </w:r>
    </w:p>
    <w:p w14:paraId="12186AC1" w14:textId="71573D68" w:rsidR="00CE245A" w:rsidRPr="00EB3946" w:rsidRDefault="00CE245A" w:rsidP="00EB55F6">
      <w:pPr>
        <w:pStyle w:val="SingleTxtG"/>
        <w:tabs>
          <w:tab w:val="clear" w:pos="1701"/>
          <w:tab w:val="clear" w:pos="2835"/>
        </w:tabs>
        <w:ind w:left="2268" w:hanging="1134"/>
        <w:rPr>
          <w:rFonts w:eastAsia="SimSun"/>
          <w:lang w:val="fr-FR" w:eastAsia="zh-CN"/>
        </w:rPr>
      </w:pPr>
      <w:r w:rsidRPr="00036363">
        <w:rPr>
          <w:lang w:val="fr-FR" w:eastAsia="zh-CN"/>
        </w:rPr>
        <w:t>3</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2</w:t>
      </w:r>
      <w:r w:rsidR="00036363" w:rsidRPr="00036363">
        <w:rPr>
          <w:lang w:val="fr-FR" w:eastAsia="zh-CN"/>
        </w:rPr>
        <w:t>.</w:t>
      </w:r>
      <w:r w:rsidRPr="00036363">
        <w:rPr>
          <w:lang w:val="fr-FR" w:eastAsia="zh-CN"/>
        </w:rPr>
        <w:t>8</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4</w:t>
      </w:r>
      <w:r w:rsidRPr="00EB3946">
        <w:rPr>
          <w:lang w:val="fr-FR" w:eastAsia="zh-CN"/>
        </w:rPr>
        <w:tab/>
        <w:t>Dans les exemples, remplacer « UN » par « </w:t>
      </w:r>
      <w:r w:rsidR="00887612">
        <w:rPr>
          <w:lang w:val="fr-FR" w:eastAsia="zh-CN"/>
        </w:rPr>
        <w:t>N</w:t>
      </w:r>
      <w:r w:rsidR="00887612" w:rsidRPr="002C26C9">
        <w:rPr>
          <w:lang w:val="fr-FR" w:eastAsia="zh-CN"/>
        </w:rPr>
        <w:t>o</w:t>
      </w:r>
      <w:r>
        <w:rPr>
          <w:lang w:val="fr-FR" w:eastAsia="zh-CN"/>
        </w:rPr>
        <w:t> </w:t>
      </w:r>
      <w:r w:rsidRPr="00EB3946">
        <w:rPr>
          <w:lang w:val="fr-FR" w:eastAsia="zh-CN"/>
        </w:rPr>
        <w:t>ONU »</w:t>
      </w:r>
      <w:r w:rsidR="00036363" w:rsidRPr="00036363">
        <w:rPr>
          <w:lang w:val="fr-FR" w:eastAsia="zh-CN"/>
        </w:rPr>
        <w:t>.</w:t>
      </w:r>
    </w:p>
    <w:p w14:paraId="4DC41AB2" w14:textId="55EA39D9"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5)</w:t>
      </w:r>
    </w:p>
    <w:p w14:paraId="7740FB6C" w14:textId="21F2B83B" w:rsidR="00CE245A" w:rsidRPr="00EB3946" w:rsidRDefault="00CE245A" w:rsidP="00220B9D">
      <w:pPr>
        <w:pStyle w:val="H1G"/>
        <w:rPr>
          <w:lang w:val="fr-FR"/>
        </w:rPr>
      </w:pPr>
      <w:r w:rsidRPr="00EB3946">
        <w:rPr>
          <w:lang w:val="fr-FR"/>
        </w:rPr>
        <w:tab/>
      </w:r>
      <w:r w:rsidRPr="00EB3946">
        <w:rPr>
          <w:lang w:val="fr-FR"/>
        </w:rPr>
        <w:tab/>
        <w:t xml:space="preserve">Chapitre </w:t>
      </w:r>
      <w:r w:rsidRPr="00036363">
        <w:rPr>
          <w:lang w:val="fr-FR"/>
        </w:rPr>
        <w:t>3</w:t>
      </w:r>
      <w:r w:rsidR="00036363" w:rsidRPr="00036363">
        <w:rPr>
          <w:lang w:val="fr-FR"/>
        </w:rPr>
        <w:t>.</w:t>
      </w:r>
      <w:r w:rsidRPr="00036363">
        <w:rPr>
          <w:lang w:val="fr-FR"/>
        </w:rPr>
        <w:t>2</w:t>
      </w:r>
      <w:r w:rsidRPr="00EB3946">
        <w:rPr>
          <w:lang w:val="fr-FR"/>
        </w:rPr>
        <w:t>, Tableau A</w:t>
      </w:r>
    </w:p>
    <w:p w14:paraId="12FA597F" w14:textId="49AC4AFE" w:rsidR="00CE245A" w:rsidRPr="00EB3946" w:rsidRDefault="00CE245A" w:rsidP="00FE663F">
      <w:pPr>
        <w:pStyle w:val="SingleTxtG"/>
        <w:rPr>
          <w:lang w:val="fr-FR"/>
        </w:rPr>
      </w:pPr>
      <w:r w:rsidRPr="00EB3946">
        <w:rPr>
          <w:lang w:val="fr-FR"/>
        </w:rPr>
        <w:t xml:space="preserve">Pour le </w:t>
      </w:r>
      <w:r w:rsidR="00887612">
        <w:rPr>
          <w:lang w:val="fr-FR"/>
        </w:rPr>
        <w:t>N</w:t>
      </w:r>
      <w:r w:rsidR="00887612" w:rsidRPr="002C26C9">
        <w:rPr>
          <w:lang w:val="fr-FR"/>
        </w:rPr>
        <w:t>o</w:t>
      </w:r>
      <w:r>
        <w:rPr>
          <w:lang w:val="fr-FR"/>
        </w:rPr>
        <w:t> </w:t>
      </w:r>
      <w:r w:rsidRPr="00EB3946">
        <w:rPr>
          <w:lang w:val="fr-FR"/>
        </w:rPr>
        <w:t xml:space="preserve">ONU </w:t>
      </w:r>
      <w:r w:rsidRPr="00036363">
        <w:rPr>
          <w:lang w:val="fr-FR"/>
        </w:rPr>
        <w:t>1066</w:t>
      </w:r>
      <w:r w:rsidRPr="00EB3946">
        <w:rPr>
          <w:lang w:val="fr-FR"/>
        </w:rPr>
        <w:t>, dans la colonne (</w:t>
      </w:r>
      <w:r w:rsidRPr="00036363">
        <w:rPr>
          <w:lang w:val="fr-FR"/>
        </w:rPr>
        <w:t>6</w:t>
      </w:r>
      <w:r w:rsidRPr="00EB3946">
        <w:rPr>
          <w:lang w:val="fr-FR"/>
        </w:rPr>
        <w:t>), ajouter « </w:t>
      </w:r>
      <w:r w:rsidRPr="00036363">
        <w:rPr>
          <w:lang w:val="fr-FR"/>
        </w:rPr>
        <w:t>679</w:t>
      </w:r>
      <w:r w:rsidRPr="00EB3946">
        <w:rPr>
          <w:lang w:val="fr-FR"/>
        </w:rPr>
        <w:t> »</w:t>
      </w:r>
      <w:r w:rsidR="00036363" w:rsidRPr="00036363">
        <w:rPr>
          <w:lang w:val="fr-FR"/>
        </w:rPr>
        <w:t>.</w:t>
      </w:r>
    </w:p>
    <w:p w14:paraId="294808F9" w14:textId="35008093"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i/>
          <w:iCs/>
          <w:lang w:val="fr-FR" w:eastAsia="zh-CN"/>
        </w:rPr>
        <w:t>document informel INF</w:t>
      </w:r>
      <w:r w:rsidR="00036363" w:rsidRPr="00036363">
        <w:rPr>
          <w:i/>
          <w:iCs/>
          <w:lang w:val="fr-FR" w:eastAsia="zh-CN"/>
        </w:rPr>
        <w:t>.</w:t>
      </w:r>
      <w:r w:rsidRPr="00036363">
        <w:rPr>
          <w:i/>
          <w:iCs/>
          <w:lang w:val="fr-FR" w:eastAsia="zh-CN"/>
        </w:rPr>
        <w:t>28/Rev</w:t>
      </w:r>
      <w:r w:rsidR="00036363" w:rsidRPr="00036363">
        <w:rPr>
          <w:i/>
          <w:iCs/>
          <w:lang w:val="fr-FR" w:eastAsia="zh-CN"/>
        </w:rPr>
        <w:t>.</w:t>
      </w:r>
      <w:r w:rsidRPr="00036363">
        <w:rPr>
          <w:i/>
          <w:iCs/>
          <w:lang w:val="fr-FR" w:eastAsia="zh-CN"/>
        </w:rPr>
        <w:t>1</w:t>
      </w:r>
      <w:r w:rsidRPr="00036363">
        <w:rPr>
          <w:rFonts w:eastAsia="SimSun"/>
          <w:i/>
          <w:iCs/>
          <w:lang w:val="fr-FR" w:eastAsia="zh-CN"/>
        </w:rPr>
        <w:t>)</w:t>
      </w:r>
    </w:p>
    <w:p w14:paraId="4B8CF5E6" w14:textId="1CE1BDAB" w:rsidR="00CE245A" w:rsidRPr="00EB3946" w:rsidRDefault="00CE245A" w:rsidP="00220B9D">
      <w:pPr>
        <w:pStyle w:val="H1G"/>
        <w:rPr>
          <w:lang w:val="fr-FR"/>
        </w:rPr>
      </w:pPr>
      <w:r w:rsidRPr="00EB3946">
        <w:rPr>
          <w:lang w:val="fr-FR"/>
        </w:rPr>
        <w:lastRenderedPageBreak/>
        <w:tab/>
      </w:r>
      <w:r w:rsidRPr="00EB3946">
        <w:rPr>
          <w:lang w:val="fr-FR"/>
        </w:rPr>
        <w:tab/>
        <w:t xml:space="preserve">Chapitre </w:t>
      </w:r>
      <w:r w:rsidRPr="00036363">
        <w:rPr>
          <w:lang w:val="fr-FR"/>
        </w:rPr>
        <w:t>3</w:t>
      </w:r>
      <w:r w:rsidR="00036363" w:rsidRPr="00036363">
        <w:rPr>
          <w:lang w:val="fr-FR"/>
        </w:rPr>
        <w:t>.</w:t>
      </w:r>
      <w:r w:rsidRPr="00036363">
        <w:rPr>
          <w:lang w:val="fr-FR"/>
        </w:rPr>
        <w:t>3</w:t>
      </w:r>
    </w:p>
    <w:p w14:paraId="79C2504B" w14:textId="02C638A3" w:rsidR="00CE245A" w:rsidRPr="00EB3946" w:rsidRDefault="00CE245A" w:rsidP="00E53F6E">
      <w:pPr>
        <w:pStyle w:val="SingleTxtG"/>
        <w:rPr>
          <w:lang w:val="fr-FR" w:eastAsia="zh-CN"/>
        </w:rPr>
      </w:pPr>
      <w:r w:rsidRPr="00EB3946">
        <w:rPr>
          <w:lang w:val="fr-FR" w:eastAsia="zh-CN"/>
        </w:rPr>
        <w:t xml:space="preserve">DS </w:t>
      </w:r>
      <w:r w:rsidRPr="00036363">
        <w:rPr>
          <w:lang w:val="fr-FR" w:eastAsia="zh-CN"/>
        </w:rPr>
        <w:t>357</w:t>
      </w:r>
      <w:r w:rsidRPr="00EB3946">
        <w:rPr>
          <w:lang w:val="fr-FR" w:eastAsia="zh-CN"/>
        </w:rPr>
        <w:tab/>
        <w:t xml:space="preserve">Remplacer « rubrique </w:t>
      </w:r>
      <w:r w:rsidR="00887612">
        <w:rPr>
          <w:lang w:val="fr-FR" w:eastAsia="zh-CN"/>
        </w:rPr>
        <w:t>N</w:t>
      </w:r>
      <w:r w:rsidR="00887612" w:rsidRPr="002C26C9">
        <w:rPr>
          <w:lang w:val="fr-FR" w:eastAsia="zh-CN"/>
        </w:rPr>
        <w:t>o</w:t>
      </w:r>
      <w:r>
        <w:rPr>
          <w:lang w:val="fr-FR" w:eastAsia="zh-CN"/>
        </w:rPr>
        <w:t> </w:t>
      </w:r>
      <w:r w:rsidRPr="00EB3946">
        <w:rPr>
          <w:lang w:val="fr-FR" w:eastAsia="zh-CN"/>
        </w:rPr>
        <w:t>ONU » par « rubrique ONU »</w:t>
      </w:r>
      <w:r w:rsidR="00036363" w:rsidRPr="00036363">
        <w:rPr>
          <w:lang w:val="fr-FR" w:eastAsia="zh-CN"/>
        </w:rPr>
        <w:t>.</w:t>
      </w:r>
    </w:p>
    <w:p w14:paraId="2E8F41FC" w14:textId="79CCE975"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6)</w:t>
      </w:r>
    </w:p>
    <w:p w14:paraId="48E33A63" w14:textId="316DE4F3" w:rsidR="00CE245A" w:rsidRPr="00EB3946" w:rsidRDefault="00CE245A" w:rsidP="00E53F6E">
      <w:pPr>
        <w:pStyle w:val="SingleTxtG"/>
        <w:rPr>
          <w:lang w:val="fr-FR" w:eastAsia="zh-CN"/>
        </w:rPr>
      </w:pPr>
      <w:r w:rsidRPr="00EB3946">
        <w:rPr>
          <w:lang w:val="fr-FR" w:eastAsia="zh-CN"/>
        </w:rPr>
        <w:t>Ajouter la nouvelle disposition spéciale suivante</w:t>
      </w:r>
      <w:r w:rsidR="00887612">
        <w:rPr>
          <w:lang w:val="fr-FR" w:eastAsia="zh-CN"/>
        </w:rPr>
        <w:t> :</w:t>
      </w:r>
    </w:p>
    <w:p w14:paraId="4F4B287E" w14:textId="433C1151" w:rsidR="00887612" w:rsidRDefault="00CE245A" w:rsidP="00EB55F6">
      <w:pPr>
        <w:pStyle w:val="SingleTxtG"/>
        <w:tabs>
          <w:tab w:val="clear" w:pos="1701"/>
          <w:tab w:val="clear" w:pos="2835"/>
        </w:tabs>
        <w:ind w:left="2268" w:hanging="1134"/>
        <w:rPr>
          <w:rFonts w:eastAsia="SimSun"/>
          <w:lang w:val="fr-FR"/>
        </w:rPr>
      </w:pPr>
      <w:r w:rsidRPr="00EB3946">
        <w:rPr>
          <w:rFonts w:eastAsia="SimSun"/>
          <w:lang w:val="fr-FR"/>
        </w:rPr>
        <w:t>« </w:t>
      </w:r>
      <w:r w:rsidRPr="00036363">
        <w:rPr>
          <w:lang w:val="fr-FR" w:eastAsia="zh-CN"/>
        </w:rPr>
        <w:t>679</w:t>
      </w:r>
      <w:r w:rsidRPr="00EB3946">
        <w:rPr>
          <w:rFonts w:eastAsia="SimSun"/>
          <w:lang w:val="fr-FR"/>
        </w:rPr>
        <w:tab/>
      </w:r>
      <w:r w:rsidRPr="00EB3946">
        <w:rPr>
          <w:rFonts w:eastAsia="SimSun"/>
          <w:lang w:val="fr-FR"/>
        </w:rPr>
        <w:tab/>
        <w:t>Les récipients à pression agréés conformément à la norme EN</w:t>
      </w:r>
      <w:r w:rsidR="00970CAD">
        <w:rPr>
          <w:rFonts w:eastAsia="SimSun"/>
          <w:lang w:val="fr-FR"/>
        </w:rPr>
        <w:t> </w:t>
      </w:r>
      <w:r w:rsidRPr="00036363">
        <w:rPr>
          <w:rFonts w:eastAsia="SimSun"/>
          <w:lang w:val="fr-FR"/>
        </w:rPr>
        <w:t>17339</w:t>
      </w:r>
      <w:r w:rsidRPr="00EB3946">
        <w:rPr>
          <w:rFonts w:eastAsia="SimSun"/>
          <w:lang w:val="fr-FR"/>
        </w:rPr>
        <w:t xml:space="preserve"> et destinés au transport du </w:t>
      </w:r>
      <w:r w:rsidR="00887612">
        <w:rPr>
          <w:rFonts w:eastAsia="SimSun"/>
          <w:lang w:val="fr-FR"/>
        </w:rPr>
        <w:t>N</w:t>
      </w:r>
      <w:r w:rsidR="00887612" w:rsidRPr="002C26C9">
        <w:rPr>
          <w:rFonts w:eastAsia="SimSun"/>
          <w:lang w:val="fr-FR"/>
        </w:rPr>
        <w:t>o</w:t>
      </w:r>
      <w:r>
        <w:rPr>
          <w:rFonts w:eastAsia="SimSun"/>
          <w:lang w:val="fr-FR"/>
        </w:rPr>
        <w:t> </w:t>
      </w:r>
      <w:r w:rsidRPr="00EB3946">
        <w:rPr>
          <w:rFonts w:eastAsia="SimSun"/>
          <w:lang w:val="fr-FR"/>
        </w:rPr>
        <w:t>ONU</w:t>
      </w:r>
      <w:r w:rsidR="00DC1B92">
        <w:rPr>
          <w:rFonts w:eastAsia="SimSun"/>
          <w:lang w:val="fr-FR"/>
        </w:rPr>
        <w:t> </w:t>
      </w:r>
      <w:r w:rsidRPr="00036363">
        <w:rPr>
          <w:rFonts w:eastAsia="SimSun"/>
          <w:lang w:val="fr-FR"/>
        </w:rPr>
        <w:t>1049</w:t>
      </w:r>
      <w:r w:rsidRPr="00EB3946">
        <w:rPr>
          <w:rFonts w:eastAsia="SimSun"/>
          <w:lang w:val="fr-FR"/>
        </w:rPr>
        <w:t xml:space="preserve"> HYDROGÈNE COMPRIMÉ peuvent être transportés remplis du </w:t>
      </w:r>
      <w:r w:rsidR="00887612">
        <w:rPr>
          <w:rFonts w:eastAsia="SimSun"/>
          <w:lang w:val="fr-FR"/>
        </w:rPr>
        <w:t>N</w:t>
      </w:r>
      <w:r w:rsidR="00887612" w:rsidRPr="002C26C9">
        <w:rPr>
          <w:rFonts w:eastAsia="SimSun"/>
          <w:lang w:val="fr-FR"/>
        </w:rPr>
        <w:t>o</w:t>
      </w:r>
      <w:r>
        <w:rPr>
          <w:rFonts w:eastAsia="SimSun"/>
          <w:lang w:val="fr-FR"/>
        </w:rPr>
        <w:t> </w:t>
      </w:r>
      <w:r w:rsidRPr="00EB3946">
        <w:rPr>
          <w:rFonts w:eastAsia="SimSun"/>
          <w:lang w:val="fr-FR"/>
        </w:rPr>
        <w:t>ONU</w:t>
      </w:r>
      <w:r w:rsidR="00DC1B92">
        <w:rPr>
          <w:rFonts w:eastAsia="SimSun"/>
          <w:lang w:val="fr-FR"/>
        </w:rPr>
        <w:t> </w:t>
      </w:r>
      <w:r w:rsidRPr="00036363">
        <w:rPr>
          <w:rFonts w:eastAsia="SimSun"/>
          <w:lang w:val="fr-FR"/>
        </w:rPr>
        <w:t>1066</w:t>
      </w:r>
      <w:r w:rsidRPr="00EB3946">
        <w:rPr>
          <w:rFonts w:eastAsia="SimSun"/>
          <w:lang w:val="fr-FR"/>
        </w:rPr>
        <w:t xml:space="preserve"> AZOTE COMPRIMÉ, aux fins d</w:t>
      </w:r>
      <w:r w:rsidR="00887612">
        <w:rPr>
          <w:rFonts w:eastAsia="SimSun"/>
          <w:lang w:val="fr-FR"/>
        </w:rPr>
        <w:t>’</w:t>
      </w:r>
      <w:r w:rsidRPr="00EB3946">
        <w:rPr>
          <w:rFonts w:eastAsia="SimSun"/>
          <w:lang w:val="fr-FR"/>
        </w:rPr>
        <w:t>assemblage, de contrôle périodique, d</w:t>
      </w:r>
      <w:r w:rsidR="00887612">
        <w:rPr>
          <w:rFonts w:eastAsia="SimSun"/>
          <w:lang w:val="fr-FR"/>
        </w:rPr>
        <w:t>’</w:t>
      </w:r>
      <w:r w:rsidRPr="00EB3946">
        <w:rPr>
          <w:rFonts w:eastAsia="SimSun"/>
          <w:lang w:val="fr-FR"/>
        </w:rPr>
        <w:t>entretien ou d</w:t>
      </w:r>
      <w:r w:rsidR="00887612">
        <w:rPr>
          <w:rFonts w:eastAsia="SimSun"/>
          <w:lang w:val="fr-FR"/>
        </w:rPr>
        <w:t>’</w:t>
      </w:r>
      <w:r w:rsidRPr="00EB3946">
        <w:rPr>
          <w:rFonts w:eastAsia="SimSun"/>
          <w:lang w:val="fr-FR"/>
        </w:rPr>
        <w:t>élimination, avec une pression interne suffisante pour maintenir le liner du récipient à pression</w:t>
      </w:r>
      <w:r w:rsidR="00036363" w:rsidRPr="00036363">
        <w:rPr>
          <w:rFonts w:eastAsia="SimSun"/>
          <w:lang w:val="fr-FR"/>
        </w:rPr>
        <w:t>.</w:t>
      </w:r>
      <w:r w:rsidRPr="00EB3946">
        <w:rPr>
          <w:rFonts w:eastAsia="SimSun"/>
          <w:lang w:val="fr-FR"/>
        </w:rPr>
        <w:t xml:space="preserve"> La</w:t>
      </w:r>
      <w:r w:rsidR="00DC1B92">
        <w:rPr>
          <w:rFonts w:eastAsia="SimSun"/>
          <w:lang w:val="fr-FR"/>
        </w:rPr>
        <w:t> </w:t>
      </w:r>
      <w:r w:rsidRPr="00EB3946">
        <w:rPr>
          <w:rFonts w:eastAsia="SimSun"/>
          <w:lang w:val="fr-FR"/>
        </w:rPr>
        <w:t xml:space="preserve">pression ne doit pas dépasser la valeur la plus basse entre </w:t>
      </w:r>
      <w:r w:rsidRPr="00036363">
        <w:rPr>
          <w:rFonts w:eastAsia="SimSun"/>
          <w:lang w:val="fr-FR"/>
        </w:rPr>
        <w:t>10</w:t>
      </w:r>
      <w:r w:rsidR="00887612">
        <w:rPr>
          <w:rFonts w:eastAsia="SimSun"/>
          <w:lang w:val="fr-FR"/>
        </w:rPr>
        <w:t> %</w:t>
      </w:r>
      <w:r w:rsidRPr="00EB3946">
        <w:rPr>
          <w:rFonts w:eastAsia="SimSun"/>
          <w:lang w:val="fr-FR"/>
        </w:rPr>
        <w:t xml:space="preserve"> de la pression de service et </w:t>
      </w:r>
      <w:r w:rsidRPr="00036363">
        <w:rPr>
          <w:rFonts w:eastAsia="SimSun"/>
          <w:lang w:val="fr-FR"/>
        </w:rPr>
        <w:t>20</w:t>
      </w:r>
      <w:r w:rsidRPr="00EB3946">
        <w:rPr>
          <w:rFonts w:eastAsia="SimSun"/>
          <w:lang w:val="fr-FR"/>
        </w:rPr>
        <w:t xml:space="preserve"> bar</w:t>
      </w:r>
      <w:r w:rsidR="00036363" w:rsidRPr="00036363">
        <w:rPr>
          <w:rFonts w:eastAsia="SimSun"/>
          <w:lang w:val="fr-FR"/>
        </w:rPr>
        <w:t>.</w:t>
      </w:r>
      <w:r w:rsidRPr="00EB3946">
        <w:rPr>
          <w:rFonts w:eastAsia="SimSun"/>
          <w:lang w:val="fr-FR"/>
        </w:rPr>
        <w:t xml:space="preserve"> </w:t>
      </w:r>
    </w:p>
    <w:p w14:paraId="46614F9F" w14:textId="3043A99F" w:rsidR="00887612" w:rsidRDefault="00CE245A" w:rsidP="00E53F6E">
      <w:pPr>
        <w:spacing w:after="120"/>
        <w:ind w:left="2268" w:right="1134"/>
        <w:jc w:val="both"/>
        <w:rPr>
          <w:rFonts w:eastAsia="SimSun"/>
          <w:lang w:val="fr-FR"/>
        </w:rPr>
      </w:pPr>
      <w:r w:rsidRPr="00EB3946">
        <w:rPr>
          <w:rFonts w:eastAsia="SimSun"/>
          <w:lang w:val="fr-FR"/>
        </w:rPr>
        <w:t xml:space="preserve">Les wagons-batteries/véhicules-batteries et les CGEM destinés au transport du </w:t>
      </w:r>
      <w:r w:rsidR="00887612">
        <w:rPr>
          <w:rFonts w:eastAsia="SimSun"/>
          <w:lang w:val="fr-FR"/>
        </w:rPr>
        <w:t>N</w:t>
      </w:r>
      <w:r w:rsidR="00887612" w:rsidRPr="002C26C9">
        <w:rPr>
          <w:rFonts w:eastAsia="SimSun"/>
          <w:lang w:val="fr-FR"/>
        </w:rPr>
        <w:t>o</w:t>
      </w:r>
      <w:r>
        <w:rPr>
          <w:rFonts w:eastAsia="SimSun"/>
          <w:lang w:val="fr-FR"/>
        </w:rPr>
        <w:t> </w:t>
      </w:r>
      <w:r w:rsidRPr="00EB3946">
        <w:rPr>
          <w:rFonts w:eastAsia="SimSun"/>
          <w:lang w:val="fr-FR"/>
        </w:rPr>
        <w:t>ONU</w:t>
      </w:r>
      <w:r w:rsidR="00DC1B92">
        <w:rPr>
          <w:rFonts w:eastAsia="SimSun"/>
          <w:lang w:val="fr-FR"/>
        </w:rPr>
        <w:t> </w:t>
      </w:r>
      <w:r w:rsidRPr="00036363">
        <w:rPr>
          <w:rFonts w:eastAsia="SimSun"/>
          <w:lang w:val="fr-FR"/>
        </w:rPr>
        <w:t>1049</w:t>
      </w:r>
      <w:r w:rsidRPr="00EB3946">
        <w:rPr>
          <w:rFonts w:eastAsia="SimSun"/>
          <w:lang w:val="fr-FR"/>
        </w:rPr>
        <w:t xml:space="preserve"> HYDROGÈNE COMPRIMÉ, contenant des récipients à pression agréés conformément à la norme EN</w:t>
      </w:r>
      <w:r w:rsidR="00DC1B92">
        <w:rPr>
          <w:rFonts w:eastAsia="SimSun"/>
          <w:lang w:val="fr-FR"/>
        </w:rPr>
        <w:t> </w:t>
      </w:r>
      <w:r w:rsidRPr="00036363">
        <w:rPr>
          <w:rFonts w:eastAsia="SimSun"/>
          <w:lang w:val="fr-FR"/>
        </w:rPr>
        <w:t>17339</w:t>
      </w:r>
      <w:r w:rsidRPr="00EB3946">
        <w:rPr>
          <w:rFonts w:eastAsia="SimSun"/>
          <w:lang w:val="fr-FR"/>
        </w:rPr>
        <w:t xml:space="preserve">, peuvent être transportés avec le </w:t>
      </w:r>
      <w:r w:rsidR="00887612">
        <w:rPr>
          <w:rFonts w:eastAsia="SimSun"/>
          <w:lang w:val="fr-FR"/>
        </w:rPr>
        <w:t>N</w:t>
      </w:r>
      <w:r w:rsidR="00887612" w:rsidRPr="002C26C9">
        <w:rPr>
          <w:rFonts w:eastAsia="SimSun"/>
          <w:lang w:val="fr-FR"/>
        </w:rPr>
        <w:t>o</w:t>
      </w:r>
      <w:r>
        <w:rPr>
          <w:rFonts w:eastAsia="SimSun"/>
          <w:lang w:val="fr-FR"/>
        </w:rPr>
        <w:t> </w:t>
      </w:r>
      <w:r w:rsidRPr="00EB3946">
        <w:rPr>
          <w:rFonts w:eastAsia="SimSun"/>
          <w:lang w:val="fr-FR"/>
        </w:rPr>
        <w:t>ONU</w:t>
      </w:r>
      <w:r w:rsidR="00DC1B92">
        <w:rPr>
          <w:rFonts w:eastAsia="SimSun"/>
          <w:lang w:val="fr-FR"/>
        </w:rPr>
        <w:t> </w:t>
      </w:r>
      <w:r w:rsidRPr="00036363">
        <w:rPr>
          <w:rFonts w:eastAsia="SimSun"/>
          <w:lang w:val="fr-FR"/>
        </w:rPr>
        <w:t>1066</w:t>
      </w:r>
      <w:r w:rsidRPr="00EB3946">
        <w:rPr>
          <w:rFonts w:eastAsia="SimSun"/>
          <w:lang w:val="fr-FR"/>
        </w:rPr>
        <w:t xml:space="preserve"> AZOTE COMPRIMÉ en vue du premier remplissage, du contrôle périodique, de l</w:t>
      </w:r>
      <w:r w:rsidR="00887612">
        <w:rPr>
          <w:rFonts w:eastAsia="SimSun"/>
          <w:lang w:val="fr-FR"/>
        </w:rPr>
        <w:t>’</w:t>
      </w:r>
      <w:r w:rsidRPr="00EB3946">
        <w:rPr>
          <w:rFonts w:eastAsia="SimSun"/>
          <w:lang w:val="fr-FR"/>
        </w:rPr>
        <w:t>entretien ou de l</w:t>
      </w:r>
      <w:r w:rsidR="00887612">
        <w:rPr>
          <w:rFonts w:eastAsia="SimSun"/>
          <w:lang w:val="fr-FR"/>
        </w:rPr>
        <w:t>’</w:t>
      </w:r>
      <w:r w:rsidRPr="00EB3946">
        <w:rPr>
          <w:rFonts w:eastAsia="SimSun"/>
          <w:lang w:val="fr-FR"/>
        </w:rPr>
        <w:t>élimination avec une pression interne suffisante pour maintenir le liner du récipient à pression</w:t>
      </w:r>
      <w:r w:rsidR="00036363" w:rsidRPr="00036363">
        <w:rPr>
          <w:rFonts w:eastAsia="SimSun"/>
          <w:lang w:val="fr-FR"/>
        </w:rPr>
        <w:t>.</w:t>
      </w:r>
      <w:r w:rsidRPr="00EB3946">
        <w:rPr>
          <w:rFonts w:eastAsia="SimSun"/>
          <w:lang w:val="fr-FR"/>
        </w:rPr>
        <w:t xml:space="preserve"> La pression ne doit pas être supérieure à la valeur la plus basse entre </w:t>
      </w:r>
      <w:r w:rsidRPr="00036363">
        <w:rPr>
          <w:rFonts w:eastAsia="SimSun"/>
          <w:lang w:val="fr-FR"/>
        </w:rPr>
        <w:t>10</w:t>
      </w:r>
      <w:r w:rsidR="00887612">
        <w:rPr>
          <w:rFonts w:eastAsia="SimSun"/>
          <w:lang w:val="fr-FR"/>
        </w:rPr>
        <w:t> %</w:t>
      </w:r>
      <w:r w:rsidRPr="00EB3946">
        <w:rPr>
          <w:rFonts w:eastAsia="SimSun"/>
          <w:lang w:val="fr-FR"/>
        </w:rPr>
        <w:t xml:space="preserve"> de la pression de service et </w:t>
      </w:r>
      <w:r w:rsidRPr="00036363">
        <w:rPr>
          <w:rFonts w:eastAsia="SimSun"/>
          <w:lang w:val="fr-FR"/>
        </w:rPr>
        <w:t>20</w:t>
      </w:r>
      <w:r w:rsidRPr="00EB3946">
        <w:rPr>
          <w:rFonts w:eastAsia="SimSun"/>
          <w:lang w:val="fr-FR"/>
        </w:rPr>
        <w:t xml:space="preserve"> bar</w:t>
      </w:r>
      <w:r w:rsidR="00036363" w:rsidRPr="00036363">
        <w:rPr>
          <w:rFonts w:eastAsia="SimSun"/>
          <w:lang w:val="fr-FR"/>
        </w:rPr>
        <w:t>.</w:t>
      </w:r>
    </w:p>
    <w:p w14:paraId="5434CE85" w14:textId="582379F6" w:rsidR="00CE245A" w:rsidRPr="00D11D38" w:rsidRDefault="00CE245A" w:rsidP="00E53F6E">
      <w:pPr>
        <w:spacing w:after="120"/>
        <w:ind w:left="2268" w:right="1134"/>
        <w:jc w:val="both"/>
        <w:rPr>
          <w:rFonts w:eastAsia="SimSun"/>
          <w:lang w:val="fr-FR"/>
        </w:rPr>
      </w:pPr>
      <w:r w:rsidRPr="00EB3946">
        <w:rPr>
          <w:rFonts w:eastAsia="SimSun"/>
          <w:lang w:val="fr-FR"/>
        </w:rPr>
        <w:t>Le document de transport doit contenir la mention suivante</w:t>
      </w:r>
      <w:r w:rsidR="00887612">
        <w:rPr>
          <w:rFonts w:eastAsia="SimSun"/>
          <w:lang w:val="fr-FR"/>
        </w:rPr>
        <w:t> :</w:t>
      </w:r>
      <w:r w:rsidRPr="00EB3946">
        <w:rPr>
          <w:rFonts w:eastAsia="SimSun"/>
          <w:lang w:val="fr-FR"/>
        </w:rPr>
        <w:t xml:space="preserve"> </w:t>
      </w:r>
      <w:r w:rsidR="001C2141">
        <w:rPr>
          <w:rFonts w:eastAsia="SimSun"/>
          <w:lang w:val="fr-FR"/>
        </w:rPr>
        <w:t>“</w:t>
      </w:r>
      <w:r w:rsidRPr="00EB3946">
        <w:rPr>
          <w:rFonts w:eastAsia="SimSun"/>
          <w:lang w:val="fr-FR"/>
        </w:rPr>
        <w:t>Transport selon la disposition</w:t>
      </w:r>
      <w:r w:rsidR="00473D4B">
        <w:rPr>
          <w:rFonts w:eastAsia="SimSun"/>
          <w:lang w:val="fr-FR"/>
        </w:rPr>
        <w:t xml:space="preserve"> </w:t>
      </w:r>
      <w:r w:rsidRPr="00EB3946">
        <w:rPr>
          <w:rFonts w:eastAsia="SimSun"/>
          <w:lang w:val="fr-FR"/>
        </w:rPr>
        <w:t xml:space="preserve">spéciale </w:t>
      </w:r>
      <w:r w:rsidRPr="00036363">
        <w:rPr>
          <w:rFonts w:eastAsia="SimSun"/>
          <w:lang w:val="fr-FR"/>
        </w:rPr>
        <w:t>679</w:t>
      </w:r>
      <w:r w:rsidR="001C2141" w:rsidRPr="001C2141">
        <w:rPr>
          <w:rFonts w:eastAsia="SimSun"/>
          <w:lang w:val="fr-FR"/>
        </w:rPr>
        <w:t>”</w:t>
      </w:r>
      <w:r w:rsidR="00036363" w:rsidRPr="00036363">
        <w:rPr>
          <w:rFonts w:eastAsia="SimSun"/>
          <w:lang w:val="fr-FR"/>
        </w:rPr>
        <w:t>.</w:t>
      </w:r>
    </w:p>
    <w:p w14:paraId="08E3B6A9" w14:textId="63705D0F" w:rsidR="00CE245A" w:rsidRPr="00EB3946" w:rsidRDefault="00CE245A" w:rsidP="00E53F6E">
      <w:pPr>
        <w:spacing w:after="120"/>
        <w:ind w:left="2268" w:right="1134"/>
        <w:jc w:val="both"/>
        <w:rPr>
          <w:rFonts w:eastAsia="SimSun"/>
          <w:lang w:val="fr-FR"/>
        </w:rPr>
      </w:pPr>
      <w:r w:rsidRPr="00EB3946">
        <w:rPr>
          <w:rFonts w:eastAsia="SimSun"/>
          <w:lang w:val="fr-FR"/>
        </w:rPr>
        <w:t>Toutes les autres prescriptions du RID</w:t>
      </w:r>
      <w:r w:rsidRPr="00D11D38">
        <w:rPr>
          <w:rFonts w:eastAsia="SimSun"/>
          <w:lang w:val="fr-FR"/>
        </w:rPr>
        <w:t xml:space="preserve"> et </w:t>
      </w:r>
      <w:r w:rsidRPr="00EB3946">
        <w:rPr>
          <w:rFonts w:eastAsia="SimSun"/>
          <w:lang w:val="fr-FR"/>
        </w:rPr>
        <w:t>de l</w:t>
      </w:r>
      <w:r w:rsidR="00887612">
        <w:rPr>
          <w:rFonts w:eastAsia="SimSun"/>
          <w:lang w:val="fr-FR"/>
        </w:rPr>
        <w:t>’</w:t>
      </w:r>
      <w:r w:rsidRPr="00EB3946">
        <w:rPr>
          <w:rFonts w:eastAsia="SimSun"/>
          <w:lang w:val="fr-FR"/>
        </w:rPr>
        <w:t>ADR doivent être respectées</w:t>
      </w:r>
      <w:r w:rsidR="00036363" w:rsidRPr="00036363">
        <w:rPr>
          <w:rFonts w:eastAsia="SimSun"/>
          <w:lang w:val="fr-FR"/>
        </w:rPr>
        <w:t>.</w:t>
      </w:r>
      <w:r w:rsidR="00B4054B">
        <w:rPr>
          <w:rFonts w:eastAsia="SimSun"/>
          <w:lang w:val="fr-FR"/>
        </w:rPr>
        <w:t> </w:t>
      </w:r>
      <w:r w:rsidRPr="00EB3946">
        <w:rPr>
          <w:rFonts w:eastAsia="SimSun"/>
          <w:lang w:val="fr-FR"/>
        </w:rPr>
        <w:t>»</w:t>
      </w:r>
      <w:r w:rsidR="00036363" w:rsidRPr="00036363">
        <w:rPr>
          <w:rFonts w:eastAsia="SimSun"/>
          <w:lang w:val="fr-FR"/>
        </w:rPr>
        <w:t>.</w:t>
      </w:r>
    </w:p>
    <w:p w14:paraId="22E32BEA" w14:textId="51B3F3D6"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document informel INF</w:t>
      </w:r>
      <w:r w:rsidR="00036363" w:rsidRPr="00036363">
        <w:rPr>
          <w:rFonts w:eastAsia="SimSun"/>
          <w:i/>
          <w:iCs/>
          <w:lang w:val="fr-FR" w:eastAsia="zh-CN"/>
        </w:rPr>
        <w:t>.</w:t>
      </w:r>
      <w:r w:rsidRPr="00036363">
        <w:rPr>
          <w:rFonts w:eastAsia="SimSun"/>
          <w:i/>
          <w:iCs/>
          <w:lang w:val="fr-FR" w:eastAsia="zh-CN"/>
        </w:rPr>
        <w:t>28/Rev</w:t>
      </w:r>
      <w:r w:rsidR="00036363" w:rsidRPr="00036363">
        <w:rPr>
          <w:rFonts w:eastAsia="SimSun"/>
          <w:i/>
          <w:iCs/>
          <w:lang w:val="fr-FR" w:eastAsia="zh-CN"/>
        </w:rPr>
        <w:t>.</w:t>
      </w:r>
      <w:r w:rsidRPr="00036363">
        <w:rPr>
          <w:rFonts w:eastAsia="SimSun"/>
          <w:i/>
          <w:iCs/>
          <w:lang w:val="fr-FR" w:eastAsia="zh-CN"/>
        </w:rPr>
        <w:t>1 tel que modifié)</w:t>
      </w:r>
    </w:p>
    <w:p w14:paraId="00188488" w14:textId="7676E839" w:rsidR="00CE245A" w:rsidRPr="00EB3946" w:rsidRDefault="00CE245A" w:rsidP="00220B9D">
      <w:pPr>
        <w:pStyle w:val="H1G"/>
        <w:rPr>
          <w:lang w:val="fr-FR"/>
        </w:rPr>
      </w:pPr>
      <w:r w:rsidRPr="00EB3946">
        <w:rPr>
          <w:lang w:val="fr-FR"/>
        </w:rPr>
        <w:tab/>
      </w:r>
      <w:r w:rsidRPr="00EB3946">
        <w:rPr>
          <w:lang w:val="fr-FR"/>
        </w:rPr>
        <w:tab/>
        <w:t xml:space="preserve">Chapitre </w:t>
      </w:r>
      <w:r w:rsidRPr="00036363">
        <w:rPr>
          <w:lang w:val="fr-FR"/>
        </w:rPr>
        <w:t>4</w:t>
      </w:r>
      <w:r w:rsidR="00036363" w:rsidRPr="00036363">
        <w:rPr>
          <w:lang w:val="fr-FR"/>
        </w:rPr>
        <w:t>.</w:t>
      </w:r>
      <w:r w:rsidRPr="00036363">
        <w:rPr>
          <w:lang w:val="fr-FR"/>
        </w:rPr>
        <w:t>1</w:t>
      </w:r>
    </w:p>
    <w:p w14:paraId="47A104B0" w14:textId="58B2C2E3" w:rsidR="00CE245A" w:rsidRPr="00EB3946" w:rsidRDefault="00CE245A" w:rsidP="00B137C4">
      <w:pPr>
        <w:pStyle w:val="SingleTxtG"/>
        <w:rPr>
          <w:lang w:val="fr-FR" w:eastAsia="zh-CN"/>
        </w:rPr>
      </w:pPr>
      <w:r w:rsidRPr="00EB3946">
        <w:rPr>
          <w:lang w:val="fr-FR" w:eastAsia="zh-CN"/>
        </w:rPr>
        <w:t>(RID/ADR</w:t>
      </w:r>
      <w:r w:rsidR="00887612">
        <w:rPr>
          <w:lang w:val="fr-FR" w:eastAsia="zh-CN"/>
        </w:rPr>
        <w:t> :</w:t>
      </w:r>
      <w:r w:rsidRPr="00EB3946">
        <w:rPr>
          <w:lang w:val="fr-FR" w:eastAsia="zh-CN"/>
        </w:rPr>
        <w:t>)</w:t>
      </w:r>
    </w:p>
    <w:p w14:paraId="073D9F05" w14:textId="3724BDAD" w:rsidR="00CE245A" w:rsidRPr="00EB3946" w:rsidRDefault="00CE245A" w:rsidP="00EB55F6">
      <w:pPr>
        <w:pStyle w:val="SingleTxtG"/>
        <w:tabs>
          <w:tab w:val="clear" w:pos="1701"/>
          <w:tab w:val="clear" w:pos="2835"/>
        </w:tabs>
        <w:ind w:left="2268" w:hanging="1134"/>
        <w:rPr>
          <w:rFonts w:eastAsia="SimSun"/>
          <w:lang w:val="fr-FR" w:eastAsia="zh-CN"/>
        </w:rPr>
      </w:pPr>
      <w:r w:rsidRPr="00036363">
        <w:rPr>
          <w:lang w:val="fr-FR" w:eastAsia="zh-CN"/>
        </w:rPr>
        <w:t>4</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1</w:t>
      </w:r>
      <w:r w:rsidR="00036363" w:rsidRPr="00036363">
        <w:rPr>
          <w:lang w:val="fr-FR" w:eastAsia="zh-CN"/>
        </w:rPr>
        <w:t>.</w:t>
      </w:r>
      <w:r w:rsidRPr="00036363">
        <w:rPr>
          <w:lang w:val="fr-FR" w:eastAsia="zh-CN"/>
        </w:rPr>
        <w:t>21</w:t>
      </w:r>
      <w:r w:rsidR="00036363" w:rsidRPr="00036363">
        <w:rPr>
          <w:lang w:val="fr-FR" w:eastAsia="zh-CN"/>
        </w:rPr>
        <w:t>.</w:t>
      </w:r>
      <w:r w:rsidRPr="00036363">
        <w:rPr>
          <w:lang w:val="fr-FR" w:eastAsia="zh-CN"/>
        </w:rPr>
        <w:t>6</w:t>
      </w:r>
      <w:r w:rsidRPr="00EB3946">
        <w:rPr>
          <w:lang w:val="fr-FR" w:eastAsia="zh-CN"/>
        </w:rPr>
        <w:tab/>
        <w:t>Dans le tableau, placer les notes de bas de tableau * et ** directement sous le tableau, aux pages où elles apparaissent, et les renuméroter dans l</w:t>
      </w:r>
      <w:r w:rsidR="00887612">
        <w:rPr>
          <w:lang w:val="fr-FR" w:eastAsia="zh-CN"/>
        </w:rPr>
        <w:t>’</w:t>
      </w:r>
      <w:r w:rsidRPr="00EB3946">
        <w:rPr>
          <w:lang w:val="fr-FR" w:eastAsia="zh-CN"/>
        </w:rPr>
        <w:t xml:space="preserve">ordre en tant que notes </w:t>
      </w:r>
      <w:r w:rsidRPr="00B05F93">
        <w:rPr>
          <w:i/>
          <w:iCs/>
          <w:vertAlign w:val="superscript"/>
          <w:lang w:val="fr-FR" w:eastAsia="zh-CN"/>
        </w:rPr>
        <w:t>a</w:t>
      </w:r>
      <w:r w:rsidRPr="00EB3946">
        <w:rPr>
          <w:lang w:val="fr-FR" w:eastAsia="zh-CN"/>
        </w:rPr>
        <w:t xml:space="preserve"> et </w:t>
      </w:r>
      <w:r w:rsidRPr="00B05F93">
        <w:rPr>
          <w:i/>
          <w:iCs/>
          <w:vertAlign w:val="superscript"/>
          <w:lang w:val="fr-FR" w:eastAsia="zh-CN"/>
        </w:rPr>
        <w:t>b</w:t>
      </w:r>
      <w:r w:rsidR="00036363" w:rsidRPr="00036363">
        <w:rPr>
          <w:lang w:val="fr-FR" w:eastAsia="zh-CN"/>
        </w:rPr>
        <w:t>.</w:t>
      </w:r>
    </w:p>
    <w:p w14:paraId="620A4414" w14:textId="787200AC"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EB3946">
        <w:rPr>
          <w:lang w:val="fr-FR" w:eastAsia="zh-CN"/>
        </w:rPr>
        <w:t xml:space="preserve"> </w:t>
      </w:r>
      <w:r w:rsidRPr="00036363">
        <w:rPr>
          <w:rFonts w:eastAsia="SimSun"/>
          <w:i/>
          <w:iCs/>
          <w:lang w:val="fr-FR" w:eastAsia="zh-CN"/>
        </w:rPr>
        <w:t>ECE/TRANS/WP</w:t>
      </w:r>
      <w:r w:rsidR="00036363" w:rsidRPr="00036363">
        <w:rPr>
          <w:rFonts w:eastAsia="SimSun"/>
          <w:i/>
          <w:iCs/>
          <w:lang w:val="fr-FR" w:eastAsia="zh-CN"/>
        </w:rPr>
        <w:t>.</w:t>
      </w:r>
      <w:r w:rsidRPr="00036363">
        <w:rPr>
          <w:rFonts w:eastAsia="SimSun"/>
          <w:i/>
          <w:iCs/>
          <w:lang w:val="fr-FR" w:eastAsia="zh-CN"/>
        </w:rPr>
        <w:t>15/AC</w:t>
      </w:r>
      <w:r w:rsidR="00036363" w:rsidRPr="00036363">
        <w:rPr>
          <w:rFonts w:eastAsia="SimSun"/>
          <w:i/>
          <w:iCs/>
          <w:lang w:val="fr-FR" w:eastAsia="zh-CN"/>
        </w:rPr>
        <w:t>.</w:t>
      </w:r>
      <w:r w:rsidRPr="00036363">
        <w:rPr>
          <w:rFonts w:eastAsia="SimSun"/>
          <w:i/>
          <w:iCs/>
          <w:lang w:val="fr-FR" w:eastAsia="zh-CN"/>
        </w:rPr>
        <w:t>1/2024/46, proposition 2)</w:t>
      </w:r>
    </w:p>
    <w:p w14:paraId="3EE2951F" w14:textId="71744A1A" w:rsidR="00CE245A" w:rsidRPr="00D11D38" w:rsidRDefault="00CE245A" w:rsidP="00220B9D">
      <w:pPr>
        <w:pStyle w:val="H1G"/>
        <w:rPr>
          <w:lang w:val="fr-FR"/>
        </w:rPr>
      </w:pPr>
      <w:r w:rsidRPr="00D11D38">
        <w:rPr>
          <w:lang w:val="fr-FR"/>
        </w:rPr>
        <w:tab/>
      </w:r>
      <w:r w:rsidRPr="00D11D38">
        <w:rPr>
          <w:lang w:val="fr-FR"/>
        </w:rPr>
        <w:tab/>
        <w:t xml:space="preserve">Chapitre </w:t>
      </w:r>
      <w:r w:rsidRPr="00036363">
        <w:rPr>
          <w:lang w:val="fr-FR"/>
        </w:rPr>
        <w:t>6</w:t>
      </w:r>
      <w:r w:rsidR="00036363" w:rsidRPr="00036363">
        <w:rPr>
          <w:lang w:val="fr-FR"/>
        </w:rPr>
        <w:t>.</w:t>
      </w:r>
      <w:r w:rsidRPr="00036363">
        <w:rPr>
          <w:lang w:val="fr-FR"/>
        </w:rPr>
        <w:t>2</w:t>
      </w:r>
    </w:p>
    <w:p w14:paraId="157FA8A5" w14:textId="5472DF9A" w:rsidR="00CE245A" w:rsidRPr="00EB3946" w:rsidRDefault="00CE245A" w:rsidP="00EB55F6">
      <w:pPr>
        <w:pStyle w:val="SingleTxtG"/>
        <w:tabs>
          <w:tab w:val="clear" w:pos="1701"/>
          <w:tab w:val="clear" w:pos="2835"/>
        </w:tabs>
        <w:ind w:left="2268" w:hanging="1134"/>
        <w:rPr>
          <w:lang w:val="fr-FR"/>
        </w:rPr>
      </w:pP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3</w:t>
      </w:r>
      <w:r w:rsidR="00036363" w:rsidRPr="00036363">
        <w:rPr>
          <w:lang w:val="fr-FR"/>
        </w:rPr>
        <w:t>.</w:t>
      </w:r>
      <w:r w:rsidRPr="00036363">
        <w:rPr>
          <w:lang w:val="fr-FR"/>
        </w:rPr>
        <w:t>5</w:t>
      </w:r>
      <w:r w:rsidR="00036363" w:rsidRPr="00036363">
        <w:rPr>
          <w:lang w:val="fr-FR"/>
        </w:rPr>
        <w:t>.</w:t>
      </w:r>
      <w:r w:rsidRPr="00036363">
        <w:rPr>
          <w:lang w:val="fr-FR"/>
        </w:rPr>
        <w:t>1</w:t>
      </w:r>
      <w:r w:rsidRPr="00EB3946">
        <w:rPr>
          <w:lang w:val="fr-FR"/>
        </w:rPr>
        <w:tab/>
        <w:t xml:space="preserve">Au nota </w:t>
      </w:r>
      <w:r w:rsidRPr="00036363">
        <w:rPr>
          <w:lang w:val="fr-FR"/>
        </w:rPr>
        <w:t>3</w:t>
      </w:r>
      <w:r w:rsidRPr="00EB3946">
        <w:rPr>
          <w:lang w:val="fr-FR"/>
        </w:rPr>
        <w:t>, dans la première phrase, remplacer « EN</w:t>
      </w:r>
      <w:r w:rsidR="007052E7">
        <w:rPr>
          <w:lang w:val="fr-FR"/>
        </w:rPr>
        <w:t> </w:t>
      </w:r>
      <w:r w:rsidRPr="00EB3946">
        <w:rPr>
          <w:lang w:val="fr-FR"/>
        </w:rPr>
        <w:t>ISO</w:t>
      </w:r>
      <w:r w:rsidR="007052E7">
        <w:rPr>
          <w:lang w:val="fr-FR"/>
        </w:rPr>
        <w:t> </w:t>
      </w:r>
      <w:r w:rsidRPr="00036363">
        <w:rPr>
          <w:lang w:val="fr-FR"/>
        </w:rPr>
        <w:t>18119</w:t>
      </w:r>
      <w:r w:rsidR="00887612">
        <w:rPr>
          <w:lang w:val="fr-FR"/>
        </w:rPr>
        <w:t>:</w:t>
      </w:r>
      <w:r w:rsidRPr="00036363">
        <w:rPr>
          <w:lang w:val="fr-FR"/>
        </w:rPr>
        <w:t>2018</w:t>
      </w:r>
      <w:r w:rsidRPr="00EB3946">
        <w:rPr>
          <w:lang w:val="fr-FR"/>
        </w:rPr>
        <w:t xml:space="preserve"> + A</w:t>
      </w:r>
      <w:r w:rsidRPr="00036363">
        <w:rPr>
          <w:lang w:val="fr-FR"/>
        </w:rPr>
        <w:t>1</w:t>
      </w:r>
      <w:r w:rsidR="00887612">
        <w:rPr>
          <w:lang w:val="fr-FR"/>
        </w:rPr>
        <w:t>:</w:t>
      </w:r>
      <w:r w:rsidRPr="00036363">
        <w:rPr>
          <w:lang w:val="fr-FR"/>
        </w:rPr>
        <w:t>2021</w:t>
      </w:r>
      <w:r w:rsidRPr="00EB3946">
        <w:rPr>
          <w:lang w:val="fr-FR"/>
        </w:rPr>
        <w:t> » par « EN</w:t>
      </w:r>
      <w:r w:rsidR="007052E7">
        <w:rPr>
          <w:lang w:val="fr-FR"/>
        </w:rPr>
        <w:t> </w:t>
      </w:r>
      <w:r w:rsidRPr="00EB3946">
        <w:rPr>
          <w:lang w:val="fr-FR"/>
        </w:rPr>
        <w:t>ISO</w:t>
      </w:r>
      <w:r w:rsidR="007052E7">
        <w:rPr>
          <w:lang w:val="fr-FR"/>
        </w:rPr>
        <w:t> </w:t>
      </w:r>
      <w:r w:rsidRPr="00036363">
        <w:rPr>
          <w:lang w:val="fr-FR"/>
        </w:rPr>
        <w:t>18119</w:t>
      </w:r>
      <w:r w:rsidR="00887612">
        <w:rPr>
          <w:lang w:val="fr-FR"/>
        </w:rPr>
        <w:t>:</w:t>
      </w:r>
      <w:r w:rsidRPr="00036363">
        <w:rPr>
          <w:lang w:val="fr-FR"/>
        </w:rPr>
        <w:t>2018</w:t>
      </w:r>
      <w:r w:rsidRPr="00EB3946">
        <w:rPr>
          <w:lang w:val="fr-FR"/>
        </w:rPr>
        <w:t xml:space="preserve"> + A</w:t>
      </w:r>
      <w:r w:rsidRPr="00036363">
        <w:rPr>
          <w:lang w:val="fr-FR"/>
        </w:rPr>
        <w:t>1</w:t>
      </w:r>
      <w:r w:rsidR="00887612">
        <w:rPr>
          <w:lang w:val="fr-FR"/>
        </w:rPr>
        <w:t>:</w:t>
      </w:r>
      <w:r w:rsidRPr="00036363">
        <w:rPr>
          <w:lang w:val="fr-FR"/>
        </w:rPr>
        <w:t>2021</w:t>
      </w:r>
      <w:r w:rsidRPr="00EB3946">
        <w:rPr>
          <w:lang w:val="fr-FR"/>
        </w:rPr>
        <w:t xml:space="preserve"> + A</w:t>
      </w:r>
      <w:r w:rsidRPr="00036363">
        <w:rPr>
          <w:lang w:val="fr-FR"/>
        </w:rPr>
        <w:t>2</w:t>
      </w:r>
      <w:r w:rsidR="00887612">
        <w:rPr>
          <w:lang w:val="fr-FR"/>
        </w:rPr>
        <w:t>:</w:t>
      </w:r>
      <w:r w:rsidRPr="00EB3946">
        <w:rPr>
          <w:lang w:val="fr-FR"/>
        </w:rPr>
        <w:t xml:space="preserve"> </w:t>
      </w:r>
      <w:r w:rsidRPr="00036363">
        <w:rPr>
          <w:lang w:val="fr-FR"/>
        </w:rPr>
        <w:t>2024</w:t>
      </w:r>
      <w:r w:rsidRPr="00EB3946">
        <w:rPr>
          <w:lang w:val="fr-FR"/>
        </w:rPr>
        <w:t> »</w:t>
      </w:r>
      <w:r w:rsidR="00036363" w:rsidRPr="00036363">
        <w:rPr>
          <w:lang w:val="fr-FR"/>
        </w:rPr>
        <w:t>.</w:t>
      </w:r>
    </w:p>
    <w:p w14:paraId="5D75885F" w14:textId="4D4ADD63" w:rsidR="00CE245A" w:rsidRPr="00036363" w:rsidRDefault="00CE245A" w:rsidP="008E42F9">
      <w:pPr>
        <w:pStyle w:val="SingleTxtG"/>
        <w:rPr>
          <w:rFonts w:eastAsia="Calibri"/>
          <w:i/>
          <w:iCs/>
          <w:lang w:val="fr-FR"/>
        </w:rPr>
      </w:pPr>
      <w:r w:rsidRPr="00036363">
        <w:rPr>
          <w:rFonts w:eastAsia="Calibri"/>
          <w:i/>
          <w:iCs/>
          <w:lang w:val="fr-FR"/>
        </w:rPr>
        <w:t>(Document de référence</w:t>
      </w:r>
      <w:r w:rsidR="00887612" w:rsidRPr="00036363">
        <w:rPr>
          <w:rFonts w:eastAsia="Calibri"/>
          <w:i/>
          <w:iCs/>
          <w:lang w:val="fr-FR"/>
        </w:rPr>
        <w:t> :</w:t>
      </w:r>
      <w:r w:rsidRPr="00036363">
        <w:rPr>
          <w:rFonts w:eastAsia="Calibri"/>
          <w:i/>
          <w:iCs/>
          <w:lang w:val="fr-FR"/>
        </w:rPr>
        <w:t xml:space="preserve"> </w:t>
      </w:r>
      <w:r w:rsidRPr="00036363">
        <w:rPr>
          <w:i/>
          <w:iCs/>
          <w:lang w:val="fr-FR"/>
        </w:rPr>
        <w:t>document informel INF</w:t>
      </w:r>
      <w:r w:rsidR="00036363" w:rsidRPr="00036363">
        <w:rPr>
          <w:i/>
          <w:iCs/>
          <w:lang w:val="fr-FR"/>
        </w:rPr>
        <w:t>.</w:t>
      </w:r>
      <w:r w:rsidRPr="00036363">
        <w:rPr>
          <w:i/>
          <w:iCs/>
          <w:lang w:val="fr-FR"/>
        </w:rPr>
        <w:t>5</w:t>
      </w:r>
      <w:r w:rsidRPr="00036363">
        <w:rPr>
          <w:rFonts w:eastAsia="Calibri"/>
          <w:i/>
          <w:iCs/>
          <w:lang w:val="fr-FR"/>
        </w:rPr>
        <w:t>)</w:t>
      </w:r>
    </w:p>
    <w:p w14:paraId="00FD9AD4" w14:textId="24F0FF3D" w:rsidR="00CE245A" w:rsidRPr="00EB3946" w:rsidRDefault="00CE245A" w:rsidP="00EB55F6">
      <w:pPr>
        <w:pStyle w:val="SingleTxtG"/>
        <w:tabs>
          <w:tab w:val="clear" w:pos="1701"/>
          <w:tab w:val="clear" w:pos="2835"/>
        </w:tabs>
        <w:ind w:left="2268" w:hanging="1134"/>
        <w:rPr>
          <w:lang w:val="fr-FR" w:eastAsia="zh-CN"/>
        </w:rPr>
      </w:pP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4</w:t>
      </w:r>
      <w:r w:rsidR="00036363" w:rsidRPr="00036363">
        <w:rPr>
          <w:lang w:val="fr-FR"/>
        </w:rPr>
        <w:t>.</w:t>
      </w:r>
      <w:r w:rsidRPr="00036363">
        <w:rPr>
          <w:lang w:val="fr-FR"/>
        </w:rPr>
        <w:t>1</w:t>
      </w:r>
      <w:r w:rsidRPr="00EB3946">
        <w:rPr>
          <w:lang w:val="fr-FR"/>
        </w:rPr>
        <w:tab/>
        <w:t>Au deuxième paragraphe, dans la deuxième phrase, remplacer « colonne (</w:t>
      </w:r>
      <w:r w:rsidRPr="00036363">
        <w:rPr>
          <w:lang w:val="fr-FR"/>
        </w:rPr>
        <w:t>4</w:t>
      </w:r>
      <w:r w:rsidRPr="00EB3946">
        <w:rPr>
          <w:lang w:val="fr-FR"/>
        </w:rPr>
        <w:t>) » par « colonne (</w:t>
      </w:r>
      <w:r w:rsidRPr="00036363">
        <w:rPr>
          <w:lang w:val="fr-FR"/>
        </w:rPr>
        <w:t>3</w:t>
      </w:r>
      <w:r w:rsidRPr="00EB3946">
        <w:rPr>
          <w:lang w:val="fr-FR"/>
        </w:rPr>
        <w:t>) »</w:t>
      </w:r>
      <w:r w:rsidR="00036363" w:rsidRPr="00036363">
        <w:rPr>
          <w:lang w:val="fr-FR"/>
        </w:rPr>
        <w:t>.</w:t>
      </w:r>
      <w:r w:rsidRPr="00EB3946">
        <w:rPr>
          <w:lang w:val="fr-FR"/>
        </w:rPr>
        <w:t xml:space="preserve"> Supprimer le troisième paragraphe</w:t>
      </w:r>
      <w:r w:rsidR="00036363" w:rsidRPr="00036363">
        <w:rPr>
          <w:lang w:val="fr-FR"/>
        </w:rPr>
        <w:t>.</w:t>
      </w:r>
      <w:r w:rsidRPr="00EB3946">
        <w:rPr>
          <w:lang w:val="fr-FR"/>
        </w:rPr>
        <w:t xml:space="preserve"> Dans le nouveau troisième paragraphe (quatrième paragraphe actuel), remplacer « colonne (</w:t>
      </w:r>
      <w:r w:rsidRPr="00036363">
        <w:rPr>
          <w:lang w:val="fr-FR"/>
        </w:rPr>
        <w:t>5</w:t>
      </w:r>
      <w:r w:rsidRPr="00EB3946">
        <w:rPr>
          <w:lang w:val="fr-FR"/>
        </w:rPr>
        <w:t>) » par « colonne (</w:t>
      </w:r>
      <w:r w:rsidRPr="00036363">
        <w:rPr>
          <w:lang w:val="fr-FR"/>
        </w:rPr>
        <w:t>4</w:t>
      </w:r>
      <w:r w:rsidRPr="00EB3946">
        <w:rPr>
          <w:lang w:val="fr-FR"/>
        </w:rPr>
        <w:t>) »</w:t>
      </w:r>
      <w:r w:rsidR="00036363" w:rsidRPr="00036363">
        <w:rPr>
          <w:lang w:val="fr-FR"/>
        </w:rPr>
        <w:t>.</w:t>
      </w:r>
    </w:p>
    <w:p w14:paraId="1C29633A" w14:textId="61E089B3" w:rsidR="00CE245A" w:rsidRPr="00EB3946" w:rsidRDefault="00CE245A" w:rsidP="00B137C4">
      <w:pPr>
        <w:spacing w:after="120"/>
        <w:ind w:left="2268" w:right="1134"/>
        <w:jc w:val="both"/>
        <w:rPr>
          <w:lang w:val="fr-FR"/>
        </w:rPr>
      </w:pPr>
      <w:r w:rsidRPr="00EB3946">
        <w:rPr>
          <w:lang w:val="fr-FR"/>
        </w:rPr>
        <w:t xml:space="preserve">Dans le </w:t>
      </w:r>
      <w:r w:rsidRPr="00B137C4">
        <w:rPr>
          <w:rFonts w:eastAsia="SimSun"/>
          <w:lang w:val="fr-FR"/>
        </w:rPr>
        <w:t>tableau</w:t>
      </w:r>
      <w:r w:rsidRPr="00EB3946">
        <w:rPr>
          <w:lang w:val="fr-FR"/>
        </w:rPr>
        <w:t>, supprimer la colonne (</w:t>
      </w:r>
      <w:r w:rsidRPr="00036363">
        <w:rPr>
          <w:lang w:val="fr-FR"/>
        </w:rPr>
        <w:t>3</w:t>
      </w:r>
      <w:r w:rsidRPr="00EB3946">
        <w:rPr>
          <w:lang w:val="fr-FR"/>
        </w:rPr>
        <w:t>) et renuméroter les colonnes (</w:t>
      </w:r>
      <w:r w:rsidRPr="00036363">
        <w:rPr>
          <w:lang w:val="fr-FR"/>
        </w:rPr>
        <w:t>4</w:t>
      </w:r>
      <w:r w:rsidRPr="00EB3946">
        <w:rPr>
          <w:lang w:val="fr-FR"/>
        </w:rPr>
        <w:t>) et (</w:t>
      </w:r>
      <w:r w:rsidRPr="00036363">
        <w:rPr>
          <w:lang w:val="fr-FR"/>
        </w:rPr>
        <w:t>5</w:t>
      </w:r>
      <w:r w:rsidRPr="00EB3946">
        <w:rPr>
          <w:lang w:val="fr-FR"/>
        </w:rPr>
        <w:t>) en tant que (</w:t>
      </w:r>
      <w:r w:rsidRPr="00036363">
        <w:rPr>
          <w:lang w:val="fr-FR"/>
        </w:rPr>
        <w:t>3</w:t>
      </w:r>
      <w:r w:rsidRPr="00EB3946">
        <w:rPr>
          <w:lang w:val="fr-FR"/>
        </w:rPr>
        <w:t>) et (</w:t>
      </w:r>
      <w:r w:rsidRPr="00036363">
        <w:rPr>
          <w:lang w:val="fr-FR"/>
        </w:rPr>
        <w:t>4</w:t>
      </w:r>
      <w:r w:rsidRPr="00EB3946">
        <w:rPr>
          <w:lang w:val="fr-FR"/>
        </w:rPr>
        <w:t>)</w:t>
      </w:r>
      <w:r w:rsidR="00036363" w:rsidRPr="00036363">
        <w:rPr>
          <w:lang w:val="fr-FR"/>
        </w:rPr>
        <w:t>.</w:t>
      </w:r>
    </w:p>
    <w:p w14:paraId="7AD061FD" w14:textId="057F426F" w:rsidR="00CE245A" w:rsidRPr="00036363" w:rsidRDefault="00CE245A" w:rsidP="008E42F9">
      <w:pPr>
        <w:pStyle w:val="SingleTxtG"/>
        <w:rPr>
          <w:rFonts w:eastAsia="Calibri"/>
          <w:i/>
          <w:iCs/>
          <w:lang w:val="fr-FR"/>
        </w:rPr>
      </w:pPr>
      <w:r w:rsidRPr="00036363">
        <w:rPr>
          <w:rFonts w:eastAsia="Calibri"/>
          <w:i/>
          <w:iCs/>
          <w:lang w:val="fr-FR"/>
        </w:rPr>
        <w:t>(Document de référence</w:t>
      </w:r>
      <w:r w:rsidR="00887612" w:rsidRPr="00036363">
        <w:rPr>
          <w:rFonts w:eastAsia="Calibri"/>
          <w:i/>
          <w:iCs/>
          <w:lang w:val="fr-FR"/>
        </w:rPr>
        <w:t> :</w:t>
      </w:r>
      <w:r w:rsidRPr="00036363">
        <w:rPr>
          <w:rFonts w:eastAsia="Calibri"/>
          <w:i/>
          <w:iCs/>
          <w:lang w:val="fr-FR"/>
        </w:rPr>
        <w:t xml:space="preserve"> </w:t>
      </w:r>
      <w:r w:rsidRPr="00036363">
        <w:rPr>
          <w:rFonts w:eastAsia="SimSun"/>
          <w:i/>
          <w:iCs/>
          <w:lang w:val="fr-FR"/>
        </w:rPr>
        <w:t>ECE/TRANS/WP</w:t>
      </w:r>
      <w:r w:rsidR="00036363" w:rsidRPr="00036363">
        <w:rPr>
          <w:rFonts w:eastAsia="SimSun"/>
          <w:i/>
          <w:iCs/>
          <w:lang w:val="fr-FR"/>
        </w:rPr>
        <w:t>.</w:t>
      </w:r>
      <w:r w:rsidRPr="00036363">
        <w:rPr>
          <w:rFonts w:eastAsia="SimSun"/>
          <w:i/>
          <w:iCs/>
          <w:lang w:val="fr-FR"/>
        </w:rPr>
        <w:t>15/AC</w:t>
      </w:r>
      <w:r w:rsidR="00036363" w:rsidRPr="00036363">
        <w:rPr>
          <w:rFonts w:eastAsia="SimSun"/>
          <w:i/>
          <w:iCs/>
          <w:lang w:val="fr-FR"/>
        </w:rPr>
        <w:t>.</w:t>
      </w:r>
      <w:r w:rsidRPr="00036363">
        <w:rPr>
          <w:rFonts w:eastAsia="SimSun"/>
          <w:i/>
          <w:iCs/>
          <w:lang w:val="fr-FR"/>
        </w:rPr>
        <w:t>1/2024/30</w:t>
      </w:r>
      <w:r w:rsidRPr="00036363">
        <w:rPr>
          <w:rFonts w:eastAsia="Calibri"/>
          <w:i/>
          <w:iCs/>
          <w:lang w:val="fr-FR"/>
        </w:rPr>
        <w:t>)</w:t>
      </w:r>
    </w:p>
    <w:p w14:paraId="274C1BEA" w14:textId="6FEC46F4" w:rsidR="00CE245A" w:rsidRPr="00EB3946" w:rsidRDefault="00CE245A" w:rsidP="00EB55F6">
      <w:pPr>
        <w:pStyle w:val="SingleTxtG"/>
        <w:tabs>
          <w:tab w:val="clear" w:pos="1701"/>
          <w:tab w:val="clear" w:pos="2835"/>
        </w:tabs>
        <w:ind w:left="2268" w:hanging="1134"/>
        <w:rPr>
          <w:rFonts w:eastAsia="Calibri"/>
          <w:lang w:val="fr-FR"/>
        </w:rPr>
      </w:pPr>
      <w:r w:rsidRPr="00036363">
        <w:rPr>
          <w:lang w:val="fr-FR"/>
        </w:rPr>
        <w:t>6</w:t>
      </w:r>
      <w:r w:rsidR="00036363" w:rsidRPr="00036363">
        <w:rPr>
          <w:lang w:val="fr-FR"/>
        </w:rPr>
        <w:t>.</w:t>
      </w:r>
      <w:r w:rsidRPr="00036363">
        <w:rPr>
          <w:lang w:val="fr-FR"/>
        </w:rPr>
        <w:t>2</w:t>
      </w:r>
      <w:r w:rsidR="00036363" w:rsidRPr="00036363">
        <w:rPr>
          <w:lang w:val="fr-FR"/>
        </w:rPr>
        <w:t>.</w:t>
      </w:r>
      <w:r w:rsidRPr="00036363">
        <w:rPr>
          <w:lang w:val="fr-FR"/>
        </w:rPr>
        <w:t>4</w:t>
      </w:r>
      <w:r w:rsidR="00036363" w:rsidRPr="00036363">
        <w:rPr>
          <w:lang w:val="fr-FR"/>
        </w:rPr>
        <w:t>.</w:t>
      </w:r>
      <w:r w:rsidRPr="00036363">
        <w:rPr>
          <w:lang w:val="fr-FR"/>
        </w:rPr>
        <w:t>2</w:t>
      </w:r>
      <w:r w:rsidRPr="00EB3946">
        <w:rPr>
          <w:lang w:val="fr-FR"/>
        </w:rPr>
        <w:tab/>
      </w:r>
      <w:r w:rsidRPr="00443AB0">
        <w:rPr>
          <w:rFonts w:eastAsia="Calibri"/>
          <w:spacing w:val="-4"/>
          <w:lang w:val="fr-FR"/>
        </w:rPr>
        <w:t xml:space="preserve">Dans le tableau, pour la ligne relative à la norme </w:t>
      </w:r>
      <w:bookmarkStart w:id="8" w:name="_Hlk173252029"/>
      <w:r w:rsidRPr="00443AB0">
        <w:rPr>
          <w:spacing w:val="-4"/>
          <w:lang w:val="fr-FR"/>
        </w:rPr>
        <w:t>EN</w:t>
      </w:r>
      <w:r w:rsidR="00443AB0" w:rsidRPr="00443AB0">
        <w:rPr>
          <w:spacing w:val="-4"/>
          <w:lang w:val="fr-FR"/>
        </w:rPr>
        <w:t> </w:t>
      </w:r>
      <w:r w:rsidRPr="00443AB0">
        <w:rPr>
          <w:spacing w:val="-4"/>
          <w:lang w:val="fr-FR"/>
        </w:rPr>
        <w:t>ISO</w:t>
      </w:r>
      <w:r w:rsidR="00443AB0" w:rsidRPr="00443AB0">
        <w:rPr>
          <w:spacing w:val="-4"/>
          <w:lang w:val="fr-FR"/>
        </w:rPr>
        <w:t> </w:t>
      </w:r>
      <w:r w:rsidRPr="00036363">
        <w:rPr>
          <w:spacing w:val="-4"/>
          <w:lang w:val="fr-FR"/>
        </w:rPr>
        <w:t>18119</w:t>
      </w:r>
      <w:r w:rsidR="00887612" w:rsidRPr="00443AB0">
        <w:rPr>
          <w:spacing w:val="-4"/>
          <w:lang w:val="fr-FR"/>
        </w:rPr>
        <w:t>:</w:t>
      </w:r>
      <w:r w:rsidRPr="00036363">
        <w:rPr>
          <w:spacing w:val="-4"/>
          <w:lang w:val="fr-FR"/>
        </w:rPr>
        <w:t>2018</w:t>
      </w:r>
      <w:r w:rsidRPr="00443AB0">
        <w:rPr>
          <w:spacing w:val="-4"/>
          <w:lang w:val="fr-FR"/>
        </w:rPr>
        <w:t xml:space="preserve"> + A</w:t>
      </w:r>
      <w:r w:rsidRPr="00036363">
        <w:rPr>
          <w:spacing w:val="-4"/>
          <w:lang w:val="fr-FR"/>
        </w:rPr>
        <w:t>1</w:t>
      </w:r>
      <w:r w:rsidR="00887612" w:rsidRPr="00443AB0">
        <w:rPr>
          <w:spacing w:val="-4"/>
          <w:lang w:val="fr-FR"/>
        </w:rPr>
        <w:t>:</w:t>
      </w:r>
      <w:r w:rsidRPr="00036363">
        <w:rPr>
          <w:spacing w:val="-4"/>
          <w:lang w:val="fr-FR"/>
        </w:rPr>
        <w:t>2021</w:t>
      </w:r>
      <w:bookmarkEnd w:id="8"/>
      <w:r w:rsidRPr="00443AB0">
        <w:rPr>
          <w:spacing w:val="-4"/>
          <w:lang w:val="fr-FR"/>
        </w:rPr>
        <w:t>, en colonne (</w:t>
      </w:r>
      <w:r w:rsidRPr="00036363">
        <w:rPr>
          <w:spacing w:val="-4"/>
          <w:lang w:val="fr-FR"/>
        </w:rPr>
        <w:t>3</w:t>
      </w:r>
      <w:r w:rsidRPr="00443AB0">
        <w:rPr>
          <w:spacing w:val="-4"/>
          <w:lang w:val="fr-FR"/>
        </w:rPr>
        <w:t xml:space="preserve">), </w:t>
      </w:r>
      <w:bookmarkStart w:id="9" w:name="_Hlk161650804"/>
      <w:r w:rsidRPr="00443AB0">
        <w:rPr>
          <w:rFonts w:eastAsia="Calibri"/>
          <w:spacing w:val="-4"/>
          <w:lang w:val="fr-FR"/>
        </w:rPr>
        <w:t xml:space="preserve">remplacer « Obligatoirement à partir du </w:t>
      </w:r>
      <w:r w:rsidR="00887612" w:rsidRPr="00036363">
        <w:rPr>
          <w:rFonts w:eastAsia="Calibri"/>
          <w:spacing w:val="-4"/>
          <w:lang w:val="fr-FR"/>
        </w:rPr>
        <w:t>1</w:t>
      </w:r>
      <w:r w:rsidR="00887612" w:rsidRPr="00443AB0">
        <w:rPr>
          <w:rFonts w:eastAsia="Calibri"/>
          <w:spacing w:val="-4"/>
          <w:vertAlign w:val="superscript"/>
          <w:lang w:val="fr-FR"/>
        </w:rPr>
        <w:t>er</w:t>
      </w:r>
      <w:r w:rsidR="00443AB0">
        <w:rPr>
          <w:rFonts w:eastAsia="Calibri"/>
          <w:spacing w:val="-4"/>
          <w:lang w:val="fr-FR"/>
        </w:rPr>
        <w:t> </w:t>
      </w:r>
      <w:r w:rsidRPr="00443AB0">
        <w:rPr>
          <w:rFonts w:eastAsia="Calibri"/>
          <w:spacing w:val="-4"/>
          <w:lang w:val="fr-FR"/>
        </w:rPr>
        <w:t>janvier</w:t>
      </w:r>
      <w:r w:rsidR="00443AB0">
        <w:rPr>
          <w:rFonts w:eastAsia="Calibri"/>
          <w:spacing w:val="-4"/>
          <w:lang w:val="fr-FR"/>
        </w:rPr>
        <w:t> </w:t>
      </w:r>
      <w:r w:rsidRPr="00036363">
        <w:rPr>
          <w:rFonts w:eastAsia="Calibri"/>
          <w:spacing w:val="-4"/>
          <w:lang w:val="fr-FR"/>
        </w:rPr>
        <w:t>2025</w:t>
      </w:r>
      <w:r w:rsidRPr="00443AB0">
        <w:rPr>
          <w:rFonts w:eastAsia="Calibri"/>
          <w:spacing w:val="-4"/>
          <w:lang w:val="fr-FR"/>
        </w:rPr>
        <w:t xml:space="preserve"> » </w:t>
      </w:r>
      <w:r w:rsidRPr="00EB3946">
        <w:rPr>
          <w:rFonts w:eastAsia="Calibri"/>
          <w:lang w:val="fr-FR"/>
        </w:rPr>
        <w:t>par</w:t>
      </w:r>
      <w:r w:rsidR="00443AB0">
        <w:rPr>
          <w:rFonts w:eastAsia="Calibri"/>
          <w:lang w:val="fr-FR"/>
        </w:rPr>
        <w:t> </w:t>
      </w:r>
      <w:r w:rsidRPr="00EB3946">
        <w:rPr>
          <w:rFonts w:eastAsia="Calibri"/>
          <w:lang w:val="fr-FR"/>
        </w:rPr>
        <w:t>« Jusqu</w:t>
      </w:r>
      <w:r w:rsidR="00887612">
        <w:rPr>
          <w:rFonts w:eastAsia="Calibri"/>
          <w:lang w:val="fr-FR"/>
        </w:rPr>
        <w:t>’</w:t>
      </w:r>
      <w:r w:rsidRPr="00EB3946">
        <w:rPr>
          <w:rFonts w:eastAsia="Calibri"/>
          <w:lang w:val="fr-FR"/>
        </w:rPr>
        <w:t xml:space="preserve">au </w:t>
      </w:r>
      <w:r w:rsidRPr="00036363">
        <w:rPr>
          <w:rFonts w:eastAsia="Calibri"/>
          <w:lang w:val="fr-FR"/>
        </w:rPr>
        <w:t>31</w:t>
      </w:r>
      <w:r w:rsidRPr="00EB3946">
        <w:rPr>
          <w:rFonts w:eastAsia="Calibri"/>
          <w:lang w:val="fr-FR"/>
        </w:rPr>
        <w:t xml:space="preserve"> décembre </w:t>
      </w:r>
      <w:r w:rsidRPr="00036363">
        <w:rPr>
          <w:rFonts w:eastAsia="Calibri"/>
          <w:lang w:val="fr-FR"/>
        </w:rPr>
        <w:t>2028</w:t>
      </w:r>
      <w:r w:rsidRPr="00EB3946">
        <w:rPr>
          <w:rFonts w:eastAsia="Calibri"/>
          <w:lang w:val="fr-FR"/>
        </w:rPr>
        <w:t> »</w:t>
      </w:r>
      <w:r w:rsidR="00036363" w:rsidRPr="00036363">
        <w:rPr>
          <w:rFonts w:eastAsia="Calibri"/>
          <w:lang w:val="fr-FR"/>
        </w:rPr>
        <w:t>.</w:t>
      </w:r>
      <w:r w:rsidRPr="00EB3946">
        <w:rPr>
          <w:rFonts w:eastAsia="Calibri"/>
          <w:lang w:val="fr-FR"/>
        </w:rPr>
        <w:t xml:space="preserve"> Après cette ligne, ajouter la nouvelle ligne suivante</w:t>
      </w:r>
      <w:r w:rsidR="00887612">
        <w:rPr>
          <w:rFonts w:eastAsia="Calibri"/>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3827"/>
        <w:gridCol w:w="1563"/>
      </w:tblGrid>
      <w:tr w:rsidR="00601A8A" w:rsidRPr="00601A8A" w14:paraId="66154ACF" w14:textId="77777777" w:rsidTr="0045277B">
        <w:trPr>
          <w:tblHeader/>
        </w:trPr>
        <w:tc>
          <w:tcPr>
            <w:tcW w:w="1980" w:type="dxa"/>
            <w:shd w:val="clear" w:color="auto" w:fill="auto"/>
            <w:hideMark/>
          </w:tcPr>
          <w:p w14:paraId="2DD79895" w14:textId="109F9BC2" w:rsidR="00CE245A" w:rsidRPr="00601A8A" w:rsidRDefault="00CE245A" w:rsidP="005F16FC">
            <w:pPr>
              <w:spacing w:before="60" w:after="60" w:line="200" w:lineRule="exact"/>
              <w:ind w:left="57" w:right="57"/>
              <w:rPr>
                <w:iCs/>
              </w:rPr>
            </w:pPr>
            <w:bookmarkStart w:id="10" w:name="_Hlk173252172"/>
            <w:bookmarkStart w:id="11" w:name="_Hlk161650988"/>
            <w:bookmarkEnd w:id="9"/>
            <w:r w:rsidRPr="00601A8A">
              <w:rPr>
                <w:iCs/>
              </w:rPr>
              <w:lastRenderedPageBreak/>
              <w:t xml:space="preserve">EN ISO </w:t>
            </w:r>
            <w:r w:rsidRPr="00036363">
              <w:rPr>
                <w:iCs/>
              </w:rPr>
              <w:t>18119</w:t>
            </w:r>
            <w:r w:rsidR="00887612">
              <w:rPr>
                <w:iCs/>
              </w:rPr>
              <w:t>:</w:t>
            </w:r>
            <w:r w:rsidRPr="00036363">
              <w:rPr>
                <w:iCs/>
              </w:rPr>
              <w:t>2018</w:t>
            </w:r>
            <w:r w:rsidRPr="00601A8A">
              <w:rPr>
                <w:iCs/>
              </w:rPr>
              <w:t xml:space="preserve"> + A</w:t>
            </w:r>
            <w:r w:rsidRPr="00036363">
              <w:rPr>
                <w:iCs/>
              </w:rPr>
              <w:t>1</w:t>
            </w:r>
            <w:r w:rsidR="00887612">
              <w:rPr>
                <w:iCs/>
              </w:rPr>
              <w:t>:</w:t>
            </w:r>
            <w:r w:rsidRPr="00036363">
              <w:rPr>
                <w:iCs/>
              </w:rPr>
              <w:t>2021</w:t>
            </w:r>
            <w:r w:rsidRPr="00601A8A">
              <w:rPr>
                <w:iCs/>
              </w:rPr>
              <w:t xml:space="preserve"> + A</w:t>
            </w:r>
            <w:r w:rsidRPr="00036363">
              <w:rPr>
                <w:iCs/>
              </w:rPr>
              <w:t>2</w:t>
            </w:r>
            <w:bookmarkEnd w:id="10"/>
            <w:r w:rsidR="00887612">
              <w:rPr>
                <w:iCs/>
              </w:rPr>
              <w:t>:</w:t>
            </w:r>
            <w:r w:rsidRPr="00036363">
              <w:rPr>
                <w:iCs/>
              </w:rPr>
              <w:t>2024</w:t>
            </w:r>
          </w:p>
        </w:tc>
        <w:tc>
          <w:tcPr>
            <w:tcW w:w="3827" w:type="dxa"/>
            <w:shd w:val="clear" w:color="auto" w:fill="auto"/>
            <w:hideMark/>
          </w:tcPr>
          <w:p w14:paraId="430544ED" w14:textId="30135DE9" w:rsidR="00CE245A" w:rsidRPr="00601A8A" w:rsidRDefault="00CE245A" w:rsidP="005F16FC">
            <w:pPr>
              <w:spacing w:before="60" w:after="60" w:line="200" w:lineRule="exact"/>
              <w:ind w:left="57" w:right="57"/>
              <w:rPr>
                <w:iCs/>
              </w:rPr>
            </w:pPr>
            <w:r w:rsidRPr="00601A8A">
              <w:rPr>
                <w:iCs/>
              </w:rPr>
              <w:t>Bouteilles à gaz − Bouteilles et tubes à gaz en acier et en alliages d</w:t>
            </w:r>
            <w:r w:rsidR="00887612">
              <w:rPr>
                <w:iCs/>
              </w:rPr>
              <w:t>’</w:t>
            </w:r>
            <w:r w:rsidRPr="00601A8A">
              <w:rPr>
                <w:iCs/>
              </w:rPr>
              <w:t>aluminium, sans soudure − Contrôles et essais périodiques</w:t>
            </w:r>
          </w:p>
        </w:tc>
        <w:tc>
          <w:tcPr>
            <w:tcW w:w="1563" w:type="dxa"/>
            <w:shd w:val="clear" w:color="auto" w:fill="auto"/>
            <w:hideMark/>
          </w:tcPr>
          <w:p w14:paraId="3C3205CD" w14:textId="363C62B4" w:rsidR="00CE245A" w:rsidRPr="00601A8A" w:rsidRDefault="00CE245A" w:rsidP="005F16FC">
            <w:pPr>
              <w:spacing w:before="60" w:after="60" w:line="200" w:lineRule="exact"/>
              <w:ind w:left="57" w:right="57"/>
              <w:rPr>
                <w:iCs/>
              </w:rPr>
            </w:pPr>
            <w:r w:rsidRPr="00601A8A">
              <w:rPr>
                <w:iCs/>
              </w:rPr>
              <w:t>Obligatoirement à partir du</w:t>
            </w:r>
            <w:r w:rsidR="0045277B">
              <w:rPr>
                <w:iCs/>
              </w:rPr>
              <w:br/>
            </w:r>
            <w:r w:rsidR="00887612" w:rsidRPr="00036363">
              <w:rPr>
                <w:iCs/>
              </w:rPr>
              <w:t>1</w:t>
            </w:r>
            <w:r w:rsidR="00887612" w:rsidRPr="00887612">
              <w:rPr>
                <w:iCs/>
                <w:vertAlign w:val="superscript"/>
              </w:rPr>
              <w:t>er</w:t>
            </w:r>
            <w:r w:rsidRPr="00601A8A">
              <w:rPr>
                <w:iCs/>
              </w:rPr>
              <w:t xml:space="preserve"> janvier </w:t>
            </w:r>
            <w:r w:rsidRPr="00036363">
              <w:rPr>
                <w:iCs/>
              </w:rPr>
              <w:t>2029</w:t>
            </w:r>
          </w:p>
        </w:tc>
      </w:tr>
    </w:tbl>
    <w:bookmarkEnd w:id="11"/>
    <w:p w14:paraId="59E3D006" w14:textId="50CD7184" w:rsidR="00CE245A" w:rsidRPr="00EB3946" w:rsidRDefault="00CE245A" w:rsidP="00B137C4">
      <w:pPr>
        <w:spacing w:before="240" w:after="120"/>
        <w:ind w:left="2268" w:right="1134"/>
        <w:jc w:val="both"/>
        <w:rPr>
          <w:lang w:val="fr-FR" w:eastAsia="zh-CN"/>
        </w:rPr>
      </w:pPr>
      <w:r w:rsidRPr="00B137C4">
        <w:rPr>
          <w:rFonts w:eastAsia="SimSun"/>
          <w:lang w:val="fr-FR"/>
        </w:rPr>
        <w:t>Pour</w:t>
      </w:r>
      <w:r w:rsidRPr="00EB3946">
        <w:rPr>
          <w:lang w:val="fr-FR"/>
        </w:rPr>
        <w:t xml:space="preserve"> la ligne relative à la norme EN</w:t>
      </w:r>
      <w:r w:rsidR="00B06BDB">
        <w:rPr>
          <w:lang w:val="fr-FR"/>
        </w:rPr>
        <w:t> </w:t>
      </w:r>
      <w:r w:rsidRPr="00EB3946">
        <w:rPr>
          <w:lang w:val="fr-FR"/>
        </w:rPr>
        <w:t>ISO</w:t>
      </w:r>
      <w:r w:rsidR="00B06BDB">
        <w:rPr>
          <w:lang w:val="fr-FR"/>
        </w:rPr>
        <w:t> </w:t>
      </w:r>
      <w:r w:rsidRPr="00036363">
        <w:rPr>
          <w:lang w:val="fr-FR"/>
        </w:rPr>
        <w:t>11623</w:t>
      </w:r>
      <w:r w:rsidR="00887612">
        <w:rPr>
          <w:lang w:val="fr-FR"/>
        </w:rPr>
        <w:t>:</w:t>
      </w:r>
      <w:r w:rsidRPr="00036363">
        <w:rPr>
          <w:lang w:val="fr-FR"/>
        </w:rPr>
        <w:t>2023</w:t>
      </w:r>
      <w:r w:rsidRPr="00EB3946">
        <w:rPr>
          <w:lang w:val="fr-FR"/>
        </w:rPr>
        <w:t>, en colonne (</w:t>
      </w:r>
      <w:r w:rsidRPr="00036363">
        <w:rPr>
          <w:lang w:val="fr-FR"/>
        </w:rPr>
        <w:t>2</w:t>
      </w:r>
      <w:r w:rsidRPr="00EB3946">
        <w:rPr>
          <w:lang w:val="fr-FR"/>
        </w:rPr>
        <w:t>), ajouter le nouveau nota suivant</w:t>
      </w:r>
      <w:r w:rsidR="00887612">
        <w:rPr>
          <w:lang w:val="fr-FR"/>
        </w:rPr>
        <w:t> :</w:t>
      </w:r>
      <w:r w:rsidRPr="00EB3946">
        <w:rPr>
          <w:lang w:val="fr-FR"/>
        </w:rPr>
        <w:t xml:space="preserve"> « </w:t>
      </w:r>
      <w:r w:rsidRPr="00036363">
        <w:rPr>
          <w:b/>
          <w:bCs/>
          <w:i/>
          <w:iCs/>
          <w:lang w:val="fr-FR"/>
        </w:rPr>
        <w:t>NOTA</w:t>
      </w:r>
      <w:r w:rsidR="00887612" w:rsidRPr="00036363">
        <w:rPr>
          <w:i/>
          <w:iCs/>
          <w:lang w:val="fr-FR"/>
        </w:rPr>
        <w:t> :</w:t>
      </w:r>
      <w:r w:rsidRPr="00036363">
        <w:rPr>
          <w:i/>
          <w:iCs/>
          <w:lang w:val="fr-FR"/>
        </w:rPr>
        <w:t xml:space="preserve"> L</w:t>
      </w:r>
      <w:r w:rsidR="00887612" w:rsidRPr="00036363">
        <w:rPr>
          <w:i/>
          <w:iCs/>
          <w:lang w:val="fr-FR"/>
        </w:rPr>
        <w:t>’</w:t>
      </w:r>
      <w:r w:rsidRPr="00036363">
        <w:rPr>
          <w:i/>
          <w:iCs/>
          <w:lang w:val="fr-FR"/>
        </w:rPr>
        <w:t>épreuve de pression ne doit pas être remplacée par une technique d</w:t>
      </w:r>
      <w:r w:rsidR="00887612" w:rsidRPr="00036363">
        <w:rPr>
          <w:i/>
          <w:iCs/>
          <w:lang w:val="fr-FR"/>
        </w:rPr>
        <w:t>’</w:t>
      </w:r>
      <w:r w:rsidRPr="00036363">
        <w:rPr>
          <w:i/>
          <w:iCs/>
          <w:lang w:val="fr-FR"/>
        </w:rPr>
        <w:t>épreuve non destructive, bien que de telles techniques puissent être utilisées à des fins de surveillance</w:t>
      </w:r>
      <w:r w:rsidR="00036363" w:rsidRPr="00036363">
        <w:rPr>
          <w:i/>
          <w:iCs/>
          <w:lang w:val="fr-FR"/>
        </w:rPr>
        <w:t>.</w:t>
      </w:r>
      <w:r w:rsidRPr="00285CB8">
        <w:rPr>
          <w:iCs/>
          <w:lang w:val="fr-FR"/>
        </w:rPr>
        <w:t> »</w:t>
      </w:r>
      <w:r w:rsidR="00036363" w:rsidRPr="00036363">
        <w:rPr>
          <w:iCs/>
          <w:lang w:val="fr-FR"/>
        </w:rPr>
        <w:t>.</w:t>
      </w:r>
    </w:p>
    <w:p w14:paraId="13B05471" w14:textId="3B0B0EE4" w:rsidR="00CE245A" w:rsidRPr="00036363" w:rsidRDefault="00CE245A" w:rsidP="008E42F9">
      <w:pPr>
        <w:pStyle w:val="SingleTxtG"/>
        <w:rPr>
          <w:rFonts w:eastAsia="Calibri"/>
          <w:i/>
          <w:iCs/>
          <w:lang w:val="fr-FR"/>
        </w:rPr>
      </w:pPr>
      <w:r w:rsidRPr="00036363">
        <w:rPr>
          <w:rFonts w:eastAsia="Calibri"/>
          <w:i/>
          <w:iCs/>
          <w:lang w:val="fr-FR"/>
        </w:rPr>
        <w:t>(Document de référence</w:t>
      </w:r>
      <w:r w:rsidR="00887612" w:rsidRPr="00036363">
        <w:rPr>
          <w:rFonts w:eastAsia="Calibri"/>
          <w:i/>
          <w:iCs/>
          <w:lang w:val="fr-FR"/>
        </w:rPr>
        <w:t> :</w:t>
      </w:r>
      <w:r w:rsidRPr="00036363">
        <w:rPr>
          <w:rFonts w:eastAsia="Calibri"/>
          <w:i/>
          <w:iCs/>
          <w:lang w:val="fr-FR"/>
        </w:rPr>
        <w:t xml:space="preserve"> document informel INF</w:t>
      </w:r>
      <w:r w:rsidR="00036363" w:rsidRPr="00036363">
        <w:rPr>
          <w:rFonts w:eastAsia="Calibri"/>
          <w:i/>
          <w:iCs/>
          <w:lang w:val="fr-FR"/>
        </w:rPr>
        <w:t>.</w:t>
      </w:r>
      <w:r w:rsidRPr="00036363">
        <w:rPr>
          <w:rFonts w:eastAsia="Calibri"/>
          <w:i/>
          <w:iCs/>
          <w:lang w:val="fr-FR"/>
        </w:rPr>
        <w:t>5)</w:t>
      </w:r>
    </w:p>
    <w:p w14:paraId="6EA439DB" w14:textId="6E2A1488" w:rsidR="00CE245A" w:rsidRPr="00D11D38" w:rsidRDefault="00CE245A" w:rsidP="00220B9D">
      <w:pPr>
        <w:pStyle w:val="H1G"/>
        <w:rPr>
          <w:lang w:val="fr-FR"/>
        </w:rPr>
      </w:pPr>
      <w:r w:rsidRPr="00D11D38">
        <w:rPr>
          <w:lang w:val="fr-FR"/>
        </w:rPr>
        <w:tab/>
      </w:r>
      <w:r w:rsidRPr="00D11D38">
        <w:rPr>
          <w:lang w:val="fr-FR"/>
        </w:rPr>
        <w:tab/>
        <w:t xml:space="preserve">Chapitre </w:t>
      </w:r>
      <w:r w:rsidRPr="00036363">
        <w:rPr>
          <w:lang w:val="fr-FR"/>
        </w:rPr>
        <w:t>6</w:t>
      </w:r>
      <w:r w:rsidR="00036363" w:rsidRPr="00036363">
        <w:rPr>
          <w:lang w:val="fr-FR"/>
        </w:rPr>
        <w:t>.</w:t>
      </w:r>
      <w:r w:rsidRPr="00036363">
        <w:rPr>
          <w:lang w:val="fr-FR"/>
        </w:rPr>
        <w:t>8</w:t>
      </w:r>
    </w:p>
    <w:p w14:paraId="2D4C795A" w14:textId="40067CD6" w:rsidR="00CE245A" w:rsidRPr="005829B9" w:rsidRDefault="00CE245A" w:rsidP="00393751">
      <w:pPr>
        <w:pStyle w:val="SingleTxtG"/>
        <w:rPr>
          <w:lang w:val="fr-FR" w:eastAsia="zh-CN"/>
        </w:rPr>
      </w:pPr>
      <w:r w:rsidRPr="005829B9">
        <w:rPr>
          <w:lang w:val="fr-FR" w:eastAsia="zh-CN"/>
        </w:rPr>
        <w:t>(RID/ADR</w:t>
      </w:r>
      <w:r w:rsidR="00887612">
        <w:rPr>
          <w:lang w:val="fr-FR" w:eastAsia="zh-CN"/>
        </w:rPr>
        <w:t> :</w:t>
      </w:r>
      <w:r w:rsidRPr="005829B9">
        <w:rPr>
          <w:lang w:val="fr-FR" w:eastAsia="zh-CN"/>
        </w:rPr>
        <w:t>)</w:t>
      </w:r>
    </w:p>
    <w:p w14:paraId="69D82FA9" w14:textId="2DA9E26D" w:rsidR="00CE245A" w:rsidRPr="005829B9" w:rsidRDefault="00CE245A" w:rsidP="00EB55F6">
      <w:pPr>
        <w:pStyle w:val="SingleTxtG"/>
        <w:tabs>
          <w:tab w:val="clear" w:pos="1701"/>
          <w:tab w:val="clear" w:pos="2835"/>
        </w:tabs>
        <w:ind w:left="2268" w:hanging="1134"/>
        <w:rPr>
          <w:lang w:val="fr-FR" w:eastAsia="zh-CN"/>
        </w:rPr>
      </w:pPr>
      <w:r w:rsidRPr="00036363">
        <w:rPr>
          <w:lang w:val="fr-FR" w:eastAsia="zh-CN"/>
        </w:rPr>
        <w:t>6</w:t>
      </w:r>
      <w:r w:rsidR="00036363" w:rsidRPr="00036363">
        <w:rPr>
          <w:lang w:val="fr-FR" w:eastAsia="zh-CN"/>
        </w:rPr>
        <w:t>.</w:t>
      </w:r>
      <w:r w:rsidRPr="00036363">
        <w:rPr>
          <w:lang w:val="fr-FR" w:eastAsia="zh-CN"/>
        </w:rPr>
        <w:t>8</w:t>
      </w:r>
      <w:r w:rsidR="00036363" w:rsidRPr="00036363">
        <w:rPr>
          <w:lang w:val="fr-FR" w:eastAsia="zh-CN"/>
        </w:rPr>
        <w:t>.</w:t>
      </w:r>
      <w:r w:rsidRPr="00036363">
        <w:rPr>
          <w:lang w:val="fr-FR" w:eastAsia="zh-CN"/>
        </w:rPr>
        <w:t>2</w:t>
      </w:r>
      <w:r w:rsidR="00036363" w:rsidRPr="00036363">
        <w:rPr>
          <w:lang w:val="fr-FR" w:eastAsia="zh-CN"/>
        </w:rPr>
        <w:t>.</w:t>
      </w:r>
      <w:r w:rsidRPr="00036363">
        <w:rPr>
          <w:lang w:val="fr-FR" w:eastAsia="zh-CN"/>
        </w:rPr>
        <w:t>3</w:t>
      </w:r>
      <w:r w:rsidR="00036363" w:rsidRPr="00036363">
        <w:rPr>
          <w:lang w:val="fr-FR" w:eastAsia="zh-CN"/>
        </w:rPr>
        <w:t>.</w:t>
      </w:r>
      <w:r w:rsidRPr="00036363">
        <w:rPr>
          <w:lang w:val="fr-FR" w:eastAsia="zh-CN"/>
        </w:rPr>
        <w:t>3</w:t>
      </w:r>
      <w:r w:rsidRPr="005829B9">
        <w:rPr>
          <w:lang w:val="fr-FR" w:eastAsia="zh-CN"/>
        </w:rPr>
        <w:tab/>
        <w:t>Dans la première phrase</w:t>
      </w:r>
      <w:r w:rsidRPr="00D11D38">
        <w:rPr>
          <w:lang w:val="fr-FR" w:eastAsia="zh-CN"/>
        </w:rPr>
        <w:t xml:space="preserve"> du</w:t>
      </w:r>
      <w:r w:rsidRPr="005829B9">
        <w:rPr>
          <w:lang w:val="fr-FR" w:eastAsia="zh-CN"/>
        </w:rPr>
        <w:t xml:space="preserve"> deuxième paragraphe, remplacer « qui, ou réduisent » par « qui réduisent », remplacer « ou augmentent » par « augmentent » et, à la fin, ajouter</w:t>
      </w:r>
      <w:r w:rsidR="00887612">
        <w:rPr>
          <w:lang w:val="fr-FR" w:eastAsia="zh-CN"/>
        </w:rPr>
        <w:t> :</w:t>
      </w:r>
      <w:r w:rsidRPr="005829B9">
        <w:rPr>
          <w:lang w:val="fr-FR" w:eastAsia="zh-CN"/>
        </w:rPr>
        <w:t xml:space="preserve"> « ou autorisent d</w:t>
      </w:r>
      <w:r w:rsidR="00887612">
        <w:rPr>
          <w:lang w:val="fr-FR" w:eastAsia="zh-CN"/>
        </w:rPr>
        <w:t>’</w:t>
      </w:r>
      <w:r w:rsidRPr="00D11D38">
        <w:rPr>
          <w:lang w:val="fr-FR" w:eastAsia="zh-CN"/>
        </w:rPr>
        <w:t>autres</w:t>
      </w:r>
      <w:r w:rsidRPr="005829B9">
        <w:rPr>
          <w:lang w:val="fr-FR" w:eastAsia="zh-CN"/>
        </w:rPr>
        <w:t xml:space="preserve"> équipements de service </w:t>
      </w:r>
      <w:r>
        <w:rPr>
          <w:lang w:val="fr-FR" w:eastAsia="zh-CN"/>
        </w:rPr>
        <w:t>dont les</w:t>
      </w:r>
      <w:r w:rsidRPr="005829B9">
        <w:rPr>
          <w:lang w:val="fr-FR" w:eastAsia="zh-CN"/>
        </w:rPr>
        <w:t xml:space="preserve"> caractéristiques techniques </w:t>
      </w:r>
      <w:r>
        <w:rPr>
          <w:lang w:val="fr-FR" w:eastAsia="zh-CN"/>
        </w:rPr>
        <w:t xml:space="preserve">sont </w:t>
      </w:r>
      <w:r w:rsidRPr="005829B9">
        <w:rPr>
          <w:lang w:val="fr-FR" w:eastAsia="zh-CN"/>
        </w:rPr>
        <w:t>équivalentes »</w:t>
      </w:r>
      <w:r w:rsidR="00036363" w:rsidRPr="00036363">
        <w:rPr>
          <w:lang w:val="fr-FR" w:eastAsia="zh-CN"/>
        </w:rPr>
        <w:t>.</w:t>
      </w:r>
    </w:p>
    <w:p w14:paraId="25A9488D" w14:textId="00430C7F"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5829B9">
        <w:rPr>
          <w:lang w:val="fr-FR" w:eastAsia="zh-CN"/>
        </w:rPr>
        <w:t xml:space="preserve"> </w:t>
      </w:r>
      <w:r w:rsidRPr="00036363">
        <w:rPr>
          <w:rFonts w:eastAsia="SimSun"/>
          <w:i/>
          <w:iCs/>
          <w:lang w:val="fr-FR" w:eastAsia="zh-CN"/>
        </w:rPr>
        <w:t>document informel INF</w:t>
      </w:r>
      <w:r w:rsidR="00036363" w:rsidRPr="00036363">
        <w:rPr>
          <w:rFonts w:eastAsia="SimSun"/>
          <w:i/>
          <w:iCs/>
          <w:lang w:val="fr-FR" w:eastAsia="zh-CN"/>
        </w:rPr>
        <w:t>.</w:t>
      </w:r>
      <w:r w:rsidRPr="00036363">
        <w:rPr>
          <w:rFonts w:eastAsia="SimSun"/>
          <w:i/>
          <w:iCs/>
          <w:lang w:val="fr-FR" w:eastAsia="zh-CN"/>
        </w:rPr>
        <w:t xml:space="preserve">30, </w:t>
      </w:r>
      <w:r w:rsidR="002D3602" w:rsidRPr="00036363">
        <w:rPr>
          <w:rFonts w:eastAsia="SimSun"/>
          <w:i/>
          <w:iCs/>
          <w:lang w:val="fr-FR" w:eastAsia="zh-CN"/>
        </w:rPr>
        <w:t xml:space="preserve">proposition 1 </w:t>
      </w:r>
      <w:r w:rsidRPr="00036363">
        <w:rPr>
          <w:rFonts w:eastAsia="SimSun"/>
          <w:i/>
          <w:iCs/>
          <w:lang w:val="fr-FR" w:eastAsia="zh-CN"/>
        </w:rPr>
        <w:t>te</w:t>
      </w:r>
      <w:r w:rsidR="002D3602" w:rsidRPr="00036363">
        <w:rPr>
          <w:rFonts w:eastAsia="SimSun"/>
          <w:i/>
          <w:iCs/>
          <w:lang w:val="fr-FR" w:eastAsia="zh-CN"/>
        </w:rPr>
        <w:t>l</w:t>
      </w:r>
      <w:r w:rsidRPr="00036363">
        <w:rPr>
          <w:rFonts w:eastAsia="SimSun"/>
          <w:i/>
          <w:iCs/>
          <w:lang w:val="fr-FR" w:eastAsia="zh-CN"/>
        </w:rPr>
        <w:t>l</w:t>
      </w:r>
      <w:r w:rsidR="002D3602" w:rsidRPr="00036363">
        <w:rPr>
          <w:rFonts w:eastAsia="SimSun"/>
          <w:i/>
          <w:iCs/>
          <w:lang w:val="fr-FR" w:eastAsia="zh-CN"/>
        </w:rPr>
        <w:t>e</w:t>
      </w:r>
      <w:r w:rsidRPr="00036363">
        <w:rPr>
          <w:rFonts w:eastAsia="SimSun"/>
          <w:i/>
          <w:iCs/>
          <w:lang w:val="fr-FR" w:eastAsia="zh-CN"/>
        </w:rPr>
        <w:t xml:space="preserve"> que modifié</w:t>
      </w:r>
      <w:r w:rsidR="002D3602" w:rsidRPr="00036363">
        <w:rPr>
          <w:rFonts w:eastAsia="SimSun"/>
          <w:i/>
          <w:iCs/>
          <w:lang w:val="fr-FR" w:eastAsia="zh-CN"/>
        </w:rPr>
        <w:t>e</w:t>
      </w:r>
      <w:r w:rsidRPr="00036363">
        <w:rPr>
          <w:rFonts w:eastAsia="SimSun"/>
          <w:i/>
          <w:iCs/>
          <w:lang w:val="fr-FR" w:eastAsia="zh-CN"/>
        </w:rPr>
        <w:t>)</w:t>
      </w:r>
    </w:p>
    <w:p w14:paraId="6A51211C" w14:textId="39D7311D" w:rsidR="00CE245A" w:rsidRPr="00B10DB4" w:rsidRDefault="00CE245A" w:rsidP="00EB55F6">
      <w:pPr>
        <w:pStyle w:val="SingleTxtG"/>
        <w:tabs>
          <w:tab w:val="clear" w:pos="1701"/>
          <w:tab w:val="clear" w:pos="2835"/>
        </w:tabs>
        <w:ind w:left="2268" w:hanging="1134"/>
        <w:rPr>
          <w:lang w:val="fr-FR"/>
        </w:rPr>
      </w:pPr>
      <w:r w:rsidRPr="00036363">
        <w:rPr>
          <w:lang w:val="fr-FR"/>
        </w:rPr>
        <w:t>6</w:t>
      </w:r>
      <w:r w:rsidR="00036363" w:rsidRPr="00036363">
        <w:rPr>
          <w:lang w:val="fr-FR"/>
        </w:rPr>
        <w:t>.</w:t>
      </w:r>
      <w:r w:rsidRPr="00036363">
        <w:rPr>
          <w:lang w:val="fr-FR"/>
        </w:rPr>
        <w:t>8</w:t>
      </w:r>
      <w:r w:rsidR="00036363" w:rsidRPr="00036363">
        <w:rPr>
          <w:lang w:val="fr-FR"/>
        </w:rPr>
        <w:t>.</w:t>
      </w:r>
      <w:r w:rsidRPr="00036363">
        <w:rPr>
          <w:lang w:val="fr-FR"/>
        </w:rPr>
        <w:t>2</w:t>
      </w:r>
      <w:r w:rsidR="00036363" w:rsidRPr="00036363">
        <w:rPr>
          <w:lang w:val="fr-FR"/>
        </w:rPr>
        <w:t>.</w:t>
      </w:r>
      <w:r w:rsidRPr="00036363">
        <w:rPr>
          <w:lang w:val="fr-FR"/>
        </w:rPr>
        <w:t>6</w:t>
      </w:r>
      <w:r w:rsidR="00036363" w:rsidRPr="00036363">
        <w:rPr>
          <w:lang w:val="fr-FR"/>
        </w:rPr>
        <w:t>.</w:t>
      </w:r>
      <w:r w:rsidRPr="00036363">
        <w:rPr>
          <w:lang w:val="fr-FR"/>
        </w:rPr>
        <w:t>1</w:t>
      </w:r>
      <w:r w:rsidRPr="00B10DB4">
        <w:rPr>
          <w:lang w:val="fr-FR"/>
        </w:rPr>
        <w:tab/>
      </w:r>
      <w:r w:rsidRPr="00D11D38">
        <w:rPr>
          <w:lang w:val="fr-FR"/>
        </w:rPr>
        <w:t>D</w:t>
      </w:r>
      <w:r w:rsidRPr="00B10DB4">
        <w:rPr>
          <w:lang w:val="fr-FR"/>
        </w:rPr>
        <w:t>ans la deuxième phrase</w:t>
      </w:r>
      <w:r w:rsidRPr="00D11D38">
        <w:rPr>
          <w:lang w:val="fr-FR"/>
        </w:rPr>
        <w:t xml:space="preserve"> du</w:t>
      </w:r>
      <w:r w:rsidRPr="00B10DB4">
        <w:rPr>
          <w:lang w:val="fr-FR"/>
        </w:rPr>
        <w:t xml:space="preserve"> deuxième paragraphe, remplacer « colonne (</w:t>
      </w:r>
      <w:r w:rsidRPr="00036363">
        <w:rPr>
          <w:lang w:val="fr-FR"/>
        </w:rPr>
        <w:t>4</w:t>
      </w:r>
      <w:r w:rsidRPr="00B10DB4">
        <w:rPr>
          <w:lang w:val="fr-FR"/>
        </w:rPr>
        <w:t>) » par « colonne (</w:t>
      </w:r>
      <w:r w:rsidRPr="00036363">
        <w:rPr>
          <w:lang w:val="fr-FR"/>
        </w:rPr>
        <w:t>3</w:t>
      </w:r>
      <w:r w:rsidRPr="00B10DB4">
        <w:rPr>
          <w:lang w:val="fr-FR"/>
        </w:rPr>
        <w:t>) »</w:t>
      </w:r>
      <w:r w:rsidR="00036363" w:rsidRPr="00036363">
        <w:rPr>
          <w:lang w:val="fr-FR"/>
        </w:rPr>
        <w:t>.</w:t>
      </w:r>
      <w:r w:rsidRPr="00B10DB4">
        <w:rPr>
          <w:lang w:val="fr-FR"/>
        </w:rPr>
        <w:t xml:space="preserve"> </w:t>
      </w:r>
      <w:bookmarkStart w:id="12" w:name="_Hlk168499319"/>
      <w:r w:rsidRPr="00B10DB4">
        <w:rPr>
          <w:lang w:val="fr-FR"/>
        </w:rPr>
        <w:t>Supprimer le troisième paragraphe</w:t>
      </w:r>
      <w:r w:rsidR="00036363" w:rsidRPr="00036363">
        <w:rPr>
          <w:lang w:val="fr-FR"/>
        </w:rPr>
        <w:t>.</w:t>
      </w:r>
      <w:r w:rsidRPr="00B10DB4">
        <w:rPr>
          <w:lang w:val="fr-FR"/>
        </w:rPr>
        <w:t xml:space="preserve"> </w:t>
      </w:r>
      <w:bookmarkEnd w:id="12"/>
      <w:r w:rsidRPr="00B10DB4">
        <w:rPr>
          <w:lang w:val="fr-FR"/>
        </w:rPr>
        <w:t>Dans le nouveau troisième paragraphe (quatrième paragraphe actuel), remplacer « colonne (</w:t>
      </w:r>
      <w:r w:rsidRPr="00036363">
        <w:rPr>
          <w:lang w:val="fr-FR"/>
        </w:rPr>
        <w:t>5</w:t>
      </w:r>
      <w:r w:rsidRPr="00B10DB4">
        <w:rPr>
          <w:lang w:val="fr-FR"/>
        </w:rPr>
        <w:t>) » par « colonne (</w:t>
      </w:r>
      <w:r w:rsidRPr="00036363">
        <w:rPr>
          <w:lang w:val="fr-FR"/>
        </w:rPr>
        <w:t>4</w:t>
      </w:r>
      <w:r w:rsidRPr="00B10DB4">
        <w:rPr>
          <w:lang w:val="fr-FR"/>
        </w:rPr>
        <w:t>) »</w:t>
      </w:r>
      <w:r w:rsidR="00036363" w:rsidRPr="00036363">
        <w:rPr>
          <w:lang w:val="fr-FR"/>
        </w:rPr>
        <w:t>.</w:t>
      </w:r>
    </w:p>
    <w:p w14:paraId="457031D9" w14:textId="6695A664" w:rsidR="00CE245A" w:rsidRPr="00B10DB4" w:rsidRDefault="00CE245A" w:rsidP="00393751">
      <w:pPr>
        <w:spacing w:after="120"/>
        <w:ind w:left="2268" w:right="1134"/>
        <w:jc w:val="both"/>
        <w:rPr>
          <w:lang w:val="fr-FR"/>
        </w:rPr>
      </w:pPr>
      <w:r w:rsidRPr="00D11D38">
        <w:rPr>
          <w:rFonts w:eastAsia="SimSun"/>
          <w:lang w:val="fr-FR" w:eastAsia="zh-CN"/>
        </w:rPr>
        <w:t>(ADR</w:t>
      </w:r>
      <w:r w:rsidR="00887612">
        <w:rPr>
          <w:rFonts w:eastAsia="SimSun"/>
          <w:lang w:val="fr-FR" w:eastAsia="zh-CN"/>
        </w:rPr>
        <w:t> :</w:t>
      </w:r>
      <w:r w:rsidRPr="00D11D38">
        <w:rPr>
          <w:rFonts w:eastAsia="SimSun"/>
          <w:lang w:val="fr-FR" w:eastAsia="zh-CN"/>
        </w:rPr>
        <w:t xml:space="preserve">) </w:t>
      </w:r>
      <w:r w:rsidRPr="00B10DB4">
        <w:rPr>
          <w:lang w:val="fr-FR"/>
        </w:rPr>
        <w:t xml:space="preserve">Dans le tableau, </w:t>
      </w:r>
      <w:r w:rsidRPr="00D11D38">
        <w:rPr>
          <w:lang w:val="fr-FR"/>
        </w:rPr>
        <w:t>sous « </w:t>
      </w:r>
      <w:r w:rsidRPr="00285CB8">
        <w:rPr>
          <w:b/>
          <w:lang w:val="fr-FR"/>
        </w:rPr>
        <w:t>Pour la conception et la construction des citernes</w:t>
      </w:r>
      <w:r w:rsidRPr="00D11D38">
        <w:rPr>
          <w:lang w:val="fr-FR"/>
        </w:rPr>
        <w:t xml:space="preserve"> », </w:t>
      </w:r>
      <w:r w:rsidRPr="00B10DB4">
        <w:rPr>
          <w:lang w:val="fr-FR"/>
        </w:rPr>
        <w:t>dans la colonne (</w:t>
      </w:r>
      <w:r w:rsidRPr="00036363">
        <w:rPr>
          <w:lang w:val="fr-FR"/>
        </w:rPr>
        <w:t>2</w:t>
      </w:r>
      <w:r w:rsidRPr="00B10DB4">
        <w:rPr>
          <w:lang w:val="fr-FR"/>
        </w:rPr>
        <w:t>), ajouter les nouveaux notas suivants en renumérotant les notas existant</w:t>
      </w:r>
      <w:r>
        <w:rPr>
          <w:lang w:val="fr-FR"/>
        </w:rPr>
        <w:t>s</w:t>
      </w:r>
      <w:r w:rsidRPr="00B10DB4">
        <w:rPr>
          <w:lang w:val="fr-FR"/>
        </w:rPr>
        <w:t xml:space="preserve"> en conséquence le cas échéant</w:t>
      </w:r>
      <w:r w:rsidR="00887612">
        <w:rPr>
          <w:lang w:val="fr-FR"/>
        </w:rPr>
        <w:t> :</w:t>
      </w:r>
    </w:p>
    <w:p w14:paraId="7C352347" w14:textId="1C7A9480" w:rsidR="00CE245A" w:rsidRPr="00B10DB4" w:rsidRDefault="001306E2"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 xml:space="preserve">Pour « EN </w:t>
      </w:r>
      <w:r w:rsidR="00CE245A" w:rsidRPr="00036363">
        <w:rPr>
          <w:lang w:val="fr-FR" w:eastAsia="zh-CN"/>
        </w:rPr>
        <w:t>12493</w:t>
      </w:r>
      <w:r w:rsidR="00887612">
        <w:rPr>
          <w:lang w:val="fr-FR" w:eastAsia="zh-CN"/>
        </w:rPr>
        <w:t>:</w:t>
      </w:r>
      <w:r w:rsidR="00CE245A" w:rsidRPr="00036363">
        <w:rPr>
          <w:lang w:val="fr-FR" w:eastAsia="zh-CN"/>
        </w:rPr>
        <w:t>2001</w:t>
      </w:r>
      <w:r w:rsidR="00CE245A" w:rsidRPr="00B10DB4">
        <w:rPr>
          <w:lang w:val="fr-FR" w:eastAsia="zh-CN"/>
        </w:rPr>
        <w:t xml:space="preserve"> (sauf annexe C) », « </w:t>
      </w:r>
      <w:r w:rsidR="00CE245A" w:rsidRPr="00036363">
        <w:rPr>
          <w:b/>
          <w:bCs/>
          <w:i/>
          <w:iCs/>
          <w:lang w:val="fr-FR" w:eastAsia="zh-CN"/>
        </w:rPr>
        <w:t>NOTA</w:t>
      </w:r>
      <w:r w:rsidR="008E0216" w:rsidRPr="00036363">
        <w:rPr>
          <w:b/>
          <w:bCs/>
          <w:i/>
          <w:iCs/>
          <w:lang w:val="fr-FR" w:eastAsia="zh-CN"/>
        </w:rPr>
        <w:t> </w:t>
      </w:r>
      <w:r w:rsidR="00CE245A" w:rsidRPr="00036363">
        <w:rPr>
          <w:b/>
          <w:bCs/>
          <w:i/>
          <w:iCs/>
          <w:lang w:val="fr-FR" w:eastAsia="zh-CN"/>
        </w:rPr>
        <w:t>2</w:t>
      </w:r>
      <w:r w:rsidR="00887612" w:rsidRPr="00036363">
        <w:rPr>
          <w:i/>
          <w:iCs/>
          <w:lang w:val="fr-FR" w:eastAsia="zh-CN"/>
        </w:rPr>
        <w:t> :</w:t>
      </w:r>
      <w:r w:rsidR="00CE245A" w:rsidRPr="00036363">
        <w:rPr>
          <w:i/>
          <w:iCs/>
          <w:lang w:val="fr-FR" w:eastAsia="zh-CN"/>
        </w:rPr>
        <w:t xml:space="preserve"> Cette norme ne répond pas aux prescriptions du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17 ni à l</w:t>
      </w:r>
      <w:r w:rsidR="00887612" w:rsidRPr="00036363">
        <w:rPr>
          <w:i/>
          <w:iCs/>
          <w:lang w:val="fr-FR" w:eastAsia="zh-CN"/>
        </w:rPr>
        <w:t>’</w:t>
      </w:r>
      <w:r w:rsidR="00CE245A" w:rsidRPr="00036363">
        <w:rPr>
          <w:i/>
          <w:iCs/>
          <w:lang w:val="fr-FR" w:eastAsia="zh-CN"/>
        </w:rPr>
        <w:t>épreuve d</w:t>
      </w:r>
      <w:r w:rsidR="00887612" w:rsidRPr="00036363">
        <w:rPr>
          <w:i/>
          <w:iCs/>
          <w:lang w:val="fr-FR" w:eastAsia="zh-CN"/>
        </w:rPr>
        <w:t>’</w:t>
      </w:r>
      <w:r w:rsidR="00CE245A" w:rsidRPr="00036363">
        <w:rPr>
          <w:i/>
          <w:iCs/>
          <w:lang w:val="fr-FR" w:eastAsia="zh-CN"/>
        </w:rPr>
        <w:t>étanchéité du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4</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B10DB4">
        <w:rPr>
          <w:lang w:val="fr-FR" w:eastAsia="zh-CN"/>
        </w:rPr>
        <w:t> »</w:t>
      </w:r>
      <w:r w:rsidR="00887612">
        <w:rPr>
          <w:lang w:val="fr-FR" w:eastAsia="zh-CN"/>
        </w:rPr>
        <w:t> ;</w:t>
      </w:r>
    </w:p>
    <w:p w14:paraId="1D9745A5" w14:textId="37FC6CD0" w:rsidR="00CE245A" w:rsidRPr="00B10DB4" w:rsidRDefault="00760D6B"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Pour « EN</w:t>
      </w:r>
      <w:r w:rsidR="00560633">
        <w:rPr>
          <w:lang w:val="fr-FR" w:eastAsia="zh-CN"/>
        </w:rPr>
        <w:t> </w:t>
      </w:r>
      <w:r w:rsidR="00CE245A" w:rsidRPr="00036363">
        <w:rPr>
          <w:lang w:val="fr-FR" w:eastAsia="zh-CN"/>
        </w:rPr>
        <w:t>12493</w:t>
      </w:r>
      <w:r w:rsidR="00887612">
        <w:rPr>
          <w:lang w:val="fr-FR" w:eastAsia="zh-CN"/>
        </w:rPr>
        <w:t>:</w:t>
      </w:r>
      <w:r w:rsidR="00CE245A" w:rsidRPr="00036363">
        <w:rPr>
          <w:lang w:val="fr-FR" w:eastAsia="zh-CN"/>
        </w:rPr>
        <w:t>2008</w:t>
      </w:r>
      <w:r w:rsidR="00CE245A" w:rsidRPr="00B10DB4">
        <w:rPr>
          <w:lang w:val="fr-FR" w:eastAsia="zh-CN"/>
        </w:rPr>
        <w:t xml:space="preserve"> (sauf annexe C) » et « EN </w:t>
      </w:r>
      <w:r w:rsidR="00CE245A" w:rsidRPr="00036363">
        <w:rPr>
          <w:lang w:val="fr-FR" w:eastAsia="zh-CN"/>
        </w:rPr>
        <w:t>12493</w:t>
      </w:r>
      <w:r w:rsidR="00887612">
        <w:rPr>
          <w:lang w:val="fr-FR" w:eastAsia="zh-CN"/>
        </w:rPr>
        <w:t>:</w:t>
      </w:r>
      <w:r w:rsidR="00CE245A" w:rsidRPr="00036363">
        <w:rPr>
          <w:lang w:val="fr-FR" w:eastAsia="zh-CN"/>
        </w:rPr>
        <w:t>2008</w:t>
      </w:r>
      <w:r w:rsidR="00CE245A" w:rsidRPr="00B10DB4">
        <w:rPr>
          <w:lang w:val="fr-FR" w:eastAsia="zh-CN"/>
        </w:rPr>
        <w:t xml:space="preserve"> + A</w:t>
      </w:r>
      <w:r w:rsidR="00CE245A" w:rsidRPr="00036363">
        <w:rPr>
          <w:lang w:val="fr-FR" w:eastAsia="zh-CN"/>
        </w:rPr>
        <w:t>1</w:t>
      </w:r>
      <w:r w:rsidR="00887612">
        <w:rPr>
          <w:lang w:val="fr-FR" w:eastAsia="zh-CN"/>
        </w:rPr>
        <w:t>:</w:t>
      </w:r>
      <w:r w:rsidR="00CE245A" w:rsidRPr="00036363">
        <w:rPr>
          <w:lang w:val="fr-FR" w:eastAsia="zh-CN"/>
        </w:rPr>
        <w:t>2012</w:t>
      </w:r>
      <w:r w:rsidR="00CE245A" w:rsidRPr="00B10DB4">
        <w:rPr>
          <w:lang w:val="fr-FR" w:eastAsia="zh-CN"/>
        </w:rPr>
        <w:t xml:space="preserve"> (sauf annexe C) », « </w:t>
      </w:r>
      <w:r w:rsidR="00CE245A" w:rsidRPr="00036363">
        <w:rPr>
          <w:b/>
          <w:bCs/>
          <w:i/>
          <w:iCs/>
          <w:lang w:val="fr-FR" w:eastAsia="zh-CN"/>
        </w:rPr>
        <w:t>NOTA</w:t>
      </w:r>
      <w:r w:rsidR="008E0216" w:rsidRPr="00036363">
        <w:rPr>
          <w:b/>
          <w:bCs/>
          <w:i/>
          <w:iCs/>
          <w:lang w:val="fr-FR" w:eastAsia="zh-CN"/>
        </w:rPr>
        <w:t> </w:t>
      </w:r>
      <w:r w:rsidR="00CE245A" w:rsidRPr="00036363">
        <w:rPr>
          <w:b/>
          <w:bCs/>
          <w:i/>
          <w:iCs/>
          <w:lang w:val="fr-FR" w:eastAsia="zh-CN"/>
        </w:rPr>
        <w:t>2</w:t>
      </w:r>
      <w:r w:rsidR="00887612" w:rsidRPr="00036363">
        <w:rPr>
          <w:i/>
          <w:iCs/>
          <w:lang w:val="fr-FR" w:eastAsia="zh-CN"/>
        </w:rPr>
        <w:t> :</w:t>
      </w:r>
      <w:r w:rsidR="00CE245A" w:rsidRPr="00036363">
        <w:rPr>
          <w:i/>
          <w:iCs/>
          <w:lang w:val="fr-FR" w:eastAsia="zh-CN"/>
        </w:rPr>
        <w:t xml:space="preserve"> Cette norme ne répond pas aux prescriptions du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17</w:t>
      </w:r>
      <w:r w:rsidR="00036363" w:rsidRPr="00036363">
        <w:rPr>
          <w:lang w:val="fr-FR" w:eastAsia="zh-CN"/>
        </w:rPr>
        <w:t>.</w:t>
      </w:r>
      <w:r w:rsidR="00CE245A" w:rsidRPr="00B10DB4">
        <w:rPr>
          <w:lang w:val="fr-FR" w:eastAsia="zh-CN"/>
        </w:rPr>
        <w:t> »</w:t>
      </w:r>
      <w:r w:rsidR="00887612">
        <w:rPr>
          <w:lang w:val="fr-FR" w:eastAsia="zh-CN"/>
        </w:rPr>
        <w:t> ;</w:t>
      </w:r>
    </w:p>
    <w:p w14:paraId="4F577F51" w14:textId="19DCD7C4" w:rsidR="00CE245A" w:rsidRPr="00B10DB4" w:rsidRDefault="00760D6B"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Pour « EN</w:t>
      </w:r>
      <w:r w:rsidR="00560633">
        <w:rPr>
          <w:lang w:val="fr-FR" w:eastAsia="zh-CN"/>
        </w:rPr>
        <w:t> </w:t>
      </w:r>
      <w:r w:rsidR="00CE245A" w:rsidRPr="00036363">
        <w:rPr>
          <w:lang w:val="fr-FR" w:eastAsia="zh-CN"/>
        </w:rPr>
        <w:t>13530</w:t>
      </w:r>
      <w:r w:rsidR="00CE245A" w:rsidRPr="00B10DB4">
        <w:rPr>
          <w:lang w:val="fr-FR" w:eastAsia="zh-CN"/>
        </w:rPr>
        <w:t>-</w:t>
      </w:r>
      <w:r w:rsidR="00CE245A" w:rsidRPr="00036363">
        <w:rPr>
          <w:lang w:val="fr-FR" w:eastAsia="zh-CN"/>
        </w:rPr>
        <w:t>2</w:t>
      </w:r>
      <w:r w:rsidR="00887612">
        <w:rPr>
          <w:lang w:val="fr-FR" w:eastAsia="zh-CN"/>
        </w:rPr>
        <w:t>:</w:t>
      </w:r>
      <w:r w:rsidR="00CE245A" w:rsidRPr="00036363">
        <w:rPr>
          <w:lang w:val="fr-FR" w:eastAsia="zh-CN"/>
        </w:rPr>
        <w:t>2002</w:t>
      </w:r>
      <w:r w:rsidR="00CE245A" w:rsidRPr="00B10DB4">
        <w:rPr>
          <w:lang w:val="fr-FR" w:eastAsia="zh-CN"/>
        </w:rPr>
        <w:t> », « </w:t>
      </w:r>
      <w:r w:rsidR="00CE245A" w:rsidRPr="00036363">
        <w:rPr>
          <w:b/>
          <w:bCs/>
          <w:i/>
          <w:iCs/>
          <w:lang w:val="fr-FR" w:eastAsia="zh-CN"/>
        </w:rPr>
        <w:t>NOTA</w:t>
      </w:r>
      <w:r w:rsidR="00887612" w:rsidRPr="00036363">
        <w:rPr>
          <w:i/>
          <w:iCs/>
          <w:lang w:val="fr-FR" w:eastAsia="zh-CN"/>
        </w:rPr>
        <w:t> :</w:t>
      </w:r>
      <w:r w:rsidR="00CE245A" w:rsidRPr="00036363">
        <w:rPr>
          <w:i/>
          <w:iCs/>
          <w:lang w:val="fr-FR" w:eastAsia="zh-CN"/>
        </w:rPr>
        <w:t xml:space="preserve"> Cette norme ne répond pas aux prescriptions du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17</w:t>
      </w:r>
      <w:r w:rsidR="00036363" w:rsidRPr="00036363">
        <w:rPr>
          <w:lang w:val="fr-FR" w:eastAsia="zh-CN"/>
        </w:rPr>
        <w:t>.</w:t>
      </w:r>
      <w:r w:rsidR="00CE245A" w:rsidRPr="00B10DB4">
        <w:rPr>
          <w:lang w:val="fr-FR" w:eastAsia="zh-CN"/>
        </w:rPr>
        <w:t> »</w:t>
      </w:r>
      <w:r w:rsidR="00887612">
        <w:rPr>
          <w:lang w:val="fr-FR" w:eastAsia="zh-CN"/>
        </w:rPr>
        <w:t> ;</w:t>
      </w:r>
    </w:p>
    <w:p w14:paraId="6ABC1EFD" w14:textId="33E4E7F8" w:rsidR="00CE245A" w:rsidRPr="00B10DB4" w:rsidRDefault="00760D6B"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Pour « EN</w:t>
      </w:r>
      <w:r w:rsidR="00560633">
        <w:rPr>
          <w:lang w:val="fr-FR" w:eastAsia="zh-CN"/>
        </w:rPr>
        <w:t> </w:t>
      </w:r>
      <w:r w:rsidR="00CE245A" w:rsidRPr="00036363">
        <w:rPr>
          <w:lang w:val="fr-FR" w:eastAsia="zh-CN"/>
        </w:rPr>
        <w:t>13530</w:t>
      </w:r>
      <w:r w:rsidR="00CE245A" w:rsidRPr="00B10DB4">
        <w:rPr>
          <w:lang w:val="fr-FR" w:eastAsia="zh-CN"/>
        </w:rPr>
        <w:t>-</w:t>
      </w:r>
      <w:r w:rsidR="00CE245A" w:rsidRPr="00036363">
        <w:rPr>
          <w:lang w:val="fr-FR" w:eastAsia="zh-CN"/>
        </w:rPr>
        <w:t>2</w:t>
      </w:r>
      <w:r w:rsidR="00887612">
        <w:rPr>
          <w:lang w:val="fr-FR" w:eastAsia="zh-CN"/>
        </w:rPr>
        <w:t>:</w:t>
      </w:r>
      <w:r w:rsidR="00CE245A" w:rsidRPr="00036363">
        <w:rPr>
          <w:lang w:val="fr-FR" w:eastAsia="zh-CN"/>
        </w:rPr>
        <w:t>2002</w:t>
      </w:r>
      <w:r w:rsidR="00CE245A" w:rsidRPr="00B10DB4">
        <w:rPr>
          <w:lang w:val="fr-FR" w:eastAsia="zh-CN"/>
        </w:rPr>
        <w:t xml:space="preserve"> + A</w:t>
      </w:r>
      <w:r w:rsidR="00CE245A" w:rsidRPr="00036363">
        <w:rPr>
          <w:lang w:val="fr-FR" w:eastAsia="zh-CN"/>
        </w:rPr>
        <w:t>1</w:t>
      </w:r>
      <w:r w:rsidR="00887612">
        <w:rPr>
          <w:lang w:val="fr-FR" w:eastAsia="zh-CN"/>
        </w:rPr>
        <w:t>:</w:t>
      </w:r>
      <w:r w:rsidR="00CE245A" w:rsidRPr="00036363">
        <w:rPr>
          <w:lang w:val="fr-FR" w:eastAsia="zh-CN"/>
        </w:rPr>
        <w:t>2004</w:t>
      </w:r>
      <w:r w:rsidR="00CE245A" w:rsidRPr="00B10DB4">
        <w:rPr>
          <w:lang w:val="fr-FR" w:eastAsia="zh-CN"/>
        </w:rPr>
        <w:t> », « </w:t>
      </w:r>
      <w:r w:rsidR="00CE245A" w:rsidRPr="00036363">
        <w:rPr>
          <w:b/>
          <w:bCs/>
          <w:i/>
          <w:iCs/>
          <w:lang w:val="fr-FR" w:eastAsia="zh-CN"/>
        </w:rPr>
        <w:t>NOTA</w:t>
      </w:r>
      <w:r w:rsidR="008E0216" w:rsidRPr="00036363">
        <w:rPr>
          <w:b/>
          <w:bCs/>
          <w:i/>
          <w:iCs/>
          <w:lang w:val="fr-FR" w:eastAsia="zh-CN"/>
        </w:rPr>
        <w:t> </w:t>
      </w:r>
      <w:r w:rsidR="00CE245A" w:rsidRPr="00036363">
        <w:rPr>
          <w:b/>
          <w:bCs/>
          <w:i/>
          <w:iCs/>
          <w:lang w:val="fr-FR" w:eastAsia="zh-CN"/>
        </w:rPr>
        <w:t>2</w:t>
      </w:r>
      <w:r w:rsidR="00887612" w:rsidRPr="00036363">
        <w:rPr>
          <w:i/>
          <w:iCs/>
          <w:lang w:val="fr-FR" w:eastAsia="zh-CN"/>
        </w:rPr>
        <w:t> :</w:t>
      </w:r>
      <w:r w:rsidR="00CE245A" w:rsidRPr="00036363">
        <w:rPr>
          <w:i/>
          <w:iCs/>
          <w:lang w:val="fr-FR" w:eastAsia="zh-CN"/>
        </w:rPr>
        <w:t xml:space="preserve"> Cette norme ne répond pas </w:t>
      </w:r>
      <w:r w:rsidR="00CE245A" w:rsidRPr="003B5C0A">
        <w:rPr>
          <w:i/>
          <w:iCs/>
          <w:lang w:val="fr-FR" w:eastAsia="zh-CN"/>
        </w:rPr>
        <w:t>aux</w:t>
      </w:r>
      <w:r w:rsidR="00CE245A" w:rsidRPr="00036363">
        <w:rPr>
          <w:i/>
          <w:iCs/>
          <w:lang w:val="fr-FR" w:eastAsia="zh-CN"/>
        </w:rPr>
        <w:t xml:space="preserve"> prescriptions du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17</w:t>
      </w:r>
      <w:r w:rsidR="00036363" w:rsidRPr="00036363">
        <w:rPr>
          <w:lang w:val="fr-FR" w:eastAsia="zh-CN"/>
        </w:rPr>
        <w:t>.</w:t>
      </w:r>
      <w:r w:rsidR="00CE245A" w:rsidRPr="00B10DB4">
        <w:rPr>
          <w:lang w:val="fr-FR" w:eastAsia="zh-CN"/>
        </w:rPr>
        <w:t> »</w:t>
      </w:r>
      <w:r w:rsidR="00887612">
        <w:rPr>
          <w:lang w:val="fr-FR" w:eastAsia="zh-CN"/>
        </w:rPr>
        <w:t> ;</w:t>
      </w:r>
    </w:p>
    <w:p w14:paraId="4DFDC493" w14:textId="6CE414FB" w:rsidR="00CE245A" w:rsidRPr="00B10DB4" w:rsidRDefault="00760D6B"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Pour « EN</w:t>
      </w:r>
      <w:r w:rsidR="00560633">
        <w:rPr>
          <w:lang w:val="fr-FR" w:eastAsia="zh-CN"/>
        </w:rPr>
        <w:t> </w:t>
      </w:r>
      <w:r w:rsidR="00CE245A" w:rsidRPr="00036363">
        <w:rPr>
          <w:lang w:val="fr-FR" w:eastAsia="zh-CN"/>
        </w:rPr>
        <w:t>14398</w:t>
      </w:r>
      <w:r w:rsidR="00CE245A" w:rsidRPr="00B10DB4">
        <w:rPr>
          <w:lang w:val="fr-FR" w:eastAsia="zh-CN"/>
        </w:rPr>
        <w:t>-</w:t>
      </w:r>
      <w:r w:rsidR="00CE245A" w:rsidRPr="00036363">
        <w:rPr>
          <w:lang w:val="fr-FR" w:eastAsia="zh-CN"/>
        </w:rPr>
        <w:t>2</w:t>
      </w:r>
      <w:r w:rsidR="00887612">
        <w:rPr>
          <w:lang w:val="fr-FR" w:eastAsia="zh-CN"/>
        </w:rPr>
        <w:t>:</w:t>
      </w:r>
      <w:r w:rsidR="00CE245A" w:rsidRPr="00036363">
        <w:rPr>
          <w:lang w:val="fr-FR" w:eastAsia="zh-CN"/>
        </w:rPr>
        <w:t>2003</w:t>
      </w:r>
      <w:r w:rsidR="00CE245A" w:rsidRPr="00B10DB4">
        <w:rPr>
          <w:lang w:val="fr-FR" w:eastAsia="zh-CN"/>
        </w:rPr>
        <w:t xml:space="preserve"> (sauf tableau</w:t>
      </w:r>
      <w:r w:rsidR="00E40C90">
        <w:rPr>
          <w:lang w:val="fr-FR" w:eastAsia="zh-CN"/>
        </w:rPr>
        <w:t> </w:t>
      </w:r>
      <w:r w:rsidR="00CE245A" w:rsidRPr="00036363">
        <w:rPr>
          <w:lang w:val="fr-FR" w:eastAsia="zh-CN"/>
        </w:rPr>
        <w:t>1</w:t>
      </w:r>
      <w:r w:rsidR="00CE245A" w:rsidRPr="00B10DB4">
        <w:rPr>
          <w:lang w:val="fr-FR" w:eastAsia="zh-CN"/>
        </w:rPr>
        <w:t>) » et « EN</w:t>
      </w:r>
      <w:r w:rsidR="00560633">
        <w:rPr>
          <w:lang w:val="fr-FR" w:eastAsia="zh-CN"/>
        </w:rPr>
        <w:t> </w:t>
      </w:r>
      <w:r w:rsidR="00CE245A" w:rsidRPr="00036363">
        <w:rPr>
          <w:lang w:val="fr-FR" w:eastAsia="zh-CN"/>
        </w:rPr>
        <w:t>14398</w:t>
      </w:r>
      <w:r w:rsidR="00CE245A" w:rsidRPr="00B10DB4">
        <w:rPr>
          <w:lang w:val="fr-FR" w:eastAsia="zh-CN"/>
        </w:rPr>
        <w:t>-</w:t>
      </w:r>
      <w:r w:rsidR="00CE245A" w:rsidRPr="00036363">
        <w:rPr>
          <w:lang w:val="fr-FR" w:eastAsia="zh-CN"/>
        </w:rPr>
        <w:t>2</w:t>
      </w:r>
      <w:r w:rsidR="00887612">
        <w:rPr>
          <w:lang w:val="fr-FR" w:eastAsia="zh-CN"/>
        </w:rPr>
        <w:t>:</w:t>
      </w:r>
      <w:r w:rsidR="00CE245A" w:rsidRPr="00036363">
        <w:rPr>
          <w:lang w:val="fr-FR" w:eastAsia="zh-CN"/>
        </w:rPr>
        <w:t>2003</w:t>
      </w:r>
      <w:r w:rsidR="00CE245A" w:rsidRPr="00B10DB4">
        <w:rPr>
          <w:lang w:val="fr-FR" w:eastAsia="zh-CN"/>
        </w:rPr>
        <w:t xml:space="preserve"> + A</w:t>
      </w:r>
      <w:r w:rsidR="00CE245A" w:rsidRPr="00036363">
        <w:rPr>
          <w:lang w:val="fr-FR" w:eastAsia="zh-CN"/>
        </w:rPr>
        <w:t>2</w:t>
      </w:r>
      <w:r w:rsidR="00887612">
        <w:rPr>
          <w:lang w:val="fr-FR" w:eastAsia="zh-CN"/>
        </w:rPr>
        <w:t>:</w:t>
      </w:r>
      <w:r w:rsidR="00CE245A" w:rsidRPr="00036363">
        <w:rPr>
          <w:lang w:val="fr-FR" w:eastAsia="zh-CN"/>
        </w:rPr>
        <w:t>2008</w:t>
      </w:r>
      <w:r w:rsidR="00CE245A" w:rsidRPr="00B10DB4">
        <w:rPr>
          <w:lang w:val="fr-FR" w:eastAsia="zh-CN"/>
        </w:rPr>
        <w:t> », « </w:t>
      </w:r>
      <w:r w:rsidR="00CE245A" w:rsidRPr="00036363">
        <w:rPr>
          <w:b/>
          <w:bCs/>
          <w:i/>
          <w:iCs/>
          <w:lang w:val="fr-FR" w:eastAsia="zh-CN"/>
        </w:rPr>
        <w:t>NOTA</w:t>
      </w:r>
      <w:r w:rsidR="008E0216" w:rsidRPr="00036363">
        <w:rPr>
          <w:b/>
          <w:bCs/>
          <w:i/>
          <w:iCs/>
          <w:lang w:val="fr-FR" w:eastAsia="zh-CN"/>
        </w:rPr>
        <w:t> </w:t>
      </w:r>
      <w:r w:rsidR="00CE245A" w:rsidRPr="00036363">
        <w:rPr>
          <w:b/>
          <w:bCs/>
          <w:i/>
          <w:iCs/>
          <w:lang w:val="fr-FR" w:eastAsia="zh-CN"/>
        </w:rPr>
        <w:t>2</w:t>
      </w:r>
      <w:r w:rsidR="00887612" w:rsidRPr="00036363">
        <w:rPr>
          <w:i/>
          <w:iCs/>
          <w:lang w:val="fr-FR" w:eastAsia="zh-CN"/>
        </w:rPr>
        <w:t> :</w:t>
      </w:r>
      <w:r w:rsidR="00CE245A" w:rsidRPr="00036363">
        <w:rPr>
          <w:i/>
          <w:iCs/>
          <w:lang w:val="fr-FR" w:eastAsia="zh-CN"/>
        </w:rPr>
        <w:t xml:space="preserve"> Cette norme ne répond pas aux prescriptions des</w:t>
      </w:r>
      <w:r w:rsidR="00473D4B" w:rsidRPr="00036363">
        <w:rPr>
          <w:i/>
          <w:iCs/>
          <w:lang w:val="fr-FR" w:eastAsia="zh-CN"/>
        </w:rPr>
        <w:t xml:space="preserve"> </w:t>
      </w:r>
      <w:r w:rsidR="00CE245A" w:rsidRPr="00036363">
        <w:rPr>
          <w:i/>
          <w:iCs/>
          <w:lang w:val="fr-FR" w:eastAsia="zh-CN"/>
        </w:rPr>
        <w:t>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17, 6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19 ou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1</w:t>
      </w:r>
      <w:r w:rsidR="00036363" w:rsidRPr="00036363">
        <w:rPr>
          <w:i/>
          <w:iCs/>
          <w:lang w:val="fr-FR" w:eastAsia="zh-CN"/>
        </w:rPr>
        <w:t>.</w:t>
      </w:r>
      <w:r w:rsidR="00CE245A" w:rsidRPr="00036363">
        <w:rPr>
          <w:i/>
          <w:iCs/>
          <w:lang w:val="fr-FR" w:eastAsia="zh-CN"/>
        </w:rPr>
        <w:t>20</w:t>
      </w:r>
      <w:r w:rsidR="00036363" w:rsidRPr="00036363">
        <w:rPr>
          <w:i/>
          <w:iCs/>
          <w:lang w:val="fr-FR" w:eastAsia="zh-CN"/>
        </w:rPr>
        <w:t>.</w:t>
      </w:r>
      <w:r w:rsidR="00CE245A" w:rsidRPr="00036363">
        <w:rPr>
          <w:i/>
          <w:iCs/>
          <w:lang w:val="fr-FR" w:eastAsia="zh-CN"/>
        </w:rPr>
        <w:t> </w:t>
      </w:r>
      <w:r w:rsidR="00CE245A" w:rsidRPr="00B10DB4">
        <w:rPr>
          <w:lang w:val="fr-FR" w:eastAsia="zh-CN"/>
        </w:rPr>
        <w:t>»</w:t>
      </w:r>
      <w:r w:rsidR="00887612">
        <w:rPr>
          <w:lang w:val="fr-FR" w:eastAsia="zh-CN"/>
        </w:rPr>
        <w:t> ;</w:t>
      </w:r>
    </w:p>
    <w:p w14:paraId="1B6B0E20" w14:textId="2EA9B2A8" w:rsidR="00CE245A" w:rsidRPr="00D11D38" w:rsidRDefault="00CE245A" w:rsidP="00393751">
      <w:pPr>
        <w:spacing w:after="120"/>
        <w:ind w:left="2268" w:right="1134"/>
        <w:jc w:val="both"/>
        <w:rPr>
          <w:lang w:val="fr-FR" w:eastAsia="zh-CN"/>
        </w:rPr>
      </w:pPr>
      <w:r w:rsidRPr="00D11D38">
        <w:rPr>
          <w:lang w:val="fr-FR" w:eastAsia="zh-CN"/>
        </w:rPr>
        <w:t>(ADR</w:t>
      </w:r>
      <w:r w:rsidR="00887612">
        <w:rPr>
          <w:lang w:val="fr-FR" w:eastAsia="zh-CN"/>
        </w:rPr>
        <w:t> :</w:t>
      </w:r>
      <w:r w:rsidRPr="00D11D38">
        <w:rPr>
          <w:lang w:val="fr-FR" w:eastAsia="zh-CN"/>
        </w:rPr>
        <w:t>) Dans le tableau, sous « </w:t>
      </w:r>
      <w:r w:rsidRPr="00285CB8">
        <w:rPr>
          <w:b/>
          <w:lang w:val="fr-FR" w:eastAsia="zh-CN"/>
        </w:rPr>
        <w:t>Pour les équipements</w:t>
      </w:r>
      <w:r w:rsidRPr="00D11D38">
        <w:rPr>
          <w:lang w:val="fr-FR" w:eastAsia="zh-CN"/>
        </w:rPr>
        <w:t> », dans la colonne (</w:t>
      </w:r>
      <w:r w:rsidRPr="00036363">
        <w:rPr>
          <w:lang w:val="fr-FR" w:eastAsia="zh-CN"/>
        </w:rPr>
        <w:t>2</w:t>
      </w:r>
      <w:r w:rsidRPr="00D11D38">
        <w:rPr>
          <w:lang w:val="fr-FR" w:eastAsia="zh-CN"/>
        </w:rPr>
        <w:t>), ajouter les nouvelles notes suivantes (en renumérotant la note existante)</w:t>
      </w:r>
      <w:r w:rsidR="00887612">
        <w:rPr>
          <w:lang w:val="fr-FR" w:eastAsia="zh-CN"/>
        </w:rPr>
        <w:t> :</w:t>
      </w:r>
    </w:p>
    <w:p w14:paraId="7509A97A" w14:textId="50671055" w:rsidR="00CE245A" w:rsidRPr="00B10DB4" w:rsidRDefault="00760D6B" w:rsidP="00760D6B">
      <w:pPr>
        <w:spacing w:after="120"/>
        <w:ind w:left="2835" w:right="1134" w:hanging="329"/>
        <w:jc w:val="both"/>
        <w:rPr>
          <w:lang w:val="fr-FR" w:eastAsia="zh-CN"/>
        </w:rPr>
      </w:pPr>
      <w:r>
        <w:rPr>
          <w:lang w:val="fr-FR" w:eastAsia="zh-CN"/>
        </w:rPr>
        <w:t>-</w:t>
      </w:r>
      <w:r>
        <w:rPr>
          <w:lang w:val="fr-FR" w:eastAsia="zh-CN"/>
        </w:rPr>
        <w:tab/>
      </w:r>
      <w:r w:rsidR="00CE245A" w:rsidRPr="00B10DB4">
        <w:rPr>
          <w:lang w:val="fr-FR" w:eastAsia="zh-CN"/>
        </w:rPr>
        <w:t>Pour « EN</w:t>
      </w:r>
      <w:r w:rsidR="00560633">
        <w:rPr>
          <w:lang w:val="fr-FR" w:eastAsia="zh-CN"/>
        </w:rPr>
        <w:t> </w:t>
      </w:r>
      <w:r w:rsidR="00CE245A" w:rsidRPr="00036363">
        <w:rPr>
          <w:lang w:val="fr-FR" w:eastAsia="zh-CN"/>
        </w:rPr>
        <w:t>12252</w:t>
      </w:r>
      <w:r w:rsidR="00887612">
        <w:rPr>
          <w:lang w:val="fr-FR" w:eastAsia="zh-CN"/>
        </w:rPr>
        <w:t>:</w:t>
      </w:r>
      <w:r w:rsidR="00CE245A" w:rsidRPr="00036363">
        <w:rPr>
          <w:lang w:val="fr-FR" w:eastAsia="zh-CN"/>
        </w:rPr>
        <w:t>2000</w:t>
      </w:r>
      <w:r w:rsidR="00CE245A" w:rsidRPr="00B10DB4">
        <w:rPr>
          <w:lang w:val="fr-FR" w:eastAsia="zh-CN"/>
        </w:rPr>
        <w:t> » et « EN</w:t>
      </w:r>
      <w:r w:rsidR="00560633">
        <w:rPr>
          <w:lang w:val="fr-FR" w:eastAsia="zh-CN"/>
        </w:rPr>
        <w:t> </w:t>
      </w:r>
      <w:r w:rsidR="00CE245A" w:rsidRPr="00036363">
        <w:rPr>
          <w:lang w:val="fr-FR" w:eastAsia="zh-CN"/>
        </w:rPr>
        <w:t>12252</w:t>
      </w:r>
      <w:r w:rsidR="00887612">
        <w:rPr>
          <w:lang w:val="fr-FR" w:eastAsia="zh-CN"/>
        </w:rPr>
        <w:t>:</w:t>
      </w:r>
      <w:r w:rsidR="00CE245A" w:rsidRPr="00036363">
        <w:rPr>
          <w:lang w:val="fr-FR" w:eastAsia="zh-CN"/>
        </w:rPr>
        <w:t>2005</w:t>
      </w:r>
      <w:r w:rsidR="00560633">
        <w:rPr>
          <w:lang w:val="fr-FR" w:eastAsia="zh-CN"/>
        </w:rPr>
        <w:t> </w:t>
      </w:r>
      <w:r w:rsidR="00CE245A" w:rsidRPr="00B10DB4">
        <w:rPr>
          <w:lang w:val="fr-FR" w:eastAsia="zh-CN"/>
        </w:rPr>
        <w:t>+</w:t>
      </w:r>
      <w:r w:rsidR="00560633">
        <w:rPr>
          <w:lang w:val="fr-FR" w:eastAsia="zh-CN"/>
        </w:rPr>
        <w:t> </w:t>
      </w:r>
      <w:r w:rsidR="00CE245A" w:rsidRPr="00B10DB4">
        <w:rPr>
          <w:lang w:val="fr-FR" w:eastAsia="zh-CN"/>
        </w:rPr>
        <w:t>A</w:t>
      </w:r>
      <w:r w:rsidR="00CE245A" w:rsidRPr="00036363">
        <w:rPr>
          <w:lang w:val="fr-FR" w:eastAsia="zh-CN"/>
        </w:rPr>
        <w:t>1</w:t>
      </w:r>
      <w:r w:rsidR="00887612">
        <w:rPr>
          <w:lang w:val="fr-FR" w:eastAsia="zh-CN"/>
        </w:rPr>
        <w:t>:</w:t>
      </w:r>
      <w:r w:rsidR="00CE245A" w:rsidRPr="00036363">
        <w:rPr>
          <w:lang w:val="fr-FR" w:eastAsia="zh-CN"/>
        </w:rPr>
        <w:t>2008</w:t>
      </w:r>
      <w:r w:rsidR="00CE245A" w:rsidRPr="00B10DB4">
        <w:rPr>
          <w:lang w:val="fr-FR" w:eastAsia="zh-CN"/>
        </w:rPr>
        <w:t> », « </w:t>
      </w:r>
      <w:r w:rsidR="00CE245A" w:rsidRPr="00036363">
        <w:rPr>
          <w:b/>
          <w:bCs/>
          <w:i/>
          <w:iCs/>
          <w:lang w:val="fr-FR" w:eastAsia="zh-CN"/>
        </w:rPr>
        <w:t>NOTA</w:t>
      </w:r>
      <w:r w:rsidR="008E0216" w:rsidRPr="00036363">
        <w:rPr>
          <w:b/>
          <w:bCs/>
          <w:i/>
          <w:iCs/>
          <w:lang w:val="fr-FR" w:eastAsia="zh-CN"/>
        </w:rPr>
        <w:t> </w:t>
      </w:r>
      <w:r w:rsidR="00CE245A" w:rsidRPr="00036363">
        <w:rPr>
          <w:b/>
          <w:bCs/>
          <w:i/>
          <w:iCs/>
          <w:lang w:val="fr-FR" w:eastAsia="zh-CN"/>
        </w:rPr>
        <w:t>2</w:t>
      </w:r>
      <w:r w:rsidR="00887612" w:rsidRPr="00036363">
        <w:rPr>
          <w:i/>
          <w:iCs/>
          <w:lang w:val="fr-FR" w:eastAsia="zh-CN"/>
        </w:rPr>
        <w:t> :</w:t>
      </w:r>
      <w:r w:rsidR="00CE245A" w:rsidRPr="00036363">
        <w:rPr>
          <w:i/>
          <w:iCs/>
          <w:lang w:val="fr-FR" w:eastAsia="zh-CN"/>
        </w:rPr>
        <w:t xml:space="preserve"> Cette norme n</w:t>
      </w:r>
      <w:r w:rsidR="00887612" w:rsidRPr="00036363">
        <w:rPr>
          <w:i/>
          <w:iCs/>
          <w:lang w:val="fr-FR" w:eastAsia="zh-CN"/>
        </w:rPr>
        <w:t>’</w:t>
      </w:r>
      <w:r w:rsidR="00CE245A" w:rsidRPr="00036363">
        <w:rPr>
          <w:i/>
          <w:iCs/>
          <w:lang w:val="fr-FR" w:eastAsia="zh-CN"/>
        </w:rPr>
        <w:t>est pas conforme au 6</w:t>
      </w:r>
      <w:r w:rsidR="00036363" w:rsidRPr="00036363">
        <w:rPr>
          <w:i/>
          <w:iCs/>
          <w:lang w:val="fr-FR" w:eastAsia="zh-CN"/>
        </w:rPr>
        <w:t>.</w:t>
      </w:r>
      <w:r w:rsidR="00CE245A" w:rsidRPr="00036363">
        <w:rPr>
          <w:i/>
          <w:iCs/>
          <w:lang w:val="fr-FR" w:eastAsia="zh-CN"/>
        </w:rPr>
        <w:t>8</w:t>
      </w:r>
      <w:r w:rsidR="00036363" w:rsidRPr="00036363">
        <w:rPr>
          <w:i/>
          <w:iCs/>
          <w:lang w:val="fr-FR" w:eastAsia="zh-CN"/>
        </w:rPr>
        <w:t>.</w:t>
      </w:r>
      <w:r w:rsidR="00CE245A" w:rsidRPr="00036363">
        <w:rPr>
          <w:i/>
          <w:iCs/>
          <w:lang w:val="fr-FR" w:eastAsia="zh-CN"/>
        </w:rPr>
        <w:t>3</w:t>
      </w:r>
      <w:r w:rsidR="00036363" w:rsidRPr="00036363">
        <w:rPr>
          <w:i/>
          <w:iCs/>
          <w:lang w:val="fr-FR" w:eastAsia="zh-CN"/>
        </w:rPr>
        <w:t>.</w:t>
      </w:r>
      <w:r w:rsidR="00CE245A" w:rsidRPr="00036363">
        <w:rPr>
          <w:i/>
          <w:iCs/>
          <w:lang w:val="fr-FR" w:eastAsia="zh-CN"/>
        </w:rPr>
        <w:t>2</w:t>
      </w:r>
      <w:r w:rsidR="00036363" w:rsidRPr="00036363">
        <w:rPr>
          <w:i/>
          <w:iCs/>
          <w:lang w:val="fr-FR" w:eastAsia="zh-CN"/>
        </w:rPr>
        <w:t>.</w:t>
      </w:r>
      <w:r w:rsidR="00CE245A" w:rsidRPr="00036363">
        <w:rPr>
          <w:i/>
          <w:iCs/>
          <w:lang w:val="fr-FR" w:eastAsia="zh-CN"/>
        </w:rPr>
        <w:t>3</w:t>
      </w:r>
      <w:r w:rsidR="00036363" w:rsidRPr="00036363">
        <w:rPr>
          <w:lang w:val="fr-FR" w:eastAsia="zh-CN"/>
        </w:rPr>
        <w:t>.</w:t>
      </w:r>
      <w:r w:rsidR="00CE245A" w:rsidRPr="00B10DB4">
        <w:rPr>
          <w:lang w:val="fr-FR" w:eastAsia="zh-CN"/>
        </w:rPr>
        <w:t> »</w:t>
      </w:r>
      <w:r w:rsidR="00887612">
        <w:rPr>
          <w:lang w:val="fr-FR" w:eastAsia="zh-CN"/>
        </w:rPr>
        <w:t> ;</w:t>
      </w:r>
    </w:p>
    <w:p w14:paraId="0EB7B4F2" w14:textId="68FA60ED" w:rsidR="00CE245A" w:rsidRPr="00B10DB4" w:rsidRDefault="00CE245A" w:rsidP="00393751">
      <w:pPr>
        <w:spacing w:after="120"/>
        <w:ind w:left="2268" w:right="1134"/>
        <w:jc w:val="both"/>
        <w:rPr>
          <w:lang w:val="fr-FR"/>
        </w:rPr>
      </w:pPr>
      <w:r w:rsidRPr="00B10DB4">
        <w:rPr>
          <w:lang w:val="fr-FR"/>
        </w:rPr>
        <w:t>Dans le tableau, supprimer la colonne (</w:t>
      </w:r>
      <w:r w:rsidRPr="00036363">
        <w:rPr>
          <w:lang w:val="fr-FR"/>
        </w:rPr>
        <w:t>3</w:t>
      </w:r>
      <w:r w:rsidRPr="00B10DB4">
        <w:rPr>
          <w:lang w:val="fr-FR"/>
        </w:rPr>
        <w:t>) et renuméroter les colonnes (</w:t>
      </w:r>
      <w:r w:rsidRPr="00036363">
        <w:rPr>
          <w:lang w:val="fr-FR"/>
        </w:rPr>
        <w:t>4</w:t>
      </w:r>
      <w:r w:rsidRPr="00B10DB4">
        <w:rPr>
          <w:lang w:val="fr-FR"/>
        </w:rPr>
        <w:t>) et (</w:t>
      </w:r>
      <w:r w:rsidRPr="00036363">
        <w:rPr>
          <w:lang w:val="fr-FR"/>
        </w:rPr>
        <w:t>5</w:t>
      </w:r>
      <w:r w:rsidRPr="00B10DB4">
        <w:rPr>
          <w:lang w:val="fr-FR"/>
        </w:rPr>
        <w:t>) en tant que (</w:t>
      </w:r>
      <w:r w:rsidRPr="00036363">
        <w:rPr>
          <w:lang w:val="fr-FR"/>
        </w:rPr>
        <w:t>3</w:t>
      </w:r>
      <w:r w:rsidRPr="00B10DB4">
        <w:rPr>
          <w:lang w:val="fr-FR"/>
        </w:rPr>
        <w:t>) et (</w:t>
      </w:r>
      <w:r w:rsidRPr="00036363">
        <w:rPr>
          <w:lang w:val="fr-FR"/>
        </w:rPr>
        <w:t>4</w:t>
      </w:r>
      <w:r w:rsidRPr="00B10DB4">
        <w:rPr>
          <w:lang w:val="fr-FR"/>
        </w:rPr>
        <w:t>)</w:t>
      </w:r>
      <w:r w:rsidR="00036363" w:rsidRPr="00036363">
        <w:rPr>
          <w:lang w:val="fr-FR"/>
        </w:rPr>
        <w:t>.</w:t>
      </w:r>
    </w:p>
    <w:p w14:paraId="38A552B3" w14:textId="4331400B" w:rsidR="00CE245A" w:rsidRPr="00036363" w:rsidRDefault="00CE245A" w:rsidP="008E42F9">
      <w:pPr>
        <w:pStyle w:val="SingleTxtG"/>
        <w:rPr>
          <w:rFonts w:eastAsia="Calibri"/>
          <w:i/>
          <w:iCs/>
          <w:lang w:val="fr-FR"/>
        </w:rPr>
      </w:pPr>
      <w:r w:rsidRPr="00036363">
        <w:rPr>
          <w:rFonts w:eastAsia="Calibri"/>
          <w:i/>
          <w:iCs/>
          <w:lang w:val="fr-FR"/>
        </w:rPr>
        <w:t>(Documents de référence</w:t>
      </w:r>
      <w:r w:rsidR="00887612" w:rsidRPr="00036363">
        <w:rPr>
          <w:rFonts w:eastAsia="Calibri"/>
          <w:i/>
          <w:iCs/>
          <w:lang w:val="fr-FR"/>
        </w:rPr>
        <w:t> :</w:t>
      </w:r>
      <w:r w:rsidRPr="00036363">
        <w:rPr>
          <w:rFonts w:eastAsia="Calibri"/>
          <w:i/>
          <w:iCs/>
          <w:lang w:val="fr-FR"/>
        </w:rPr>
        <w:t xml:space="preserve"> </w:t>
      </w:r>
      <w:r w:rsidRPr="00036363">
        <w:rPr>
          <w:rFonts w:eastAsia="SimSun"/>
          <w:i/>
          <w:iCs/>
          <w:lang w:val="fr-FR"/>
        </w:rPr>
        <w:t>ECE/TRANS/WP</w:t>
      </w:r>
      <w:r w:rsidR="00036363" w:rsidRPr="00036363">
        <w:rPr>
          <w:rFonts w:eastAsia="SimSun"/>
          <w:i/>
          <w:iCs/>
          <w:lang w:val="fr-FR"/>
        </w:rPr>
        <w:t>.</w:t>
      </w:r>
      <w:r w:rsidRPr="00036363">
        <w:rPr>
          <w:rFonts w:eastAsia="SimSun"/>
          <w:i/>
          <w:iCs/>
          <w:lang w:val="fr-FR"/>
        </w:rPr>
        <w:t>15/AC</w:t>
      </w:r>
      <w:r w:rsidR="00036363" w:rsidRPr="00036363">
        <w:rPr>
          <w:rFonts w:eastAsia="SimSun"/>
          <w:i/>
          <w:iCs/>
          <w:lang w:val="fr-FR"/>
        </w:rPr>
        <w:t>.</w:t>
      </w:r>
      <w:r w:rsidRPr="00036363">
        <w:rPr>
          <w:rFonts w:eastAsia="SimSun"/>
          <w:i/>
          <w:iCs/>
          <w:lang w:val="fr-FR"/>
        </w:rPr>
        <w:t>1/2024/30 et document informel INF</w:t>
      </w:r>
      <w:r w:rsidR="00036363" w:rsidRPr="00036363">
        <w:rPr>
          <w:rFonts w:eastAsia="SimSun"/>
          <w:i/>
          <w:iCs/>
          <w:lang w:val="fr-FR"/>
        </w:rPr>
        <w:t>.</w:t>
      </w:r>
      <w:r w:rsidRPr="00036363">
        <w:rPr>
          <w:rFonts w:eastAsia="SimSun"/>
          <w:i/>
          <w:iCs/>
          <w:lang w:val="fr-FR"/>
        </w:rPr>
        <w:t>6 tel que modifié</w:t>
      </w:r>
      <w:r w:rsidRPr="00036363">
        <w:rPr>
          <w:rFonts w:eastAsia="Calibri"/>
          <w:i/>
          <w:iCs/>
          <w:lang w:val="fr-FR"/>
        </w:rPr>
        <w:t>)</w:t>
      </w:r>
    </w:p>
    <w:p w14:paraId="09CAA285" w14:textId="5EFB0C37" w:rsidR="00887612" w:rsidRDefault="00CE245A" w:rsidP="00EB55F6">
      <w:pPr>
        <w:pStyle w:val="SingleTxtG"/>
        <w:tabs>
          <w:tab w:val="clear" w:pos="1701"/>
          <w:tab w:val="clear" w:pos="2835"/>
        </w:tabs>
        <w:ind w:left="2268" w:hanging="1134"/>
        <w:rPr>
          <w:lang w:val="fr-FR"/>
        </w:rPr>
      </w:pPr>
      <w:r w:rsidRPr="00036363">
        <w:rPr>
          <w:lang w:val="fr-FR"/>
        </w:rPr>
        <w:t>6</w:t>
      </w:r>
      <w:r w:rsidR="00036363" w:rsidRPr="00036363">
        <w:rPr>
          <w:lang w:val="fr-FR"/>
        </w:rPr>
        <w:t>.</w:t>
      </w:r>
      <w:r w:rsidRPr="00036363">
        <w:rPr>
          <w:lang w:val="fr-FR"/>
        </w:rPr>
        <w:t>8</w:t>
      </w:r>
      <w:r w:rsidR="00036363" w:rsidRPr="00036363">
        <w:rPr>
          <w:lang w:val="fr-FR"/>
        </w:rPr>
        <w:t>.</w:t>
      </w:r>
      <w:r w:rsidRPr="00036363">
        <w:rPr>
          <w:lang w:val="fr-FR"/>
        </w:rPr>
        <w:t>2</w:t>
      </w:r>
      <w:r w:rsidR="00036363" w:rsidRPr="00036363">
        <w:rPr>
          <w:lang w:val="fr-FR"/>
        </w:rPr>
        <w:t>.</w:t>
      </w:r>
      <w:r w:rsidRPr="00036363">
        <w:rPr>
          <w:lang w:val="fr-FR"/>
        </w:rPr>
        <w:t>6</w:t>
      </w:r>
      <w:r w:rsidR="00036363" w:rsidRPr="00036363">
        <w:rPr>
          <w:lang w:val="fr-FR"/>
        </w:rPr>
        <w:t>.</w:t>
      </w:r>
      <w:r w:rsidRPr="00036363">
        <w:rPr>
          <w:lang w:val="fr-FR"/>
        </w:rPr>
        <w:t>2</w:t>
      </w:r>
      <w:r w:rsidRPr="00B10DB4">
        <w:rPr>
          <w:lang w:val="fr-FR"/>
        </w:rPr>
        <w:tab/>
      </w:r>
      <w:bookmarkStart w:id="13" w:name="_Hlk168500664"/>
      <w:r w:rsidRPr="00B10DB4">
        <w:rPr>
          <w:lang w:val="fr-FR"/>
        </w:rPr>
        <w:t>Au deuxième paragraphe, remplacer « colonne (</w:t>
      </w:r>
      <w:r w:rsidRPr="00036363">
        <w:rPr>
          <w:lang w:val="fr-FR"/>
        </w:rPr>
        <w:t>4</w:t>
      </w:r>
      <w:r w:rsidRPr="00B10DB4">
        <w:rPr>
          <w:lang w:val="fr-FR"/>
        </w:rPr>
        <w:t>) » par « colonne (</w:t>
      </w:r>
      <w:r w:rsidRPr="00036363">
        <w:rPr>
          <w:lang w:val="fr-FR"/>
        </w:rPr>
        <w:t>3</w:t>
      </w:r>
      <w:r w:rsidRPr="00B10DB4">
        <w:rPr>
          <w:lang w:val="fr-FR"/>
        </w:rPr>
        <w:t>) »</w:t>
      </w:r>
      <w:r w:rsidR="00036363" w:rsidRPr="00036363">
        <w:rPr>
          <w:lang w:val="fr-FR"/>
        </w:rPr>
        <w:t>.</w:t>
      </w:r>
      <w:bookmarkEnd w:id="13"/>
      <w:r w:rsidRPr="00B10DB4">
        <w:rPr>
          <w:lang w:val="fr-FR"/>
        </w:rPr>
        <w:t xml:space="preserve"> Supprimer le troisième paragraphe</w:t>
      </w:r>
      <w:r w:rsidR="00036363" w:rsidRPr="00036363">
        <w:rPr>
          <w:lang w:val="fr-FR"/>
        </w:rPr>
        <w:t>.</w:t>
      </w:r>
    </w:p>
    <w:p w14:paraId="0FD62713" w14:textId="36B76F38" w:rsidR="00CE245A" w:rsidRPr="00B10DB4" w:rsidRDefault="00CE245A" w:rsidP="002848AE">
      <w:pPr>
        <w:spacing w:after="120"/>
        <w:ind w:left="2268" w:right="1134"/>
        <w:jc w:val="both"/>
        <w:rPr>
          <w:lang w:val="fr-FR"/>
        </w:rPr>
      </w:pPr>
      <w:r w:rsidRPr="00D11D38">
        <w:rPr>
          <w:rFonts w:eastAsia="SimSun"/>
          <w:lang w:val="fr-FR" w:eastAsia="zh-CN"/>
        </w:rPr>
        <w:lastRenderedPageBreak/>
        <w:t>(ADR</w:t>
      </w:r>
      <w:r w:rsidR="00887612">
        <w:rPr>
          <w:rFonts w:eastAsia="SimSun"/>
          <w:lang w:val="fr-FR" w:eastAsia="zh-CN"/>
        </w:rPr>
        <w:t> :</w:t>
      </w:r>
      <w:r w:rsidRPr="00D11D38">
        <w:rPr>
          <w:rFonts w:eastAsia="SimSun"/>
          <w:lang w:val="fr-FR" w:eastAsia="zh-CN"/>
        </w:rPr>
        <w:t xml:space="preserve">) </w:t>
      </w:r>
      <w:r w:rsidRPr="00B10DB4">
        <w:rPr>
          <w:lang w:val="fr-FR"/>
        </w:rPr>
        <w:t>Dans le tableau, dans la colonne (</w:t>
      </w:r>
      <w:r w:rsidRPr="00036363">
        <w:rPr>
          <w:lang w:val="fr-FR"/>
        </w:rPr>
        <w:t>2</w:t>
      </w:r>
      <w:r w:rsidRPr="00B10DB4">
        <w:rPr>
          <w:lang w:val="fr-FR"/>
        </w:rPr>
        <w:t xml:space="preserve">), pour EN </w:t>
      </w:r>
      <w:r w:rsidRPr="00036363">
        <w:rPr>
          <w:lang w:val="fr-FR"/>
        </w:rPr>
        <w:t>14334</w:t>
      </w:r>
      <w:r w:rsidR="00887612">
        <w:rPr>
          <w:lang w:val="fr-FR"/>
        </w:rPr>
        <w:t>:</w:t>
      </w:r>
      <w:r w:rsidRPr="00036363">
        <w:rPr>
          <w:lang w:val="fr-FR"/>
        </w:rPr>
        <w:t>2014</w:t>
      </w:r>
      <w:r w:rsidRPr="00B10DB4">
        <w:rPr>
          <w:lang w:val="fr-FR"/>
        </w:rPr>
        <w:t>, ajouter le nouveau nota suivant</w:t>
      </w:r>
      <w:r w:rsidR="00887612">
        <w:rPr>
          <w:lang w:val="fr-FR"/>
        </w:rPr>
        <w:t> :</w:t>
      </w:r>
      <w:r w:rsidRPr="00B10DB4">
        <w:rPr>
          <w:lang w:val="fr-FR"/>
        </w:rPr>
        <w:t xml:space="preserve"> « </w:t>
      </w:r>
      <w:r w:rsidRPr="00036363">
        <w:rPr>
          <w:b/>
          <w:bCs/>
          <w:i/>
          <w:iCs/>
          <w:lang w:val="fr-FR"/>
        </w:rPr>
        <w:t>NOTA</w:t>
      </w:r>
      <w:r w:rsidR="00887612" w:rsidRPr="00036363">
        <w:rPr>
          <w:i/>
          <w:iCs/>
          <w:lang w:val="fr-FR"/>
        </w:rPr>
        <w:t> :</w:t>
      </w:r>
      <w:r w:rsidRPr="00036363">
        <w:rPr>
          <w:i/>
          <w:iCs/>
          <w:lang w:val="fr-FR"/>
        </w:rPr>
        <w:t xml:space="preserve"> Cette norme ne répond pas aux prescriptions du 6</w:t>
      </w:r>
      <w:r w:rsidR="00036363" w:rsidRPr="00036363">
        <w:rPr>
          <w:i/>
          <w:iCs/>
          <w:lang w:val="fr-FR"/>
        </w:rPr>
        <w:t>.</w:t>
      </w:r>
      <w:r w:rsidRPr="00036363">
        <w:rPr>
          <w:i/>
          <w:iCs/>
          <w:lang w:val="fr-FR"/>
        </w:rPr>
        <w:t>8</w:t>
      </w:r>
      <w:r w:rsidR="00036363" w:rsidRPr="00036363">
        <w:rPr>
          <w:i/>
          <w:iCs/>
          <w:lang w:val="fr-FR"/>
        </w:rPr>
        <w:t>.</w:t>
      </w:r>
      <w:r w:rsidRPr="00036363">
        <w:rPr>
          <w:i/>
          <w:iCs/>
          <w:lang w:val="fr-FR"/>
        </w:rPr>
        <w:t>2</w:t>
      </w:r>
      <w:r w:rsidR="00036363" w:rsidRPr="00036363">
        <w:rPr>
          <w:i/>
          <w:iCs/>
          <w:lang w:val="fr-FR"/>
        </w:rPr>
        <w:t>.</w:t>
      </w:r>
      <w:r w:rsidRPr="00036363">
        <w:rPr>
          <w:i/>
          <w:iCs/>
          <w:lang w:val="fr-FR"/>
        </w:rPr>
        <w:t>4</w:t>
      </w:r>
      <w:r w:rsidR="00036363" w:rsidRPr="00036363">
        <w:rPr>
          <w:i/>
          <w:iCs/>
          <w:lang w:val="fr-FR"/>
        </w:rPr>
        <w:t>.</w:t>
      </w:r>
      <w:r w:rsidRPr="00036363">
        <w:rPr>
          <w:i/>
          <w:iCs/>
          <w:lang w:val="fr-FR"/>
        </w:rPr>
        <w:t>1</w:t>
      </w:r>
      <w:r w:rsidR="00036363" w:rsidRPr="00036363">
        <w:rPr>
          <w:i/>
          <w:iCs/>
          <w:lang w:val="fr-FR"/>
        </w:rPr>
        <w:t>.</w:t>
      </w:r>
      <w:r w:rsidRPr="00B10DB4">
        <w:rPr>
          <w:lang w:val="fr-FR"/>
        </w:rPr>
        <w:t> »</w:t>
      </w:r>
      <w:r w:rsidR="00036363" w:rsidRPr="00036363">
        <w:rPr>
          <w:lang w:val="fr-FR"/>
        </w:rPr>
        <w:t>.</w:t>
      </w:r>
    </w:p>
    <w:p w14:paraId="25A5CD09" w14:textId="48F657EA" w:rsidR="00CE245A" w:rsidRPr="00B10DB4" w:rsidRDefault="00CE245A" w:rsidP="002848AE">
      <w:pPr>
        <w:spacing w:after="120"/>
        <w:ind w:left="2268" w:right="1134"/>
        <w:jc w:val="both"/>
        <w:rPr>
          <w:lang w:val="fr-FR"/>
        </w:rPr>
      </w:pPr>
      <w:r w:rsidRPr="00B10DB4">
        <w:rPr>
          <w:lang w:val="fr-FR"/>
        </w:rPr>
        <w:t>Dans le tableau, supprimer la colonne (</w:t>
      </w:r>
      <w:r w:rsidRPr="00036363">
        <w:rPr>
          <w:lang w:val="fr-FR"/>
        </w:rPr>
        <w:t>3</w:t>
      </w:r>
      <w:r w:rsidRPr="00B10DB4">
        <w:rPr>
          <w:lang w:val="fr-FR"/>
        </w:rPr>
        <w:t>) et renuméroter la colonne (</w:t>
      </w:r>
      <w:r w:rsidRPr="00036363">
        <w:rPr>
          <w:lang w:val="fr-FR"/>
        </w:rPr>
        <w:t>4</w:t>
      </w:r>
      <w:r w:rsidRPr="00B10DB4">
        <w:rPr>
          <w:lang w:val="fr-FR"/>
        </w:rPr>
        <w:t>) en tant que (</w:t>
      </w:r>
      <w:r w:rsidRPr="00036363">
        <w:rPr>
          <w:lang w:val="fr-FR"/>
        </w:rPr>
        <w:t>3</w:t>
      </w:r>
      <w:r w:rsidRPr="00B10DB4">
        <w:rPr>
          <w:lang w:val="fr-FR"/>
        </w:rPr>
        <w:t>)</w:t>
      </w:r>
      <w:r w:rsidR="00036363" w:rsidRPr="00036363">
        <w:rPr>
          <w:lang w:val="fr-FR"/>
        </w:rPr>
        <w:t>.</w:t>
      </w:r>
    </w:p>
    <w:p w14:paraId="64B79088" w14:textId="588771B6" w:rsidR="00CE245A" w:rsidRPr="00036363" w:rsidRDefault="00CE245A" w:rsidP="008E42F9">
      <w:pPr>
        <w:pStyle w:val="SingleTxtG"/>
        <w:rPr>
          <w:rFonts w:eastAsia="Calibri"/>
          <w:i/>
          <w:iCs/>
          <w:lang w:val="fr-FR"/>
        </w:rPr>
      </w:pPr>
      <w:r w:rsidRPr="00036363">
        <w:rPr>
          <w:rFonts w:eastAsia="Calibri"/>
          <w:i/>
          <w:iCs/>
          <w:lang w:val="fr-FR"/>
        </w:rPr>
        <w:t>(Documents de référence</w:t>
      </w:r>
      <w:r w:rsidR="00887612" w:rsidRPr="00036363">
        <w:rPr>
          <w:rFonts w:eastAsia="Calibri"/>
          <w:i/>
          <w:iCs/>
          <w:lang w:val="fr-FR"/>
        </w:rPr>
        <w:t> :</w:t>
      </w:r>
      <w:r w:rsidRPr="00036363">
        <w:rPr>
          <w:rFonts w:eastAsia="Calibri"/>
          <w:i/>
          <w:iCs/>
          <w:lang w:val="fr-FR"/>
        </w:rPr>
        <w:t xml:space="preserve"> </w:t>
      </w:r>
      <w:r w:rsidRPr="00036363">
        <w:rPr>
          <w:rFonts w:eastAsia="SimSun"/>
          <w:i/>
          <w:iCs/>
          <w:lang w:val="fr-FR"/>
        </w:rPr>
        <w:t>ECE/TRANS/WP</w:t>
      </w:r>
      <w:r w:rsidR="00036363" w:rsidRPr="00036363">
        <w:rPr>
          <w:rFonts w:eastAsia="SimSun"/>
          <w:i/>
          <w:iCs/>
          <w:lang w:val="fr-FR"/>
        </w:rPr>
        <w:t>.</w:t>
      </w:r>
      <w:r w:rsidRPr="00036363">
        <w:rPr>
          <w:rFonts w:eastAsia="SimSun"/>
          <w:i/>
          <w:iCs/>
          <w:lang w:val="fr-FR"/>
        </w:rPr>
        <w:t>15/AC</w:t>
      </w:r>
      <w:r w:rsidR="00036363" w:rsidRPr="00036363">
        <w:rPr>
          <w:rFonts w:eastAsia="SimSun"/>
          <w:i/>
          <w:iCs/>
          <w:lang w:val="fr-FR"/>
        </w:rPr>
        <w:t>.</w:t>
      </w:r>
      <w:r w:rsidRPr="00036363">
        <w:rPr>
          <w:rFonts w:eastAsia="SimSun"/>
          <w:i/>
          <w:iCs/>
          <w:lang w:val="fr-FR"/>
        </w:rPr>
        <w:t>1/2024/30 et document informel INF</w:t>
      </w:r>
      <w:r w:rsidR="00036363" w:rsidRPr="00036363">
        <w:rPr>
          <w:rFonts w:eastAsia="SimSun"/>
          <w:i/>
          <w:iCs/>
          <w:lang w:val="fr-FR"/>
        </w:rPr>
        <w:t>.</w:t>
      </w:r>
      <w:r w:rsidRPr="00036363">
        <w:rPr>
          <w:rFonts w:eastAsia="SimSun"/>
          <w:i/>
          <w:iCs/>
          <w:lang w:val="fr-FR"/>
        </w:rPr>
        <w:t>6 tel que modifié</w:t>
      </w:r>
      <w:r w:rsidRPr="00036363">
        <w:rPr>
          <w:rFonts w:eastAsia="Calibri"/>
          <w:i/>
          <w:iCs/>
          <w:lang w:val="fr-FR"/>
        </w:rPr>
        <w:t>)</w:t>
      </w:r>
    </w:p>
    <w:p w14:paraId="7130AF6F" w14:textId="7A40CE24" w:rsidR="00CE245A" w:rsidRPr="005829B9" w:rsidRDefault="00CE245A" w:rsidP="00EB55F6">
      <w:pPr>
        <w:pStyle w:val="SingleTxtG"/>
        <w:tabs>
          <w:tab w:val="clear" w:pos="1701"/>
          <w:tab w:val="clear" w:pos="2835"/>
        </w:tabs>
        <w:ind w:left="2268" w:hanging="1134"/>
        <w:rPr>
          <w:lang w:val="fr-FR" w:eastAsia="zh-CN"/>
        </w:rPr>
      </w:pPr>
      <w:r w:rsidRPr="00036363">
        <w:rPr>
          <w:lang w:val="fr-FR"/>
        </w:rPr>
        <w:t>6</w:t>
      </w:r>
      <w:r w:rsidR="00036363" w:rsidRPr="00036363">
        <w:rPr>
          <w:lang w:val="fr-FR"/>
        </w:rPr>
        <w:t>.</w:t>
      </w:r>
      <w:r w:rsidRPr="00036363">
        <w:rPr>
          <w:lang w:val="fr-FR"/>
        </w:rPr>
        <w:t>8</w:t>
      </w:r>
      <w:r w:rsidR="00036363" w:rsidRPr="00036363">
        <w:rPr>
          <w:lang w:val="fr-FR"/>
        </w:rPr>
        <w:t>.</w:t>
      </w:r>
      <w:r w:rsidRPr="00036363">
        <w:rPr>
          <w:lang w:val="fr-FR"/>
        </w:rPr>
        <w:t>3</w:t>
      </w:r>
      <w:r w:rsidR="00036363" w:rsidRPr="00036363">
        <w:rPr>
          <w:lang w:val="fr-FR"/>
        </w:rPr>
        <w:t>.</w:t>
      </w:r>
      <w:r w:rsidRPr="00036363">
        <w:rPr>
          <w:lang w:val="fr-FR"/>
        </w:rPr>
        <w:t>2</w:t>
      </w:r>
      <w:r w:rsidR="00036363" w:rsidRPr="00036363">
        <w:rPr>
          <w:lang w:val="fr-FR"/>
        </w:rPr>
        <w:t>.</w:t>
      </w:r>
      <w:r w:rsidRPr="00036363">
        <w:rPr>
          <w:lang w:val="fr-FR"/>
        </w:rPr>
        <w:t>9</w:t>
      </w:r>
      <w:r w:rsidR="00036363" w:rsidRPr="00036363">
        <w:rPr>
          <w:lang w:val="fr-FR"/>
        </w:rPr>
        <w:t>.</w:t>
      </w:r>
      <w:r w:rsidRPr="00036363">
        <w:rPr>
          <w:lang w:val="fr-FR"/>
        </w:rPr>
        <w:t>2</w:t>
      </w:r>
      <w:r w:rsidRPr="005829B9">
        <w:rPr>
          <w:lang w:val="fr-FR"/>
        </w:rPr>
        <w:tab/>
        <w:t>À l</w:t>
      </w:r>
      <w:r w:rsidR="00887612">
        <w:rPr>
          <w:lang w:val="fr-FR"/>
        </w:rPr>
        <w:t>’</w:t>
      </w:r>
      <w:r w:rsidRPr="005829B9">
        <w:rPr>
          <w:lang w:val="fr-FR"/>
        </w:rPr>
        <w:t>alinéa b), remplacer « </w:t>
      </w:r>
      <w:r w:rsidRPr="00036363">
        <w:rPr>
          <w:lang w:val="fr-FR"/>
        </w:rPr>
        <w:t>1</w:t>
      </w:r>
      <w:r w:rsidRPr="005829B9">
        <w:rPr>
          <w:lang w:val="fr-FR"/>
        </w:rPr>
        <w:t>,</w:t>
      </w:r>
      <w:r w:rsidRPr="00036363">
        <w:rPr>
          <w:lang w:val="fr-FR"/>
        </w:rPr>
        <w:t>1</w:t>
      </w:r>
      <w:r w:rsidRPr="005829B9">
        <w:rPr>
          <w:lang w:val="fr-FR"/>
        </w:rPr>
        <w:t> » par « </w:t>
      </w:r>
      <w:r w:rsidRPr="00036363">
        <w:rPr>
          <w:lang w:val="fr-FR"/>
        </w:rPr>
        <w:t>1</w:t>
      </w:r>
      <w:r w:rsidRPr="005829B9">
        <w:rPr>
          <w:lang w:val="fr-FR"/>
        </w:rPr>
        <w:t>,</w:t>
      </w:r>
      <w:r w:rsidRPr="00036363">
        <w:rPr>
          <w:lang w:val="fr-FR"/>
        </w:rPr>
        <w:t>15</w:t>
      </w:r>
      <w:r w:rsidRPr="005829B9">
        <w:rPr>
          <w:lang w:val="fr-FR"/>
        </w:rPr>
        <w:t> »</w:t>
      </w:r>
      <w:r w:rsidR="00036363" w:rsidRPr="00036363">
        <w:rPr>
          <w:lang w:val="fr-FR"/>
        </w:rPr>
        <w:t>.</w:t>
      </w:r>
    </w:p>
    <w:p w14:paraId="73C72317" w14:textId="335D03A9" w:rsidR="00CE245A" w:rsidRPr="00036363" w:rsidRDefault="00CE245A" w:rsidP="008E42F9">
      <w:pPr>
        <w:pStyle w:val="SingleTxtG"/>
        <w:rPr>
          <w:rFonts w:eastAsia="SimSun"/>
          <w:i/>
          <w:iCs/>
          <w:lang w:val="fr-FR" w:eastAsia="zh-CN"/>
        </w:rPr>
      </w:pPr>
      <w:r w:rsidRPr="00036363">
        <w:rPr>
          <w:rFonts w:eastAsia="SimSun"/>
          <w:i/>
          <w:iCs/>
          <w:lang w:val="fr-FR" w:eastAsia="zh-CN"/>
        </w:rPr>
        <w:t>(Document de référence</w:t>
      </w:r>
      <w:r w:rsidR="00887612" w:rsidRPr="00036363">
        <w:rPr>
          <w:rFonts w:eastAsia="SimSun"/>
          <w:i/>
          <w:iCs/>
          <w:lang w:val="fr-FR" w:eastAsia="zh-CN"/>
        </w:rPr>
        <w:t> :</w:t>
      </w:r>
      <w:r w:rsidRPr="005829B9">
        <w:rPr>
          <w:lang w:val="fr-FR" w:eastAsia="zh-CN"/>
        </w:rPr>
        <w:t xml:space="preserve"> </w:t>
      </w:r>
      <w:r w:rsidRPr="00036363">
        <w:rPr>
          <w:rFonts w:eastAsia="SimSun"/>
          <w:i/>
          <w:iCs/>
          <w:lang w:val="fr-FR" w:eastAsia="zh-CN"/>
        </w:rPr>
        <w:t>document informel INF</w:t>
      </w:r>
      <w:r w:rsidR="00036363" w:rsidRPr="00036363">
        <w:rPr>
          <w:rFonts w:eastAsia="SimSun"/>
          <w:i/>
          <w:iCs/>
          <w:lang w:val="fr-FR" w:eastAsia="zh-CN"/>
        </w:rPr>
        <w:t>.</w:t>
      </w:r>
      <w:r w:rsidRPr="00036363">
        <w:rPr>
          <w:rFonts w:eastAsia="SimSun"/>
          <w:i/>
          <w:iCs/>
          <w:lang w:val="fr-FR" w:eastAsia="zh-CN"/>
        </w:rPr>
        <w:t>30</w:t>
      </w:r>
      <w:r w:rsidR="00643C5E" w:rsidRPr="00036363">
        <w:rPr>
          <w:rFonts w:eastAsia="SimSun"/>
          <w:i/>
          <w:iCs/>
          <w:lang w:val="fr-FR" w:eastAsia="zh-CN"/>
        </w:rPr>
        <w:t>, proposition 2</w:t>
      </w:r>
      <w:r w:rsidRPr="00036363">
        <w:rPr>
          <w:rFonts w:eastAsia="SimSun"/>
          <w:i/>
          <w:iCs/>
          <w:lang w:val="fr-FR" w:eastAsia="zh-CN"/>
        </w:rPr>
        <w:t>)</w:t>
      </w:r>
    </w:p>
    <w:p w14:paraId="399A2D9B" w14:textId="2857AE0D" w:rsidR="00CE245A" w:rsidRPr="00B10DB4" w:rsidRDefault="00CE245A" w:rsidP="00EB55F6">
      <w:pPr>
        <w:pStyle w:val="SingleTxtG"/>
        <w:tabs>
          <w:tab w:val="clear" w:pos="1701"/>
          <w:tab w:val="clear" w:pos="2835"/>
        </w:tabs>
        <w:ind w:left="2268" w:hanging="1134"/>
        <w:rPr>
          <w:u w:val="single"/>
          <w:lang w:val="fr-FR" w:eastAsia="zh-CN"/>
        </w:rPr>
      </w:pPr>
      <w:r w:rsidRPr="00036363">
        <w:rPr>
          <w:lang w:val="fr-FR"/>
        </w:rPr>
        <w:t>6</w:t>
      </w:r>
      <w:r w:rsidR="00036363" w:rsidRPr="00036363">
        <w:rPr>
          <w:lang w:val="fr-FR"/>
        </w:rPr>
        <w:t>.</w:t>
      </w:r>
      <w:r w:rsidRPr="00036363">
        <w:rPr>
          <w:lang w:val="fr-FR"/>
        </w:rPr>
        <w:t>8</w:t>
      </w:r>
      <w:r w:rsidR="00036363" w:rsidRPr="00036363">
        <w:rPr>
          <w:lang w:val="fr-FR"/>
        </w:rPr>
        <w:t>.</w:t>
      </w:r>
      <w:r w:rsidRPr="00036363">
        <w:rPr>
          <w:lang w:val="fr-FR"/>
        </w:rPr>
        <w:t>3</w:t>
      </w:r>
      <w:r w:rsidR="00036363" w:rsidRPr="00036363">
        <w:rPr>
          <w:lang w:val="fr-FR"/>
        </w:rPr>
        <w:t>.</w:t>
      </w:r>
      <w:r w:rsidRPr="00036363">
        <w:rPr>
          <w:lang w:val="fr-FR"/>
        </w:rPr>
        <w:t>6</w:t>
      </w:r>
      <w:r w:rsidRPr="00B10DB4">
        <w:rPr>
          <w:lang w:val="fr-FR"/>
        </w:rPr>
        <w:tab/>
        <w:t>Au deuxième paragraphe après le nota, dans la deuxième phrase, remplacer « colonne (</w:t>
      </w:r>
      <w:r w:rsidRPr="00036363">
        <w:rPr>
          <w:lang w:val="fr-FR"/>
        </w:rPr>
        <w:t>4</w:t>
      </w:r>
      <w:r w:rsidRPr="00B10DB4">
        <w:rPr>
          <w:lang w:val="fr-FR"/>
        </w:rPr>
        <w:t>) » par « colonne (</w:t>
      </w:r>
      <w:r w:rsidRPr="00036363">
        <w:rPr>
          <w:lang w:val="fr-FR"/>
        </w:rPr>
        <w:t>3</w:t>
      </w:r>
      <w:r w:rsidRPr="00B10DB4">
        <w:rPr>
          <w:lang w:val="fr-FR"/>
        </w:rPr>
        <w:t>) »</w:t>
      </w:r>
      <w:r w:rsidR="00036363" w:rsidRPr="00036363">
        <w:rPr>
          <w:lang w:val="fr-FR"/>
        </w:rPr>
        <w:t>.</w:t>
      </w:r>
      <w:r w:rsidRPr="00B10DB4">
        <w:rPr>
          <w:lang w:val="fr-FR"/>
        </w:rPr>
        <w:t xml:space="preserve"> Supprimer le troisième paragraphe après le nota</w:t>
      </w:r>
      <w:r w:rsidR="00036363" w:rsidRPr="00036363">
        <w:rPr>
          <w:lang w:val="fr-FR"/>
        </w:rPr>
        <w:t>.</w:t>
      </w:r>
      <w:r w:rsidRPr="00B10DB4">
        <w:rPr>
          <w:lang w:val="fr-FR"/>
        </w:rPr>
        <w:t xml:space="preserve"> Dans le nouveau troisième paragraphe après le nota (quatrième paragraphe actuel), remplacer «</w:t>
      </w:r>
      <w:r w:rsidR="00B4054B">
        <w:rPr>
          <w:lang w:val="fr-FR"/>
        </w:rPr>
        <w:t> </w:t>
      </w:r>
      <w:r w:rsidRPr="00B10DB4">
        <w:rPr>
          <w:lang w:val="fr-FR"/>
        </w:rPr>
        <w:t>colonne (</w:t>
      </w:r>
      <w:r w:rsidRPr="00036363">
        <w:rPr>
          <w:lang w:val="fr-FR"/>
        </w:rPr>
        <w:t>5</w:t>
      </w:r>
      <w:r w:rsidRPr="00B10DB4">
        <w:rPr>
          <w:lang w:val="fr-FR"/>
        </w:rPr>
        <w:t>)</w:t>
      </w:r>
      <w:r w:rsidR="00B4054B">
        <w:rPr>
          <w:lang w:val="fr-FR"/>
        </w:rPr>
        <w:t> </w:t>
      </w:r>
      <w:r w:rsidRPr="00B10DB4">
        <w:rPr>
          <w:lang w:val="fr-FR"/>
        </w:rPr>
        <w:t>» par «</w:t>
      </w:r>
      <w:r w:rsidR="00B4054B">
        <w:rPr>
          <w:lang w:val="fr-FR"/>
        </w:rPr>
        <w:t> </w:t>
      </w:r>
      <w:r w:rsidRPr="00B10DB4">
        <w:rPr>
          <w:lang w:val="fr-FR"/>
        </w:rPr>
        <w:t>colonne (</w:t>
      </w:r>
      <w:r w:rsidRPr="00036363">
        <w:rPr>
          <w:lang w:val="fr-FR"/>
        </w:rPr>
        <w:t>4</w:t>
      </w:r>
      <w:r w:rsidRPr="00B10DB4">
        <w:rPr>
          <w:lang w:val="fr-FR"/>
        </w:rPr>
        <w:t>)</w:t>
      </w:r>
      <w:r w:rsidR="00B4054B">
        <w:rPr>
          <w:lang w:val="fr-FR"/>
        </w:rPr>
        <w:t> </w:t>
      </w:r>
      <w:r w:rsidRPr="00B10DB4">
        <w:rPr>
          <w:lang w:val="fr-FR"/>
        </w:rPr>
        <w:t>»</w:t>
      </w:r>
      <w:r w:rsidR="00036363" w:rsidRPr="00036363">
        <w:rPr>
          <w:lang w:val="fr-FR"/>
        </w:rPr>
        <w:t>.</w:t>
      </w:r>
    </w:p>
    <w:p w14:paraId="6AD45DB6" w14:textId="59214220" w:rsidR="00CE245A" w:rsidRPr="00B10DB4" w:rsidRDefault="00CE245A" w:rsidP="002848AE">
      <w:pPr>
        <w:spacing w:after="120"/>
        <w:ind w:left="2268" w:right="1134"/>
        <w:jc w:val="both"/>
        <w:rPr>
          <w:lang w:val="fr-FR"/>
        </w:rPr>
      </w:pPr>
      <w:r w:rsidRPr="00B10DB4">
        <w:rPr>
          <w:lang w:val="fr-FR"/>
        </w:rPr>
        <w:t>Dans le tableau, supprimer la colonne (</w:t>
      </w:r>
      <w:r w:rsidRPr="00036363">
        <w:rPr>
          <w:lang w:val="fr-FR"/>
        </w:rPr>
        <w:t>3</w:t>
      </w:r>
      <w:r w:rsidRPr="00B10DB4">
        <w:rPr>
          <w:lang w:val="fr-FR"/>
        </w:rPr>
        <w:t>) et renuméroter les colonnes (</w:t>
      </w:r>
      <w:r w:rsidRPr="00036363">
        <w:rPr>
          <w:lang w:val="fr-FR"/>
        </w:rPr>
        <w:t>4</w:t>
      </w:r>
      <w:r w:rsidRPr="00B10DB4">
        <w:rPr>
          <w:lang w:val="fr-FR"/>
        </w:rPr>
        <w:t>) et (</w:t>
      </w:r>
      <w:r w:rsidRPr="00036363">
        <w:rPr>
          <w:lang w:val="fr-FR"/>
        </w:rPr>
        <w:t>5</w:t>
      </w:r>
      <w:r w:rsidRPr="00B10DB4">
        <w:rPr>
          <w:lang w:val="fr-FR"/>
        </w:rPr>
        <w:t>) en tant que (</w:t>
      </w:r>
      <w:r w:rsidRPr="00036363">
        <w:rPr>
          <w:lang w:val="fr-FR"/>
        </w:rPr>
        <w:t>3</w:t>
      </w:r>
      <w:r w:rsidRPr="00B10DB4">
        <w:rPr>
          <w:lang w:val="fr-FR"/>
        </w:rPr>
        <w:t>) et (</w:t>
      </w:r>
      <w:r w:rsidRPr="00036363">
        <w:rPr>
          <w:lang w:val="fr-FR"/>
        </w:rPr>
        <w:t>4</w:t>
      </w:r>
      <w:r w:rsidRPr="00B10DB4">
        <w:rPr>
          <w:lang w:val="fr-FR"/>
        </w:rPr>
        <w:t>)</w:t>
      </w:r>
      <w:r w:rsidR="00036363" w:rsidRPr="00036363">
        <w:rPr>
          <w:lang w:val="fr-FR"/>
        </w:rPr>
        <w:t>.</w:t>
      </w:r>
    </w:p>
    <w:p w14:paraId="77BCF903" w14:textId="4CA41504" w:rsidR="00F9573C" w:rsidRPr="00036363" w:rsidRDefault="00CE245A" w:rsidP="008E42F9">
      <w:pPr>
        <w:pStyle w:val="SingleTxtG"/>
        <w:rPr>
          <w:rFonts w:eastAsia="Calibri"/>
          <w:i/>
          <w:iCs/>
          <w:lang w:val="fr-FR"/>
        </w:rPr>
      </w:pPr>
      <w:r w:rsidRPr="00036363">
        <w:rPr>
          <w:rFonts w:eastAsia="Calibri"/>
          <w:i/>
          <w:iCs/>
          <w:lang w:val="fr-FR"/>
        </w:rPr>
        <w:t>(Document de référence</w:t>
      </w:r>
      <w:r w:rsidR="00887612" w:rsidRPr="00036363">
        <w:rPr>
          <w:rFonts w:eastAsia="Calibri"/>
          <w:i/>
          <w:iCs/>
          <w:lang w:val="fr-FR"/>
        </w:rPr>
        <w:t> :</w:t>
      </w:r>
      <w:r w:rsidRPr="00036363">
        <w:rPr>
          <w:rFonts w:eastAsia="Calibri"/>
          <w:i/>
          <w:iCs/>
          <w:lang w:val="fr-FR"/>
        </w:rPr>
        <w:t xml:space="preserve"> </w:t>
      </w:r>
      <w:r w:rsidRPr="00036363">
        <w:rPr>
          <w:rFonts w:eastAsia="SimSun"/>
          <w:i/>
          <w:iCs/>
          <w:lang w:val="fr-FR"/>
        </w:rPr>
        <w:t>ECE/TRANS/WP</w:t>
      </w:r>
      <w:r w:rsidR="00036363" w:rsidRPr="00036363">
        <w:rPr>
          <w:rFonts w:eastAsia="SimSun"/>
          <w:i/>
          <w:iCs/>
          <w:lang w:val="fr-FR"/>
        </w:rPr>
        <w:t>.</w:t>
      </w:r>
      <w:r w:rsidRPr="00036363">
        <w:rPr>
          <w:rFonts w:eastAsia="SimSun"/>
          <w:i/>
          <w:iCs/>
          <w:lang w:val="fr-FR"/>
        </w:rPr>
        <w:t>15/AC</w:t>
      </w:r>
      <w:r w:rsidR="00036363" w:rsidRPr="00036363">
        <w:rPr>
          <w:rFonts w:eastAsia="SimSun"/>
          <w:i/>
          <w:iCs/>
          <w:lang w:val="fr-FR"/>
        </w:rPr>
        <w:t>.</w:t>
      </w:r>
      <w:r w:rsidRPr="00036363">
        <w:rPr>
          <w:rFonts w:eastAsia="SimSun"/>
          <w:i/>
          <w:iCs/>
          <w:lang w:val="fr-FR"/>
        </w:rPr>
        <w:t>1/2024/30</w:t>
      </w:r>
      <w:r w:rsidRPr="00036363">
        <w:rPr>
          <w:rFonts w:eastAsia="Calibri"/>
          <w:i/>
          <w:iCs/>
          <w:lang w:val="fr-FR"/>
        </w:rPr>
        <w:t>)</w:t>
      </w:r>
    </w:p>
    <w:p w14:paraId="08C34A1C" w14:textId="46FED655" w:rsidR="00CE245A" w:rsidRPr="00CE245A" w:rsidRDefault="00CE245A" w:rsidP="00CE245A">
      <w:pPr>
        <w:pStyle w:val="SingleTxtG"/>
        <w:spacing w:before="240" w:after="0"/>
        <w:jc w:val="center"/>
        <w:rPr>
          <w:u w:val="single"/>
        </w:rPr>
      </w:pPr>
      <w:r>
        <w:rPr>
          <w:u w:val="single"/>
        </w:rPr>
        <w:tab/>
      </w:r>
      <w:r>
        <w:rPr>
          <w:u w:val="single"/>
        </w:rPr>
        <w:tab/>
      </w:r>
      <w:r>
        <w:rPr>
          <w:u w:val="single"/>
        </w:rPr>
        <w:tab/>
      </w:r>
    </w:p>
    <w:sectPr w:rsidR="00CE245A" w:rsidRPr="00CE245A" w:rsidSect="00CE245A">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B3060" w14:textId="77777777" w:rsidR="00C225FA" w:rsidRDefault="00C225FA" w:rsidP="00F95C08">
      <w:pPr>
        <w:spacing w:line="240" w:lineRule="auto"/>
      </w:pPr>
    </w:p>
  </w:endnote>
  <w:endnote w:type="continuationSeparator" w:id="0">
    <w:p w14:paraId="2AA51477" w14:textId="77777777" w:rsidR="00C225FA" w:rsidRPr="00AC3823" w:rsidRDefault="00C225FA" w:rsidP="00AC3823">
      <w:pPr>
        <w:pStyle w:val="Footer"/>
      </w:pPr>
    </w:p>
  </w:endnote>
  <w:endnote w:type="continuationNotice" w:id="1">
    <w:p w14:paraId="496D7846" w14:textId="77777777" w:rsidR="00C225FA" w:rsidRDefault="00C225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2F37" w14:textId="72D20D8E" w:rsidR="00CE245A" w:rsidRPr="00CE245A" w:rsidRDefault="00CE245A" w:rsidP="00CE245A">
    <w:pPr>
      <w:pStyle w:val="Footer"/>
      <w:tabs>
        <w:tab w:val="right" w:pos="9638"/>
      </w:tabs>
    </w:pPr>
    <w:r w:rsidRPr="00CE245A">
      <w:rPr>
        <w:b/>
        <w:sz w:val="18"/>
      </w:rPr>
      <w:fldChar w:fldCharType="begin"/>
    </w:r>
    <w:r w:rsidRPr="00CE245A">
      <w:rPr>
        <w:b/>
        <w:sz w:val="18"/>
      </w:rPr>
      <w:instrText xml:space="preserve"> PAGE  \* MERGEFORMAT </w:instrText>
    </w:r>
    <w:r w:rsidRPr="00CE245A">
      <w:rPr>
        <w:b/>
        <w:sz w:val="18"/>
      </w:rPr>
      <w:fldChar w:fldCharType="separate"/>
    </w:r>
    <w:r w:rsidRPr="00CE245A">
      <w:rPr>
        <w:b/>
        <w:noProof/>
        <w:sz w:val="18"/>
      </w:rPr>
      <w:t>2</w:t>
    </w:r>
    <w:r w:rsidRPr="00CE245A">
      <w:rPr>
        <w:b/>
        <w:sz w:val="18"/>
      </w:rPr>
      <w:fldChar w:fldCharType="end"/>
    </w:r>
    <w:r>
      <w:rPr>
        <w:b/>
        <w:sz w:val="18"/>
      </w:rPr>
      <w:tab/>
    </w:r>
    <w:r>
      <w:t>GE.24-17875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FB06" w14:textId="72D7C961" w:rsidR="00CE245A" w:rsidRPr="00CE245A" w:rsidRDefault="00CE245A" w:rsidP="00CE245A">
    <w:pPr>
      <w:pStyle w:val="Footer"/>
      <w:tabs>
        <w:tab w:val="right" w:pos="9638"/>
      </w:tabs>
      <w:rPr>
        <w:b/>
        <w:sz w:val="18"/>
      </w:rPr>
    </w:pPr>
    <w:r>
      <w:t>GE.24-17875</w:t>
    </w:r>
    <w:r>
      <w:tab/>
    </w:r>
    <w:r w:rsidRPr="00CE245A">
      <w:rPr>
        <w:b/>
        <w:sz w:val="18"/>
      </w:rPr>
      <w:fldChar w:fldCharType="begin"/>
    </w:r>
    <w:r w:rsidRPr="00CE245A">
      <w:rPr>
        <w:b/>
        <w:sz w:val="18"/>
      </w:rPr>
      <w:instrText xml:space="preserve"> PAGE  \* MERGEFORMAT </w:instrText>
    </w:r>
    <w:r w:rsidRPr="00CE245A">
      <w:rPr>
        <w:b/>
        <w:sz w:val="18"/>
      </w:rPr>
      <w:fldChar w:fldCharType="separate"/>
    </w:r>
    <w:r w:rsidRPr="00CE245A">
      <w:rPr>
        <w:b/>
        <w:noProof/>
        <w:sz w:val="18"/>
      </w:rPr>
      <w:t>3</w:t>
    </w:r>
    <w:r w:rsidRPr="00CE245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188E" w14:textId="1F07B2E7" w:rsidR="007F20FA" w:rsidRPr="00CE245A" w:rsidRDefault="00CE245A" w:rsidP="00CE245A">
    <w:pPr>
      <w:pStyle w:val="Footer"/>
      <w:spacing w:before="120"/>
      <w:rPr>
        <w:sz w:val="20"/>
      </w:rPr>
    </w:pPr>
    <w:r w:rsidRPr="006405DD">
      <w:rPr>
        <w:sz w:val="20"/>
      </w:rPr>
      <w:t>GE.</w:t>
    </w:r>
    <w:r w:rsidR="007F20FA" w:rsidRPr="006405DD">
      <w:rPr>
        <w:noProof/>
        <w:lang w:eastAsia="fr-CH"/>
      </w:rPr>
      <w:drawing>
        <wp:anchor distT="0" distB="0" distL="114300" distR="114300" simplePos="0" relativeHeight="251659264" behindDoc="0" locked="0" layoutInCell="1" allowOverlap="0" wp14:anchorId="7369E419" wp14:editId="15BD4E1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5DD">
      <w:rPr>
        <w:sz w:val="20"/>
      </w:rPr>
      <w:t>24-17875  (F)</w:t>
    </w:r>
    <w:r w:rsidRPr="006405DD">
      <w:rPr>
        <w:noProof/>
        <w:sz w:val="20"/>
      </w:rPr>
      <w:drawing>
        <wp:anchor distT="0" distB="0" distL="114300" distR="114300" simplePos="0" relativeHeight="251660288" behindDoc="0" locked="0" layoutInCell="1" allowOverlap="1" wp14:anchorId="07D57548" wp14:editId="382A76A2">
          <wp:simplePos x="0" y="0"/>
          <wp:positionH relativeFrom="margin">
            <wp:posOffset>5489575</wp:posOffset>
          </wp:positionH>
          <wp:positionV relativeFrom="margin">
            <wp:posOffset>8891905</wp:posOffset>
          </wp:positionV>
          <wp:extent cx="628650" cy="628650"/>
          <wp:effectExtent l="0" t="0" r="0" b="0"/>
          <wp:wrapNone/>
          <wp:docPr id="1297818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5DD">
      <w:rPr>
        <w:sz w:val="20"/>
      </w:rPr>
      <w:t xml:space="preserve">    181124    201124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42A8" w14:textId="77777777" w:rsidR="00C225FA" w:rsidRPr="00AC3823" w:rsidRDefault="00C225FA" w:rsidP="00AC3823">
      <w:pPr>
        <w:pStyle w:val="Footer"/>
        <w:tabs>
          <w:tab w:val="right" w:pos="2155"/>
        </w:tabs>
        <w:spacing w:after="80" w:line="240" w:lineRule="atLeast"/>
        <w:ind w:left="680"/>
        <w:rPr>
          <w:u w:val="single"/>
        </w:rPr>
      </w:pPr>
      <w:r>
        <w:rPr>
          <w:u w:val="single"/>
        </w:rPr>
        <w:tab/>
      </w:r>
    </w:p>
  </w:footnote>
  <w:footnote w:type="continuationSeparator" w:id="0">
    <w:p w14:paraId="09918642" w14:textId="77777777" w:rsidR="00C225FA" w:rsidRPr="00AC3823" w:rsidRDefault="00C225FA" w:rsidP="00AC3823">
      <w:pPr>
        <w:pStyle w:val="Footer"/>
        <w:tabs>
          <w:tab w:val="right" w:pos="2155"/>
        </w:tabs>
        <w:spacing w:after="80" w:line="240" w:lineRule="atLeast"/>
        <w:ind w:left="680"/>
        <w:rPr>
          <w:u w:val="single"/>
        </w:rPr>
      </w:pPr>
      <w:r>
        <w:rPr>
          <w:u w:val="single"/>
        </w:rPr>
        <w:tab/>
      </w:r>
    </w:p>
  </w:footnote>
  <w:footnote w:type="continuationNotice" w:id="1">
    <w:p w14:paraId="399148F4" w14:textId="77777777" w:rsidR="00C225FA" w:rsidRPr="00AC3823" w:rsidRDefault="00C225FA">
      <w:pPr>
        <w:spacing w:line="240" w:lineRule="auto"/>
        <w:rPr>
          <w:sz w:val="2"/>
          <w:szCs w:val="2"/>
        </w:rPr>
      </w:pPr>
    </w:p>
  </w:footnote>
  <w:footnote w:id="2">
    <w:p w14:paraId="7BE4183B" w14:textId="0EB5F16E" w:rsidR="00CE245A" w:rsidRPr="00285CB8" w:rsidRDefault="00CE245A" w:rsidP="00CE245A">
      <w:pPr>
        <w:pStyle w:val="FootnoteText"/>
        <w:rPr>
          <w:lang w:val="fr-FR"/>
        </w:rPr>
      </w:pPr>
      <w:r>
        <w:rPr>
          <w:lang w:val="fr-FR"/>
        </w:rPr>
        <w:tab/>
      </w:r>
      <w:r w:rsidRPr="00E06CFE">
        <w:rPr>
          <w:rStyle w:val="FootnoteReference"/>
        </w:rPr>
        <w:footnoteRef/>
      </w:r>
      <w:r>
        <w:rPr>
          <w:lang w:val="fr-FR"/>
        </w:rPr>
        <w:tab/>
        <w:t xml:space="preserve">Disponible à l’adresse </w:t>
      </w:r>
      <w:hyperlink r:id="rId1" w:history="1">
        <w:r w:rsidR="001D5D7C" w:rsidRPr="00283C8C">
          <w:rPr>
            <w:rStyle w:val="Hyperlink"/>
            <w:lang w:val="fr-FR"/>
          </w:rPr>
          <w:t>https://wiki.unece.org/pages/viewpage.action?pageId=248578068</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B1A7" w14:textId="4443F872" w:rsidR="00CE245A" w:rsidRPr="00CE245A" w:rsidRDefault="001D5D7C">
    <w:pPr>
      <w:pStyle w:val="Header"/>
    </w:pPr>
    <w:fldSimple w:instr=" TITLE  \* MERGEFORMAT ">
      <w:r w:rsidR="00C71A43">
        <w:t>ECE/TRANS/WP.15/AC.1/174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4442" w14:textId="37C9048F" w:rsidR="00CE245A" w:rsidRPr="00CE245A" w:rsidRDefault="001D5D7C" w:rsidP="00CE245A">
    <w:pPr>
      <w:pStyle w:val="Header"/>
      <w:jc w:val="right"/>
    </w:pPr>
    <w:fldSimple w:instr=" TITLE  \* MERGEFORMAT ">
      <w:r w:rsidR="00C71A43">
        <w:t>ECE/TRANS/WP.15/AC.1/174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714159B"/>
    <w:multiLevelType w:val="hybridMultilevel"/>
    <w:tmpl w:val="6B7A816C"/>
    <w:lvl w:ilvl="0" w:tplc="DFB6E922">
      <w:start w:val="1"/>
      <w:numFmt w:val="decimal"/>
      <w:lvlText w:val="%1."/>
      <w:lvlJc w:val="left"/>
      <w:pPr>
        <w:ind w:left="1500" w:hanging="36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9"/>
  </w:num>
  <w:num w:numId="2" w16cid:durableId="1714765659">
    <w:abstractNumId w:val="18"/>
  </w:num>
  <w:num w:numId="3" w16cid:durableId="1533760671">
    <w:abstractNumId w:val="11"/>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9"/>
  </w:num>
  <w:num w:numId="15" w16cid:durableId="69542872">
    <w:abstractNumId w:val="18"/>
  </w:num>
  <w:num w:numId="16" w16cid:durableId="1390105543">
    <w:abstractNumId w:val="11"/>
  </w:num>
  <w:num w:numId="17" w16cid:durableId="1411272786">
    <w:abstractNumId w:val="11"/>
  </w:num>
  <w:num w:numId="18" w16cid:durableId="347218493">
    <w:abstractNumId w:val="16"/>
  </w:num>
  <w:num w:numId="19" w16cid:durableId="1047340418">
    <w:abstractNumId w:val="15"/>
  </w:num>
  <w:num w:numId="20" w16cid:durableId="189415007">
    <w:abstractNumId w:val="10"/>
  </w:num>
  <w:num w:numId="21" w16cid:durableId="1788697057">
    <w:abstractNumId w:val="13"/>
  </w:num>
  <w:num w:numId="22" w16cid:durableId="902646242">
    <w:abstractNumId w:val="17"/>
  </w:num>
  <w:num w:numId="23" w16cid:durableId="1824538124">
    <w:abstractNumId w:val="14"/>
  </w:num>
  <w:num w:numId="24" w16cid:durableId="1881547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DE"/>
    <w:rsid w:val="00017F94"/>
    <w:rsid w:val="00023842"/>
    <w:rsid w:val="00025FFA"/>
    <w:rsid w:val="000334F9"/>
    <w:rsid w:val="00036363"/>
    <w:rsid w:val="00045FEB"/>
    <w:rsid w:val="0004759A"/>
    <w:rsid w:val="0007407E"/>
    <w:rsid w:val="0007796D"/>
    <w:rsid w:val="00085F2A"/>
    <w:rsid w:val="000B7790"/>
    <w:rsid w:val="00111F2F"/>
    <w:rsid w:val="00116899"/>
    <w:rsid w:val="001306E2"/>
    <w:rsid w:val="00135EB4"/>
    <w:rsid w:val="0014365E"/>
    <w:rsid w:val="00143C66"/>
    <w:rsid w:val="00172B28"/>
    <w:rsid w:val="00176178"/>
    <w:rsid w:val="001772E5"/>
    <w:rsid w:val="00190F6A"/>
    <w:rsid w:val="001C2141"/>
    <w:rsid w:val="001C684A"/>
    <w:rsid w:val="001D5D7C"/>
    <w:rsid w:val="001F2E49"/>
    <w:rsid w:val="001F525A"/>
    <w:rsid w:val="00201148"/>
    <w:rsid w:val="00220B9D"/>
    <w:rsid w:val="00223272"/>
    <w:rsid w:val="002307B2"/>
    <w:rsid w:val="0024779E"/>
    <w:rsid w:val="00257168"/>
    <w:rsid w:val="002672D9"/>
    <w:rsid w:val="00272761"/>
    <w:rsid w:val="002744B8"/>
    <w:rsid w:val="002832AC"/>
    <w:rsid w:val="002848AE"/>
    <w:rsid w:val="002C26C9"/>
    <w:rsid w:val="002C71D1"/>
    <w:rsid w:val="002D3602"/>
    <w:rsid w:val="002D7C93"/>
    <w:rsid w:val="00305801"/>
    <w:rsid w:val="0033599A"/>
    <w:rsid w:val="00344EE8"/>
    <w:rsid w:val="003612B2"/>
    <w:rsid w:val="003701C7"/>
    <w:rsid w:val="00385D21"/>
    <w:rsid w:val="003916DE"/>
    <w:rsid w:val="00393751"/>
    <w:rsid w:val="003B15FD"/>
    <w:rsid w:val="003B5C0A"/>
    <w:rsid w:val="0040032F"/>
    <w:rsid w:val="004150ED"/>
    <w:rsid w:val="00421996"/>
    <w:rsid w:val="0042612F"/>
    <w:rsid w:val="004341DD"/>
    <w:rsid w:val="00441C3B"/>
    <w:rsid w:val="00443AB0"/>
    <w:rsid w:val="00446FE5"/>
    <w:rsid w:val="00452396"/>
    <w:rsid w:val="0045277B"/>
    <w:rsid w:val="0046553F"/>
    <w:rsid w:val="00473D4B"/>
    <w:rsid w:val="00477EB2"/>
    <w:rsid w:val="004837D8"/>
    <w:rsid w:val="004A0CEE"/>
    <w:rsid w:val="004B425A"/>
    <w:rsid w:val="004C3A84"/>
    <w:rsid w:val="004E2EED"/>
    <w:rsid w:val="004E468C"/>
    <w:rsid w:val="004E6B0A"/>
    <w:rsid w:val="004F049E"/>
    <w:rsid w:val="00505F7D"/>
    <w:rsid w:val="005505B7"/>
    <w:rsid w:val="00560633"/>
    <w:rsid w:val="00573B1F"/>
    <w:rsid w:val="00573BE5"/>
    <w:rsid w:val="00586ED3"/>
    <w:rsid w:val="00596185"/>
    <w:rsid w:val="00596AA9"/>
    <w:rsid w:val="00597A01"/>
    <w:rsid w:val="005E4779"/>
    <w:rsid w:val="005F16FC"/>
    <w:rsid w:val="00601A8A"/>
    <w:rsid w:val="006405DD"/>
    <w:rsid w:val="00643C5E"/>
    <w:rsid w:val="00654E71"/>
    <w:rsid w:val="006671FD"/>
    <w:rsid w:val="006E443D"/>
    <w:rsid w:val="006E673B"/>
    <w:rsid w:val="007052E7"/>
    <w:rsid w:val="0071061F"/>
    <w:rsid w:val="0071601D"/>
    <w:rsid w:val="007459D7"/>
    <w:rsid w:val="00760D6B"/>
    <w:rsid w:val="00781EF1"/>
    <w:rsid w:val="00787CAA"/>
    <w:rsid w:val="007A62E6"/>
    <w:rsid w:val="007B00BD"/>
    <w:rsid w:val="007B12DD"/>
    <w:rsid w:val="007C3E72"/>
    <w:rsid w:val="007F20FA"/>
    <w:rsid w:val="0080018F"/>
    <w:rsid w:val="0080684C"/>
    <w:rsid w:val="00844838"/>
    <w:rsid w:val="008715DB"/>
    <w:rsid w:val="00871C75"/>
    <w:rsid w:val="008776DC"/>
    <w:rsid w:val="00887612"/>
    <w:rsid w:val="00896CAF"/>
    <w:rsid w:val="008A6DFD"/>
    <w:rsid w:val="008D5EF9"/>
    <w:rsid w:val="008E0216"/>
    <w:rsid w:val="008E42F9"/>
    <w:rsid w:val="009446C0"/>
    <w:rsid w:val="00957D4C"/>
    <w:rsid w:val="009705C8"/>
    <w:rsid w:val="00970CAD"/>
    <w:rsid w:val="009C1CF4"/>
    <w:rsid w:val="009F6B74"/>
    <w:rsid w:val="00A3029F"/>
    <w:rsid w:val="00A30353"/>
    <w:rsid w:val="00A744A5"/>
    <w:rsid w:val="00AC3823"/>
    <w:rsid w:val="00AE323C"/>
    <w:rsid w:val="00AE57A7"/>
    <w:rsid w:val="00AF0CB5"/>
    <w:rsid w:val="00AF4E86"/>
    <w:rsid w:val="00AF72FF"/>
    <w:rsid w:val="00B00181"/>
    <w:rsid w:val="00B00B0D"/>
    <w:rsid w:val="00B05F93"/>
    <w:rsid w:val="00B06BDB"/>
    <w:rsid w:val="00B137C4"/>
    <w:rsid w:val="00B26193"/>
    <w:rsid w:val="00B4054B"/>
    <w:rsid w:val="00B45F2E"/>
    <w:rsid w:val="00B7123E"/>
    <w:rsid w:val="00B765F7"/>
    <w:rsid w:val="00B77993"/>
    <w:rsid w:val="00BA0CA9"/>
    <w:rsid w:val="00BE0004"/>
    <w:rsid w:val="00BE3D3B"/>
    <w:rsid w:val="00BE75DE"/>
    <w:rsid w:val="00C02897"/>
    <w:rsid w:val="00C225FA"/>
    <w:rsid w:val="00C34D72"/>
    <w:rsid w:val="00C455DD"/>
    <w:rsid w:val="00C71A43"/>
    <w:rsid w:val="00C83C31"/>
    <w:rsid w:val="00C97039"/>
    <w:rsid w:val="00CA3EB2"/>
    <w:rsid w:val="00CA5664"/>
    <w:rsid w:val="00CC35A4"/>
    <w:rsid w:val="00CD20E5"/>
    <w:rsid w:val="00CD2A6A"/>
    <w:rsid w:val="00CE245A"/>
    <w:rsid w:val="00CF123E"/>
    <w:rsid w:val="00D173D4"/>
    <w:rsid w:val="00D3439C"/>
    <w:rsid w:val="00D4740A"/>
    <w:rsid w:val="00D53153"/>
    <w:rsid w:val="00D7622E"/>
    <w:rsid w:val="00DB1831"/>
    <w:rsid w:val="00DC1B92"/>
    <w:rsid w:val="00DD3BFD"/>
    <w:rsid w:val="00DF6678"/>
    <w:rsid w:val="00E0299A"/>
    <w:rsid w:val="00E02FD9"/>
    <w:rsid w:val="00E409FF"/>
    <w:rsid w:val="00E40C90"/>
    <w:rsid w:val="00E53F6E"/>
    <w:rsid w:val="00E60CFA"/>
    <w:rsid w:val="00E612DC"/>
    <w:rsid w:val="00E63132"/>
    <w:rsid w:val="00E85C74"/>
    <w:rsid w:val="00EA6547"/>
    <w:rsid w:val="00EB55F6"/>
    <w:rsid w:val="00EB56F1"/>
    <w:rsid w:val="00EB5D59"/>
    <w:rsid w:val="00EC5C59"/>
    <w:rsid w:val="00ED7237"/>
    <w:rsid w:val="00EE0DB7"/>
    <w:rsid w:val="00EF2E22"/>
    <w:rsid w:val="00F35BAF"/>
    <w:rsid w:val="00F660DF"/>
    <w:rsid w:val="00F8222C"/>
    <w:rsid w:val="00F82568"/>
    <w:rsid w:val="00F94664"/>
    <w:rsid w:val="00F9573C"/>
    <w:rsid w:val="00F95C08"/>
    <w:rsid w:val="00FC46C3"/>
    <w:rsid w:val="00FC5953"/>
    <w:rsid w:val="00FE04E8"/>
    <w:rsid w:val="00FE66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D728"/>
  <w15:docId w15:val="{81660DA1-8357-4C3D-8EF8-DD10B6A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Revision">
    <w:name w:val="Revision"/>
    <w:hidden/>
    <w:uiPriority w:val="99"/>
    <w:semiHidden/>
    <w:rsid w:val="00CE245A"/>
    <w:pPr>
      <w:spacing w:after="0" w:line="240" w:lineRule="auto"/>
    </w:pPr>
    <w:rPr>
      <w:rFonts w:ascii="Times New Roman" w:hAnsi="Times New Roman" w:cs="Times New Roman"/>
      <w:sz w:val="20"/>
      <w:szCs w:val="20"/>
      <w:lang w:val="en-GB" w:eastAsia="fr-FR"/>
    </w:rPr>
  </w:style>
  <w:style w:type="character" w:styleId="UnresolvedMention">
    <w:name w:val="Unresolved Mention"/>
    <w:basedOn w:val="DefaultParagraphFont"/>
    <w:uiPriority w:val="99"/>
    <w:semiHidden/>
    <w:unhideWhenUsed/>
    <w:rsid w:val="001D5D7C"/>
    <w:rPr>
      <w:color w:val="605E5C"/>
      <w:shd w:val="clear" w:color="auto" w:fill="E1DFDD"/>
    </w:rPr>
  </w:style>
  <w:style w:type="character" w:customStyle="1" w:styleId="SingleTxtGChar">
    <w:name w:val="_ Single Txt_G Char"/>
    <w:link w:val="SingleTxtG"/>
    <w:qFormat/>
    <w:locked/>
    <w:rsid w:val="001F2E49"/>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georg.mair@bam.d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iki.unece.org/pages/viewpage.action?pageId=2485780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71BA867-F763-42CC-B333-11C313559E07}">
  <ds:schemaRefs>
    <ds:schemaRef ds:uri="http://schemas.openxmlformats.org/officeDocument/2006/bibliography"/>
  </ds:schemaRefs>
</ds:datastoreItem>
</file>

<file path=customXml/itemProps2.xml><?xml version="1.0" encoding="utf-8"?>
<ds:datastoreItem xmlns:ds="http://schemas.openxmlformats.org/officeDocument/2006/customXml" ds:itemID="{B8B0E618-F3FE-471E-A8D2-47AE8508102D}"/>
</file>

<file path=customXml/itemProps3.xml><?xml version="1.0" encoding="utf-8"?>
<ds:datastoreItem xmlns:ds="http://schemas.openxmlformats.org/officeDocument/2006/customXml" ds:itemID="{C3733F2B-5C4A-44A3-BB43-C2076D7737CE}"/>
</file>

<file path=customXml/itemProps4.xml><?xml version="1.0" encoding="utf-8"?>
<ds:datastoreItem xmlns:ds="http://schemas.openxmlformats.org/officeDocument/2006/customXml" ds:itemID="{211D77FD-F3BA-4B45-BB21-D3BF30C1D5F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ECE_TRANS.dotm</Template>
  <TotalTime>208</TotalTime>
  <Pages>18</Pages>
  <Words>6750</Words>
  <Characters>37131</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ECE/TRANS/WP.15/AC.1/174</dc:title>
  <dc:subject/>
  <dc:creator>Luisa PENA-MONTERO</dc:creator>
  <cp:keywords/>
  <cp:lastModifiedBy>Luisa PENA-MONTERO</cp:lastModifiedBy>
  <cp:revision>122</cp:revision>
  <cp:lastPrinted>2024-11-20T11:20:00Z</cp:lastPrinted>
  <dcterms:created xsi:type="dcterms:W3CDTF">2024-11-19T11:07:00Z</dcterms:created>
  <dcterms:modified xsi:type="dcterms:W3CDTF">2024-11-20T11:20:00Z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