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32EA9" w:rsidRPr="00A56D4D" w14:paraId="087C87A0" w14:textId="77777777" w:rsidTr="00F0173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9234747" w14:textId="77777777" w:rsidR="00132EA9" w:rsidRPr="00040E70" w:rsidRDefault="00132EA9" w:rsidP="00FD71B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97256A6" w14:textId="77777777" w:rsidR="00132EA9" w:rsidRPr="00040E70" w:rsidRDefault="00132EA9" w:rsidP="00F01738">
            <w:pPr>
              <w:spacing w:after="80" w:line="300" w:lineRule="exact"/>
              <w:rPr>
                <w:sz w:val="28"/>
                <w:lang w:val="fr-FR"/>
              </w:rPr>
            </w:pPr>
            <w:r w:rsidRPr="00040E70">
              <w:rPr>
                <w:sz w:val="28"/>
                <w:lang w:val="fr-FR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272C858" w14:textId="7899B0A7" w:rsidR="00132EA9" w:rsidRPr="00A56D4D" w:rsidRDefault="00FD71B1" w:rsidP="00FD71B1">
            <w:pPr>
              <w:jc w:val="right"/>
              <w:rPr>
                <w:lang w:val="en-US"/>
              </w:rPr>
            </w:pPr>
            <w:r w:rsidRPr="00A56D4D">
              <w:rPr>
                <w:sz w:val="40"/>
                <w:lang w:val="en-US"/>
              </w:rPr>
              <w:t>ST</w:t>
            </w:r>
            <w:r w:rsidRPr="00A56D4D">
              <w:rPr>
                <w:lang w:val="en-US"/>
              </w:rPr>
              <w:t>/SG/AC.10/C.4/93/Add.1</w:t>
            </w:r>
          </w:p>
        </w:tc>
      </w:tr>
      <w:tr w:rsidR="00132EA9" w:rsidRPr="00040E70" w14:paraId="5FFAA82B" w14:textId="77777777" w:rsidTr="00F0173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C6BCCAF" w14:textId="77777777" w:rsidR="00132EA9" w:rsidRPr="00040E70" w:rsidRDefault="00132EA9" w:rsidP="00F01738">
            <w:pPr>
              <w:spacing w:before="120"/>
              <w:jc w:val="center"/>
              <w:rPr>
                <w:lang w:val="fr-FR"/>
              </w:rPr>
            </w:pPr>
            <w:r w:rsidRPr="00040E70">
              <w:rPr>
                <w:noProof/>
                <w:lang w:val="fr-FR" w:eastAsia="fr-CH"/>
              </w:rPr>
              <w:drawing>
                <wp:inline distT="0" distB="0" distL="0" distR="0" wp14:anchorId="1001A894" wp14:editId="2AACE36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E9831F4" w14:textId="77777777" w:rsidR="00132EA9" w:rsidRPr="00040E70" w:rsidRDefault="00132EA9" w:rsidP="00F01738">
            <w:pPr>
              <w:spacing w:before="120" w:line="420" w:lineRule="exact"/>
              <w:rPr>
                <w:b/>
                <w:sz w:val="40"/>
                <w:szCs w:val="40"/>
                <w:lang w:val="fr-FR"/>
              </w:rPr>
            </w:pPr>
            <w:r w:rsidRPr="00040E70">
              <w:rPr>
                <w:b/>
                <w:sz w:val="40"/>
                <w:szCs w:val="40"/>
                <w:lang w:val="fr-FR"/>
              </w:rPr>
              <w:t>Secrétariat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11FD069" w14:textId="77777777" w:rsidR="00132EA9" w:rsidRPr="00040E70" w:rsidRDefault="00FD71B1" w:rsidP="00F01738">
            <w:pPr>
              <w:spacing w:before="240"/>
              <w:rPr>
                <w:lang w:val="fr-FR"/>
              </w:rPr>
            </w:pPr>
            <w:r w:rsidRPr="00040E70">
              <w:rPr>
                <w:lang w:val="fr-FR"/>
              </w:rPr>
              <w:t>Distr. générale</w:t>
            </w:r>
          </w:p>
          <w:p w14:paraId="555E48EF" w14:textId="77777777" w:rsidR="00FD71B1" w:rsidRPr="00040E70" w:rsidRDefault="00FD71B1" w:rsidP="00FD71B1">
            <w:pPr>
              <w:spacing w:line="240" w:lineRule="exact"/>
              <w:rPr>
                <w:lang w:val="fr-FR"/>
              </w:rPr>
            </w:pPr>
            <w:r w:rsidRPr="00040E70">
              <w:rPr>
                <w:lang w:val="fr-FR"/>
              </w:rPr>
              <w:t>25 septembre 2024</w:t>
            </w:r>
          </w:p>
          <w:p w14:paraId="33999367" w14:textId="77777777" w:rsidR="00FD71B1" w:rsidRPr="00040E70" w:rsidRDefault="00FD71B1" w:rsidP="00FD71B1">
            <w:pPr>
              <w:spacing w:line="240" w:lineRule="exact"/>
              <w:rPr>
                <w:lang w:val="fr-FR"/>
              </w:rPr>
            </w:pPr>
            <w:r w:rsidRPr="00040E70">
              <w:rPr>
                <w:lang w:val="fr-FR"/>
              </w:rPr>
              <w:t>Français</w:t>
            </w:r>
          </w:p>
          <w:p w14:paraId="6FC126CE" w14:textId="6957752C" w:rsidR="00FD71B1" w:rsidRPr="00040E70" w:rsidRDefault="00FD71B1" w:rsidP="00FD71B1">
            <w:pPr>
              <w:spacing w:line="240" w:lineRule="exact"/>
              <w:rPr>
                <w:lang w:val="fr-FR"/>
              </w:rPr>
            </w:pPr>
            <w:r w:rsidRPr="00040E70">
              <w:rPr>
                <w:lang w:val="fr-FR"/>
              </w:rPr>
              <w:t>Original</w:t>
            </w:r>
            <w:r w:rsidR="001853F4" w:rsidRPr="00040E70">
              <w:rPr>
                <w:lang w:val="fr-FR"/>
              </w:rPr>
              <w:t> :</w:t>
            </w:r>
            <w:r w:rsidRPr="00040E70">
              <w:rPr>
                <w:lang w:val="fr-FR"/>
              </w:rPr>
              <w:t xml:space="preserve"> anglais</w:t>
            </w:r>
          </w:p>
        </w:tc>
      </w:tr>
    </w:tbl>
    <w:p w14:paraId="7BE355D8" w14:textId="5A9A71E6" w:rsidR="00354FAD" w:rsidRPr="00040E70" w:rsidRDefault="00354FAD" w:rsidP="00354FAD">
      <w:pPr>
        <w:spacing w:before="120"/>
        <w:rPr>
          <w:b/>
          <w:sz w:val="24"/>
          <w:szCs w:val="24"/>
          <w:lang w:val="fr-FR"/>
        </w:rPr>
      </w:pPr>
      <w:r w:rsidRPr="00040E70">
        <w:rPr>
          <w:b/>
          <w:bCs/>
          <w:sz w:val="24"/>
          <w:szCs w:val="24"/>
          <w:lang w:val="fr-FR"/>
        </w:rPr>
        <w:t xml:space="preserve">Comité d’experts du transport des marchandises dangereuses </w:t>
      </w:r>
      <w:r w:rsidR="00E14662">
        <w:rPr>
          <w:b/>
          <w:bCs/>
          <w:sz w:val="24"/>
          <w:szCs w:val="24"/>
          <w:lang w:val="fr-FR"/>
        </w:rPr>
        <w:br/>
      </w:r>
      <w:r w:rsidRPr="00040E70">
        <w:rPr>
          <w:b/>
          <w:bCs/>
          <w:sz w:val="24"/>
          <w:szCs w:val="24"/>
          <w:lang w:val="fr-FR"/>
        </w:rPr>
        <w:t xml:space="preserve">et du Système général harmonisé de classification </w:t>
      </w:r>
      <w:r w:rsidR="00E14662">
        <w:rPr>
          <w:b/>
          <w:bCs/>
          <w:sz w:val="24"/>
          <w:szCs w:val="24"/>
          <w:lang w:val="fr-FR"/>
        </w:rPr>
        <w:br/>
      </w:r>
      <w:r w:rsidRPr="00040E70">
        <w:rPr>
          <w:b/>
          <w:bCs/>
          <w:sz w:val="24"/>
          <w:szCs w:val="24"/>
          <w:lang w:val="fr-FR"/>
        </w:rPr>
        <w:t>et d’étiquetage des produits chimiques</w:t>
      </w:r>
    </w:p>
    <w:p w14:paraId="5B613D46" w14:textId="77777777" w:rsidR="00354FAD" w:rsidRPr="00040E70" w:rsidRDefault="00354FAD" w:rsidP="00354FAD">
      <w:pPr>
        <w:spacing w:before="120"/>
        <w:rPr>
          <w:b/>
          <w:color w:val="000000"/>
          <w:lang w:val="fr-FR"/>
        </w:rPr>
      </w:pPr>
      <w:r w:rsidRPr="00040E70">
        <w:rPr>
          <w:b/>
          <w:bCs/>
          <w:lang w:val="fr-FR"/>
        </w:rPr>
        <w:t xml:space="preserve">Sous-Comité d’experts du Système général harmonisé </w:t>
      </w:r>
      <w:r w:rsidRPr="00040E70">
        <w:rPr>
          <w:b/>
          <w:bCs/>
          <w:lang w:val="fr-FR"/>
        </w:rPr>
        <w:br/>
        <w:t>de classification et d’étiquetage des produits chimiques</w:t>
      </w:r>
    </w:p>
    <w:p w14:paraId="3C787F5F" w14:textId="77777777" w:rsidR="00354FAD" w:rsidRPr="00040E70" w:rsidRDefault="00354FAD" w:rsidP="00354FAD">
      <w:pPr>
        <w:spacing w:before="120"/>
        <w:rPr>
          <w:b/>
          <w:lang w:val="fr-FR"/>
        </w:rPr>
      </w:pPr>
      <w:r w:rsidRPr="00040E70">
        <w:rPr>
          <w:b/>
          <w:bCs/>
          <w:lang w:val="fr-FR"/>
        </w:rPr>
        <w:t>Quarante-septième session</w:t>
      </w:r>
    </w:p>
    <w:p w14:paraId="75BB2A4A" w14:textId="77777777" w:rsidR="00354FAD" w:rsidRPr="00040E70" w:rsidRDefault="00354FAD" w:rsidP="00354FAD">
      <w:pPr>
        <w:rPr>
          <w:lang w:val="fr-FR"/>
        </w:rPr>
      </w:pPr>
      <w:r w:rsidRPr="00040E70">
        <w:rPr>
          <w:lang w:val="fr-FR"/>
        </w:rPr>
        <w:t>Genève, 4-6 décembre 2024</w:t>
      </w:r>
    </w:p>
    <w:p w14:paraId="28523D5D" w14:textId="77777777" w:rsidR="00354FAD" w:rsidRPr="00040E70" w:rsidRDefault="00354FAD" w:rsidP="00354FAD">
      <w:pPr>
        <w:rPr>
          <w:lang w:val="fr-FR"/>
        </w:rPr>
      </w:pPr>
      <w:r w:rsidRPr="00040E70">
        <w:rPr>
          <w:lang w:val="fr-FR"/>
        </w:rPr>
        <w:t>Point 1 de l’ordre du jour provisoire</w:t>
      </w:r>
    </w:p>
    <w:p w14:paraId="7608E296" w14:textId="77777777" w:rsidR="00354FAD" w:rsidRPr="00040E70" w:rsidRDefault="00354FAD" w:rsidP="00354FAD">
      <w:pPr>
        <w:rPr>
          <w:b/>
          <w:bCs/>
          <w:lang w:val="fr-FR"/>
        </w:rPr>
      </w:pPr>
      <w:r w:rsidRPr="00040E70">
        <w:rPr>
          <w:b/>
          <w:bCs/>
          <w:lang w:val="fr-FR"/>
        </w:rPr>
        <w:t>Adoption de l’ordre du jour</w:t>
      </w:r>
    </w:p>
    <w:p w14:paraId="4DE99179" w14:textId="77777777" w:rsidR="00354FAD" w:rsidRPr="00040E70" w:rsidRDefault="00354FAD" w:rsidP="00040E70">
      <w:pPr>
        <w:pStyle w:val="HChG"/>
        <w:rPr>
          <w:lang w:val="fr-FR"/>
        </w:rPr>
      </w:pPr>
      <w:r w:rsidRPr="00040E70">
        <w:rPr>
          <w:lang w:val="fr-FR"/>
        </w:rPr>
        <w:tab/>
      </w:r>
      <w:r w:rsidRPr="00040E70">
        <w:rPr>
          <w:lang w:val="fr-FR"/>
        </w:rPr>
        <w:tab/>
        <w:t>Ordre du jour provisoire de la quarante-septième session</w:t>
      </w:r>
    </w:p>
    <w:p w14:paraId="147EA7E6" w14:textId="77777777" w:rsidR="00354FAD" w:rsidRPr="00040E70" w:rsidRDefault="00354FAD" w:rsidP="00040E70">
      <w:pPr>
        <w:pStyle w:val="H23G"/>
        <w:rPr>
          <w:lang w:val="fr-FR"/>
        </w:rPr>
      </w:pPr>
      <w:r w:rsidRPr="00040E70">
        <w:rPr>
          <w:lang w:val="fr-FR"/>
        </w:rPr>
        <w:tab/>
      </w:r>
      <w:r w:rsidRPr="00040E70">
        <w:rPr>
          <w:lang w:val="fr-FR"/>
        </w:rPr>
        <w:tab/>
        <w:t>Additif</w:t>
      </w:r>
    </w:p>
    <w:p w14:paraId="59FBED55" w14:textId="77777777" w:rsidR="00354FAD" w:rsidRPr="00040E70" w:rsidRDefault="00354FAD" w:rsidP="00040E70">
      <w:pPr>
        <w:pStyle w:val="HChG"/>
        <w:rPr>
          <w:lang w:val="fr-FR"/>
        </w:rPr>
      </w:pPr>
      <w:r w:rsidRPr="00040E70">
        <w:rPr>
          <w:lang w:val="fr-FR"/>
        </w:rPr>
        <w:tab/>
      </w:r>
      <w:r w:rsidRPr="00040E70">
        <w:rPr>
          <w:lang w:val="fr-FR"/>
        </w:rPr>
        <w:tab/>
      </w:r>
      <w:r w:rsidRPr="00040E70">
        <w:rPr>
          <w:lang w:val="fr-FR"/>
        </w:rPr>
        <w:tab/>
        <w:t>Liste des documents et annotations</w:t>
      </w:r>
    </w:p>
    <w:p w14:paraId="30CCBA5C" w14:textId="77777777" w:rsidR="00354FAD" w:rsidRPr="00040E70" w:rsidRDefault="00354FAD" w:rsidP="00354FAD">
      <w:pPr>
        <w:pStyle w:val="HChG"/>
        <w:rPr>
          <w:lang w:val="fr-FR"/>
        </w:rPr>
      </w:pPr>
      <w:r w:rsidRPr="00040E70">
        <w:rPr>
          <w:lang w:val="fr-FR"/>
        </w:rPr>
        <w:tab/>
        <w:t>1.</w:t>
      </w:r>
      <w:r w:rsidRPr="00040E70">
        <w:rPr>
          <w:lang w:val="fr-FR"/>
        </w:rPr>
        <w:tab/>
        <w:t>Adoption de l’ordre du jour</w:t>
      </w:r>
    </w:p>
    <w:tbl>
      <w:tblPr>
        <w:tblStyle w:val="Grilledutableau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3969"/>
      </w:tblGrid>
      <w:tr w:rsidR="00354FAD" w:rsidRPr="00040E70" w14:paraId="125A4251" w14:textId="77777777" w:rsidTr="00040E70">
        <w:tc>
          <w:tcPr>
            <w:tcW w:w="3407" w:type="dxa"/>
          </w:tcPr>
          <w:p w14:paraId="219C18D2" w14:textId="77777777" w:rsidR="00354FAD" w:rsidRPr="00A56D4D" w:rsidRDefault="00354FAD" w:rsidP="00092A1C">
            <w:pPr>
              <w:spacing w:before="40" w:after="40"/>
              <w:rPr>
                <w:lang w:val="en-US"/>
              </w:rPr>
            </w:pPr>
            <w:r w:rsidRPr="00A56D4D">
              <w:rPr>
                <w:lang w:val="en-US"/>
              </w:rPr>
              <w:t>ST/SG/AC.10/C.4/93 et ST/SG/AC.10/C.4/93/Add.1</w:t>
            </w:r>
          </w:p>
        </w:tc>
        <w:tc>
          <w:tcPr>
            <w:tcW w:w="3969" w:type="dxa"/>
          </w:tcPr>
          <w:p w14:paraId="7C70E6FC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Ordre du jour provisoire de la quarante-septième session</w:t>
            </w:r>
          </w:p>
        </w:tc>
      </w:tr>
    </w:tbl>
    <w:p w14:paraId="2BAEDF24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</w:r>
      <w:r w:rsidRPr="00040E70">
        <w:rPr>
          <w:lang w:val="fr-FR"/>
        </w:rPr>
        <w:tab/>
      </w:r>
      <w:r w:rsidRPr="00040E70">
        <w:rPr>
          <w:lang w:val="fr-FR"/>
        </w:rPr>
        <w:tab/>
        <w:t>Documents de référence (secrétariat)</w:t>
      </w:r>
    </w:p>
    <w:tbl>
      <w:tblPr>
        <w:tblStyle w:val="Grilledutableau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68"/>
      </w:tblGrid>
      <w:tr w:rsidR="00354FAD" w:rsidRPr="00040E70" w14:paraId="38D44EB7" w14:textId="77777777" w:rsidTr="00040E70">
        <w:tc>
          <w:tcPr>
            <w:tcW w:w="3402" w:type="dxa"/>
          </w:tcPr>
          <w:p w14:paraId="6EB32704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ST/SG/AC.10/30/Rev.10</w:t>
            </w:r>
          </w:p>
        </w:tc>
        <w:tc>
          <w:tcPr>
            <w:tcW w:w="3968" w:type="dxa"/>
          </w:tcPr>
          <w:p w14:paraId="69ECB478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Système général harmonisé de classification et d’étiquetage des produits chimiques (SGH), dixième édition révisée</w:t>
            </w:r>
          </w:p>
        </w:tc>
      </w:tr>
      <w:tr w:rsidR="00354FAD" w:rsidRPr="00040E70" w14:paraId="72570C5A" w14:textId="77777777" w:rsidTr="00040E70">
        <w:tc>
          <w:tcPr>
            <w:tcW w:w="3402" w:type="dxa"/>
          </w:tcPr>
          <w:p w14:paraId="43DC8445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ST/SG/AC.10/1/Rev.23</w:t>
            </w:r>
          </w:p>
        </w:tc>
        <w:tc>
          <w:tcPr>
            <w:tcW w:w="3968" w:type="dxa"/>
          </w:tcPr>
          <w:p w14:paraId="7DCB10F9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Recommandations relatives au transport des marchandises dangereuses, Règlement type, vingt</w:t>
            </w:r>
            <w:r w:rsidRPr="00040E70">
              <w:rPr>
                <w:lang w:val="fr-FR"/>
              </w:rPr>
              <w:noBreakHyphen/>
              <w:t>troisième édition révisée</w:t>
            </w:r>
          </w:p>
        </w:tc>
      </w:tr>
      <w:tr w:rsidR="00354FAD" w:rsidRPr="00040E70" w14:paraId="7CE9DFD2" w14:textId="77777777" w:rsidTr="00040E70">
        <w:tc>
          <w:tcPr>
            <w:tcW w:w="3402" w:type="dxa"/>
          </w:tcPr>
          <w:p w14:paraId="1081C81E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ST/SG/AC.10/11/Rev.8</w:t>
            </w:r>
          </w:p>
        </w:tc>
        <w:tc>
          <w:tcPr>
            <w:tcW w:w="3968" w:type="dxa"/>
          </w:tcPr>
          <w:p w14:paraId="5DE6DE45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Manuel d’épreuves et de critères, huitième édition révisée</w:t>
            </w:r>
          </w:p>
        </w:tc>
      </w:tr>
      <w:tr w:rsidR="00354FAD" w:rsidRPr="00040E70" w14:paraId="0057D623" w14:textId="77777777" w:rsidTr="00040E70">
        <w:tc>
          <w:tcPr>
            <w:tcW w:w="3402" w:type="dxa"/>
          </w:tcPr>
          <w:p w14:paraId="333C6490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ST/SG/AC.10/C.4/88</w:t>
            </w:r>
          </w:p>
        </w:tc>
        <w:tc>
          <w:tcPr>
            <w:tcW w:w="3968" w:type="dxa"/>
          </w:tcPr>
          <w:p w14:paraId="2EEACA18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Rapport du Sous-Comité d’experts du Système général harmonisé de classification et d’étiquetage des produits chimiques sur sa quarante-quatrième session</w:t>
            </w:r>
          </w:p>
        </w:tc>
      </w:tr>
      <w:tr w:rsidR="00354FAD" w:rsidRPr="00040E70" w14:paraId="2113BD0A" w14:textId="77777777" w:rsidTr="00040E70">
        <w:tc>
          <w:tcPr>
            <w:tcW w:w="3402" w:type="dxa"/>
          </w:tcPr>
          <w:p w14:paraId="44BEA0E8" w14:textId="77777777" w:rsidR="00354FAD" w:rsidRPr="00A56D4D" w:rsidRDefault="00354FAD" w:rsidP="00092A1C">
            <w:pPr>
              <w:spacing w:before="40" w:after="40"/>
              <w:rPr>
                <w:lang w:val="en-US"/>
              </w:rPr>
            </w:pPr>
            <w:r w:rsidRPr="00A56D4D">
              <w:rPr>
                <w:lang w:val="en-US"/>
              </w:rPr>
              <w:t xml:space="preserve">ST/SG/AC.10/C.4/86, </w:t>
            </w:r>
            <w:proofErr w:type="spellStart"/>
            <w:r w:rsidRPr="00A56D4D">
              <w:rPr>
                <w:lang w:val="en-US"/>
              </w:rPr>
              <w:t>annexe</w:t>
            </w:r>
            <w:proofErr w:type="spellEnd"/>
            <w:r w:rsidRPr="00A56D4D">
              <w:rPr>
                <w:lang w:val="en-US"/>
              </w:rPr>
              <w:t xml:space="preserve"> III </w:t>
            </w:r>
          </w:p>
        </w:tc>
        <w:tc>
          <w:tcPr>
            <w:tcW w:w="3968" w:type="dxa"/>
          </w:tcPr>
          <w:p w14:paraId="602FB3DB" w14:textId="13172802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Programme de travail du Sous-Comité pour la période biennale</w:t>
            </w:r>
            <w:r w:rsidR="00040E70">
              <w:rPr>
                <w:lang w:val="fr-FR"/>
              </w:rPr>
              <w:t xml:space="preserve"> </w:t>
            </w:r>
            <w:r w:rsidRPr="00040E70">
              <w:rPr>
                <w:lang w:val="fr-FR"/>
              </w:rPr>
              <w:t>2023-2024</w:t>
            </w:r>
          </w:p>
        </w:tc>
      </w:tr>
      <w:tr w:rsidR="00354FAD" w:rsidRPr="00040E70" w14:paraId="0555E464" w14:textId="77777777" w:rsidTr="00040E70">
        <w:tc>
          <w:tcPr>
            <w:tcW w:w="3402" w:type="dxa"/>
          </w:tcPr>
          <w:p w14:paraId="0D47F25E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 xml:space="preserve">ST/SG/AC.10/C.4/90 </w:t>
            </w:r>
          </w:p>
        </w:tc>
        <w:tc>
          <w:tcPr>
            <w:tcW w:w="3968" w:type="dxa"/>
          </w:tcPr>
          <w:p w14:paraId="1C29A970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Rapport du Sous-Comité d’experts du Système général harmonisé de classification et d’étiquetage des produits chimiques sur sa quarante-cinquième session</w:t>
            </w:r>
          </w:p>
        </w:tc>
      </w:tr>
      <w:tr w:rsidR="00354FAD" w:rsidRPr="00040E70" w14:paraId="2432EA24" w14:textId="77777777" w:rsidTr="00040E70">
        <w:tc>
          <w:tcPr>
            <w:tcW w:w="3402" w:type="dxa"/>
          </w:tcPr>
          <w:p w14:paraId="4B27745E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lastRenderedPageBreak/>
              <w:t>ST/SG/AC.10/C.4/92</w:t>
            </w:r>
          </w:p>
        </w:tc>
        <w:tc>
          <w:tcPr>
            <w:tcW w:w="3968" w:type="dxa"/>
          </w:tcPr>
          <w:p w14:paraId="43A82226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Rapport du Sous-Comité d’experts du Système général harmonisé de classification et d’étiquetage des produits chimiques sur sa quarante-sixième session</w:t>
            </w:r>
          </w:p>
        </w:tc>
      </w:tr>
      <w:tr w:rsidR="00354FAD" w:rsidRPr="00040E70" w14:paraId="17766BFE" w14:textId="77777777" w:rsidTr="00040E70">
        <w:tc>
          <w:tcPr>
            <w:tcW w:w="3402" w:type="dxa"/>
          </w:tcPr>
          <w:p w14:paraId="504D34DA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ST/SG/AC.10/C.3/124 et Add.1</w:t>
            </w:r>
          </w:p>
        </w:tc>
        <w:tc>
          <w:tcPr>
            <w:tcW w:w="3968" w:type="dxa"/>
          </w:tcPr>
          <w:p w14:paraId="3CF17DDD" w14:textId="0C88B380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Rapport du Sous-Comité d’experts du transport des marchandises dangereuses sur sa soixante</w:t>
            </w:r>
            <w:r w:rsidR="00040E70">
              <w:rPr>
                <w:lang w:val="fr-FR"/>
              </w:rPr>
              <w:noBreakHyphen/>
            </w:r>
            <w:r w:rsidRPr="00040E70">
              <w:rPr>
                <w:lang w:val="fr-FR"/>
              </w:rPr>
              <w:t>deuxième session</w:t>
            </w:r>
          </w:p>
        </w:tc>
      </w:tr>
      <w:tr w:rsidR="00354FAD" w:rsidRPr="00040E70" w14:paraId="32F78EA1" w14:textId="77777777" w:rsidTr="00040E70">
        <w:tc>
          <w:tcPr>
            <w:tcW w:w="3402" w:type="dxa"/>
          </w:tcPr>
          <w:p w14:paraId="3519A78C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ST/SG/AC.10/C.3/126 et Add.1</w:t>
            </w:r>
          </w:p>
        </w:tc>
        <w:tc>
          <w:tcPr>
            <w:tcW w:w="3968" w:type="dxa"/>
          </w:tcPr>
          <w:p w14:paraId="343D6925" w14:textId="270265DD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Rapport du Sous-Comité d’experts du transport des marchandises dangereuses sur sa soixante</w:t>
            </w:r>
            <w:r w:rsidR="00040E70">
              <w:rPr>
                <w:lang w:val="fr-FR"/>
              </w:rPr>
              <w:noBreakHyphen/>
            </w:r>
            <w:r w:rsidRPr="00040E70">
              <w:rPr>
                <w:lang w:val="fr-FR"/>
              </w:rPr>
              <w:t>troisième session</w:t>
            </w:r>
          </w:p>
        </w:tc>
      </w:tr>
      <w:tr w:rsidR="00354FAD" w:rsidRPr="00040E70" w14:paraId="51AD5AC4" w14:textId="77777777" w:rsidTr="00040E70">
        <w:tc>
          <w:tcPr>
            <w:tcW w:w="3402" w:type="dxa"/>
          </w:tcPr>
          <w:p w14:paraId="5E277653" w14:textId="77777777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ST/SG/AC.10/C.3/128 et Add.1</w:t>
            </w:r>
          </w:p>
        </w:tc>
        <w:tc>
          <w:tcPr>
            <w:tcW w:w="3968" w:type="dxa"/>
          </w:tcPr>
          <w:p w14:paraId="2AF34511" w14:textId="6FF4F3BD" w:rsidR="00354FAD" w:rsidRPr="00040E70" w:rsidRDefault="00354FAD" w:rsidP="00092A1C">
            <w:pPr>
              <w:spacing w:before="40" w:after="40"/>
              <w:rPr>
                <w:lang w:val="fr-FR"/>
              </w:rPr>
            </w:pPr>
            <w:r w:rsidRPr="00040E70">
              <w:rPr>
                <w:lang w:val="fr-FR"/>
              </w:rPr>
              <w:t>Rapport du Sous-Comité d’experts du transport des marchandises dangereuses sur sa soixante</w:t>
            </w:r>
            <w:r w:rsidR="00040E70">
              <w:rPr>
                <w:lang w:val="fr-FR"/>
              </w:rPr>
              <w:noBreakHyphen/>
            </w:r>
            <w:r w:rsidRPr="00040E70">
              <w:rPr>
                <w:lang w:val="fr-FR"/>
              </w:rPr>
              <w:t>quatrième session</w:t>
            </w:r>
          </w:p>
        </w:tc>
      </w:tr>
    </w:tbl>
    <w:p w14:paraId="027FF6E3" w14:textId="77777777" w:rsidR="00354FAD" w:rsidRPr="00040E70" w:rsidRDefault="00354FAD" w:rsidP="00354FAD">
      <w:pPr>
        <w:pStyle w:val="HChG"/>
        <w:rPr>
          <w:lang w:val="fr-FR"/>
        </w:rPr>
      </w:pPr>
      <w:r w:rsidRPr="00040E70">
        <w:rPr>
          <w:lang w:val="fr-FR"/>
        </w:rPr>
        <w:tab/>
        <w:t>2.</w:t>
      </w:r>
      <w:r w:rsidRPr="00040E70">
        <w:rPr>
          <w:lang w:val="fr-FR"/>
        </w:rPr>
        <w:tab/>
        <w:t>Travaux relatifs au Système général harmonisé de classification et d’étiquetage des produits chimiques</w:t>
      </w:r>
    </w:p>
    <w:p w14:paraId="022F023D" w14:textId="42F6CC98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a)</w:t>
      </w:r>
      <w:r w:rsidRPr="00040E70">
        <w:rPr>
          <w:lang w:val="fr-FR"/>
        </w:rPr>
        <w:tab/>
        <w:t xml:space="preserve">Recommandations formulées par le Sous-Comité </w:t>
      </w:r>
      <w:r w:rsidR="00040E70">
        <w:rPr>
          <w:lang w:val="fr-FR"/>
        </w:rPr>
        <w:br/>
      </w:r>
      <w:r w:rsidRPr="00040E70">
        <w:rPr>
          <w:lang w:val="fr-FR"/>
        </w:rPr>
        <w:t>à ses quarante</w:t>
      </w:r>
      <w:r w:rsidR="00040E70">
        <w:rPr>
          <w:lang w:val="fr-FR"/>
        </w:rPr>
        <w:noBreakHyphen/>
      </w:r>
      <w:r w:rsidRPr="00040E70">
        <w:rPr>
          <w:lang w:val="fr-FR"/>
        </w:rPr>
        <w:t xml:space="preserve">quatrième, quarante-cinquième </w:t>
      </w:r>
      <w:r w:rsidR="00040E70">
        <w:rPr>
          <w:lang w:val="fr-FR"/>
        </w:rPr>
        <w:br/>
      </w:r>
      <w:r w:rsidRPr="00040E70">
        <w:rPr>
          <w:lang w:val="fr-FR"/>
        </w:rPr>
        <w:t>et quarante-sixième sessions</w:t>
      </w:r>
    </w:p>
    <w:tbl>
      <w:tblPr>
        <w:tblStyle w:val="Grilledutableau"/>
        <w:tblW w:w="7376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3969"/>
      </w:tblGrid>
      <w:tr w:rsidR="00354FAD" w:rsidRPr="00040E70" w:rsidDel="005F71B2" w14:paraId="2BEBD646" w14:textId="77777777" w:rsidTr="00040E70">
        <w:tc>
          <w:tcPr>
            <w:tcW w:w="3407" w:type="dxa"/>
          </w:tcPr>
          <w:p w14:paraId="6075923C" w14:textId="7A6683A1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lang w:val="fr-FR"/>
              </w:rPr>
              <w:t xml:space="preserve">ST/SG/AC.10/C.4/2024/11 </w:t>
            </w:r>
            <w:r w:rsidR="00040E70">
              <w:rPr>
                <w:lang w:val="fr-FR"/>
              </w:rPr>
              <w:br/>
            </w:r>
            <w:r w:rsidRPr="00040E70">
              <w:rPr>
                <w:lang w:val="fr-FR"/>
              </w:rPr>
              <w:t>(secrétariat)</w:t>
            </w:r>
          </w:p>
        </w:tc>
        <w:tc>
          <w:tcPr>
            <w:tcW w:w="3969" w:type="dxa"/>
          </w:tcPr>
          <w:p w14:paraId="197801DA" w14:textId="09C8EC76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lang w:val="fr-FR"/>
              </w:rPr>
              <w:t>Liste récapitulative des projets d’amendements adoptés par le Sous-Comité à ses quarante</w:t>
            </w:r>
            <w:r w:rsidR="00040E70">
              <w:rPr>
                <w:lang w:val="fr-FR"/>
              </w:rPr>
              <w:noBreakHyphen/>
            </w:r>
            <w:r w:rsidRPr="00040E70">
              <w:rPr>
                <w:lang w:val="fr-FR"/>
              </w:rPr>
              <w:t>quatrième, quarante-cinquième et</w:t>
            </w:r>
            <w:r w:rsidR="00546478">
              <w:rPr>
                <w:lang w:val="fr-FR"/>
              </w:rPr>
              <w:t> </w:t>
            </w:r>
            <w:r w:rsidRPr="00040E70">
              <w:rPr>
                <w:lang w:val="fr-FR"/>
              </w:rPr>
              <w:t>quarante-sixième sessions</w:t>
            </w:r>
          </w:p>
        </w:tc>
      </w:tr>
    </w:tbl>
    <w:p w14:paraId="1187F940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b)</w:t>
      </w:r>
      <w:r w:rsidRPr="00040E70">
        <w:rPr>
          <w:lang w:val="fr-FR"/>
        </w:rPr>
        <w:tab/>
        <w:t xml:space="preserve">Travaux du Sous-Comité d’experts du transport des marchandises dangereuses sur des questions intéressant le Sous-Comité d’experts </w:t>
      </w:r>
      <w:r w:rsidRPr="00040E70">
        <w:rPr>
          <w:lang w:val="fr-FR"/>
        </w:rPr>
        <w:br/>
        <w:t xml:space="preserve">du Système général harmonisé de classification et d’étiquetage </w:t>
      </w:r>
      <w:r w:rsidRPr="00040E70">
        <w:rPr>
          <w:lang w:val="fr-FR"/>
        </w:rPr>
        <w:br/>
        <w:t>des produits chimiques</w:t>
      </w:r>
      <w:r w:rsidRPr="00040E70">
        <w:rPr>
          <w:rStyle w:val="Appelnotedebasdep"/>
          <w:b w:val="0"/>
          <w:bCs/>
          <w:lang w:val="fr-FR"/>
        </w:rPr>
        <w:footnoteReference w:id="2"/>
      </w:r>
    </w:p>
    <w:tbl>
      <w:tblPr>
        <w:tblStyle w:val="Grilledutableau"/>
        <w:tblW w:w="7376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3969"/>
      </w:tblGrid>
      <w:tr w:rsidR="00354FAD" w:rsidRPr="00040E70" w:rsidDel="005F71B2" w14:paraId="70D5621C" w14:textId="77777777" w:rsidTr="00040E70">
        <w:tc>
          <w:tcPr>
            <w:tcW w:w="3407" w:type="dxa"/>
          </w:tcPr>
          <w:p w14:paraId="2871BA1C" w14:textId="77777777" w:rsidR="00354FAD" w:rsidRPr="00A56D4D" w:rsidRDefault="00354FAD" w:rsidP="00092A1C">
            <w:pPr>
              <w:spacing w:after="120"/>
              <w:rPr>
                <w:lang w:val="en-US"/>
              </w:rPr>
            </w:pPr>
            <w:r w:rsidRPr="00A56D4D">
              <w:rPr>
                <w:lang w:val="en-US"/>
              </w:rPr>
              <w:t>ST/SG/AC.10/C.4/2024/12 (SAAMI)</w:t>
            </w:r>
            <w:r w:rsidRPr="00A56D4D">
              <w:rPr>
                <w:lang w:val="en-US"/>
              </w:rPr>
              <w:br/>
            </w:r>
            <w:r w:rsidRPr="00A56D4D">
              <w:rPr>
                <w:i/>
                <w:iCs/>
                <w:lang w:val="en-US"/>
              </w:rPr>
              <w:t>(ST/SG/AC.10/C.3/2024/69)</w:t>
            </w:r>
          </w:p>
        </w:tc>
        <w:tc>
          <w:tcPr>
            <w:tcW w:w="3969" w:type="dxa"/>
          </w:tcPr>
          <w:p w14:paraId="2DFD7DF1" w14:textId="6A5E28A9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rFonts w:eastAsia="MS Mincho"/>
                <w:lang w:val="fr-FR" w:eastAsia="ja-JP"/>
              </w:rPr>
              <w:t>Prescriptions d’épreuves pour les matières explosibles énoncées au chapitre 2.17 du SGH</w:t>
            </w:r>
            <w:r w:rsidR="001853F4" w:rsidRPr="00040E70">
              <w:rPr>
                <w:rFonts w:eastAsia="MS Mincho"/>
                <w:lang w:val="fr-FR" w:eastAsia="ja-JP"/>
              </w:rPr>
              <w:t> :</w:t>
            </w:r>
            <w:r w:rsidRPr="00040E70">
              <w:rPr>
                <w:rFonts w:eastAsia="MS Mincho"/>
                <w:lang w:val="fr-FR" w:eastAsia="ja-JP"/>
              </w:rPr>
              <w:t xml:space="preserve"> obtention d’un avis d’expert</w:t>
            </w:r>
          </w:p>
        </w:tc>
      </w:tr>
      <w:tr w:rsidR="00354FAD" w:rsidRPr="00040E70" w:rsidDel="005F71B2" w14:paraId="2BF05217" w14:textId="77777777" w:rsidTr="00040E70">
        <w:tc>
          <w:tcPr>
            <w:tcW w:w="3407" w:type="dxa"/>
          </w:tcPr>
          <w:p w14:paraId="4521CB07" w14:textId="41ED3916" w:rsidR="00354FAD" w:rsidRPr="00A56D4D" w:rsidRDefault="00354FAD" w:rsidP="00092A1C">
            <w:pPr>
              <w:spacing w:after="120"/>
              <w:rPr>
                <w:lang w:val="en-US"/>
              </w:rPr>
            </w:pPr>
            <w:r w:rsidRPr="00A56D4D">
              <w:rPr>
                <w:lang w:val="en-US"/>
              </w:rPr>
              <w:t>ST/SG/AC.10/C.4/2024/13 (Chine)</w:t>
            </w:r>
            <w:r w:rsidRPr="00A56D4D">
              <w:rPr>
                <w:lang w:val="en-US"/>
              </w:rPr>
              <w:br/>
            </w:r>
            <w:r w:rsidRPr="00A56D4D">
              <w:rPr>
                <w:i/>
                <w:iCs/>
                <w:lang w:val="en-US"/>
              </w:rPr>
              <w:t>(ST/SG/AC.10/C.3/2024/88)</w:t>
            </w:r>
          </w:p>
        </w:tc>
        <w:tc>
          <w:tcPr>
            <w:tcW w:w="3969" w:type="dxa"/>
          </w:tcPr>
          <w:p w14:paraId="3C7692F3" w14:textId="2833E160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rFonts w:eastAsia="MS Mincho"/>
                <w:lang w:val="fr-FR" w:eastAsia="ja-JP"/>
              </w:rPr>
              <w:t>Affectation aux group</w:t>
            </w:r>
            <w:r w:rsidR="00E77E1B">
              <w:rPr>
                <w:rFonts w:eastAsia="MS Mincho"/>
                <w:lang w:val="fr-FR" w:eastAsia="ja-JP"/>
              </w:rPr>
              <w:t>e</w:t>
            </w:r>
            <w:r w:rsidRPr="00040E70">
              <w:rPr>
                <w:rFonts w:eastAsia="MS Mincho"/>
                <w:lang w:val="fr-FR" w:eastAsia="ja-JP"/>
              </w:rPr>
              <w:t>s d’emballage des matières solides inflammables autres que les poudres métalliques</w:t>
            </w:r>
          </w:p>
        </w:tc>
      </w:tr>
      <w:tr w:rsidR="00354FAD" w:rsidRPr="00040E70" w:rsidDel="005F71B2" w14:paraId="686CCCEE" w14:textId="77777777" w:rsidTr="00040E70">
        <w:tc>
          <w:tcPr>
            <w:tcW w:w="3407" w:type="dxa"/>
          </w:tcPr>
          <w:p w14:paraId="3D89FFB7" w14:textId="6959F6B7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lang w:val="fr-FR"/>
              </w:rPr>
              <w:t xml:space="preserve">ST/SG/AC.10/C.4/2024/14 </w:t>
            </w:r>
            <w:r w:rsidR="00E77E1B">
              <w:rPr>
                <w:lang w:val="fr-FR"/>
              </w:rPr>
              <w:br/>
            </w:r>
            <w:r w:rsidRPr="00040E70">
              <w:rPr>
                <w:lang w:val="fr-FR"/>
              </w:rPr>
              <w:t>(États-Unis d’Amérique)</w:t>
            </w:r>
            <w:r w:rsidRPr="00040E70">
              <w:rPr>
                <w:lang w:val="fr-FR"/>
              </w:rPr>
              <w:br/>
            </w:r>
            <w:r w:rsidRPr="00040E70">
              <w:rPr>
                <w:i/>
                <w:iCs/>
                <w:lang w:val="fr-FR"/>
              </w:rPr>
              <w:t>(ST/SG/AC.10/C.3/2024/93)</w:t>
            </w:r>
          </w:p>
        </w:tc>
        <w:tc>
          <w:tcPr>
            <w:tcW w:w="3969" w:type="dxa"/>
          </w:tcPr>
          <w:p w14:paraId="7223F4A2" w14:textId="5433A345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rFonts w:eastAsia="MS Mincho"/>
                <w:lang w:val="fr-FR" w:eastAsia="ja-JP"/>
              </w:rPr>
              <w:t>Prise en compte des mélanges de nitrocellulose au</w:t>
            </w:r>
            <w:r w:rsidR="00040E70">
              <w:rPr>
                <w:rFonts w:eastAsia="MS Mincho"/>
                <w:lang w:val="fr-FR" w:eastAsia="ja-JP"/>
              </w:rPr>
              <w:t xml:space="preserve"> </w:t>
            </w:r>
            <w:r w:rsidRPr="00040E70">
              <w:rPr>
                <w:rFonts w:eastAsia="MS Mincho"/>
                <w:lang w:val="fr-FR" w:eastAsia="ja-JP"/>
              </w:rPr>
              <w:t>chapitre 2.17 du Système général harmonisé (Matières explosibles désensibilisées), à la section 51 du Manuel d’épreuves et de critères et dans la disposition spéciale</w:t>
            </w:r>
            <w:r w:rsidR="00040E70">
              <w:rPr>
                <w:rFonts w:eastAsia="MS Mincho"/>
                <w:lang w:val="fr-FR" w:eastAsia="ja-JP"/>
              </w:rPr>
              <w:t xml:space="preserve"> </w:t>
            </w:r>
            <w:r w:rsidRPr="00040E70">
              <w:rPr>
                <w:rFonts w:eastAsia="MS Mincho"/>
                <w:lang w:val="fr-FR" w:eastAsia="ja-JP"/>
              </w:rPr>
              <w:t>393 du Règlement type</w:t>
            </w:r>
          </w:p>
        </w:tc>
      </w:tr>
      <w:tr w:rsidR="00354FAD" w:rsidRPr="00040E70" w:rsidDel="005F71B2" w14:paraId="1CEB3B41" w14:textId="77777777" w:rsidTr="00040E70">
        <w:tc>
          <w:tcPr>
            <w:tcW w:w="3407" w:type="dxa"/>
          </w:tcPr>
          <w:p w14:paraId="30FEBDD3" w14:textId="77777777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lang w:val="fr-FR"/>
              </w:rPr>
              <w:lastRenderedPageBreak/>
              <w:t>ST/SG/AC.10/C.4/2024/15 (Chine) (</w:t>
            </w:r>
            <w:r w:rsidRPr="00040E70">
              <w:rPr>
                <w:i/>
                <w:iCs/>
                <w:lang w:val="fr-FR"/>
              </w:rPr>
              <w:t>ST/SG/AC.10/C.3/2024/94</w:t>
            </w:r>
            <w:r w:rsidRPr="00040E70">
              <w:rPr>
                <w:lang w:val="fr-FR"/>
              </w:rPr>
              <w:t>)</w:t>
            </w:r>
            <w:r w:rsidRPr="00040E70">
              <w:rPr>
                <w:i/>
                <w:iCs/>
                <w:lang w:val="fr-FR"/>
              </w:rPr>
              <w:t xml:space="preserve"> </w:t>
            </w:r>
            <w:r w:rsidRPr="00040E70">
              <w:rPr>
                <w:i/>
                <w:iCs/>
                <w:lang w:val="fr-FR"/>
              </w:rPr>
              <w:br/>
            </w:r>
            <w:r w:rsidRPr="00040E70">
              <w:rPr>
                <w:lang w:val="fr-FR"/>
              </w:rPr>
              <w:t xml:space="preserve">et document informel INF.4 </w:t>
            </w:r>
            <w:r w:rsidRPr="00040E70">
              <w:rPr>
                <w:lang w:val="fr-FR"/>
              </w:rPr>
              <w:br/>
              <w:t>(</w:t>
            </w:r>
            <w:r w:rsidRPr="00040E70">
              <w:rPr>
                <w:i/>
                <w:iCs/>
                <w:lang w:val="fr-FR"/>
              </w:rPr>
              <w:t>TDG, INF.6</w:t>
            </w:r>
            <w:r w:rsidRPr="00040E70">
              <w:rPr>
                <w:lang w:val="fr-FR"/>
              </w:rPr>
              <w:t>)</w:t>
            </w:r>
          </w:p>
        </w:tc>
        <w:tc>
          <w:tcPr>
            <w:tcW w:w="3969" w:type="dxa"/>
          </w:tcPr>
          <w:p w14:paraId="37C508B1" w14:textId="77777777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lang w:val="fr-FR"/>
              </w:rPr>
              <w:t>Rapport du groupe de travail par correspondance informel chargé de la révision de la sous-section 51.4 du Manuel d’épreuves et de critères en ce qui concerne la vitesse de combustion</w:t>
            </w:r>
          </w:p>
        </w:tc>
      </w:tr>
      <w:tr w:rsidR="00354FAD" w:rsidRPr="00040E70" w:rsidDel="005F71B2" w14:paraId="2587E16E" w14:textId="77777777" w:rsidTr="00040E70">
        <w:tc>
          <w:tcPr>
            <w:tcW w:w="3407" w:type="dxa"/>
          </w:tcPr>
          <w:p w14:paraId="074CF4FF" w14:textId="77777777" w:rsidR="00354FAD" w:rsidRPr="00A56D4D" w:rsidRDefault="00354FAD" w:rsidP="00092A1C">
            <w:pPr>
              <w:spacing w:after="120"/>
              <w:rPr>
                <w:lang w:val="en-US"/>
              </w:rPr>
            </w:pPr>
            <w:r w:rsidRPr="00A56D4D">
              <w:rPr>
                <w:lang w:val="en-US"/>
              </w:rPr>
              <w:t>ST/SG/AC.10/C.4/2024/16 (FEA) (</w:t>
            </w:r>
            <w:r w:rsidRPr="00A56D4D">
              <w:rPr>
                <w:i/>
                <w:iCs/>
                <w:lang w:val="en-US"/>
              </w:rPr>
              <w:t>ST/SG/AC.10/C.3/2024/105</w:t>
            </w:r>
            <w:r w:rsidRPr="00A56D4D">
              <w:rPr>
                <w:lang w:val="en-US"/>
              </w:rPr>
              <w:t>)</w:t>
            </w:r>
          </w:p>
        </w:tc>
        <w:tc>
          <w:tcPr>
            <w:tcW w:w="3969" w:type="dxa"/>
          </w:tcPr>
          <w:p w14:paraId="2E5F9FF2" w14:textId="06561F96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lang w:val="fr-FR"/>
              </w:rPr>
              <w:t>Aérosols</w:t>
            </w:r>
            <w:r w:rsidR="001853F4" w:rsidRPr="00040E70">
              <w:rPr>
                <w:lang w:val="fr-FR"/>
              </w:rPr>
              <w:t> :</w:t>
            </w:r>
            <w:r w:rsidRPr="00040E70">
              <w:rPr>
                <w:lang w:val="fr-FR"/>
              </w:rPr>
              <w:t xml:space="preserve"> harmonisation de la disposition spéciale 63 avec la disposition spéciale 362</w:t>
            </w:r>
          </w:p>
        </w:tc>
      </w:tr>
    </w:tbl>
    <w:p w14:paraId="68DFFC9E" w14:textId="77777777" w:rsidR="00354FAD" w:rsidRPr="00040E70" w:rsidRDefault="00354FAD" w:rsidP="00354FAD">
      <w:pPr>
        <w:pStyle w:val="SingleTxtG"/>
        <w:spacing w:before="240"/>
        <w:ind w:firstLine="567"/>
        <w:rPr>
          <w:lang w:val="fr-FR"/>
        </w:rPr>
      </w:pPr>
      <w:r w:rsidRPr="00040E70">
        <w:rPr>
          <w:lang w:val="fr-FR"/>
        </w:rPr>
        <w:t>Le Sous-Comité sera informé de l’issue des débats du Sous-Comité d’experts du transport des marchandises dangereuses (Sous-Comité TMD) en ce qui concerne toute autre question présentant un intérêt pour lui.</w:t>
      </w:r>
    </w:p>
    <w:p w14:paraId="73EB3A6C" w14:textId="2DF1CBD0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c)</w:t>
      </w:r>
      <w:r w:rsidRPr="00040E70">
        <w:rPr>
          <w:lang w:val="fr-FR"/>
        </w:rPr>
        <w:tab/>
        <w:t xml:space="preserve">Affectation à plusieurs classes de danger physique </w:t>
      </w:r>
      <w:r w:rsidR="00A56D4D">
        <w:rPr>
          <w:lang w:val="fr-FR"/>
        </w:rPr>
        <w:br/>
      </w:r>
      <w:r w:rsidRPr="00040E70">
        <w:rPr>
          <w:lang w:val="fr-FR"/>
        </w:rPr>
        <w:t>et hiérarchisation des dangers</w:t>
      </w:r>
    </w:p>
    <w:p w14:paraId="222D3932" w14:textId="05DF78B0" w:rsidR="00354FAD" w:rsidRPr="00040E70" w:rsidRDefault="00354FAD" w:rsidP="00B06B76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L’expert de l’Allemagne souhaitera peut-être informer le Sous-Comité de l’avancement des travaux sur cette question depuis la quarante-sixième session. Pour en savoir plus, voir le document ST/SG/AC.10/C.4/92, par</w:t>
      </w:r>
      <w:r w:rsidR="00B06B76" w:rsidRPr="00040E70">
        <w:rPr>
          <w:lang w:val="fr-FR"/>
        </w:rPr>
        <w:t>. </w:t>
      </w:r>
      <w:r w:rsidRPr="00040E70">
        <w:rPr>
          <w:lang w:val="fr-FR"/>
        </w:rPr>
        <w:t>15.</w:t>
      </w:r>
    </w:p>
    <w:p w14:paraId="3BF805A9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d)</w:t>
      </w:r>
      <w:r w:rsidRPr="00040E70">
        <w:rPr>
          <w:lang w:val="fr-FR"/>
        </w:rPr>
        <w:tab/>
        <w:t xml:space="preserve">Utilisation de méthodes d’expérimentation non animales aux fins </w:t>
      </w:r>
      <w:r w:rsidRPr="00040E70">
        <w:rPr>
          <w:lang w:val="fr-FR"/>
        </w:rPr>
        <w:br/>
        <w:t>du classement des dangers pour la santé et l’environnement</w:t>
      </w:r>
    </w:p>
    <w:p w14:paraId="34FDFDB6" w14:textId="690ABFBF" w:rsidR="00354FAD" w:rsidRPr="00040E70" w:rsidRDefault="00354FAD" w:rsidP="00B06B76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Les experts du Royaume-Uni et du Royaume des Pays-Bas souhaiteront peut-être informer le Sous-Comité de l’avancement des travaux sur cette question depuis la quarante</w:t>
      </w:r>
      <w:r w:rsidR="00040E70">
        <w:rPr>
          <w:lang w:val="fr-FR"/>
        </w:rPr>
        <w:noBreakHyphen/>
      </w:r>
      <w:r w:rsidRPr="00040E70">
        <w:rPr>
          <w:lang w:val="fr-FR"/>
        </w:rPr>
        <w:t>sixième session. Pour en savoir plus, voir le document</w:t>
      </w:r>
      <w:r w:rsidR="00B06B76" w:rsidRPr="00040E70">
        <w:rPr>
          <w:lang w:val="fr-FR"/>
        </w:rPr>
        <w:t xml:space="preserve"> </w:t>
      </w:r>
      <w:r w:rsidRPr="00040E70">
        <w:rPr>
          <w:lang w:val="fr-FR"/>
        </w:rPr>
        <w:t>ST/SG/AC.10/C.4/92, par</w:t>
      </w:r>
      <w:r w:rsidR="00B06B76" w:rsidRPr="00040E70">
        <w:rPr>
          <w:lang w:val="fr-FR"/>
        </w:rPr>
        <w:t>. </w:t>
      </w:r>
      <w:r w:rsidRPr="00040E70">
        <w:rPr>
          <w:lang w:val="fr-FR"/>
        </w:rPr>
        <w:t>21.</w:t>
      </w:r>
    </w:p>
    <w:p w14:paraId="0EFAF661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e)</w:t>
      </w:r>
      <w:r w:rsidRPr="00040E70">
        <w:rPr>
          <w:lang w:val="fr-FR"/>
        </w:rPr>
        <w:tab/>
        <w:t xml:space="preserve">Critères de classement relatifs à la mutagénicité </w:t>
      </w:r>
      <w:r w:rsidRPr="00040E70">
        <w:rPr>
          <w:lang w:val="fr-FR"/>
        </w:rPr>
        <w:br/>
        <w:t>sur les cellules germinales</w:t>
      </w:r>
    </w:p>
    <w:p w14:paraId="4CCA90C0" w14:textId="2DC6C6F7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L’expert de l’Union européenne souhaitera peut-être informer le Sous-Comité de l’avancement des travaux sur cette question depuis la quarante</w:t>
      </w:r>
      <w:r w:rsidRPr="00040E70">
        <w:rPr>
          <w:lang w:val="fr-FR"/>
        </w:rPr>
        <w:noBreakHyphen/>
        <w:t>sixième session. Pour en savoir plus, voir le document ST/SG/AC.10/C.4/92, par</w:t>
      </w:r>
      <w:r w:rsidR="00B06B76" w:rsidRPr="00040E70">
        <w:rPr>
          <w:lang w:val="fr-FR"/>
        </w:rPr>
        <w:t>.</w:t>
      </w:r>
      <w:r w:rsidRPr="00040E70">
        <w:rPr>
          <w:lang w:val="fr-FR"/>
        </w:rPr>
        <w:t> 22 à 24.</w:t>
      </w:r>
    </w:p>
    <w:p w14:paraId="121FE15B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f)</w:t>
      </w:r>
      <w:r w:rsidRPr="00040E70">
        <w:rPr>
          <w:lang w:val="fr-FR"/>
        </w:rPr>
        <w:tab/>
        <w:t xml:space="preserve">Questions relatives aux dangers potentiels et à leur présentation </w:t>
      </w:r>
      <w:r w:rsidRPr="00040E70">
        <w:rPr>
          <w:lang w:val="fr-FR"/>
        </w:rPr>
        <w:br/>
        <w:t>dans le Système général harmonisé</w:t>
      </w:r>
    </w:p>
    <w:tbl>
      <w:tblPr>
        <w:tblStyle w:val="Grilledutableau"/>
        <w:tblW w:w="7376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3969"/>
      </w:tblGrid>
      <w:tr w:rsidR="00354FAD" w:rsidRPr="00A56D4D" w:rsidDel="005F71B2" w14:paraId="3ECC5B19" w14:textId="77777777" w:rsidTr="00E77E1B">
        <w:tc>
          <w:tcPr>
            <w:tcW w:w="3407" w:type="dxa"/>
          </w:tcPr>
          <w:p w14:paraId="6C151E19" w14:textId="77777777" w:rsidR="00354FAD" w:rsidRPr="00A56D4D" w:rsidRDefault="00354FAD" w:rsidP="00B06B76">
            <w:pPr>
              <w:spacing w:after="120"/>
              <w:rPr>
                <w:lang w:val="en-US"/>
              </w:rPr>
            </w:pPr>
            <w:r w:rsidRPr="00A56D4D">
              <w:rPr>
                <w:lang w:val="en-US"/>
              </w:rPr>
              <w:t>ST/SG/AC.10/C.4/2024/20 (OCDE)</w:t>
            </w:r>
          </w:p>
        </w:tc>
        <w:tc>
          <w:tcPr>
            <w:tcW w:w="3969" w:type="dxa"/>
          </w:tcPr>
          <w:p w14:paraId="01308E36" w14:textId="77777777" w:rsidR="00354FAD" w:rsidRPr="00A56D4D" w:rsidRDefault="00354FAD" w:rsidP="00B06B76">
            <w:pPr>
              <w:spacing w:after="120"/>
              <w:rPr>
                <w:lang w:val="fr-FR"/>
              </w:rPr>
            </w:pPr>
            <w:r w:rsidRPr="00A56D4D">
              <w:rPr>
                <w:lang w:val="fr-FR"/>
              </w:rPr>
              <w:t>Rapport du groupe spécial de l’OCDE sur les classes de danger potentiel pour les perturbateurs endocriniens dans le Système général harmonisé</w:t>
            </w:r>
          </w:p>
        </w:tc>
      </w:tr>
    </w:tbl>
    <w:p w14:paraId="40CFB1BD" w14:textId="77777777" w:rsidR="00354FAD" w:rsidRPr="00A56D4D" w:rsidRDefault="00354FAD" w:rsidP="00354FAD">
      <w:pPr>
        <w:pStyle w:val="H1G"/>
        <w:rPr>
          <w:lang w:val="fr-FR"/>
        </w:rPr>
      </w:pPr>
      <w:r w:rsidRPr="00A56D4D">
        <w:rPr>
          <w:lang w:val="fr-FR"/>
        </w:rPr>
        <w:tab/>
        <w:t>g)</w:t>
      </w:r>
      <w:r w:rsidRPr="00A56D4D">
        <w:rPr>
          <w:lang w:val="fr-FR"/>
        </w:rPr>
        <w:tab/>
        <w:t xml:space="preserve">Questions pratiques relatives au classement (amendements proposés </w:t>
      </w:r>
      <w:r w:rsidRPr="00A56D4D">
        <w:rPr>
          <w:lang w:val="fr-FR"/>
        </w:rPr>
        <w:br/>
        <w:t>au Système général harmonisé)</w:t>
      </w:r>
    </w:p>
    <w:tbl>
      <w:tblPr>
        <w:tblStyle w:val="Grilledutableau"/>
        <w:tblW w:w="7376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969"/>
      </w:tblGrid>
      <w:tr w:rsidR="00354FAD" w:rsidRPr="00040E70" w:rsidDel="005F71B2" w14:paraId="6512371E" w14:textId="77777777" w:rsidTr="00E77E1B">
        <w:tc>
          <w:tcPr>
            <w:tcW w:w="3407" w:type="dxa"/>
          </w:tcPr>
          <w:p w14:paraId="7AE274ED" w14:textId="0E0D380D" w:rsidR="00354FAD" w:rsidRPr="00A56D4D" w:rsidRDefault="00354FAD" w:rsidP="00B06B76">
            <w:pPr>
              <w:spacing w:after="120"/>
              <w:rPr>
                <w:lang w:val="fr-FR"/>
              </w:rPr>
            </w:pPr>
            <w:r w:rsidRPr="00A56D4D">
              <w:rPr>
                <w:lang w:val="fr-FR"/>
              </w:rPr>
              <w:t xml:space="preserve">ST/SG/AC.10/C.4/2024/18 </w:t>
            </w:r>
            <w:r w:rsidR="00B06B76" w:rsidRPr="00A56D4D">
              <w:rPr>
                <w:lang w:val="fr-FR"/>
              </w:rPr>
              <w:br/>
            </w:r>
            <w:r w:rsidRPr="00A56D4D">
              <w:rPr>
                <w:lang w:val="fr-FR"/>
              </w:rPr>
              <w:t>(États-Unis d’Amérique)</w:t>
            </w:r>
          </w:p>
        </w:tc>
        <w:tc>
          <w:tcPr>
            <w:tcW w:w="3969" w:type="dxa"/>
          </w:tcPr>
          <w:p w14:paraId="5CAC9D0F" w14:textId="77777777" w:rsidR="00354FAD" w:rsidRPr="00040E70" w:rsidRDefault="00354FAD" w:rsidP="00B06B76">
            <w:pPr>
              <w:spacing w:after="120"/>
              <w:rPr>
                <w:lang w:val="fr-FR"/>
              </w:rPr>
            </w:pPr>
            <w:r w:rsidRPr="00A56D4D">
              <w:rPr>
                <w:lang w:val="fr-FR"/>
              </w:rPr>
              <w:t>Proposition visant à traiter des asphyxiants simples dans l’annexe 11</w:t>
            </w:r>
          </w:p>
        </w:tc>
      </w:tr>
    </w:tbl>
    <w:p w14:paraId="5C0F1894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h)</w:t>
      </w:r>
      <w:r w:rsidRPr="00040E70">
        <w:rPr>
          <w:lang w:val="fr-FR"/>
        </w:rPr>
        <w:tab/>
        <w:t>Nanomatériaux</w:t>
      </w:r>
    </w:p>
    <w:p w14:paraId="4A2ECF6A" w14:textId="77777777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Aucun document n’avait été soumis au titre de ce point de l’ordre du jour au moment de la rédaction du présent document.</w:t>
      </w:r>
    </w:p>
    <w:p w14:paraId="00D7F3B2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lastRenderedPageBreak/>
        <w:tab/>
        <w:t>i)</w:t>
      </w:r>
      <w:r w:rsidRPr="00040E70">
        <w:rPr>
          <w:lang w:val="fr-FR"/>
        </w:rPr>
        <w:tab/>
        <w:t>Dangers pour le système atmosphérique</w:t>
      </w:r>
    </w:p>
    <w:p w14:paraId="77ACB380" w14:textId="4BD77E6D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L’expert de l’Union européenne souhaitera peut-être informer le Sous-Comité de l’avancement des travaux sur cette question depuis la quarante</w:t>
      </w:r>
      <w:r w:rsidRPr="00040E70">
        <w:rPr>
          <w:lang w:val="fr-FR"/>
        </w:rPr>
        <w:noBreakHyphen/>
        <w:t>cinquième session. Pour en savoir plus, voir le document ST/SG/AC.10/C.4/90, par</w:t>
      </w:r>
      <w:r w:rsidR="00B06B76" w:rsidRPr="00040E70">
        <w:rPr>
          <w:lang w:val="fr-FR"/>
        </w:rPr>
        <w:t>. </w:t>
      </w:r>
      <w:r w:rsidRPr="00040E70">
        <w:rPr>
          <w:lang w:val="fr-FR"/>
        </w:rPr>
        <w:t>23 à 25.</w:t>
      </w:r>
    </w:p>
    <w:p w14:paraId="376F2C6A" w14:textId="77777777" w:rsidR="00354FAD" w:rsidRPr="00040E70" w:rsidRDefault="00354FAD" w:rsidP="00B06B76">
      <w:pPr>
        <w:pStyle w:val="H1G"/>
        <w:rPr>
          <w:lang w:val="fr-FR"/>
        </w:rPr>
      </w:pPr>
      <w:r w:rsidRPr="00040E70">
        <w:rPr>
          <w:lang w:val="fr-FR"/>
        </w:rPr>
        <w:tab/>
        <w:t>j)</w:t>
      </w:r>
      <w:r w:rsidRPr="00040E70">
        <w:rPr>
          <w:lang w:val="fr-FR"/>
        </w:rPr>
        <w:tab/>
        <w:t xml:space="preserve">Amélioration des annexes 1 à 3 et poursuite de la rationalisation </w:t>
      </w:r>
      <w:r w:rsidRPr="00040E70">
        <w:rPr>
          <w:lang w:val="fr-FR"/>
        </w:rPr>
        <w:br/>
        <w:t>des conseils de prudence</w:t>
      </w:r>
    </w:p>
    <w:p w14:paraId="3F07A7B7" w14:textId="77E175E0" w:rsidR="00354FAD" w:rsidRPr="00040E70" w:rsidRDefault="00354FAD" w:rsidP="00B06B76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L’expert du Royaume-Uni souhaitera peut-être informer le Sous-Comité de l’avancement des travaux du groupe de travail informel sur cette question depuis la quarante</w:t>
      </w:r>
      <w:r w:rsidR="00B06B76" w:rsidRPr="00040E70">
        <w:rPr>
          <w:lang w:val="fr-FR"/>
        </w:rPr>
        <w:noBreakHyphen/>
      </w:r>
      <w:r w:rsidRPr="00040E70">
        <w:rPr>
          <w:lang w:val="fr-FR"/>
        </w:rPr>
        <w:t>sixième session. Pour en savoir plus, voir le document ST/SG/AC.10/C.4/92, par</w:t>
      </w:r>
      <w:r w:rsidR="00B06B76" w:rsidRPr="00040E70">
        <w:rPr>
          <w:lang w:val="fr-FR"/>
        </w:rPr>
        <w:t>. </w:t>
      </w:r>
      <w:r w:rsidRPr="00040E70">
        <w:rPr>
          <w:lang w:val="fr-FR"/>
        </w:rPr>
        <w:t>33.</w:t>
      </w:r>
    </w:p>
    <w:p w14:paraId="23B9DCB7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k)</w:t>
      </w:r>
      <w:r w:rsidRPr="00040E70">
        <w:rPr>
          <w:lang w:val="fr-FR"/>
        </w:rPr>
        <w:tab/>
        <w:t>Autres questions</w:t>
      </w:r>
    </w:p>
    <w:tbl>
      <w:tblPr>
        <w:tblStyle w:val="Grilledutableau"/>
        <w:tblW w:w="7371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3964"/>
      </w:tblGrid>
      <w:tr w:rsidR="00354FAD" w:rsidRPr="00040E70" w:rsidDel="005F71B2" w14:paraId="00F2DA72" w14:textId="77777777" w:rsidTr="00B06B76">
        <w:tc>
          <w:tcPr>
            <w:tcW w:w="3407" w:type="dxa"/>
          </w:tcPr>
          <w:p w14:paraId="2C552C07" w14:textId="21D2D2A0" w:rsidR="00354FAD" w:rsidRPr="00040E70" w:rsidRDefault="00354FAD" w:rsidP="00B06B76">
            <w:pPr>
              <w:spacing w:after="120"/>
              <w:ind w:right="113"/>
              <w:rPr>
                <w:lang w:val="fr-FR"/>
              </w:rPr>
            </w:pPr>
            <w:r w:rsidRPr="00040E70">
              <w:rPr>
                <w:lang w:val="fr-FR"/>
              </w:rPr>
              <w:t xml:space="preserve">ST/SG/AC.10/C.4/2024/17 </w:t>
            </w:r>
            <w:r w:rsidR="00B06B76" w:rsidRPr="00040E70">
              <w:rPr>
                <w:lang w:val="fr-FR"/>
              </w:rPr>
              <w:br/>
            </w:r>
            <w:r w:rsidRPr="00040E70">
              <w:rPr>
                <w:lang w:val="fr-FR"/>
              </w:rPr>
              <w:t>(États-Unis d’Amérique)</w:t>
            </w:r>
            <w:r w:rsidRPr="00040E70">
              <w:rPr>
                <w:i/>
                <w:iCs/>
                <w:lang w:val="fr-FR"/>
              </w:rPr>
              <w:t xml:space="preserve"> (</w:t>
            </w:r>
            <w:r w:rsidRPr="00A56D4D">
              <w:rPr>
                <w:i/>
                <w:iCs/>
                <w:lang w:val="fr-FR"/>
              </w:rPr>
              <w:t xml:space="preserve">ST/SG/AC.10/C.3/2024/111) </w:t>
            </w:r>
            <w:r w:rsidRPr="00A56D4D">
              <w:rPr>
                <w:i/>
                <w:iCs/>
                <w:lang w:val="fr-FR"/>
              </w:rPr>
              <w:br/>
            </w:r>
            <w:r w:rsidR="00987601" w:rsidRPr="00A56D4D">
              <w:rPr>
                <w:lang w:val="fr-FR"/>
              </w:rPr>
              <w:t>et</w:t>
            </w:r>
            <w:r w:rsidRPr="00A56D4D">
              <w:rPr>
                <w:lang w:val="fr-FR"/>
              </w:rPr>
              <w:t xml:space="preserve"> do</w:t>
            </w:r>
            <w:r w:rsidRPr="00040E70">
              <w:rPr>
                <w:lang w:val="fr-FR"/>
              </w:rPr>
              <w:t xml:space="preserve">cument informel INF.3 </w:t>
            </w:r>
            <w:r w:rsidRPr="00040E70">
              <w:rPr>
                <w:lang w:val="fr-FR"/>
              </w:rPr>
              <w:br/>
            </w:r>
            <w:r w:rsidRPr="00040E70">
              <w:rPr>
                <w:i/>
                <w:iCs/>
                <w:lang w:val="fr-FR"/>
              </w:rPr>
              <w:t>(TDG, INF.4) (</w:t>
            </w:r>
            <w:r w:rsidRPr="00040E70">
              <w:rPr>
                <w:lang w:val="fr-FR"/>
              </w:rPr>
              <w:t>États-Unis d’Amérique</w:t>
            </w:r>
            <w:r w:rsidRPr="00040E70">
              <w:rPr>
                <w:i/>
                <w:iCs/>
                <w:lang w:val="fr-FR"/>
              </w:rPr>
              <w:t>)</w:t>
            </w:r>
          </w:p>
        </w:tc>
        <w:tc>
          <w:tcPr>
            <w:tcW w:w="3964" w:type="dxa"/>
          </w:tcPr>
          <w:p w14:paraId="5A86D053" w14:textId="77777777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lang w:val="fr-FR"/>
              </w:rPr>
              <w:t>Proposition visant à préciser les critères de la catégorie 3 d’aérosols</w:t>
            </w:r>
          </w:p>
        </w:tc>
      </w:tr>
      <w:tr w:rsidR="00354FAD" w:rsidRPr="00040E70" w:rsidDel="005F71B2" w14:paraId="3D5DDA64" w14:textId="77777777" w:rsidTr="00B06B76">
        <w:tc>
          <w:tcPr>
            <w:tcW w:w="3407" w:type="dxa"/>
          </w:tcPr>
          <w:p w14:paraId="7FB2F62A" w14:textId="77777777" w:rsidR="00354FAD" w:rsidRPr="00A56D4D" w:rsidRDefault="00354FAD" w:rsidP="00B06B76">
            <w:pPr>
              <w:spacing w:after="120"/>
              <w:ind w:right="113"/>
              <w:rPr>
                <w:lang w:val="en-US"/>
              </w:rPr>
            </w:pPr>
            <w:r w:rsidRPr="00A56D4D">
              <w:rPr>
                <w:lang w:val="en-US"/>
              </w:rPr>
              <w:t>ST/SG/AC.10/C.4/2024/19 (UNITAR)</w:t>
            </w:r>
          </w:p>
        </w:tc>
        <w:tc>
          <w:tcPr>
            <w:tcW w:w="3964" w:type="dxa"/>
          </w:tcPr>
          <w:p w14:paraId="0F9AB6A7" w14:textId="77777777" w:rsidR="00354FAD" w:rsidRPr="00040E70" w:rsidRDefault="00354FAD" w:rsidP="00092A1C">
            <w:pPr>
              <w:spacing w:after="120"/>
              <w:rPr>
                <w:lang w:val="fr-FR"/>
              </w:rPr>
            </w:pPr>
            <w:r w:rsidRPr="00040E70">
              <w:rPr>
                <w:lang w:val="fr-FR"/>
              </w:rPr>
              <w:t>Proposition visant à modifier le 4.1.3.6</w:t>
            </w:r>
          </w:p>
        </w:tc>
      </w:tr>
    </w:tbl>
    <w:p w14:paraId="5490113C" w14:textId="77777777" w:rsidR="00354FAD" w:rsidRPr="00040E70" w:rsidRDefault="00354FAD" w:rsidP="00354FAD">
      <w:pPr>
        <w:pStyle w:val="HChG"/>
        <w:rPr>
          <w:lang w:val="fr-FR"/>
        </w:rPr>
      </w:pPr>
      <w:r w:rsidRPr="00040E70">
        <w:rPr>
          <w:lang w:val="fr-FR"/>
        </w:rPr>
        <w:tab/>
        <w:t>3.</w:t>
      </w:r>
      <w:r w:rsidRPr="00040E70">
        <w:rPr>
          <w:lang w:val="fr-FR"/>
        </w:rPr>
        <w:tab/>
        <w:t>Application</w:t>
      </w:r>
    </w:p>
    <w:p w14:paraId="35F1FBA5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a)</w:t>
      </w:r>
      <w:r w:rsidRPr="00040E70">
        <w:rPr>
          <w:lang w:val="fr-FR"/>
        </w:rPr>
        <w:tab/>
        <w:t xml:space="preserve">Élaboration éventuelle d’une liste des produits chimiques </w:t>
      </w:r>
      <w:r w:rsidRPr="00040E70">
        <w:rPr>
          <w:lang w:val="fr-FR"/>
        </w:rPr>
        <w:br/>
        <w:t>classés conformément au Système général harmonisé</w:t>
      </w:r>
    </w:p>
    <w:p w14:paraId="1F4FC268" w14:textId="6F73AF07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Les experts du Canada et des États-Unis d’Amérique souhaiteront peut-être informer le Sous-Comité de l’avancement des travaux sur cette question depuis la quarante-cinquième session. Pour en savoir plus, voir le document ST/SG/AC.10/C.4/90, par</w:t>
      </w:r>
      <w:r w:rsidR="00B06B76" w:rsidRPr="00040E70">
        <w:rPr>
          <w:lang w:val="fr-FR"/>
        </w:rPr>
        <w:t>. </w:t>
      </w:r>
      <w:r w:rsidRPr="00040E70">
        <w:rPr>
          <w:lang w:val="fr-FR"/>
        </w:rPr>
        <w:t>35.</w:t>
      </w:r>
    </w:p>
    <w:p w14:paraId="51E1E4F9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b)</w:t>
      </w:r>
      <w:r w:rsidRPr="00040E70">
        <w:rPr>
          <w:lang w:val="fr-FR"/>
        </w:rPr>
        <w:tab/>
        <w:t xml:space="preserve">Rapports relatifs au stade atteint dans l’application du Système </w:t>
      </w:r>
      <w:r w:rsidRPr="00040E70">
        <w:rPr>
          <w:lang w:val="fr-FR"/>
        </w:rPr>
        <w:br/>
        <w:t>général harmonisé</w:t>
      </w:r>
    </w:p>
    <w:p w14:paraId="621A1273" w14:textId="77777777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Les experts, observateurs et organisations internationales souhaiteront peut-être informer le Sous-Comité du stade atteint dans l’application du SGH dans leurs pays ou domaines d’activités respectifs.</w:t>
      </w:r>
    </w:p>
    <w:p w14:paraId="1D42B87F" w14:textId="77777777" w:rsidR="00354FAD" w:rsidRPr="00040E70" w:rsidRDefault="00354FAD" w:rsidP="00B06B76">
      <w:pPr>
        <w:pStyle w:val="H1G"/>
        <w:rPr>
          <w:lang w:val="fr-FR"/>
        </w:rPr>
      </w:pPr>
      <w:r w:rsidRPr="00040E70">
        <w:rPr>
          <w:lang w:val="fr-FR"/>
        </w:rPr>
        <w:tab/>
        <w:t>c)</w:t>
      </w:r>
      <w:r w:rsidRPr="00040E70">
        <w:rPr>
          <w:lang w:val="fr-FR"/>
        </w:rPr>
        <w:tab/>
        <w:t>Coopération avec d’autres entités ou organisations internationales</w:t>
      </w:r>
    </w:p>
    <w:p w14:paraId="23AC9723" w14:textId="77777777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Aucun document n’avait été soumis au titre de ce point de l’ordre du jour au moment de la rédaction du présent document.</w:t>
      </w:r>
    </w:p>
    <w:p w14:paraId="2F2ED9A1" w14:textId="77777777" w:rsidR="00354FAD" w:rsidRPr="00040E70" w:rsidRDefault="00354FAD" w:rsidP="00354FAD">
      <w:pPr>
        <w:pStyle w:val="H1G"/>
        <w:rPr>
          <w:lang w:val="fr-FR"/>
        </w:rPr>
      </w:pPr>
      <w:r w:rsidRPr="00040E70">
        <w:rPr>
          <w:lang w:val="fr-FR"/>
        </w:rPr>
        <w:tab/>
        <w:t>d)</w:t>
      </w:r>
      <w:r w:rsidRPr="00040E70">
        <w:rPr>
          <w:lang w:val="fr-FR"/>
        </w:rPr>
        <w:tab/>
        <w:t>Autres questions</w:t>
      </w:r>
    </w:p>
    <w:p w14:paraId="335FCD01" w14:textId="77777777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Aucun document n’avait été soumis au titre de ce point de l’ordre du jour au moment de la rédaction du présent document.</w:t>
      </w:r>
    </w:p>
    <w:p w14:paraId="7D487F31" w14:textId="77777777" w:rsidR="00354FAD" w:rsidRPr="00040E70" w:rsidRDefault="00354FAD" w:rsidP="00354FAD">
      <w:pPr>
        <w:pStyle w:val="HChG"/>
        <w:rPr>
          <w:lang w:val="fr-FR"/>
        </w:rPr>
      </w:pPr>
      <w:r w:rsidRPr="00040E70">
        <w:rPr>
          <w:lang w:val="fr-FR"/>
        </w:rPr>
        <w:lastRenderedPageBreak/>
        <w:tab/>
        <w:t>4.</w:t>
      </w:r>
      <w:r w:rsidRPr="00040E70">
        <w:rPr>
          <w:lang w:val="fr-FR"/>
        </w:rPr>
        <w:tab/>
        <w:t xml:space="preserve">Élaboration de lignes directrices pour l’application </w:t>
      </w:r>
      <w:r w:rsidRPr="00040E70">
        <w:rPr>
          <w:lang w:val="fr-FR"/>
        </w:rPr>
        <w:br/>
        <w:t>du Système général harmonisé</w:t>
      </w:r>
    </w:p>
    <w:p w14:paraId="61448737" w14:textId="77777777" w:rsidR="00354FAD" w:rsidRPr="00040E70" w:rsidRDefault="00354FAD" w:rsidP="00B06B76">
      <w:pPr>
        <w:pStyle w:val="H1G"/>
        <w:rPr>
          <w:lang w:val="fr-FR"/>
        </w:rPr>
      </w:pPr>
      <w:r w:rsidRPr="00040E70">
        <w:rPr>
          <w:lang w:val="fr-FR"/>
        </w:rPr>
        <w:tab/>
        <w:t>a)</w:t>
      </w:r>
      <w:r w:rsidRPr="00040E70">
        <w:rPr>
          <w:lang w:val="fr-FR"/>
        </w:rPr>
        <w:tab/>
        <w:t>Questions pratiques relatives au classement</w:t>
      </w:r>
    </w:p>
    <w:p w14:paraId="1D04321B" w14:textId="77777777" w:rsidR="00354FAD" w:rsidRPr="00040E70" w:rsidRDefault="00354FAD" w:rsidP="00B06B76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Le Sous-Comité examinera une proposition du groupe de travail informel des questions pratiques de classement visant à traiter des asphyxiants simples dans le SGH au titre du point 2 g) de l’ordre du jour. Le représentant des États-Unis d’Amérique souhaitera peut-être informer le Sous-Comité des activités relatives à l’élaboration de lignes directrices éventuellement menées ou prévues par le groupe de travail informel.</w:t>
      </w:r>
    </w:p>
    <w:p w14:paraId="45030994" w14:textId="77777777" w:rsidR="00354FAD" w:rsidRPr="00040E70" w:rsidRDefault="00354FAD" w:rsidP="00B06B76">
      <w:pPr>
        <w:pStyle w:val="H1G"/>
        <w:rPr>
          <w:lang w:val="fr-FR"/>
        </w:rPr>
      </w:pPr>
      <w:r w:rsidRPr="00040E70">
        <w:rPr>
          <w:lang w:val="fr-FR"/>
        </w:rPr>
        <w:tab/>
        <w:t>b)</w:t>
      </w:r>
      <w:r w:rsidRPr="00040E70">
        <w:rPr>
          <w:lang w:val="fr-FR"/>
        </w:rPr>
        <w:tab/>
        <w:t>Questions pratiques relatives à l’étiquetage</w:t>
      </w:r>
    </w:p>
    <w:p w14:paraId="20934F74" w14:textId="5595B55B" w:rsidR="00354FAD" w:rsidRPr="00040E70" w:rsidRDefault="00354FAD" w:rsidP="00354FAD">
      <w:pPr>
        <w:pStyle w:val="SingleTxtG"/>
        <w:ind w:firstLine="567"/>
        <w:rPr>
          <w:b/>
          <w:sz w:val="24"/>
          <w:lang w:val="fr-FR"/>
        </w:rPr>
      </w:pPr>
      <w:r w:rsidRPr="00040E70">
        <w:rPr>
          <w:lang w:val="fr-FR"/>
        </w:rPr>
        <w:t xml:space="preserve">L’expert du </w:t>
      </w:r>
      <w:proofErr w:type="spellStart"/>
      <w:r w:rsidRPr="00A56D4D">
        <w:t>European</w:t>
      </w:r>
      <w:proofErr w:type="spellEnd"/>
      <w:r w:rsidRPr="00A56D4D">
        <w:t xml:space="preserve"> Chemical </w:t>
      </w:r>
      <w:proofErr w:type="spellStart"/>
      <w:r w:rsidRPr="00A56D4D">
        <w:t>Industry</w:t>
      </w:r>
      <w:proofErr w:type="spellEnd"/>
      <w:r w:rsidRPr="00A56D4D">
        <w:t xml:space="preserve"> Council</w:t>
      </w:r>
      <w:r w:rsidRPr="00040E70">
        <w:rPr>
          <w:lang w:val="fr-FR"/>
        </w:rPr>
        <w:t xml:space="preserve"> (</w:t>
      </w:r>
      <w:proofErr w:type="spellStart"/>
      <w:r w:rsidRPr="00A56D4D">
        <w:t>Cefic</w:t>
      </w:r>
      <w:proofErr w:type="spellEnd"/>
      <w:r w:rsidRPr="00040E70">
        <w:rPr>
          <w:lang w:val="fr-FR"/>
        </w:rPr>
        <w:t>) souhaitera peut-être informer le Sous-Comité de l’état d’avancement des travaux du groupe de travail informel sur cette question. Pour en savoir plus, voir le document ST/SG/AC.10/C.4/90, par</w:t>
      </w:r>
      <w:r w:rsidR="00FB18C0">
        <w:rPr>
          <w:lang w:val="fr-FR"/>
        </w:rPr>
        <w:t>. </w:t>
      </w:r>
      <w:r w:rsidRPr="00040E70">
        <w:rPr>
          <w:lang w:val="fr-FR"/>
        </w:rPr>
        <w:t>42 et 43.</w:t>
      </w:r>
    </w:p>
    <w:p w14:paraId="4E5BE311" w14:textId="77777777" w:rsidR="00354FAD" w:rsidRPr="00040E70" w:rsidRDefault="00354FAD" w:rsidP="00B06B76">
      <w:pPr>
        <w:pStyle w:val="H1G"/>
        <w:rPr>
          <w:lang w:val="fr-FR"/>
        </w:rPr>
      </w:pPr>
      <w:r w:rsidRPr="00040E70">
        <w:rPr>
          <w:lang w:val="fr-FR"/>
        </w:rPr>
        <w:tab/>
        <w:t>c)</w:t>
      </w:r>
      <w:r w:rsidRPr="00040E70">
        <w:rPr>
          <w:lang w:val="fr-FR"/>
        </w:rPr>
        <w:tab/>
        <w:t>Autres questions</w:t>
      </w:r>
    </w:p>
    <w:p w14:paraId="3622D96B" w14:textId="77777777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Aucun document n’avait été soumis au titre de ce point de l’ordre du jour au moment de la rédaction du présent document.</w:t>
      </w:r>
    </w:p>
    <w:p w14:paraId="71FBBA54" w14:textId="77777777" w:rsidR="00354FAD" w:rsidRPr="00040E70" w:rsidRDefault="00354FAD" w:rsidP="00354FAD">
      <w:pPr>
        <w:pStyle w:val="HChG"/>
        <w:rPr>
          <w:lang w:val="fr-FR"/>
        </w:rPr>
      </w:pPr>
      <w:r w:rsidRPr="00040E70">
        <w:rPr>
          <w:lang w:val="fr-FR"/>
        </w:rPr>
        <w:tab/>
        <w:t>5.</w:t>
      </w:r>
      <w:r w:rsidRPr="00040E70">
        <w:rPr>
          <w:lang w:val="fr-FR"/>
        </w:rPr>
        <w:tab/>
        <w:t>Programme de travail pour 2025-2026</w:t>
      </w:r>
    </w:p>
    <w:p w14:paraId="61282E43" w14:textId="780F9BD7" w:rsidR="00354FAD" w:rsidRPr="00040E70" w:rsidRDefault="00354FAD" w:rsidP="00B06B76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Le Sous-Comité fera le point sur l’état d’avancement des activités inscrites dans son programme de travail pour 2023-2024 (voir ST/SG/AC.10/C.4/86, annexe III)</w:t>
      </w:r>
      <w:r w:rsidRPr="00040E70">
        <w:rPr>
          <w:rStyle w:val="Appelnotedebasdep"/>
          <w:lang w:val="fr-FR"/>
        </w:rPr>
        <w:footnoteReference w:id="3"/>
      </w:r>
      <w:r w:rsidRPr="00040E70">
        <w:rPr>
          <w:lang w:val="fr-FR"/>
        </w:rPr>
        <w:t xml:space="preserve"> et examinera des propositions pour la période</w:t>
      </w:r>
      <w:r w:rsidR="00B06B76" w:rsidRPr="00040E70">
        <w:rPr>
          <w:lang w:val="fr-FR"/>
        </w:rPr>
        <w:t xml:space="preserve"> </w:t>
      </w:r>
      <w:r w:rsidRPr="00040E70">
        <w:rPr>
          <w:lang w:val="fr-FR"/>
        </w:rPr>
        <w:t>2025-2026.</w:t>
      </w:r>
    </w:p>
    <w:p w14:paraId="5D83A305" w14:textId="77777777" w:rsidR="00354FAD" w:rsidRPr="00040E70" w:rsidRDefault="00354FAD" w:rsidP="00354FAD">
      <w:pPr>
        <w:pStyle w:val="HChG"/>
        <w:rPr>
          <w:lang w:val="fr-FR"/>
        </w:rPr>
      </w:pPr>
      <w:r w:rsidRPr="00040E70">
        <w:rPr>
          <w:lang w:val="fr-FR"/>
        </w:rPr>
        <w:tab/>
        <w:t>6.</w:t>
      </w:r>
      <w:r w:rsidRPr="00040E70">
        <w:rPr>
          <w:lang w:val="fr-FR"/>
        </w:rPr>
        <w:tab/>
        <w:t>Renforcement des capacités</w:t>
      </w:r>
    </w:p>
    <w:p w14:paraId="1E11D920" w14:textId="77777777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Les experts, les observateurs et les organisations internationales souhaiteront peut</w:t>
      </w:r>
      <w:r w:rsidRPr="00040E70">
        <w:rPr>
          <w:lang w:val="fr-FR"/>
        </w:rPr>
        <w:noBreakHyphen/>
        <w:t>être informer le Sous-Comité des projets et activités de renforcement des capacités éventuellement menés en lien avec le SGH.</w:t>
      </w:r>
    </w:p>
    <w:p w14:paraId="2DC36017" w14:textId="09BB4B54" w:rsidR="00354FAD" w:rsidRPr="00040E70" w:rsidRDefault="00354FAD" w:rsidP="00354FAD">
      <w:pPr>
        <w:pStyle w:val="HChG"/>
        <w:rPr>
          <w:lang w:val="fr-FR"/>
        </w:rPr>
      </w:pPr>
      <w:r w:rsidRPr="00040E70">
        <w:rPr>
          <w:lang w:val="fr-FR"/>
        </w:rPr>
        <w:tab/>
        <w:t>7.</w:t>
      </w:r>
      <w:r w:rsidRPr="00040E70">
        <w:rPr>
          <w:lang w:val="fr-FR"/>
        </w:rPr>
        <w:tab/>
        <w:t>Mise en œuvre du Programme 2030, projet de résolution</w:t>
      </w:r>
      <w:r w:rsidR="00B06B76" w:rsidRPr="00040E70">
        <w:rPr>
          <w:lang w:val="fr-FR"/>
        </w:rPr>
        <w:t xml:space="preserve"> </w:t>
      </w:r>
      <w:r w:rsidRPr="00040E70">
        <w:rPr>
          <w:lang w:val="fr-FR"/>
        </w:rPr>
        <w:t>2025/… et travaux du Conseil économique et social</w:t>
      </w:r>
    </w:p>
    <w:p w14:paraId="3B4A266D" w14:textId="5AA48513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Comme suite à l’examen des organes subsidiaires du Conseil économique et social effectué en 2022 et à la demande formulée par ce dernier, qui souhaitait que les organes harmonisent davantage leurs travaux pour faciliter l’exécution du Programme</w:t>
      </w:r>
      <w:r w:rsidR="00B06B76" w:rsidRPr="00040E70">
        <w:rPr>
          <w:lang w:val="fr-FR"/>
        </w:rPr>
        <w:t xml:space="preserve"> </w:t>
      </w:r>
      <w:r w:rsidRPr="00040E70">
        <w:rPr>
          <w:lang w:val="fr-FR"/>
        </w:rPr>
        <w:t>2030, le Sous</w:t>
      </w:r>
      <w:r w:rsidR="00B06B76" w:rsidRPr="00040E70">
        <w:rPr>
          <w:lang w:val="fr-FR"/>
        </w:rPr>
        <w:noBreakHyphen/>
      </w:r>
      <w:r w:rsidRPr="00040E70">
        <w:rPr>
          <w:lang w:val="fr-FR"/>
        </w:rPr>
        <w:t>Comité sera</w:t>
      </w:r>
      <w:r w:rsidR="001853F4" w:rsidRPr="00040E70">
        <w:rPr>
          <w:lang w:val="fr-FR"/>
        </w:rPr>
        <w:t> :</w:t>
      </w:r>
    </w:p>
    <w:p w14:paraId="26B0F5CC" w14:textId="32474AF3" w:rsidR="00354FAD" w:rsidRPr="00040E70" w:rsidRDefault="00354FAD" w:rsidP="00354FAD">
      <w:pPr>
        <w:pStyle w:val="Bullet1G"/>
        <w:numPr>
          <w:ilvl w:val="0"/>
          <w:numId w:val="1"/>
        </w:numPr>
        <w:suppressAutoHyphens w:val="0"/>
        <w:kinsoku/>
        <w:overflowPunct/>
        <w:autoSpaceDE/>
        <w:autoSpaceDN/>
        <w:adjustRightInd/>
        <w:snapToGrid/>
        <w:rPr>
          <w:lang w:val="fr-FR"/>
        </w:rPr>
      </w:pPr>
      <w:r w:rsidRPr="00040E70">
        <w:rPr>
          <w:lang w:val="fr-FR"/>
        </w:rPr>
        <w:t>Informé des résultats du débat du Conseil économique et social consacré aux questions de coordination, tenu en 2024</w:t>
      </w:r>
      <w:r w:rsidR="001853F4" w:rsidRPr="00040E70">
        <w:rPr>
          <w:lang w:val="fr-FR"/>
        </w:rPr>
        <w:t> ;</w:t>
      </w:r>
    </w:p>
    <w:p w14:paraId="6DD2508C" w14:textId="232484FD" w:rsidR="00354FAD" w:rsidRPr="00040E70" w:rsidRDefault="00354FAD" w:rsidP="00354FAD">
      <w:pPr>
        <w:pStyle w:val="Bullet1G"/>
        <w:numPr>
          <w:ilvl w:val="0"/>
          <w:numId w:val="1"/>
        </w:numPr>
        <w:suppressAutoHyphens w:val="0"/>
        <w:kinsoku/>
        <w:overflowPunct/>
        <w:autoSpaceDE/>
        <w:autoSpaceDN/>
        <w:adjustRightInd/>
        <w:snapToGrid/>
        <w:rPr>
          <w:lang w:val="fr-FR"/>
        </w:rPr>
      </w:pPr>
      <w:r w:rsidRPr="00040E70">
        <w:rPr>
          <w:lang w:val="fr-FR"/>
        </w:rPr>
        <w:t>Invité à examiner un projet de texte élaboré par le secrétariat résumant les travaux menés par le Sous-Comité pendant la période 2023-2024 pour faciliter l’exécution du Programme</w:t>
      </w:r>
      <w:r w:rsidR="00B06B76" w:rsidRPr="00040E70">
        <w:rPr>
          <w:lang w:val="fr-FR"/>
        </w:rPr>
        <w:t xml:space="preserve"> </w:t>
      </w:r>
      <w:r w:rsidRPr="00040E70">
        <w:rPr>
          <w:lang w:val="fr-FR"/>
        </w:rPr>
        <w:t>2030 et la réalisation des objectifs de développement durable.</w:t>
      </w:r>
    </w:p>
    <w:p w14:paraId="386908F7" w14:textId="64BBC18E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Le Sous-Comité souhaitera peut-être aussi examiner un projet de résolution, établi par le secrétariat, qui sera soumis au Conseil économique et social pour adoption à sa session de 2025 (débat consacré à la gestion, 10 et 11 juin</w:t>
      </w:r>
      <w:r w:rsidR="00F22903">
        <w:rPr>
          <w:lang w:val="fr-FR"/>
        </w:rPr>
        <w:t xml:space="preserve"> </w:t>
      </w:r>
      <w:r w:rsidRPr="00040E70">
        <w:rPr>
          <w:lang w:val="fr-FR"/>
        </w:rPr>
        <w:t>2025).</w:t>
      </w:r>
    </w:p>
    <w:p w14:paraId="3089BA2F" w14:textId="47103F5C" w:rsidR="00354FAD" w:rsidRPr="00040E70" w:rsidRDefault="00354FAD" w:rsidP="00B06B76">
      <w:pPr>
        <w:pStyle w:val="HChG"/>
        <w:rPr>
          <w:lang w:val="fr-FR"/>
        </w:rPr>
      </w:pPr>
      <w:r w:rsidRPr="00040E70">
        <w:rPr>
          <w:lang w:val="fr-FR"/>
        </w:rPr>
        <w:lastRenderedPageBreak/>
        <w:tab/>
        <w:t>8.</w:t>
      </w:r>
      <w:r w:rsidRPr="00040E70">
        <w:rPr>
          <w:lang w:val="fr-FR"/>
        </w:rPr>
        <w:tab/>
        <w:t xml:space="preserve">Élection des personnes qui assureront la présidence </w:t>
      </w:r>
      <w:r w:rsidR="00B06B76" w:rsidRPr="00040E70">
        <w:rPr>
          <w:lang w:val="fr-FR"/>
        </w:rPr>
        <w:br/>
      </w:r>
      <w:r w:rsidRPr="00040E70">
        <w:rPr>
          <w:lang w:val="fr-FR"/>
        </w:rPr>
        <w:t>et la vice-présidence pour 2025-2026</w:t>
      </w:r>
    </w:p>
    <w:p w14:paraId="2EB8575F" w14:textId="17AF9C6A" w:rsidR="00354FAD" w:rsidRPr="00040E70" w:rsidRDefault="00354FAD" w:rsidP="00B06B76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Conformément à l’usage, le Sous-Comité sera invité à élire les personnes qui assureront la présidence et la vice-présidence pour la période</w:t>
      </w:r>
      <w:r w:rsidR="00B06B76" w:rsidRPr="00040E70">
        <w:rPr>
          <w:lang w:val="fr-FR"/>
        </w:rPr>
        <w:t xml:space="preserve"> </w:t>
      </w:r>
      <w:r w:rsidRPr="00040E70">
        <w:rPr>
          <w:lang w:val="fr-FR"/>
        </w:rPr>
        <w:t>2025-2026 parmi les chefs de délégation de ses pays membres.</w:t>
      </w:r>
    </w:p>
    <w:p w14:paraId="70FC9720" w14:textId="77777777" w:rsidR="00354FAD" w:rsidRPr="00040E70" w:rsidRDefault="00354FAD" w:rsidP="00354FAD">
      <w:pPr>
        <w:pStyle w:val="HChG"/>
        <w:rPr>
          <w:lang w:val="fr-FR"/>
        </w:rPr>
      </w:pPr>
      <w:r w:rsidRPr="00040E70">
        <w:rPr>
          <w:lang w:val="fr-FR"/>
        </w:rPr>
        <w:tab/>
        <w:t>9.</w:t>
      </w:r>
      <w:r w:rsidRPr="00040E70">
        <w:rPr>
          <w:lang w:val="fr-FR"/>
        </w:rPr>
        <w:tab/>
        <w:t>Questions diverses</w:t>
      </w:r>
    </w:p>
    <w:p w14:paraId="253E88A2" w14:textId="2E9DECEC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 xml:space="preserve">Comme annoncé par la Présidente à la quarante-sixième session (voir </w:t>
      </w:r>
      <w:r w:rsidRPr="00040E70">
        <w:rPr>
          <w:color w:val="333333"/>
          <w:lang w:val="fr-FR"/>
        </w:rPr>
        <w:t>ST/SG/AC.10/C.4</w:t>
      </w:r>
      <w:r w:rsidRPr="00040E70">
        <w:rPr>
          <w:shd w:val="clear" w:color="auto" w:fill="FFFFFF"/>
          <w:lang w:val="fr-FR"/>
        </w:rPr>
        <w:t>/92</w:t>
      </w:r>
      <w:r w:rsidRPr="00040E70">
        <w:rPr>
          <w:lang w:val="fr-FR"/>
        </w:rPr>
        <w:t xml:space="preserve">, </w:t>
      </w:r>
      <w:r w:rsidR="001853F4" w:rsidRPr="00040E70">
        <w:rPr>
          <w:lang w:val="fr-FR"/>
        </w:rPr>
        <w:t>par. </w:t>
      </w:r>
      <w:r w:rsidRPr="00040E70">
        <w:rPr>
          <w:lang w:val="fr-FR"/>
        </w:rPr>
        <w:t>56), le Sous-Comité sera invité à réfléchir à des moyens d’encourager davantage les échanges de vues pendant les séances plénières et à réexaminer le rôle des groupes de travail informels.</w:t>
      </w:r>
    </w:p>
    <w:p w14:paraId="6B0C78CE" w14:textId="77777777" w:rsidR="00354FAD" w:rsidRPr="00040E70" w:rsidRDefault="00354FAD" w:rsidP="00354FAD">
      <w:pPr>
        <w:pStyle w:val="HChG"/>
        <w:rPr>
          <w:lang w:val="fr-FR"/>
        </w:rPr>
      </w:pPr>
      <w:r w:rsidRPr="00040E70">
        <w:rPr>
          <w:lang w:val="fr-FR"/>
        </w:rPr>
        <w:tab/>
        <w:t>10.</w:t>
      </w:r>
      <w:r w:rsidRPr="00040E70">
        <w:rPr>
          <w:lang w:val="fr-FR"/>
        </w:rPr>
        <w:tab/>
        <w:t>Adoption du rapport</w:t>
      </w:r>
    </w:p>
    <w:p w14:paraId="58835B63" w14:textId="28C3D6D0" w:rsidR="00354FAD" w:rsidRPr="00040E70" w:rsidRDefault="00354FAD" w:rsidP="00354FAD">
      <w:pPr>
        <w:pStyle w:val="SingleTxtG"/>
        <w:ind w:firstLine="567"/>
        <w:rPr>
          <w:lang w:val="fr-FR"/>
        </w:rPr>
      </w:pPr>
      <w:r w:rsidRPr="00040E70">
        <w:rPr>
          <w:lang w:val="fr-FR"/>
        </w:rPr>
        <w:t>Conformément à l’usage, le Sous-Comité souhaitera peut-être adopter le rapport sur sa quarante-septième session et son ou ses annexes sur la base d’un projet établi par le</w:t>
      </w:r>
      <w:r w:rsidR="00FB18C0">
        <w:rPr>
          <w:lang w:val="fr-FR"/>
        </w:rPr>
        <w:t> </w:t>
      </w:r>
      <w:r w:rsidRPr="00040E70">
        <w:rPr>
          <w:lang w:val="fr-FR"/>
        </w:rPr>
        <w:t>secrétariat.</w:t>
      </w:r>
    </w:p>
    <w:p w14:paraId="2E1252DD" w14:textId="5F224ED3" w:rsidR="00FD71B1" w:rsidRPr="00040E70" w:rsidRDefault="001853F4" w:rsidP="001853F4">
      <w:pPr>
        <w:pStyle w:val="SingleTxtG"/>
        <w:spacing w:before="240" w:after="0"/>
        <w:jc w:val="center"/>
        <w:rPr>
          <w:u w:val="single"/>
          <w:lang w:val="fr-FR"/>
        </w:rPr>
      </w:pPr>
      <w:r w:rsidRPr="00040E70">
        <w:rPr>
          <w:u w:val="single"/>
          <w:lang w:val="fr-FR"/>
        </w:rPr>
        <w:tab/>
      </w:r>
      <w:r w:rsidRPr="00040E70">
        <w:rPr>
          <w:u w:val="single"/>
          <w:lang w:val="fr-FR"/>
        </w:rPr>
        <w:tab/>
      </w:r>
      <w:r w:rsidRPr="00040E70">
        <w:rPr>
          <w:u w:val="single"/>
          <w:lang w:val="fr-FR"/>
        </w:rPr>
        <w:tab/>
      </w:r>
    </w:p>
    <w:sectPr w:rsidR="00FD71B1" w:rsidRPr="00040E70" w:rsidSect="00FD71B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C02F" w14:textId="77777777" w:rsidR="00813FDE" w:rsidRDefault="00813FDE" w:rsidP="00F95C08">
      <w:pPr>
        <w:spacing w:line="240" w:lineRule="auto"/>
      </w:pPr>
    </w:p>
  </w:endnote>
  <w:endnote w:type="continuationSeparator" w:id="0">
    <w:p w14:paraId="5C1FB0C9" w14:textId="77777777" w:rsidR="00813FDE" w:rsidRPr="00AC3823" w:rsidRDefault="00813FDE" w:rsidP="00AC3823">
      <w:pPr>
        <w:pStyle w:val="Pieddepage"/>
      </w:pPr>
    </w:p>
  </w:endnote>
  <w:endnote w:type="continuationNotice" w:id="1">
    <w:p w14:paraId="675F0F94" w14:textId="77777777" w:rsidR="00813FDE" w:rsidRDefault="00813F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BC610" w14:textId="749B4E94" w:rsidR="00FD71B1" w:rsidRPr="00FD71B1" w:rsidRDefault="00FD71B1" w:rsidP="00FD71B1">
    <w:pPr>
      <w:pStyle w:val="Pieddepage"/>
      <w:tabs>
        <w:tab w:val="right" w:pos="9638"/>
      </w:tabs>
    </w:pPr>
    <w:r w:rsidRPr="00FD71B1">
      <w:rPr>
        <w:b/>
        <w:sz w:val="18"/>
      </w:rPr>
      <w:fldChar w:fldCharType="begin"/>
    </w:r>
    <w:r w:rsidRPr="00FD71B1">
      <w:rPr>
        <w:b/>
        <w:sz w:val="18"/>
      </w:rPr>
      <w:instrText xml:space="preserve"> PAGE  \* MERGEFORMAT </w:instrText>
    </w:r>
    <w:r w:rsidRPr="00FD71B1">
      <w:rPr>
        <w:b/>
        <w:sz w:val="18"/>
      </w:rPr>
      <w:fldChar w:fldCharType="separate"/>
    </w:r>
    <w:r w:rsidRPr="00FD71B1">
      <w:rPr>
        <w:b/>
        <w:noProof/>
        <w:sz w:val="18"/>
      </w:rPr>
      <w:t>2</w:t>
    </w:r>
    <w:r w:rsidRPr="00FD71B1">
      <w:rPr>
        <w:b/>
        <w:sz w:val="18"/>
      </w:rPr>
      <w:fldChar w:fldCharType="end"/>
    </w:r>
    <w:r>
      <w:rPr>
        <w:b/>
        <w:sz w:val="18"/>
      </w:rPr>
      <w:tab/>
    </w:r>
    <w:r>
      <w:t>GE.24-17458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CA12" w14:textId="18F8D7C3" w:rsidR="00FD71B1" w:rsidRPr="00FD71B1" w:rsidRDefault="00FD71B1" w:rsidP="00FD71B1">
    <w:pPr>
      <w:pStyle w:val="Pieddepage"/>
      <w:tabs>
        <w:tab w:val="right" w:pos="9638"/>
      </w:tabs>
      <w:rPr>
        <w:b/>
        <w:sz w:val="18"/>
      </w:rPr>
    </w:pPr>
    <w:r>
      <w:t>GE.24-17458</w:t>
    </w:r>
    <w:r>
      <w:tab/>
    </w:r>
    <w:r w:rsidRPr="00FD71B1">
      <w:rPr>
        <w:b/>
        <w:sz w:val="18"/>
      </w:rPr>
      <w:fldChar w:fldCharType="begin"/>
    </w:r>
    <w:r w:rsidRPr="00FD71B1">
      <w:rPr>
        <w:b/>
        <w:sz w:val="18"/>
      </w:rPr>
      <w:instrText xml:space="preserve"> PAGE  \* MERGEFORMAT </w:instrText>
    </w:r>
    <w:r w:rsidRPr="00FD71B1">
      <w:rPr>
        <w:b/>
        <w:sz w:val="18"/>
      </w:rPr>
      <w:fldChar w:fldCharType="separate"/>
    </w:r>
    <w:r w:rsidRPr="00FD71B1">
      <w:rPr>
        <w:b/>
        <w:noProof/>
        <w:sz w:val="18"/>
      </w:rPr>
      <w:t>3</w:t>
    </w:r>
    <w:r w:rsidRPr="00FD71B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0D3A" w14:textId="79B335F2" w:rsidR="0068456F" w:rsidRPr="00FD71B1" w:rsidRDefault="00FD71B1" w:rsidP="00FD71B1">
    <w:pPr>
      <w:pStyle w:val="Pieddepage"/>
      <w:spacing w:before="120"/>
      <w:rPr>
        <w:sz w:val="20"/>
      </w:rPr>
    </w:pPr>
    <w:r>
      <w:rPr>
        <w:sz w:val="20"/>
      </w:rPr>
      <w:t>GE.</w:t>
    </w:r>
    <w:r w:rsidR="0068456F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FBEEE5B" wp14:editId="6E74F152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24-17458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14E2B1A" wp14:editId="76E1EE06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1971280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151024    151024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83115" w14:textId="77777777" w:rsidR="00813FDE" w:rsidRPr="00AC3823" w:rsidRDefault="00813FD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B150D89" w14:textId="77777777" w:rsidR="00813FDE" w:rsidRPr="00AC3823" w:rsidRDefault="00813FD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91BA340" w14:textId="77777777" w:rsidR="00813FDE" w:rsidRPr="00AC3823" w:rsidRDefault="00813FDE">
      <w:pPr>
        <w:spacing w:line="240" w:lineRule="auto"/>
        <w:rPr>
          <w:sz w:val="2"/>
          <w:szCs w:val="2"/>
        </w:rPr>
      </w:pPr>
    </w:p>
  </w:footnote>
  <w:footnote w:id="2">
    <w:p w14:paraId="4255DC2D" w14:textId="25D2A65A" w:rsidR="00354FAD" w:rsidRPr="00182AE3" w:rsidRDefault="00354FAD" w:rsidP="00354FAD">
      <w:pPr>
        <w:pStyle w:val="Notedebasdepage"/>
        <w:rPr>
          <w:lang w:val="fr-FR"/>
        </w:rPr>
      </w:pPr>
      <w:r w:rsidRPr="000A741B">
        <w:rPr>
          <w:lang w:val="fr-FR"/>
        </w:rPr>
        <w:tab/>
      </w:r>
      <w:r w:rsidRPr="00E33C4C">
        <w:rPr>
          <w:rStyle w:val="Appelnotedebasdep"/>
        </w:rPr>
        <w:footnoteRef/>
      </w:r>
      <w:r>
        <w:rPr>
          <w:lang w:val="fr-FR"/>
        </w:rPr>
        <w:tab/>
        <w:t>Les représentantes et représentants participant aux travaux du Sous-Comité SGH qui ne participent pas habituellement à ceux du Sous-Comité TMD sont invités à y participer quand celui-ci examine la question des dangers physiques en qualité de centre de liaison pour le Sous-Comité SGH (voir aussi ST/SG/AC</w:t>
      </w:r>
      <w:r w:rsidRPr="00F54981">
        <w:rPr>
          <w:lang w:val="fr-FR"/>
        </w:rPr>
        <w:t>.</w:t>
      </w:r>
      <w:r>
        <w:rPr>
          <w:lang w:val="fr-FR"/>
        </w:rPr>
        <w:t>10/C</w:t>
      </w:r>
      <w:r w:rsidRPr="00F54981">
        <w:rPr>
          <w:lang w:val="fr-FR"/>
        </w:rPr>
        <w:t>.</w:t>
      </w:r>
      <w:r>
        <w:rPr>
          <w:lang w:val="fr-FR"/>
        </w:rPr>
        <w:t xml:space="preserve">4/2, </w:t>
      </w:r>
      <w:r w:rsidR="001853F4">
        <w:rPr>
          <w:lang w:val="fr-FR"/>
        </w:rPr>
        <w:t>par. </w:t>
      </w:r>
      <w:r>
        <w:rPr>
          <w:lang w:val="fr-FR"/>
        </w:rPr>
        <w:t>43</w:t>
      </w:r>
      <w:r w:rsidR="00040E70">
        <w:rPr>
          <w:lang w:val="fr-FR"/>
        </w:rPr>
        <w:t> </w:t>
      </w:r>
      <w:r>
        <w:rPr>
          <w:lang w:val="fr-FR"/>
        </w:rPr>
        <w:t>b))</w:t>
      </w:r>
      <w:r w:rsidRPr="00F54981">
        <w:rPr>
          <w:lang w:val="fr-FR"/>
        </w:rPr>
        <w:t>.</w:t>
      </w:r>
      <w:r>
        <w:rPr>
          <w:lang w:val="fr-FR"/>
        </w:rPr>
        <w:t xml:space="preserve"> À sa soixante-cinquième session (25 novembre-3</w:t>
      </w:r>
      <w:r w:rsidR="00040E70">
        <w:rPr>
          <w:lang w:val="fr-FR"/>
        </w:rPr>
        <w:t> </w:t>
      </w:r>
      <w:r>
        <w:rPr>
          <w:lang w:val="fr-FR"/>
        </w:rPr>
        <w:t>décembre 2024), le</w:t>
      </w:r>
      <w:r w:rsidR="00040E70">
        <w:rPr>
          <w:lang w:val="fr-FR"/>
        </w:rPr>
        <w:t> </w:t>
      </w:r>
      <w:r>
        <w:rPr>
          <w:lang w:val="fr-FR"/>
        </w:rPr>
        <w:t>Sous-Comité TMD pourrait examiner des questions intéressant le Sous-Comité SGH</w:t>
      </w:r>
      <w:r w:rsidRPr="00F54981">
        <w:rPr>
          <w:lang w:val="fr-FR"/>
        </w:rPr>
        <w:t>.</w:t>
      </w:r>
      <w:r>
        <w:rPr>
          <w:lang w:val="fr-FR"/>
        </w:rPr>
        <w:t xml:space="preserve"> Tous les documents de la session seront disponibles en ligne à l’adresse suivante</w:t>
      </w:r>
      <w:r w:rsidR="001853F4">
        <w:rPr>
          <w:lang w:val="fr-FR"/>
        </w:rPr>
        <w:t> :</w:t>
      </w:r>
      <w:r>
        <w:rPr>
          <w:lang w:val="fr-FR"/>
        </w:rPr>
        <w:t xml:space="preserve"> </w:t>
      </w:r>
      <w:hyperlink r:id="rId1" w:history="1">
        <w:r w:rsidR="00040E70">
          <w:rPr>
            <w:rStyle w:val="Lienhypertexte"/>
          </w:rPr>
          <w:t>https://unece.org/info/ Transport/Dangerous-</w:t>
        </w:r>
        <w:proofErr w:type="spellStart"/>
        <w:r w:rsidR="00040E70">
          <w:rPr>
            <w:rStyle w:val="Lienhypertexte"/>
          </w:rPr>
          <w:t>Goods</w:t>
        </w:r>
        <w:proofErr w:type="spellEnd"/>
        <w:r w:rsidR="00040E70">
          <w:rPr>
            <w:rStyle w:val="Lienhypertexte"/>
          </w:rPr>
          <w:t>/</w:t>
        </w:r>
        <w:proofErr w:type="spellStart"/>
        <w:r w:rsidR="00040E70">
          <w:rPr>
            <w:rStyle w:val="Lienhypertexte"/>
          </w:rPr>
          <w:t>events</w:t>
        </w:r>
        <w:proofErr w:type="spellEnd"/>
        <w:r w:rsidR="00040E70">
          <w:rPr>
            <w:rStyle w:val="Lienhypertexte"/>
          </w:rPr>
          <w:t>/387210</w:t>
        </w:r>
      </w:hyperlink>
      <w:r w:rsidRPr="00F54981">
        <w:rPr>
          <w:lang w:val="fr-FR"/>
        </w:rPr>
        <w:t>.</w:t>
      </w:r>
      <w:r>
        <w:rPr>
          <w:lang w:val="fr-FR"/>
        </w:rPr>
        <w:t xml:space="preserve"> Les représentantes et représentants siégeant au Sous</w:t>
      </w:r>
      <w:r w:rsidR="00040E70">
        <w:rPr>
          <w:lang w:val="fr-FR"/>
        </w:rPr>
        <w:noBreakHyphen/>
      </w:r>
      <w:r>
        <w:rPr>
          <w:lang w:val="fr-FR"/>
        </w:rPr>
        <w:t>Comité SGH qui souhaiteraient participer à ces travaux sont invités à s’inscrire à la session du</w:t>
      </w:r>
      <w:r w:rsidR="00040E70">
        <w:rPr>
          <w:lang w:val="fr-FR"/>
        </w:rPr>
        <w:t> </w:t>
      </w:r>
      <w:r>
        <w:rPr>
          <w:lang w:val="fr-FR"/>
        </w:rPr>
        <w:t>Sous-Comité TMD</w:t>
      </w:r>
      <w:r w:rsidRPr="00F54981">
        <w:rPr>
          <w:lang w:val="fr-FR"/>
        </w:rPr>
        <w:t>.</w:t>
      </w:r>
    </w:p>
  </w:footnote>
  <w:footnote w:id="3">
    <w:p w14:paraId="72EC83CF" w14:textId="1470F32E" w:rsidR="00354FAD" w:rsidRPr="00E33C4C" w:rsidRDefault="00B06B76" w:rsidP="00354FAD">
      <w:pPr>
        <w:pStyle w:val="Notedebasdepage"/>
        <w:rPr>
          <w:lang w:val="fr-BE"/>
        </w:rPr>
      </w:pPr>
      <w:r>
        <w:tab/>
      </w:r>
      <w:r w:rsidR="00354FAD" w:rsidRPr="00E33C4C">
        <w:rPr>
          <w:rStyle w:val="Appelnotedebasdep"/>
        </w:rPr>
        <w:footnoteRef/>
      </w:r>
      <w:r>
        <w:tab/>
      </w:r>
      <w:hyperlink r:id="rId2" w:history="1">
        <w:r w:rsidRPr="00304C26">
          <w:rPr>
            <w:rStyle w:val="Lienhypertexte"/>
          </w:rPr>
          <w:t>https://unece.org/sites/default/files/2024-04/ST-SG-AC10-C4-86F.pdf</w:t>
        </w:r>
      </w:hyperlink>
      <w:r w:rsidR="00354FA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A2C4" w14:textId="16F5C9CC" w:rsidR="00FD71B1" w:rsidRPr="00FD71B1" w:rsidRDefault="00FD71B1">
    <w:pPr>
      <w:pStyle w:val="En-tte"/>
    </w:pPr>
    <w:fldSimple w:instr=" TITLE  \* MERGEFORMAT ">
      <w:r>
        <w:t>ST/SG/AC.10/C.4/93/Add.1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29ED" w14:textId="6D78A54E" w:rsidR="00FD71B1" w:rsidRPr="00FD71B1" w:rsidRDefault="00FD71B1" w:rsidP="00FD71B1">
    <w:pPr>
      <w:pStyle w:val="En-tte"/>
      <w:jc w:val="right"/>
    </w:pPr>
    <w:fldSimple w:instr=" TITLE  \* MERGEFORMAT ">
      <w:r>
        <w:t>ST/SG/AC.10/C.4/93/Add.1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4CD73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981AAA3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FE2C9A28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405809316">
    <w:abstractNumId w:val="12"/>
  </w:num>
  <w:num w:numId="2" w16cid:durableId="1004941134">
    <w:abstractNumId w:val="11"/>
  </w:num>
  <w:num w:numId="3" w16cid:durableId="1360547576">
    <w:abstractNumId w:val="10"/>
  </w:num>
  <w:num w:numId="4" w16cid:durableId="2069305829">
    <w:abstractNumId w:val="8"/>
  </w:num>
  <w:num w:numId="5" w16cid:durableId="1180435796">
    <w:abstractNumId w:val="3"/>
  </w:num>
  <w:num w:numId="6" w16cid:durableId="183133704">
    <w:abstractNumId w:val="2"/>
  </w:num>
  <w:num w:numId="7" w16cid:durableId="238950470">
    <w:abstractNumId w:val="1"/>
  </w:num>
  <w:num w:numId="8" w16cid:durableId="1008756925">
    <w:abstractNumId w:val="0"/>
  </w:num>
  <w:num w:numId="9" w16cid:durableId="1785952577">
    <w:abstractNumId w:val="9"/>
  </w:num>
  <w:num w:numId="10" w16cid:durableId="1565723846">
    <w:abstractNumId w:val="7"/>
  </w:num>
  <w:num w:numId="11" w16cid:durableId="790441053">
    <w:abstractNumId w:val="6"/>
  </w:num>
  <w:num w:numId="12" w16cid:durableId="2011249750">
    <w:abstractNumId w:val="5"/>
  </w:num>
  <w:num w:numId="13" w16cid:durableId="1529490295">
    <w:abstractNumId w:val="4"/>
  </w:num>
  <w:num w:numId="14" w16cid:durableId="620527405">
    <w:abstractNumId w:val="12"/>
  </w:num>
  <w:num w:numId="15" w16cid:durableId="450897876">
    <w:abstractNumId w:val="11"/>
  </w:num>
  <w:num w:numId="16" w16cid:durableId="2078741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DE"/>
    <w:rsid w:val="00017F94"/>
    <w:rsid w:val="00023842"/>
    <w:rsid w:val="000305D3"/>
    <w:rsid w:val="000334F9"/>
    <w:rsid w:val="00040E70"/>
    <w:rsid w:val="0007796D"/>
    <w:rsid w:val="000B7790"/>
    <w:rsid w:val="00111F2F"/>
    <w:rsid w:val="00132EA9"/>
    <w:rsid w:val="0014365E"/>
    <w:rsid w:val="00172E49"/>
    <w:rsid w:val="00176178"/>
    <w:rsid w:val="001853F4"/>
    <w:rsid w:val="001F525A"/>
    <w:rsid w:val="00223272"/>
    <w:rsid w:val="0024779E"/>
    <w:rsid w:val="00283190"/>
    <w:rsid w:val="002832AC"/>
    <w:rsid w:val="002D7C93"/>
    <w:rsid w:val="00354FAD"/>
    <w:rsid w:val="003C6BAE"/>
    <w:rsid w:val="00441C3B"/>
    <w:rsid w:val="00446FE5"/>
    <w:rsid w:val="00452396"/>
    <w:rsid w:val="004E468C"/>
    <w:rsid w:val="00546478"/>
    <w:rsid w:val="005505B7"/>
    <w:rsid w:val="00573BE5"/>
    <w:rsid w:val="00584DC4"/>
    <w:rsid w:val="00586ED3"/>
    <w:rsid w:val="00596AA9"/>
    <w:rsid w:val="005D377C"/>
    <w:rsid w:val="0068456F"/>
    <w:rsid w:val="0071601D"/>
    <w:rsid w:val="007A62E6"/>
    <w:rsid w:val="0080684C"/>
    <w:rsid w:val="008123E0"/>
    <w:rsid w:val="00813FDE"/>
    <w:rsid w:val="00871C75"/>
    <w:rsid w:val="008776DC"/>
    <w:rsid w:val="008B40CD"/>
    <w:rsid w:val="009705C8"/>
    <w:rsid w:val="00987601"/>
    <w:rsid w:val="009C1CF4"/>
    <w:rsid w:val="00A30353"/>
    <w:rsid w:val="00A56D4D"/>
    <w:rsid w:val="00A81281"/>
    <w:rsid w:val="00AC3823"/>
    <w:rsid w:val="00AE323C"/>
    <w:rsid w:val="00B00181"/>
    <w:rsid w:val="00B00B0D"/>
    <w:rsid w:val="00B06B76"/>
    <w:rsid w:val="00B74DEA"/>
    <w:rsid w:val="00B765F7"/>
    <w:rsid w:val="00BA0CA9"/>
    <w:rsid w:val="00BB5360"/>
    <w:rsid w:val="00C02897"/>
    <w:rsid w:val="00CF55A5"/>
    <w:rsid w:val="00D3439C"/>
    <w:rsid w:val="00D7783B"/>
    <w:rsid w:val="00DB1831"/>
    <w:rsid w:val="00DD3BFD"/>
    <w:rsid w:val="00DF6678"/>
    <w:rsid w:val="00E14662"/>
    <w:rsid w:val="00E77E1B"/>
    <w:rsid w:val="00EF2E22"/>
    <w:rsid w:val="00F01738"/>
    <w:rsid w:val="00F22903"/>
    <w:rsid w:val="00F660DF"/>
    <w:rsid w:val="00F730C8"/>
    <w:rsid w:val="00F95C08"/>
    <w:rsid w:val="00FB18C0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B947"/>
  <w15:docId w15:val="{8E4B7D52-B494-4F8A-AD46-2977F39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584DC4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584DC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584DC4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584DC4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584DC4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84DC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584DC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ar"/>
    <w:qFormat/>
    <w:rsid w:val="00584DC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584DC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584DC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84DC4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584DC4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584DC4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584DC4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584DC4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584DC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584DC4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584DC4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584DC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584DC4"/>
  </w:style>
  <w:style w:type="character" w:customStyle="1" w:styleId="NotedefinCar">
    <w:name w:val="Note de fin Car"/>
    <w:aliases w:val="2_G Car"/>
    <w:basedOn w:val="Policepardfaut"/>
    <w:link w:val="Notedefin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584DC4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584DC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EA9"/>
    <w:rPr>
      <w:rFonts w:ascii="Tahoma" w:hAnsi="Tahoma" w:cs="Tahoma"/>
      <w:sz w:val="16"/>
      <w:szCs w:val="16"/>
      <w:lang w:eastAsia="en-US"/>
    </w:rPr>
  </w:style>
  <w:style w:type="character" w:customStyle="1" w:styleId="SingleTxtGCar">
    <w:name w:val="_ Single Txt_G Car"/>
    <w:link w:val="SingleTxtG"/>
    <w:rsid w:val="00354FA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0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ece.org/sites/default/files/2024-04/ST-SG-AC10-C4-86F.pdf" TargetMode="External"/><Relationship Id="rId1" Type="http://schemas.openxmlformats.org/officeDocument/2006/relationships/hyperlink" Target="https://unece.org/info/Transport/Dangerous-Goods/events/3872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5C91E-ACAD-4341-9A77-E7906602522D}"/>
</file>

<file path=customXml/itemProps2.xml><?xml version="1.0" encoding="utf-8"?>
<ds:datastoreItem xmlns:ds="http://schemas.openxmlformats.org/officeDocument/2006/customXml" ds:itemID="{028DFC26-F536-47FC-B4FA-CC96EF9B5BF9}"/>
</file>

<file path=docProps/app.xml><?xml version="1.0" encoding="utf-8"?>
<Properties xmlns="http://schemas.openxmlformats.org/officeDocument/2006/extended-properties" xmlns:vt="http://schemas.openxmlformats.org/officeDocument/2006/docPropsVTypes">
  <Template>ST.dotm</Template>
  <TotalTime>0</TotalTime>
  <Pages>6</Pages>
  <Words>1267</Words>
  <Characters>9713</Characters>
  <Application>Microsoft Office Word</Application>
  <DocSecurity>0</DocSecurity>
  <Lines>3237</Lines>
  <Paragraphs>914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ST/SG/AC.10/C.4/93/Add.1</vt:lpstr>
    </vt:vector>
  </TitlesOfParts>
  <Company>DCM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ST/SG/AC.10/C.4/93/Add.1</dc:title>
  <dc:subject/>
  <dc:creator>Nicolas MORIN</dc:creator>
  <cp:keywords/>
  <cp:lastModifiedBy>Nicolas MORIN</cp:lastModifiedBy>
  <cp:revision>2</cp:revision>
  <cp:lastPrinted>2014-05-14T10:59:00Z</cp:lastPrinted>
  <dcterms:created xsi:type="dcterms:W3CDTF">2024-10-15T15:21:00Z</dcterms:created>
  <dcterms:modified xsi:type="dcterms:W3CDTF">2024-10-15T15:21:00Z</dcterms:modified>
</cp:coreProperties>
</file>