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0B352151" w14:textId="77777777" w:rsidTr="006476E1">
        <w:trPr>
          <w:trHeight w:val="851"/>
        </w:trPr>
        <w:tc>
          <w:tcPr>
            <w:tcW w:w="1259" w:type="dxa"/>
            <w:tcBorders>
              <w:top w:val="nil"/>
              <w:left w:val="nil"/>
              <w:bottom w:val="single" w:sz="4" w:space="0" w:color="auto"/>
              <w:right w:val="nil"/>
            </w:tcBorders>
          </w:tcPr>
          <w:p w14:paraId="0C134DA2" w14:textId="77777777" w:rsidR="00E52109" w:rsidRPr="002A32CB" w:rsidRDefault="00E52109" w:rsidP="004858F5"/>
        </w:tc>
        <w:tc>
          <w:tcPr>
            <w:tcW w:w="2236" w:type="dxa"/>
            <w:tcBorders>
              <w:top w:val="nil"/>
              <w:left w:val="nil"/>
              <w:bottom w:val="single" w:sz="4" w:space="0" w:color="auto"/>
              <w:right w:val="nil"/>
            </w:tcBorders>
            <w:vAlign w:val="bottom"/>
          </w:tcPr>
          <w:p w14:paraId="5B95F50D"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22E6CC37" w14:textId="4458DE54" w:rsidR="00D50D42" w:rsidRDefault="00D50D42" w:rsidP="00D50D42">
            <w:pPr>
              <w:jc w:val="right"/>
            </w:pPr>
            <w:r w:rsidRPr="00D50D42">
              <w:rPr>
                <w:sz w:val="40"/>
              </w:rPr>
              <w:t>ST</w:t>
            </w:r>
            <w:r>
              <w:t>/SG/AC.10/C.3/2024/69−</w:t>
            </w:r>
            <w:r w:rsidRPr="00D50D42">
              <w:rPr>
                <w:sz w:val="40"/>
              </w:rPr>
              <w:t>ST</w:t>
            </w:r>
            <w:r>
              <w:t>/SG/AC.10/C.4/2024/12</w:t>
            </w:r>
          </w:p>
        </w:tc>
      </w:tr>
      <w:tr w:rsidR="00E52109" w14:paraId="5CAD4F00" w14:textId="77777777" w:rsidTr="006476E1">
        <w:trPr>
          <w:trHeight w:val="2835"/>
        </w:trPr>
        <w:tc>
          <w:tcPr>
            <w:tcW w:w="1259" w:type="dxa"/>
            <w:tcBorders>
              <w:top w:val="single" w:sz="4" w:space="0" w:color="auto"/>
              <w:left w:val="nil"/>
              <w:bottom w:val="single" w:sz="12" w:space="0" w:color="auto"/>
              <w:right w:val="nil"/>
            </w:tcBorders>
          </w:tcPr>
          <w:p w14:paraId="104BD0E8" w14:textId="77777777" w:rsidR="00E52109" w:rsidRDefault="00E52109" w:rsidP="006476E1">
            <w:pPr>
              <w:spacing w:before="120"/>
              <w:jc w:val="center"/>
            </w:pPr>
            <w:r>
              <w:rPr>
                <w:noProof/>
                <w:lang w:val="fr-CH" w:eastAsia="fr-CH"/>
              </w:rPr>
              <w:drawing>
                <wp:inline distT="0" distB="0" distL="0" distR="0" wp14:anchorId="0134519B" wp14:editId="4F2B63C6">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479A1BC3"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64FB92C9" w14:textId="77777777" w:rsidR="00D94B05" w:rsidRDefault="00D50D42" w:rsidP="00D50D42">
            <w:pPr>
              <w:spacing w:before="240" w:line="240" w:lineRule="exact"/>
            </w:pPr>
            <w:r>
              <w:t>Distr.: General</w:t>
            </w:r>
          </w:p>
          <w:p w14:paraId="71D532DE" w14:textId="48D8FC41" w:rsidR="00D50D42" w:rsidRDefault="009F253B" w:rsidP="00D50D42">
            <w:pPr>
              <w:spacing w:line="240" w:lineRule="exact"/>
            </w:pPr>
            <w:r>
              <w:t>5</w:t>
            </w:r>
            <w:r w:rsidR="00D50D42">
              <w:t xml:space="preserve"> September 2024</w:t>
            </w:r>
          </w:p>
          <w:p w14:paraId="6D42D44A" w14:textId="77777777" w:rsidR="00D50D42" w:rsidRDefault="00D50D42" w:rsidP="00D50D42">
            <w:pPr>
              <w:spacing w:line="240" w:lineRule="exact"/>
            </w:pPr>
          </w:p>
          <w:p w14:paraId="7E27EC9D" w14:textId="37D6FB3E" w:rsidR="00D50D42" w:rsidRDefault="00D50D42" w:rsidP="00D50D42">
            <w:pPr>
              <w:spacing w:line="240" w:lineRule="exact"/>
            </w:pPr>
            <w:r>
              <w:t>Original: English</w:t>
            </w:r>
          </w:p>
        </w:tc>
      </w:tr>
    </w:tbl>
    <w:p w14:paraId="40231771" w14:textId="77777777" w:rsidR="00D50D42" w:rsidRPr="006500BA" w:rsidRDefault="00D50D42" w:rsidP="004858F5">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tbl>
      <w:tblPr>
        <w:tblW w:w="9639" w:type="dxa"/>
        <w:tblLayout w:type="fixed"/>
        <w:tblCellMar>
          <w:left w:w="0" w:type="dxa"/>
          <w:right w:w="0" w:type="dxa"/>
        </w:tblCellMar>
        <w:tblLook w:val="01E0" w:firstRow="1" w:lastRow="1" w:firstColumn="1" w:lastColumn="1" w:noHBand="0" w:noVBand="0"/>
      </w:tblPr>
      <w:tblGrid>
        <w:gridCol w:w="4593"/>
        <w:gridCol w:w="5046"/>
      </w:tblGrid>
      <w:tr w:rsidR="00D50D42" w:rsidRPr="00302456" w14:paraId="05FAD272" w14:textId="77777777" w:rsidTr="00846F7F">
        <w:tc>
          <w:tcPr>
            <w:tcW w:w="4644" w:type="dxa"/>
            <w:shd w:val="clear" w:color="auto" w:fill="auto"/>
          </w:tcPr>
          <w:p w14:paraId="1D471103" w14:textId="77777777" w:rsidR="00D50D42" w:rsidRPr="00302456" w:rsidRDefault="00D50D42" w:rsidP="00846F7F">
            <w:pPr>
              <w:spacing w:before="120"/>
              <w:rPr>
                <w:b/>
              </w:rPr>
            </w:pPr>
            <w:r w:rsidRPr="00302456">
              <w:rPr>
                <w:b/>
              </w:rPr>
              <w:t xml:space="preserve">Sub-Committee of Experts on the Transport </w:t>
            </w:r>
            <w:r w:rsidRPr="00302456">
              <w:rPr>
                <w:b/>
              </w:rPr>
              <w:br/>
              <w:t xml:space="preserve">of Dangerous Goods </w:t>
            </w:r>
          </w:p>
        </w:tc>
        <w:tc>
          <w:tcPr>
            <w:tcW w:w="5103" w:type="dxa"/>
            <w:shd w:val="clear" w:color="auto" w:fill="auto"/>
          </w:tcPr>
          <w:p w14:paraId="4A645417" w14:textId="77777777" w:rsidR="00D50D42" w:rsidRPr="00302456" w:rsidRDefault="00D50D42" w:rsidP="00846F7F">
            <w:pPr>
              <w:spacing w:before="120"/>
              <w:rPr>
                <w:b/>
              </w:rPr>
            </w:pPr>
            <w:r w:rsidRPr="00302456">
              <w:rPr>
                <w:b/>
              </w:rPr>
              <w:t xml:space="preserve">Sub-Committee of Experts on the Globally Harmonized System of Classification and Labelling of Chemicals </w:t>
            </w:r>
          </w:p>
        </w:tc>
      </w:tr>
      <w:tr w:rsidR="00D50D42" w:rsidRPr="00302456" w14:paraId="3AE1C2AA" w14:textId="77777777" w:rsidTr="00846F7F">
        <w:tc>
          <w:tcPr>
            <w:tcW w:w="4644" w:type="dxa"/>
            <w:shd w:val="clear" w:color="auto" w:fill="auto"/>
          </w:tcPr>
          <w:p w14:paraId="02681BF6" w14:textId="608A2978" w:rsidR="00D50D42" w:rsidRPr="00302456" w:rsidRDefault="002B1A21" w:rsidP="00846F7F">
            <w:pPr>
              <w:spacing w:before="120"/>
              <w:rPr>
                <w:b/>
              </w:rPr>
            </w:pPr>
            <w:r>
              <w:rPr>
                <w:b/>
              </w:rPr>
              <w:t>Sixty-fifth</w:t>
            </w:r>
            <w:r w:rsidR="00D50D42" w:rsidRPr="00302456">
              <w:rPr>
                <w:b/>
              </w:rPr>
              <w:t xml:space="preserve"> session</w:t>
            </w:r>
          </w:p>
        </w:tc>
        <w:tc>
          <w:tcPr>
            <w:tcW w:w="5103" w:type="dxa"/>
            <w:shd w:val="clear" w:color="auto" w:fill="auto"/>
          </w:tcPr>
          <w:p w14:paraId="6F0556D9" w14:textId="67751BDB" w:rsidR="00D50D42" w:rsidRPr="00302456" w:rsidRDefault="00FF5129" w:rsidP="00846F7F">
            <w:pPr>
              <w:spacing w:before="120"/>
              <w:rPr>
                <w:b/>
              </w:rPr>
            </w:pPr>
            <w:r>
              <w:rPr>
                <w:b/>
              </w:rPr>
              <w:t>Forty-seventh</w:t>
            </w:r>
            <w:r w:rsidR="00D50D42" w:rsidRPr="00302456">
              <w:rPr>
                <w:b/>
              </w:rPr>
              <w:t xml:space="preserve"> session</w:t>
            </w:r>
          </w:p>
        </w:tc>
      </w:tr>
      <w:tr w:rsidR="00D50D42" w:rsidRPr="00302456" w14:paraId="2599E817" w14:textId="77777777" w:rsidTr="00846F7F">
        <w:tc>
          <w:tcPr>
            <w:tcW w:w="4644" w:type="dxa"/>
            <w:shd w:val="clear" w:color="auto" w:fill="auto"/>
          </w:tcPr>
          <w:p w14:paraId="01F5B9AC" w14:textId="5E9B7AF7" w:rsidR="00D50D42" w:rsidRPr="00302456" w:rsidRDefault="00D50D42" w:rsidP="00846F7F">
            <w:pPr>
              <w:rPr>
                <w:b/>
              </w:rPr>
            </w:pPr>
            <w:r>
              <w:t xml:space="preserve">Geneva, </w:t>
            </w:r>
            <w:r w:rsidR="00FF5129">
              <w:t>25 November-3 December 2024</w:t>
            </w:r>
            <w:r>
              <w:t xml:space="preserve"> </w:t>
            </w:r>
          </w:p>
        </w:tc>
        <w:tc>
          <w:tcPr>
            <w:tcW w:w="5103" w:type="dxa"/>
            <w:shd w:val="clear" w:color="auto" w:fill="auto"/>
          </w:tcPr>
          <w:p w14:paraId="4AE09AA7" w14:textId="59A9AADF" w:rsidR="00D50D42" w:rsidRPr="00302456" w:rsidRDefault="00D50D42" w:rsidP="00846F7F">
            <w:pPr>
              <w:rPr>
                <w:b/>
              </w:rPr>
            </w:pPr>
            <w:r>
              <w:t xml:space="preserve">Geneva, </w:t>
            </w:r>
            <w:r w:rsidR="002A0579">
              <w:t>4-6 December 2024</w:t>
            </w:r>
          </w:p>
        </w:tc>
      </w:tr>
      <w:tr w:rsidR="00D50D42" w:rsidRPr="00302456" w14:paraId="4C151EF8" w14:textId="77777777" w:rsidTr="00846F7F">
        <w:tc>
          <w:tcPr>
            <w:tcW w:w="4644" w:type="dxa"/>
            <w:shd w:val="clear" w:color="auto" w:fill="auto"/>
          </w:tcPr>
          <w:p w14:paraId="1C6988A8" w14:textId="30829B0D" w:rsidR="00D50D42" w:rsidRDefault="00D50D42" w:rsidP="00846F7F">
            <w:r w:rsidRPr="006500BA">
              <w:t xml:space="preserve">Item </w:t>
            </w:r>
            <w:r w:rsidR="002A0579">
              <w:t>10 (c)</w:t>
            </w:r>
            <w:r w:rsidRPr="006500BA">
              <w:t xml:space="preserve"> of the provisional agenda</w:t>
            </w:r>
          </w:p>
        </w:tc>
        <w:tc>
          <w:tcPr>
            <w:tcW w:w="5103" w:type="dxa"/>
            <w:shd w:val="clear" w:color="auto" w:fill="auto"/>
          </w:tcPr>
          <w:p w14:paraId="17AC67C1" w14:textId="021CCA34" w:rsidR="00D50D42" w:rsidRDefault="00D50D42" w:rsidP="00846F7F">
            <w:r w:rsidRPr="006500BA">
              <w:t xml:space="preserve">Item </w:t>
            </w:r>
            <w:r w:rsidR="002A0579">
              <w:t>2 (b)</w:t>
            </w:r>
            <w:r w:rsidRPr="006500BA">
              <w:t xml:space="preserve"> of the provisional agenda</w:t>
            </w:r>
          </w:p>
        </w:tc>
      </w:tr>
      <w:tr w:rsidR="00D50D42" w:rsidRPr="00E66746" w14:paraId="12669FB4" w14:textId="77777777" w:rsidTr="00846F7F">
        <w:tc>
          <w:tcPr>
            <w:tcW w:w="4644" w:type="dxa"/>
            <w:shd w:val="clear" w:color="auto" w:fill="auto"/>
          </w:tcPr>
          <w:p w14:paraId="6151F159" w14:textId="646A1D7C" w:rsidR="00D50D42" w:rsidRPr="00E66746" w:rsidRDefault="00FC1E2A" w:rsidP="00846F7F">
            <w:pPr>
              <w:rPr>
                <w:b/>
              </w:rPr>
            </w:pPr>
            <w:r w:rsidRPr="00F65883">
              <w:rPr>
                <w:b/>
                <w:bCs/>
              </w:rPr>
              <w:t>Issues relating to the Globally Harmonized System</w:t>
            </w:r>
            <w:r>
              <w:rPr>
                <w:b/>
                <w:bCs/>
              </w:rPr>
              <w:t xml:space="preserve"> </w:t>
            </w:r>
            <w:r>
              <w:rPr>
                <w:b/>
                <w:bCs/>
              </w:rPr>
              <w:br/>
              <w:t>of Classification and Labelling of Chemicals</w:t>
            </w:r>
            <w:r w:rsidRPr="00F65883">
              <w:rPr>
                <w:b/>
                <w:bCs/>
              </w:rPr>
              <w:t xml:space="preserve">: </w:t>
            </w:r>
            <w:r w:rsidRPr="00F65883">
              <w:rPr>
                <w:b/>
                <w:bCs/>
              </w:rPr>
              <w:br/>
            </w:r>
            <w:r w:rsidRPr="00B312FD">
              <w:rPr>
                <w:b/>
                <w:bCs/>
              </w:rPr>
              <w:t>Miscellaneous</w:t>
            </w:r>
          </w:p>
        </w:tc>
        <w:tc>
          <w:tcPr>
            <w:tcW w:w="5103" w:type="dxa"/>
            <w:shd w:val="clear" w:color="auto" w:fill="auto"/>
          </w:tcPr>
          <w:p w14:paraId="1FA4DAB2" w14:textId="133182B2" w:rsidR="00D50D42" w:rsidRPr="00E66746" w:rsidRDefault="003D73D0" w:rsidP="00846F7F">
            <w:pPr>
              <w:rPr>
                <w:b/>
              </w:rPr>
            </w:pPr>
            <w:r w:rsidRPr="006D1847">
              <w:rPr>
                <w:b/>
                <w:lang w:val="en-US"/>
              </w:rPr>
              <w:t>Work on the Globally Harmonized System of Classification and Labelling of Chemicals</w:t>
            </w:r>
            <w:r>
              <w:rPr>
                <w:b/>
                <w:lang w:val="en-US"/>
              </w:rPr>
              <w:t xml:space="preserve">: </w:t>
            </w:r>
            <w:r>
              <w:rPr>
                <w:b/>
                <w:lang w:val="en-US"/>
              </w:rPr>
              <w:br/>
            </w:r>
            <w:r w:rsidRPr="007B34FB">
              <w:rPr>
                <w:b/>
                <w:lang w:val="en-US"/>
              </w:rPr>
              <w:t>Work of the Sub-Committee of Experts on the Transport of Dangerous Goods</w:t>
            </w:r>
            <w:r>
              <w:rPr>
                <w:b/>
                <w:lang w:val="en-US"/>
              </w:rPr>
              <w:t xml:space="preserve"> </w:t>
            </w:r>
            <w:r w:rsidRPr="007B34FB">
              <w:rPr>
                <w:b/>
                <w:lang w:val="en-US"/>
              </w:rPr>
              <w:t>on matters of interest to the Sub-Committee of Experts on the Globally</w:t>
            </w:r>
            <w:r>
              <w:rPr>
                <w:b/>
                <w:lang w:val="en-US"/>
              </w:rPr>
              <w:t xml:space="preserve"> </w:t>
            </w:r>
            <w:r w:rsidRPr="007B34FB">
              <w:rPr>
                <w:b/>
                <w:lang w:val="en-US"/>
              </w:rPr>
              <w:t>Harmonized System of Classification and Labelling of Chemicals</w:t>
            </w:r>
          </w:p>
        </w:tc>
      </w:tr>
    </w:tbl>
    <w:p w14:paraId="06098959" w14:textId="2B38617F" w:rsidR="00D50D42" w:rsidRPr="0077101B" w:rsidRDefault="003D73D0" w:rsidP="003D73D0">
      <w:pPr>
        <w:pStyle w:val="HChG"/>
      </w:pPr>
      <w:r>
        <w:tab/>
      </w:r>
      <w:r>
        <w:tab/>
      </w:r>
      <w:r w:rsidR="00C5431A">
        <w:rPr>
          <w:rFonts w:eastAsia="MS Mincho"/>
          <w:lang w:val="en-US" w:eastAsia="ja-JP"/>
        </w:rPr>
        <w:t xml:space="preserve">Use of expert judgment related to explosives testing in GHS chapter </w:t>
      </w:r>
      <w:proofErr w:type="gramStart"/>
      <w:r w:rsidR="00C5431A">
        <w:rPr>
          <w:rFonts w:eastAsia="MS Mincho"/>
          <w:lang w:val="en-US" w:eastAsia="ja-JP"/>
        </w:rPr>
        <w:t>2.17</w:t>
      </w:r>
      <w:proofErr w:type="gramEnd"/>
    </w:p>
    <w:p w14:paraId="28A1F402" w14:textId="77777777" w:rsidR="004039F0" w:rsidRPr="0064778D" w:rsidRDefault="004039F0" w:rsidP="004039F0">
      <w:pPr>
        <w:pStyle w:val="H1G"/>
        <w:rPr>
          <w:lang w:val="en-US" w:eastAsia="ja-JP"/>
        </w:rPr>
      </w:pPr>
      <w:r>
        <w:rPr>
          <w:lang w:val="en-US" w:eastAsia="ja-JP"/>
        </w:rPr>
        <w:tab/>
      </w:r>
      <w:r>
        <w:rPr>
          <w:lang w:val="en-US" w:eastAsia="ja-JP"/>
        </w:rPr>
        <w:tab/>
        <w:t xml:space="preserve">Transmitted by </w:t>
      </w:r>
      <w:bookmarkStart w:id="0" w:name="_Hlk156568801"/>
      <w:bookmarkStart w:id="1" w:name="_Hlk156568812"/>
      <w:r w:rsidRPr="00F15235">
        <w:t>the</w:t>
      </w:r>
      <w:r>
        <w:rPr>
          <w:lang w:val="en-US" w:eastAsia="ja-JP"/>
        </w:rPr>
        <w:t xml:space="preserve"> Sporting Arms &amp; Ammunition Manufacturers’ </w:t>
      </w:r>
      <w:bookmarkEnd w:id="0"/>
      <w:bookmarkEnd w:id="1"/>
      <w:r>
        <w:rPr>
          <w:rStyle w:val="FootnoteReference"/>
          <w:sz w:val="20"/>
          <w:vertAlign w:val="baseline"/>
          <w:lang w:val="en-US" w:eastAsia="ja-JP"/>
        </w:rPr>
        <w:t>I</w:t>
      </w:r>
      <w:r>
        <w:rPr>
          <w:sz w:val="20"/>
          <w:lang w:val="en-US" w:eastAsia="ja-JP"/>
        </w:rPr>
        <w:t>nstitute (SAAMI)</w:t>
      </w:r>
      <w:r w:rsidRPr="00F15235">
        <w:rPr>
          <w:rStyle w:val="FootnoteReference"/>
          <w:sz w:val="20"/>
          <w:lang w:val="en-US" w:eastAsia="ja-JP"/>
        </w:rPr>
        <w:footnoteReference w:customMarkFollows="1" w:id="2"/>
        <w:t>*</w:t>
      </w:r>
    </w:p>
    <w:p w14:paraId="681AC7DE" w14:textId="77777777" w:rsidR="004039F0" w:rsidRDefault="004039F0" w:rsidP="004039F0">
      <w:pPr>
        <w:pStyle w:val="HChG"/>
      </w:pPr>
      <w:r>
        <w:tab/>
        <w:t>I.</w:t>
      </w:r>
      <w:r>
        <w:tab/>
      </w:r>
      <w:r w:rsidRPr="00766B5B">
        <w:t>Introduction</w:t>
      </w:r>
    </w:p>
    <w:p w14:paraId="66727300" w14:textId="6F4C24FA" w:rsidR="004039F0" w:rsidRDefault="004039F0" w:rsidP="004039F0">
      <w:pPr>
        <w:pStyle w:val="SingleTxtG"/>
      </w:pPr>
      <w:r>
        <w:t>1.</w:t>
      </w:r>
      <w:r>
        <w:tab/>
        <w:t>The development of GHS chapter 2.17 was finalized in 2014 after six years of work. In recent years a series of changes have been approved or proposed that range from adding clarity to requiring new testing.</w:t>
      </w:r>
    </w:p>
    <w:p w14:paraId="4FB2C1A8" w14:textId="2EF4BBEB" w:rsidR="004039F0" w:rsidRDefault="004039F0" w:rsidP="004039F0">
      <w:pPr>
        <w:pStyle w:val="SingleTxtG"/>
      </w:pPr>
      <w:r>
        <w:t>2.</w:t>
      </w:r>
      <w:r>
        <w:tab/>
        <w:t>This document relates to chapter 2.17 explosives testing requirements</w:t>
      </w:r>
      <w:r>
        <w:rPr>
          <w:rStyle w:val="FootnoteReference"/>
        </w:rPr>
        <w:footnoteReference w:id="3"/>
      </w:r>
      <w:r>
        <w:t xml:space="preserve"> for desensitized explosive mixtures which have been well-defined using specific UN entries.</w:t>
      </w:r>
      <w:r>
        <w:rPr>
          <w:rStyle w:val="FootnoteReference"/>
        </w:rPr>
        <w:footnoteReference w:id="4"/>
      </w:r>
      <w:r>
        <w:t xml:space="preserve"> These entries should not require explosives testing or competent authority approval to exit the GHS class of explosives, and the </w:t>
      </w:r>
      <w:r w:rsidRPr="00D82E8E">
        <w:rPr>
          <w:i/>
          <w:iCs/>
        </w:rPr>
        <w:t>Model Regulations</w:t>
      </w:r>
      <w:r>
        <w:t xml:space="preserve"> do not require explosives testing of these chemicals.</w:t>
      </w:r>
    </w:p>
    <w:p w14:paraId="17BC3123" w14:textId="7D0D1F6A" w:rsidR="004039F0" w:rsidRDefault="004039F0" w:rsidP="004039F0">
      <w:pPr>
        <w:pStyle w:val="SingleTxtG"/>
      </w:pPr>
      <w:r>
        <w:t>3.</w:t>
      </w:r>
      <w:r>
        <w:tab/>
        <w:t xml:space="preserve">As </w:t>
      </w:r>
      <w:r w:rsidRPr="00766B5B">
        <w:t>such</w:t>
      </w:r>
      <w:r>
        <w:t>, eligible nitrocellulose products conforming to the above should not be subject to the explosives testing requirements of chapter 2.17. Similarly, non-nitrocellulose products meeting the same eligibility requirements should also not be subject to the explosives testing requirements in chapter 2.17.</w:t>
      </w:r>
    </w:p>
    <w:p w14:paraId="29B5BCCB" w14:textId="77777777" w:rsidR="004039F0" w:rsidRDefault="004039F0" w:rsidP="004039F0">
      <w:pPr>
        <w:pStyle w:val="HChG"/>
      </w:pPr>
      <w:r>
        <w:lastRenderedPageBreak/>
        <w:tab/>
        <w:t>II.</w:t>
      </w:r>
      <w:r>
        <w:tab/>
      </w:r>
      <w:r w:rsidRPr="005F26AC">
        <w:t>Background</w:t>
      </w:r>
    </w:p>
    <w:p w14:paraId="3C18909D" w14:textId="7B7B30F2" w:rsidR="004039F0" w:rsidRDefault="004039F0" w:rsidP="004039F0">
      <w:pPr>
        <w:pStyle w:val="SingleTxtG"/>
      </w:pPr>
      <w:r>
        <w:t>4.</w:t>
      </w:r>
      <w:r>
        <w:tab/>
        <w:t xml:space="preserve">Nitrocellulose is an explosive material when insufficiently phlegmatized, as </w:t>
      </w:r>
      <w:r w:rsidRPr="005F26AC">
        <w:t>exemplified</w:t>
      </w:r>
      <w:r>
        <w:t xml:space="preserve"> by the division 1.1 and 1.3 entries applying to it, i.e., UN Nos. 0340, 0341, 0342 and 0343. Note that the degree of nitration and nitrogen content is not a factor except for UN 0342.</w:t>
      </w:r>
    </w:p>
    <w:p w14:paraId="15709AD9" w14:textId="4011B577" w:rsidR="004039F0" w:rsidRDefault="004039F0" w:rsidP="004039F0">
      <w:pPr>
        <w:pStyle w:val="SingleTxtG"/>
      </w:pPr>
      <w:r>
        <w:t>5.</w:t>
      </w:r>
      <w:r>
        <w:tab/>
        <w:t xml:space="preserve">When </w:t>
      </w:r>
      <w:r w:rsidRPr="005F26AC">
        <w:t>properly</w:t>
      </w:r>
      <w:r>
        <w:t xml:space="preserve"> phlegmatized or diluted, many desensitized explosive entries apply to nitrocellulose, including:</w:t>
      </w:r>
    </w:p>
    <w:p w14:paraId="1BF13912" w14:textId="026B7252" w:rsidR="004039F0" w:rsidRDefault="004039F0" w:rsidP="00D82E8E">
      <w:pPr>
        <w:pStyle w:val="Bullet1G"/>
        <w:numPr>
          <w:ilvl w:val="0"/>
          <w:numId w:val="0"/>
        </w:numPr>
        <w:ind w:left="1701"/>
      </w:pPr>
      <w:r>
        <w:t>(a)</w:t>
      </w:r>
      <w:r>
        <w:tab/>
        <w:t>UN Nos. 2555, 2556 and 2557 for nitrocellulose for precursors to manufacturing with only a phlegmatizer added, such as water or alcohol, or plasticizer; and</w:t>
      </w:r>
    </w:p>
    <w:p w14:paraId="102730E6" w14:textId="719B3DBA" w:rsidR="004039F0" w:rsidRDefault="004039F0" w:rsidP="00D82E8E">
      <w:pPr>
        <w:pStyle w:val="Bullet1G"/>
        <w:numPr>
          <w:ilvl w:val="0"/>
          <w:numId w:val="0"/>
        </w:numPr>
        <w:ind w:left="1701"/>
      </w:pPr>
      <w:r>
        <w:t>(b)</w:t>
      </w:r>
      <w:r>
        <w:tab/>
        <w:t>UN Nos.</w:t>
      </w:r>
      <w:r w:rsidRPr="0091545E">
        <w:t xml:space="preserve">1210, 1263, 1266, 3066, 3469 and 3470 </w:t>
      </w:r>
      <w:r>
        <w:t xml:space="preserve">for final products with up to 20 per cent nitrocellulose in more complex mixtures, such as </w:t>
      </w:r>
      <w:r w:rsidRPr="005E67BC">
        <w:t>paint, perfumery products or printing ink</w:t>
      </w:r>
      <w:r>
        <w:rPr>
          <w:rStyle w:val="FootnoteReference"/>
        </w:rPr>
        <w:footnoteReference w:id="5"/>
      </w:r>
      <w:r>
        <w:t>. Many of these products may be completely excluded from the flammable liquids or solids classifications based on testing</w:t>
      </w:r>
      <w:r>
        <w:rPr>
          <w:rStyle w:val="FootnoteReference"/>
        </w:rPr>
        <w:footnoteReference w:id="6"/>
      </w:r>
      <w:r>
        <w:t>, but explosives testing is not required for classification as a flammable liquid or solid.</w:t>
      </w:r>
    </w:p>
    <w:p w14:paraId="4A8B945D" w14:textId="59ADC0D5" w:rsidR="004039F0" w:rsidRDefault="004039F0" w:rsidP="004039F0">
      <w:pPr>
        <w:pStyle w:val="SingleTxtG"/>
      </w:pPr>
      <w:r>
        <w:t>6.</w:t>
      </w:r>
      <w:r>
        <w:tab/>
      </w:r>
      <w:r w:rsidRPr="002F1D34">
        <w:t>Our</w:t>
      </w:r>
      <w:r>
        <w:t xml:space="preserve"> review also indicates that other chemicals are affected, i.e., non-nitrocellulose desensitized explosives in well-defined entries which should not require explosives testing. Examples include UN Nos. 1204, 1310, 1320, 1321, 1322, 1324, 1336, 1337, 1344, 1347, 1348, 1349, 1354, 1355, 1356, 1357, 1517, 2852, 2907, 3064, 3317, 3343, 3364, 3365, 3366, 3367, 3368, 3369, 3370, 3376, 3474 and 3555.</w:t>
      </w:r>
    </w:p>
    <w:p w14:paraId="67C77F16" w14:textId="13F596A7" w:rsidR="004039F0" w:rsidRDefault="004039F0" w:rsidP="004039F0">
      <w:pPr>
        <w:pStyle w:val="SingleTxtG"/>
      </w:pPr>
      <w:r>
        <w:t>7.</w:t>
      </w:r>
      <w:r>
        <w:tab/>
      </w:r>
      <w:r w:rsidRPr="002F1D34">
        <w:t>Therefore</w:t>
      </w:r>
      <w:r>
        <w:t xml:space="preserve">, it appears that well-defined desensitized explosive mixtures with a specific UN entry would be potentially subject to explosives testing requirements in the current text of GHS chapter 2.17, but not in the </w:t>
      </w:r>
      <w:r w:rsidRPr="00D82E8E">
        <w:rPr>
          <w:i/>
          <w:iCs/>
        </w:rPr>
        <w:t>Model Regulations</w:t>
      </w:r>
      <w:r>
        <w:t>.</w:t>
      </w:r>
    </w:p>
    <w:p w14:paraId="6B635DE2" w14:textId="1E1128EF" w:rsidR="004039F0" w:rsidRDefault="004039F0" w:rsidP="004039F0">
      <w:pPr>
        <w:pStyle w:val="SingleTxtG"/>
      </w:pPr>
      <w:r>
        <w:t>8.</w:t>
      </w:r>
      <w:r>
        <w:tab/>
        <w:t xml:space="preserve">In </w:t>
      </w:r>
      <w:r w:rsidRPr="002F1D34">
        <w:t>transport</w:t>
      </w:r>
      <w:r>
        <w:t>, UN entries for desensitized explosives which apply to well-defined mixtures frequently do not require explosives testing. They may be classified by stakeholders without a competent authority approval. On the other hand, desensitized explosives which have not been well-defined are relegated to UN Nos. 3379 and 3380 which do require explosives testing.</w:t>
      </w:r>
      <w:r>
        <w:rPr>
          <w:rStyle w:val="FootnoteReference"/>
        </w:rPr>
        <w:footnoteReference w:id="7"/>
      </w:r>
      <w:r>
        <w:t xml:space="preserve"> Accordingly, the established system in the </w:t>
      </w:r>
      <w:r w:rsidRPr="00D82E8E">
        <w:rPr>
          <w:i/>
          <w:iCs/>
        </w:rPr>
        <w:t>Model Regulations</w:t>
      </w:r>
      <w:r>
        <w:t xml:space="preserve"> correctly assesses all desensitized explosive mixtures and assures accurate outcomes, and only requires testing when necessary. </w:t>
      </w:r>
    </w:p>
    <w:p w14:paraId="5E15A0B5" w14:textId="02BD3232" w:rsidR="004039F0" w:rsidRDefault="004039F0" w:rsidP="004039F0">
      <w:pPr>
        <w:pStyle w:val="SingleTxtG"/>
      </w:pPr>
      <w:r>
        <w:t>9.</w:t>
      </w:r>
      <w:r>
        <w:tab/>
        <w:t xml:space="preserve">In </w:t>
      </w:r>
      <w:r w:rsidRPr="002F1D34">
        <w:t>summary</w:t>
      </w:r>
      <w:r>
        <w:t>, GHS chapter 2.17 is already harmonized with the approach for UN Nos. 3379 and 3380 to require explosives testing. To avoid dis-harmonization for other entries, GHS chapter 2.17 should allow for explosives testing to be waived using expert judgment for well-defined mixtures assigned to UN entries which do not require explosives testing.</w:t>
      </w:r>
    </w:p>
    <w:p w14:paraId="7EC33876" w14:textId="142EA922" w:rsidR="004039F0" w:rsidRDefault="004039F0" w:rsidP="004039F0">
      <w:pPr>
        <w:pStyle w:val="HChG"/>
      </w:pPr>
      <w:r>
        <w:tab/>
        <w:t>III.</w:t>
      </w:r>
      <w:r>
        <w:tab/>
        <w:t>Suggested changes to GHS chapter 2.17</w:t>
      </w:r>
    </w:p>
    <w:p w14:paraId="2259F89C" w14:textId="1B230ED4" w:rsidR="004039F0" w:rsidRDefault="004039F0" w:rsidP="004039F0">
      <w:pPr>
        <w:pStyle w:val="SingleTxtG"/>
      </w:pPr>
      <w:r>
        <w:t>10.</w:t>
      </w:r>
      <w:r>
        <w:tab/>
        <w:t xml:space="preserve">The </w:t>
      </w:r>
      <w:r w:rsidRPr="002F1D34">
        <w:t>classification</w:t>
      </w:r>
      <w:r>
        <w:t xml:space="preserve"> eligibility rules in GHS section 2.17.2.2 require explosives tests of the </w:t>
      </w:r>
      <w:r w:rsidRPr="00D82E8E">
        <w:rPr>
          <w:i/>
          <w:iCs/>
        </w:rPr>
        <w:t xml:space="preserve">Manual of Tests </w:t>
      </w:r>
      <w:r>
        <w:rPr>
          <w:i/>
          <w:iCs/>
        </w:rPr>
        <w:t>and</w:t>
      </w:r>
      <w:r w:rsidRPr="00D82E8E">
        <w:rPr>
          <w:i/>
          <w:iCs/>
        </w:rPr>
        <w:t xml:space="preserve"> Criteria</w:t>
      </w:r>
      <w:r>
        <w:t xml:space="preserve"> (MTC). Specifically, a phlegmatized explosive must: have no mass explosion hazard in accordance with test 6 (a) or 6 (b); not be too sensitive or thermally unstable in accordance with test series 3 (TS3) of the MTC; or be too insensitive for inclusion in the class of explosives in accordance with test series 2.</w:t>
      </w:r>
    </w:p>
    <w:p w14:paraId="70A34851" w14:textId="3B328408" w:rsidR="004039F0" w:rsidRDefault="004039F0" w:rsidP="004039F0">
      <w:pPr>
        <w:pStyle w:val="SingleTxtG"/>
      </w:pPr>
      <w:r>
        <w:t>11.</w:t>
      </w:r>
      <w:r>
        <w:tab/>
        <w:t xml:space="preserve">There is currently an exception from TS3 for nitrocellulose mixtures not containing explosives other than nitrocellulose in a note to GHS 2.17.2.2. This note was proposed for deletion in a proposal considered by the </w:t>
      </w:r>
      <w:r w:rsidR="009B1269">
        <w:t xml:space="preserve">GHS </w:t>
      </w:r>
      <w:r>
        <w:t>Sub-Committee at its forty-sixth session</w:t>
      </w:r>
      <w:r>
        <w:rPr>
          <w:rStyle w:val="FootnoteReference"/>
        </w:rPr>
        <w:footnoteReference w:id="8"/>
      </w:r>
      <w:r>
        <w:t xml:space="preserve">. One position voiced in the debate is that nitrocellulose with only a phlegmatizer would not be </w:t>
      </w:r>
      <w:r>
        <w:lastRenderedPageBreak/>
        <w:t>impacted, however we think they will be impacted. Desensitized explosives are "GHS mixtures", even if the only additive is a phlegmatizer, and deletion of the note would subject desensitized nitrocellulose to TS3.</w:t>
      </w:r>
    </w:p>
    <w:p w14:paraId="431A4EDA" w14:textId="1C000791" w:rsidR="004039F0" w:rsidRDefault="004039F0" w:rsidP="00D82E8E">
      <w:pPr>
        <w:pStyle w:val="SingleTxtG"/>
      </w:pPr>
      <w:r>
        <w:t>12.</w:t>
      </w:r>
      <w:r>
        <w:tab/>
        <w:t xml:space="preserve">Even with </w:t>
      </w:r>
      <w:r w:rsidRPr="007C499F">
        <w:t>the</w:t>
      </w:r>
      <w:r>
        <w:t xml:space="preserve"> note, well-defined desensitized explosives with specific UN numbers are still currently subject to the GHS 2.17.2.2 requirements for explosives tests 6 (a) or 6 (b).</w:t>
      </w:r>
    </w:p>
    <w:p w14:paraId="634FCBBF" w14:textId="482F054A" w:rsidR="004039F0" w:rsidRDefault="004039F0" w:rsidP="004039F0">
      <w:pPr>
        <w:pStyle w:val="SingleTxtG"/>
      </w:pPr>
      <w:r>
        <w:t>13.</w:t>
      </w:r>
      <w:r>
        <w:tab/>
        <w:t>SAAMI proposes that a new note be inserted that allows the use of expert judgment to waive explosives testing requirements in GHS 2.17.2.2. This relates only to desensitized explosive mixtures which have been well-defined and assigned to a specific UN entry which does not require explosives testing.</w:t>
      </w:r>
    </w:p>
    <w:p w14:paraId="07485454" w14:textId="77777777" w:rsidR="004039F0" w:rsidRDefault="004039F0" w:rsidP="004039F0">
      <w:pPr>
        <w:pStyle w:val="SingleTxtG"/>
      </w:pPr>
      <w:r>
        <w:t>14.</w:t>
      </w:r>
      <w:r>
        <w:tab/>
        <w:t xml:space="preserve">On the </w:t>
      </w:r>
      <w:r w:rsidRPr="007C499F">
        <w:t>condition</w:t>
      </w:r>
      <w:r>
        <w:t xml:space="preserve"> of adoption of the above, SAAMI also proposes to delete the note exempting nitrocellulose mixtures from TS3. This is because nitrocellulose mixtures, which have not been well-defined and assigned to specific UN entries which do not require testing, should be subject to explosives testing and assigned to UN 3379 or UN 3380 when sufficiently phlegmatized. An example is nitrocellulose with an admixture of oxidizing substances.</w:t>
      </w:r>
    </w:p>
    <w:p w14:paraId="7CD7CA3E" w14:textId="4EEAC9E3" w:rsidR="004039F0" w:rsidRPr="00C10C82" w:rsidRDefault="004039F0" w:rsidP="004039F0">
      <w:pPr>
        <w:pStyle w:val="HChG"/>
      </w:pPr>
      <w:r>
        <w:tab/>
        <w:t>IV.</w:t>
      </w:r>
      <w:r>
        <w:tab/>
      </w:r>
      <w:r w:rsidRPr="007C499F">
        <w:t>Consequential</w:t>
      </w:r>
      <w:r>
        <w:t xml:space="preserve"> amendments to the MTC</w:t>
      </w:r>
    </w:p>
    <w:p w14:paraId="7D76A168" w14:textId="77777777" w:rsidR="004039F0" w:rsidRDefault="004039F0" w:rsidP="004039F0">
      <w:pPr>
        <w:pStyle w:val="SingleTxtG"/>
      </w:pPr>
      <w:r>
        <w:t>15.</w:t>
      </w:r>
      <w:r>
        <w:tab/>
        <w:t>As a practical matter for the GHS text, references to UN numbers will appear only in the MTC to avoid their inclusion in the GHS. A note in GHS chapter 2.17 referencing expert judgment and the relevant text in the MTC.</w:t>
      </w:r>
    </w:p>
    <w:p w14:paraId="4B1B20C5" w14:textId="0714B252" w:rsidR="004039F0" w:rsidRDefault="004039F0" w:rsidP="004039F0">
      <w:pPr>
        <w:pStyle w:val="SingleTxtG"/>
      </w:pPr>
      <w:r>
        <w:t>16.</w:t>
      </w:r>
      <w:r>
        <w:tab/>
        <w:t>The MTC’s s</w:t>
      </w:r>
      <w:r w:rsidRPr="007C499F">
        <w:t>ection</w:t>
      </w:r>
      <w:r>
        <w:t xml:space="preserve"> 51 mirrors and expands the explosives requirements in GHS chapter 2.17. A new paragraph can be added to address certain chemicals as discussed. A parallel exception from TS3 for nitrocellulose mixtures exists in subparagraph 51.3.2 (c) of the MTC which may need to be deleted if the proposals below are accepted.</w:t>
      </w:r>
    </w:p>
    <w:p w14:paraId="6AC5077F" w14:textId="77777777" w:rsidR="004039F0" w:rsidRPr="00C10C82" w:rsidRDefault="004039F0" w:rsidP="004039F0">
      <w:pPr>
        <w:pStyle w:val="HChG"/>
      </w:pPr>
      <w:r w:rsidRPr="00C10C82">
        <w:tab/>
      </w:r>
      <w:r>
        <w:t>V.</w:t>
      </w:r>
      <w:r>
        <w:tab/>
      </w:r>
      <w:r w:rsidRPr="007C499F">
        <w:t>Proposals</w:t>
      </w:r>
    </w:p>
    <w:p w14:paraId="23BD7C7D" w14:textId="4B3DA613" w:rsidR="004039F0" w:rsidRDefault="004039F0" w:rsidP="004039F0">
      <w:pPr>
        <w:pStyle w:val="SingleTxtG"/>
      </w:pPr>
      <w:r>
        <w:t>17.</w:t>
      </w:r>
      <w:r>
        <w:tab/>
        <w:t xml:space="preserve">In chapter 2.17 of the GHS, add the </w:t>
      </w:r>
      <w:r w:rsidRPr="007C499F">
        <w:t>following</w:t>
      </w:r>
      <w:r>
        <w:t xml:space="preserve"> note 2 </w:t>
      </w:r>
      <w:r w:rsidRPr="00946C4B">
        <w:rPr>
          <w:lang w:val="en-US"/>
        </w:rPr>
        <w:t>at the end of paragraph</w:t>
      </w:r>
      <w:r>
        <w:rPr>
          <w:lang w:val="en-US"/>
        </w:rPr>
        <w:t xml:space="preserve"> 2.17.2.2</w:t>
      </w:r>
      <w:r w:rsidRPr="00946C4B">
        <w:rPr>
          <w:lang w:val="en-US"/>
        </w:rPr>
        <w:t xml:space="preserve">, after </w:t>
      </w:r>
      <w:r>
        <w:rPr>
          <w:lang w:val="en-US"/>
        </w:rPr>
        <w:t xml:space="preserve">the </w:t>
      </w:r>
      <w:r w:rsidRPr="00946C4B">
        <w:rPr>
          <w:lang w:val="en-US"/>
        </w:rPr>
        <w:t xml:space="preserve">current </w:t>
      </w:r>
      <w:r>
        <w:rPr>
          <w:lang w:val="en-US"/>
        </w:rPr>
        <w:t>n</w:t>
      </w:r>
      <w:r w:rsidRPr="00946C4B">
        <w:rPr>
          <w:lang w:val="en-US"/>
        </w:rPr>
        <w:t>ote addressing phlegmatized explosives</w:t>
      </w:r>
      <w:r>
        <w:rPr>
          <w:lang w:val="en-US"/>
        </w:rPr>
        <w:t>, and change the existing note to note 1</w:t>
      </w:r>
      <w:r>
        <w:t>:</w:t>
      </w:r>
    </w:p>
    <w:p w14:paraId="375D89DF" w14:textId="2D0DD3D4" w:rsidR="004039F0" w:rsidRPr="00B316E1" w:rsidRDefault="004039F0" w:rsidP="004039F0">
      <w:pPr>
        <w:pStyle w:val="SingleTxtG"/>
        <w:ind w:left="1701"/>
        <w:rPr>
          <w:u w:val="single"/>
        </w:rPr>
      </w:pPr>
      <w:r w:rsidRPr="00254C79">
        <w:rPr>
          <w:i/>
          <w:iCs/>
          <w:u w:val="single"/>
        </w:rPr>
        <w:t>“</w:t>
      </w:r>
      <w:r w:rsidRPr="00D82E8E">
        <w:rPr>
          <w:b/>
          <w:bCs/>
          <w:i/>
          <w:iCs/>
          <w:u w:val="single"/>
        </w:rPr>
        <w:t>N</w:t>
      </w:r>
      <w:r>
        <w:rPr>
          <w:b/>
          <w:bCs/>
          <w:i/>
          <w:iCs/>
          <w:u w:val="single"/>
        </w:rPr>
        <w:t>OTE</w:t>
      </w:r>
      <w:r w:rsidRPr="00D82E8E">
        <w:rPr>
          <w:b/>
          <w:bCs/>
          <w:i/>
          <w:iCs/>
          <w:u w:val="single"/>
        </w:rPr>
        <w:t xml:space="preserve"> 2</w:t>
      </w:r>
      <w:r>
        <w:rPr>
          <w:i/>
          <w:iCs/>
          <w:u w:val="single"/>
        </w:rPr>
        <w:t xml:space="preserve">: </w:t>
      </w:r>
      <w:r w:rsidRPr="00B316E1">
        <w:rPr>
          <w:i/>
          <w:iCs/>
          <w:u w:val="single"/>
        </w:rPr>
        <w:t xml:space="preserve">Expert judgment </w:t>
      </w:r>
      <w:r>
        <w:rPr>
          <w:i/>
          <w:iCs/>
          <w:u w:val="single"/>
        </w:rPr>
        <w:t>may be used to</w:t>
      </w:r>
      <w:r w:rsidRPr="00B316E1">
        <w:rPr>
          <w:i/>
          <w:iCs/>
          <w:u w:val="single"/>
        </w:rPr>
        <w:t xml:space="preserve"> </w:t>
      </w:r>
      <w:r>
        <w:rPr>
          <w:i/>
          <w:iCs/>
          <w:u w:val="single"/>
        </w:rPr>
        <w:t>waive</w:t>
      </w:r>
      <w:r w:rsidRPr="00B316E1">
        <w:rPr>
          <w:i/>
          <w:iCs/>
          <w:u w:val="single"/>
        </w:rPr>
        <w:t xml:space="preserve"> </w:t>
      </w:r>
      <w:r>
        <w:rPr>
          <w:i/>
          <w:iCs/>
          <w:u w:val="single"/>
        </w:rPr>
        <w:t xml:space="preserve">the criteria of </w:t>
      </w:r>
      <w:r w:rsidRPr="00B316E1">
        <w:rPr>
          <w:i/>
          <w:iCs/>
          <w:u w:val="single"/>
        </w:rPr>
        <w:t xml:space="preserve">2.17.2.2 (b). See Manual of Tests </w:t>
      </w:r>
      <w:r>
        <w:rPr>
          <w:i/>
          <w:iCs/>
          <w:u w:val="single"/>
        </w:rPr>
        <w:t>and</w:t>
      </w:r>
      <w:r w:rsidRPr="00B316E1">
        <w:rPr>
          <w:i/>
          <w:iCs/>
          <w:u w:val="single"/>
        </w:rPr>
        <w:t xml:space="preserve"> Criteria, </w:t>
      </w:r>
      <w:r>
        <w:rPr>
          <w:i/>
          <w:iCs/>
          <w:u w:val="single"/>
        </w:rPr>
        <w:t>paragraph</w:t>
      </w:r>
      <w:r w:rsidRPr="00B316E1">
        <w:rPr>
          <w:i/>
          <w:iCs/>
          <w:u w:val="single"/>
        </w:rPr>
        <w:t xml:space="preserve"> 51.3.5.</w:t>
      </w:r>
      <w:r>
        <w:rPr>
          <w:i/>
          <w:iCs/>
          <w:u w:val="single"/>
        </w:rPr>
        <w:t>”.</w:t>
      </w:r>
    </w:p>
    <w:p w14:paraId="1A7F0E46" w14:textId="0E92E2CF" w:rsidR="004039F0" w:rsidRDefault="004039F0" w:rsidP="004039F0">
      <w:pPr>
        <w:pStyle w:val="SingleTxtG"/>
      </w:pPr>
      <w:r>
        <w:t>18.</w:t>
      </w:r>
      <w:r>
        <w:tab/>
        <w:t>In section 51 of the MTC, add the following new paragraph 51.3.5:</w:t>
      </w:r>
    </w:p>
    <w:p w14:paraId="17535A3D" w14:textId="776F098D" w:rsidR="004039F0" w:rsidRPr="00FE1C76" w:rsidRDefault="004039F0" w:rsidP="00D82E8E">
      <w:pPr>
        <w:pStyle w:val="SingleTxtG"/>
        <w:ind w:left="2268" w:hanging="567"/>
        <w:rPr>
          <w:u w:val="single"/>
        </w:rPr>
      </w:pPr>
      <w:r w:rsidRPr="00D45277">
        <w:t>“</w:t>
      </w:r>
      <w:r w:rsidRPr="00B316E1">
        <w:rPr>
          <w:u w:val="single"/>
        </w:rPr>
        <w:t>51.3.5</w:t>
      </w:r>
      <w:r>
        <w:rPr>
          <w:u w:val="single"/>
        </w:rPr>
        <w:tab/>
        <w:t>W</w:t>
      </w:r>
      <w:r w:rsidRPr="00B316E1">
        <w:rPr>
          <w:u w:val="single"/>
        </w:rPr>
        <w:t>ell-</w:t>
      </w:r>
      <w:r>
        <w:rPr>
          <w:u w:val="single"/>
        </w:rPr>
        <w:t>defined</w:t>
      </w:r>
      <w:r w:rsidRPr="00B316E1">
        <w:rPr>
          <w:u w:val="single"/>
        </w:rPr>
        <w:t xml:space="preserve"> mixtures </w:t>
      </w:r>
      <w:r>
        <w:rPr>
          <w:u w:val="single"/>
        </w:rPr>
        <w:t>assigned to a specific</w:t>
      </w:r>
      <w:r w:rsidRPr="00B316E1">
        <w:rPr>
          <w:u w:val="single"/>
        </w:rPr>
        <w:t xml:space="preserve"> UN entry which does not require explosives testing</w:t>
      </w:r>
      <w:r>
        <w:rPr>
          <w:u w:val="single"/>
        </w:rPr>
        <w:t xml:space="preserve"> are not subject to tests of Part 1. Examples include UN Nos. </w:t>
      </w:r>
      <w:r w:rsidRPr="00FE1C76">
        <w:rPr>
          <w:u w:val="single"/>
        </w:rPr>
        <w:t>1204</w:t>
      </w:r>
      <w:r>
        <w:rPr>
          <w:u w:val="single"/>
        </w:rPr>
        <w:t xml:space="preserve">, </w:t>
      </w:r>
      <w:r w:rsidRPr="00FE1C76">
        <w:rPr>
          <w:u w:val="single"/>
        </w:rPr>
        <w:t>1210</w:t>
      </w:r>
      <w:r>
        <w:rPr>
          <w:u w:val="single"/>
        </w:rPr>
        <w:t xml:space="preserve">, </w:t>
      </w:r>
      <w:r w:rsidRPr="00FE1C76">
        <w:rPr>
          <w:u w:val="single"/>
        </w:rPr>
        <w:t>1263</w:t>
      </w:r>
      <w:r>
        <w:rPr>
          <w:u w:val="single"/>
        </w:rPr>
        <w:t xml:space="preserve">, </w:t>
      </w:r>
      <w:r w:rsidRPr="00E81DFF">
        <w:rPr>
          <w:u w:val="single"/>
        </w:rPr>
        <w:t>1266</w:t>
      </w:r>
      <w:r>
        <w:rPr>
          <w:u w:val="single"/>
        </w:rPr>
        <w:t>,</w:t>
      </w:r>
      <w:r w:rsidRPr="00E81DFF">
        <w:rPr>
          <w:u w:val="single"/>
        </w:rPr>
        <w:t xml:space="preserve">  1310</w:t>
      </w:r>
      <w:r>
        <w:rPr>
          <w:u w:val="single"/>
        </w:rPr>
        <w:t>,</w:t>
      </w:r>
      <w:r w:rsidRPr="00E81DFF">
        <w:rPr>
          <w:u w:val="single"/>
        </w:rPr>
        <w:t xml:space="preserve">  1320</w:t>
      </w:r>
      <w:r>
        <w:rPr>
          <w:u w:val="single"/>
        </w:rPr>
        <w:t>,</w:t>
      </w:r>
      <w:r w:rsidRPr="00E81DFF">
        <w:rPr>
          <w:u w:val="single"/>
        </w:rPr>
        <w:t xml:space="preserve">  1321</w:t>
      </w:r>
      <w:r>
        <w:rPr>
          <w:u w:val="single"/>
        </w:rPr>
        <w:t>,</w:t>
      </w:r>
      <w:r w:rsidRPr="00E81DFF">
        <w:rPr>
          <w:u w:val="single"/>
        </w:rPr>
        <w:t xml:space="preserve">  1322</w:t>
      </w:r>
      <w:r>
        <w:rPr>
          <w:u w:val="single"/>
        </w:rPr>
        <w:t>,</w:t>
      </w:r>
      <w:r w:rsidRPr="00E81DFF">
        <w:rPr>
          <w:u w:val="single"/>
        </w:rPr>
        <w:t xml:space="preserve">  1324</w:t>
      </w:r>
      <w:r>
        <w:rPr>
          <w:u w:val="single"/>
        </w:rPr>
        <w:t>,</w:t>
      </w:r>
      <w:r w:rsidRPr="00E81DFF">
        <w:rPr>
          <w:u w:val="single"/>
        </w:rPr>
        <w:t xml:space="preserve"> 1336</w:t>
      </w:r>
      <w:r>
        <w:rPr>
          <w:u w:val="single"/>
        </w:rPr>
        <w:t>,</w:t>
      </w:r>
      <w:r w:rsidRPr="00E81DFF">
        <w:rPr>
          <w:u w:val="single"/>
        </w:rPr>
        <w:t xml:space="preserve">  1337</w:t>
      </w:r>
      <w:r>
        <w:rPr>
          <w:u w:val="single"/>
        </w:rPr>
        <w:t>,</w:t>
      </w:r>
      <w:r w:rsidRPr="00E81DFF">
        <w:rPr>
          <w:u w:val="single"/>
        </w:rPr>
        <w:t xml:space="preserve">  1344</w:t>
      </w:r>
      <w:r>
        <w:rPr>
          <w:u w:val="single"/>
        </w:rPr>
        <w:t>,</w:t>
      </w:r>
      <w:r w:rsidRPr="00E81DFF">
        <w:rPr>
          <w:u w:val="single"/>
        </w:rPr>
        <w:t xml:space="preserve">  1347</w:t>
      </w:r>
      <w:r>
        <w:rPr>
          <w:u w:val="single"/>
        </w:rPr>
        <w:t>,</w:t>
      </w:r>
      <w:r w:rsidRPr="00E81DFF">
        <w:rPr>
          <w:u w:val="single"/>
        </w:rPr>
        <w:t xml:space="preserve">  1348</w:t>
      </w:r>
      <w:r>
        <w:rPr>
          <w:u w:val="single"/>
        </w:rPr>
        <w:t>,</w:t>
      </w:r>
      <w:r w:rsidRPr="00E81DFF">
        <w:rPr>
          <w:u w:val="single"/>
        </w:rPr>
        <w:t xml:space="preserve">  1349</w:t>
      </w:r>
      <w:r>
        <w:rPr>
          <w:u w:val="single"/>
        </w:rPr>
        <w:t>,</w:t>
      </w:r>
      <w:r w:rsidRPr="00E81DFF">
        <w:rPr>
          <w:u w:val="single"/>
        </w:rPr>
        <w:t xml:space="preserve">  1353</w:t>
      </w:r>
      <w:r>
        <w:rPr>
          <w:u w:val="single"/>
        </w:rPr>
        <w:t>,</w:t>
      </w:r>
      <w:r w:rsidRPr="00E81DFF">
        <w:rPr>
          <w:u w:val="single"/>
        </w:rPr>
        <w:t xml:space="preserve">  1354</w:t>
      </w:r>
      <w:r>
        <w:rPr>
          <w:u w:val="single"/>
        </w:rPr>
        <w:t>,</w:t>
      </w:r>
      <w:r w:rsidRPr="00E81DFF">
        <w:rPr>
          <w:u w:val="single"/>
        </w:rPr>
        <w:t xml:space="preserve">  1355</w:t>
      </w:r>
      <w:r>
        <w:rPr>
          <w:u w:val="single"/>
        </w:rPr>
        <w:t>,</w:t>
      </w:r>
      <w:r w:rsidRPr="00E81DFF">
        <w:rPr>
          <w:u w:val="single"/>
        </w:rPr>
        <w:t xml:space="preserve">  1356</w:t>
      </w:r>
      <w:r>
        <w:rPr>
          <w:u w:val="single"/>
        </w:rPr>
        <w:t>,</w:t>
      </w:r>
      <w:r w:rsidRPr="00E81DFF">
        <w:rPr>
          <w:u w:val="single"/>
        </w:rPr>
        <w:t xml:space="preserve">  1357</w:t>
      </w:r>
      <w:r>
        <w:rPr>
          <w:u w:val="single"/>
        </w:rPr>
        <w:t>,</w:t>
      </w:r>
      <w:r w:rsidRPr="00E81DFF">
        <w:rPr>
          <w:u w:val="single"/>
        </w:rPr>
        <w:t xml:space="preserve">  1517</w:t>
      </w:r>
      <w:r>
        <w:rPr>
          <w:u w:val="single"/>
        </w:rPr>
        <w:t>,</w:t>
      </w:r>
      <w:r w:rsidRPr="00E81DFF">
        <w:rPr>
          <w:u w:val="single"/>
        </w:rPr>
        <w:t xml:space="preserve">  2006</w:t>
      </w:r>
      <w:r>
        <w:rPr>
          <w:u w:val="single"/>
        </w:rPr>
        <w:t>,</w:t>
      </w:r>
      <w:r w:rsidRPr="00E81DFF">
        <w:rPr>
          <w:u w:val="single"/>
        </w:rPr>
        <w:t xml:space="preserve">  2059</w:t>
      </w:r>
      <w:r>
        <w:rPr>
          <w:u w:val="single"/>
        </w:rPr>
        <w:t>,</w:t>
      </w:r>
      <w:r w:rsidRPr="00E81DFF">
        <w:rPr>
          <w:u w:val="single"/>
        </w:rPr>
        <w:t xml:space="preserve">  2555</w:t>
      </w:r>
      <w:r>
        <w:rPr>
          <w:u w:val="single"/>
        </w:rPr>
        <w:t>,</w:t>
      </w:r>
      <w:r w:rsidRPr="00E81DFF">
        <w:rPr>
          <w:u w:val="single"/>
        </w:rPr>
        <w:t xml:space="preserve">  2556</w:t>
      </w:r>
      <w:r>
        <w:rPr>
          <w:u w:val="single"/>
        </w:rPr>
        <w:t>,</w:t>
      </w:r>
      <w:r w:rsidRPr="00E81DFF">
        <w:rPr>
          <w:u w:val="single"/>
        </w:rPr>
        <w:t xml:space="preserve">  2557</w:t>
      </w:r>
      <w:r>
        <w:rPr>
          <w:u w:val="single"/>
        </w:rPr>
        <w:t>,</w:t>
      </w:r>
      <w:r w:rsidRPr="00E81DFF">
        <w:rPr>
          <w:u w:val="single"/>
        </w:rPr>
        <w:t xml:space="preserve">  2852</w:t>
      </w:r>
      <w:r>
        <w:rPr>
          <w:u w:val="single"/>
        </w:rPr>
        <w:t>,</w:t>
      </w:r>
      <w:r w:rsidRPr="00E81DFF">
        <w:rPr>
          <w:u w:val="single"/>
        </w:rPr>
        <w:t xml:space="preserve">  2907</w:t>
      </w:r>
      <w:r>
        <w:rPr>
          <w:u w:val="single"/>
        </w:rPr>
        <w:t>,</w:t>
      </w:r>
      <w:r w:rsidRPr="00E81DFF">
        <w:rPr>
          <w:u w:val="single"/>
        </w:rPr>
        <w:t xml:space="preserve">  3064</w:t>
      </w:r>
      <w:r>
        <w:rPr>
          <w:u w:val="single"/>
        </w:rPr>
        <w:t>,</w:t>
      </w:r>
      <w:r w:rsidRPr="00E81DFF">
        <w:rPr>
          <w:u w:val="single"/>
        </w:rPr>
        <w:t xml:space="preserve">  3066</w:t>
      </w:r>
      <w:r>
        <w:rPr>
          <w:u w:val="single"/>
        </w:rPr>
        <w:t>,</w:t>
      </w:r>
      <w:r w:rsidRPr="00E81DFF">
        <w:rPr>
          <w:u w:val="single"/>
        </w:rPr>
        <w:t xml:space="preserve">  3270</w:t>
      </w:r>
      <w:r>
        <w:rPr>
          <w:u w:val="single"/>
        </w:rPr>
        <w:t>,</w:t>
      </w:r>
      <w:r w:rsidRPr="00E81DFF">
        <w:rPr>
          <w:u w:val="single"/>
        </w:rPr>
        <w:t xml:space="preserve">  3317</w:t>
      </w:r>
      <w:r>
        <w:rPr>
          <w:u w:val="single"/>
        </w:rPr>
        <w:t>,</w:t>
      </w:r>
      <w:r w:rsidRPr="00E81DFF">
        <w:rPr>
          <w:u w:val="single"/>
        </w:rPr>
        <w:t xml:space="preserve">  3343</w:t>
      </w:r>
      <w:r>
        <w:rPr>
          <w:u w:val="single"/>
        </w:rPr>
        <w:t>,</w:t>
      </w:r>
      <w:r w:rsidRPr="00E81DFF">
        <w:rPr>
          <w:u w:val="single"/>
        </w:rPr>
        <w:t xml:space="preserve">  3364</w:t>
      </w:r>
      <w:r>
        <w:rPr>
          <w:u w:val="single"/>
        </w:rPr>
        <w:t>,</w:t>
      </w:r>
      <w:r w:rsidRPr="00E81DFF">
        <w:rPr>
          <w:u w:val="single"/>
        </w:rPr>
        <w:t xml:space="preserve">  3365</w:t>
      </w:r>
      <w:r>
        <w:rPr>
          <w:u w:val="single"/>
        </w:rPr>
        <w:t>,</w:t>
      </w:r>
      <w:r w:rsidRPr="00E81DFF">
        <w:rPr>
          <w:u w:val="single"/>
        </w:rPr>
        <w:t xml:space="preserve">  3366</w:t>
      </w:r>
      <w:r>
        <w:rPr>
          <w:u w:val="single"/>
        </w:rPr>
        <w:t>,</w:t>
      </w:r>
      <w:r w:rsidRPr="00E81DFF">
        <w:rPr>
          <w:u w:val="single"/>
        </w:rPr>
        <w:t xml:space="preserve">  3367</w:t>
      </w:r>
      <w:r>
        <w:rPr>
          <w:u w:val="single"/>
        </w:rPr>
        <w:t>,</w:t>
      </w:r>
      <w:r w:rsidRPr="00E81DFF">
        <w:rPr>
          <w:u w:val="single"/>
        </w:rPr>
        <w:t xml:space="preserve">  3368</w:t>
      </w:r>
      <w:r>
        <w:rPr>
          <w:u w:val="single"/>
        </w:rPr>
        <w:t>,</w:t>
      </w:r>
      <w:r w:rsidRPr="00E81DFF">
        <w:rPr>
          <w:u w:val="single"/>
        </w:rPr>
        <w:t xml:space="preserve">  3369</w:t>
      </w:r>
      <w:r>
        <w:rPr>
          <w:u w:val="single"/>
        </w:rPr>
        <w:t>,</w:t>
      </w:r>
      <w:r w:rsidRPr="00E81DFF">
        <w:rPr>
          <w:u w:val="single"/>
        </w:rPr>
        <w:t xml:space="preserve">  3370</w:t>
      </w:r>
      <w:r>
        <w:rPr>
          <w:u w:val="single"/>
        </w:rPr>
        <w:t>,</w:t>
      </w:r>
      <w:r w:rsidRPr="00E81DFF">
        <w:rPr>
          <w:u w:val="single"/>
        </w:rPr>
        <w:t xml:space="preserve">  3376</w:t>
      </w:r>
      <w:r>
        <w:rPr>
          <w:u w:val="single"/>
        </w:rPr>
        <w:t>,</w:t>
      </w:r>
      <w:r w:rsidRPr="00E81DFF">
        <w:rPr>
          <w:u w:val="single"/>
        </w:rPr>
        <w:t xml:space="preserve">  3469</w:t>
      </w:r>
      <w:r>
        <w:rPr>
          <w:u w:val="single"/>
        </w:rPr>
        <w:t>,</w:t>
      </w:r>
      <w:r w:rsidRPr="00E81DFF">
        <w:rPr>
          <w:u w:val="single"/>
        </w:rPr>
        <w:t xml:space="preserve">  3470</w:t>
      </w:r>
      <w:r>
        <w:rPr>
          <w:u w:val="single"/>
        </w:rPr>
        <w:t>,</w:t>
      </w:r>
      <w:r w:rsidRPr="00E81DFF">
        <w:rPr>
          <w:u w:val="single"/>
        </w:rPr>
        <w:t xml:space="preserve">  3474</w:t>
      </w:r>
      <w:r>
        <w:rPr>
          <w:u w:val="single"/>
        </w:rPr>
        <w:t xml:space="preserve"> and</w:t>
      </w:r>
      <w:r w:rsidRPr="00E81DFF">
        <w:rPr>
          <w:u w:val="single"/>
        </w:rPr>
        <w:t xml:space="preserve"> 3555</w:t>
      </w:r>
      <w:r>
        <w:rPr>
          <w:u w:val="single"/>
        </w:rPr>
        <w:t>.</w:t>
      </w:r>
      <w:r w:rsidRPr="00D45277">
        <w:t>”.</w:t>
      </w:r>
    </w:p>
    <w:p w14:paraId="73B9A296" w14:textId="77777777" w:rsidR="004039F0" w:rsidRDefault="004039F0" w:rsidP="004039F0">
      <w:pPr>
        <w:pStyle w:val="SingleTxtG"/>
      </w:pPr>
      <w:r>
        <w:t>19.</w:t>
      </w:r>
      <w:r>
        <w:tab/>
      </w:r>
      <w:r w:rsidRPr="007C499F">
        <w:t>Assuming</w:t>
      </w:r>
      <w:r>
        <w:t xml:space="preserve"> that the above proposals are adopted:</w:t>
      </w:r>
    </w:p>
    <w:p w14:paraId="339F38D2" w14:textId="4D630DEE" w:rsidR="004039F0" w:rsidRDefault="004039F0" w:rsidP="004039F0">
      <w:pPr>
        <w:pStyle w:val="SingleTxtG"/>
      </w:pPr>
      <w:r>
        <w:tab/>
        <w:t>(a)</w:t>
      </w:r>
      <w:r>
        <w:tab/>
        <w:t>Delete the note in GHS 2.17.2.3 exempting nitrocellulose mixtures from test series 3.</w:t>
      </w:r>
    </w:p>
    <w:p w14:paraId="66BEEA3C" w14:textId="6C1A3DBF" w:rsidR="00AF5DE1" w:rsidRDefault="004039F0" w:rsidP="004039F0">
      <w:pPr>
        <w:pStyle w:val="SingleTxtG"/>
      </w:pPr>
      <w:r>
        <w:tab/>
        <w:t>(b)</w:t>
      </w:r>
      <w:r>
        <w:tab/>
      </w:r>
      <w:r w:rsidRPr="007C499F">
        <w:t>Delete</w:t>
      </w:r>
      <w:r>
        <w:t xml:space="preserve"> subparagraph 51.3.2 (c) in section 51 of the </w:t>
      </w:r>
      <w:r>
        <w:rPr>
          <w:i/>
          <w:iCs/>
        </w:rPr>
        <w:t>MTC and renumber subsequent subparagraphs accordingly</w:t>
      </w:r>
      <w:r>
        <w:t>.</w:t>
      </w:r>
    </w:p>
    <w:p w14:paraId="622CEB35" w14:textId="70484451" w:rsidR="004039F0" w:rsidRPr="004039F0" w:rsidRDefault="004039F0" w:rsidP="004039F0">
      <w:pPr>
        <w:spacing w:before="240"/>
        <w:jc w:val="center"/>
        <w:rPr>
          <w:u w:val="single"/>
        </w:rPr>
      </w:pPr>
      <w:r>
        <w:rPr>
          <w:u w:val="single"/>
        </w:rPr>
        <w:tab/>
      </w:r>
      <w:r>
        <w:rPr>
          <w:u w:val="single"/>
        </w:rPr>
        <w:tab/>
      </w:r>
      <w:r>
        <w:rPr>
          <w:u w:val="single"/>
        </w:rPr>
        <w:tab/>
      </w:r>
    </w:p>
    <w:sectPr w:rsidR="004039F0" w:rsidRPr="004039F0" w:rsidSect="00D50D42">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A93A" w14:textId="77777777" w:rsidR="005204C5" w:rsidRPr="00C47B2E" w:rsidRDefault="005204C5" w:rsidP="00C47B2E">
      <w:pPr>
        <w:pStyle w:val="Footer"/>
      </w:pPr>
    </w:p>
  </w:endnote>
  <w:endnote w:type="continuationSeparator" w:id="0">
    <w:p w14:paraId="18891852" w14:textId="77777777" w:rsidR="005204C5" w:rsidRPr="00C47B2E" w:rsidRDefault="005204C5" w:rsidP="00C47B2E">
      <w:pPr>
        <w:pStyle w:val="Footer"/>
      </w:pPr>
    </w:p>
  </w:endnote>
  <w:endnote w:type="continuationNotice" w:id="1">
    <w:p w14:paraId="0BCCBB1A" w14:textId="77777777" w:rsidR="005204C5" w:rsidRPr="00C47B2E" w:rsidRDefault="005204C5"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440D" w14:textId="578373F5" w:rsidR="00D94B05" w:rsidRPr="00D50D42" w:rsidRDefault="00D50D42" w:rsidP="00D85308">
    <w:pPr>
      <w:pStyle w:val="Footer"/>
      <w:tabs>
        <w:tab w:val="right" w:pos="9639"/>
      </w:tabs>
      <w:rPr>
        <w:sz w:val="18"/>
      </w:rPr>
    </w:pPr>
    <w:r w:rsidRPr="00D50D42">
      <w:rPr>
        <w:b/>
        <w:sz w:val="18"/>
      </w:rPr>
      <w:fldChar w:fldCharType="begin"/>
    </w:r>
    <w:r w:rsidRPr="00D50D42">
      <w:rPr>
        <w:b/>
        <w:sz w:val="18"/>
      </w:rPr>
      <w:instrText xml:space="preserve"> PAGE  \* MERGEFORMAT </w:instrText>
    </w:r>
    <w:r w:rsidRPr="00D50D42">
      <w:rPr>
        <w:b/>
        <w:sz w:val="18"/>
      </w:rPr>
      <w:fldChar w:fldCharType="separate"/>
    </w:r>
    <w:r w:rsidRPr="00D50D42">
      <w:rPr>
        <w:b/>
        <w:noProof/>
        <w:sz w:val="18"/>
      </w:rPr>
      <w:t>2</w:t>
    </w:r>
    <w:r w:rsidRPr="00D50D4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D975" w14:textId="24579E04" w:rsidR="00D94B05" w:rsidRPr="00D50D42" w:rsidRDefault="00D50D42" w:rsidP="00D85308">
    <w:pPr>
      <w:pStyle w:val="Footer"/>
      <w:tabs>
        <w:tab w:val="right" w:pos="9639"/>
      </w:tabs>
      <w:rPr>
        <w:b/>
        <w:bCs/>
        <w:sz w:val="18"/>
      </w:rPr>
    </w:pPr>
    <w:r>
      <w:rPr>
        <w:bCs/>
        <w:sz w:val="18"/>
      </w:rPr>
      <w:tab/>
    </w:r>
    <w:r w:rsidRPr="00D50D42">
      <w:rPr>
        <w:b/>
        <w:bCs/>
        <w:sz w:val="18"/>
      </w:rPr>
      <w:fldChar w:fldCharType="begin"/>
    </w:r>
    <w:r w:rsidRPr="00D50D42">
      <w:rPr>
        <w:b/>
        <w:bCs/>
        <w:sz w:val="18"/>
      </w:rPr>
      <w:instrText xml:space="preserve"> PAGE  \* MERGEFORMAT </w:instrText>
    </w:r>
    <w:r w:rsidRPr="00D50D42">
      <w:rPr>
        <w:b/>
        <w:bCs/>
        <w:sz w:val="18"/>
      </w:rPr>
      <w:fldChar w:fldCharType="separate"/>
    </w:r>
    <w:r w:rsidRPr="00D50D42">
      <w:rPr>
        <w:b/>
        <w:bCs/>
        <w:noProof/>
        <w:sz w:val="18"/>
      </w:rPr>
      <w:t>3</w:t>
    </w:r>
    <w:r w:rsidRPr="00D50D4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D0FF" w14:textId="367751FD" w:rsidR="00901590" w:rsidRDefault="00901590" w:rsidP="00901590">
    <w:pPr>
      <w:pStyle w:val="Footer"/>
    </w:pPr>
    <w:r w:rsidRPr="0027112F">
      <w:rPr>
        <w:noProof/>
        <w:lang w:val="en-US"/>
      </w:rPr>
      <w:drawing>
        <wp:anchor distT="0" distB="0" distL="114300" distR="114300" simplePos="0" relativeHeight="251659264" behindDoc="0" locked="1" layoutInCell="1" allowOverlap="1" wp14:anchorId="1A912763" wp14:editId="4DA0B796">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B160601" w14:textId="33AF9F4D" w:rsidR="00901590" w:rsidRPr="00901590" w:rsidRDefault="00901590" w:rsidP="00901590">
    <w:pPr>
      <w:pStyle w:val="Footer"/>
      <w:ind w:right="1134"/>
      <w:rPr>
        <w:sz w:val="20"/>
      </w:rPr>
    </w:pPr>
    <w:r>
      <w:rPr>
        <w:sz w:val="20"/>
      </w:rPr>
      <w:t>GE.24-</w:t>
    </w:r>
    <w:proofErr w:type="gramStart"/>
    <w:r>
      <w:rPr>
        <w:sz w:val="20"/>
      </w:rPr>
      <w:t>16015  (</w:t>
    </w:r>
    <w:proofErr w:type="gramEnd"/>
    <w:r>
      <w:rPr>
        <w:sz w:val="20"/>
      </w:rPr>
      <w:t>E)</w:t>
    </w:r>
    <w:r>
      <w:rPr>
        <w:noProof/>
        <w:sz w:val="20"/>
      </w:rPr>
      <w:drawing>
        <wp:anchor distT="0" distB="0" distL="114300" distR="114300" simplePos="0" relativeHeight="251660288" behindDoc="0" locked="0" layoutInCell="1" allowOverlap="1" wp14:anchorId="452E9B34" wp14:editId="4E756006">
          <wp:simplePos x="0" y="0"/>
          <wp:positionH relativeFrom="margin">
            <wp:posOffset>5615940</wp:posOffset>
          </wp:positionH>
          <wp:positionV relativeFrom="margin">
            <wp:posOffset>8905875</wp:posOffset>
          </wp:positionV>
          <wp:extent cx="571500" cy="571500"/>
          <wp:effectExtent l="0" t="0" r="0" b="0"/>
          <wp:wrapNone/>
          <wp:docPr id="57138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03C1" w14:textId="77777777" w:rsidR="005204C5" w:rsidRPr="00C47B2E" w:rsidRDefault="005204C5" w:rsidP="00C47B2E">
      <w:pPr>
        <w:tabs>
          <w:tab w:val="right" w:pos="2155"/>
        </w:tabs>
        <w:spacing w:after="80" w:line="240" w:lineRule="auto"/>
        <w:ind w:left="680"/>
      </w:pPr>
      <w:r>
        <w:rPr>
          <w:u w:val="single"/>
        </w:rPr>
        <w:tab/>
      </w:r>
    </w:p>
  </w:footnote>
  <w:footnote w:type="continuationSeparator" w:id="0">
    <w:p w14:paraId="7E3375A0" w14:textId="77777777" w:rsidR="005204C5" w:rsidRPr="00C47B2E" w:rsidRDefault="005204C5" w:rsidP="005E716E">
      <w:pPr>
        <w:tabs>
          <w:tab w:val="right" w:pos="2155"/>
        </w:tabs>
        <w:spacing w:after="80" w:line="240" w:lineRule="auto"/>
        <w:ind w:left="680"/>
      </w:pPr>
      <w:r>
        <w:rPr>
          <w:u w:val="single"/>
        </w:rPr>
        <w:tab/>
      </w:r>
    </w:p>
  </w:footnote>
  <w:footnote w:type="continuationNotice" w:id="1">
    <w:p w14:paraId="5160EECD" w14:textId="77777777" w:rsidR="005204C5" w:rsidRPr="00C47B2E" w:rsidRDefault="005204C5" w:rsidP="00C47B2E">
      <w:pPr>
        <w:pStyle w:val="Footer"/>
      </w:pPr>
    </w:p>
  </w:footnote>
  <w:footnote w:id="2">
    <w:p w14:paraId="1C8CD1B1" w14:textId="77777777" w:rsidR="004039F0" w:rsidRPr="002F5822" w:rsidRDefault="004039F0" w:rsidP="004039F0">
      <w:pPr>
        <w:rPr>
          <w:sz w:val="18"/>
          <w:szCs w:val="18"/>
        </w:rPr>
      </w:pPr>
      <w:r>
        <w:rPr>
          <w:rStyle w:val="FootnoteReference"/>
        </w:rPr>
        <w:tab/>
      </w:r>
      <w:r w:rsidRPr="00F15235">
        <w:rPr>
          <w:rStyle w:val="FootnoteReference"/>
          <w:sz w:val="20"/>
        </w:rPr>
        <w:t>*</w:t>
      </w:r>
      <w:r>
        <w:rPr>
          <w:rStyle w:val="FootnoteReference"/>
          <w:sz w:val="20"/>
          <w:vertAlign w:val="baseline"/>
        </w:rPr>
        <w:tab/>
      </w:r>
      <w:r w:rsidRPr="002F5822">
        <w:rPr>
          <w:sz w:val="18"/>
          <w:szCs w:val="18"/>
        </w:rPr>
        <w:t>A/78/6 (Sect. 20), table 20.5.</w:t>
      </w:r>
    </w:p>
  </w:footnote>
  <w:footnote w:id="3">
    <w:p w14:paraId="61552CC5" w14:textId="2066D2BB" w:rsidR="004039F0" w:rsidRPr="002F5822" w:rsidRDefault="004039F0" w:rsidP="004039F0">
      <w:pPr>
        <w:pStyle w:val="FootnoteText"/>
        <w:tabs>
          <w:tab w:val="clear" w:pos="1021"/>
          <w:tab w:val="right" w:pos="1020"/>
        </w:tabs>
        <w:rPr>
          <w:lang w:val="en-US"/>
        </w:rPr>
      </w:pPr>
      <w:r>
        <w:tab/>
      </w:r>
      <w:r>
        <w:rPr>
          <w:rStyle w:val="FootnoteReference"/>
        </w:rPr>
        <w:footnoteRef/>
      </w:r>
      <w:r>
        <w:tab/>
      </w:r>
      <w:r>
        <w:rPr>
          <w:lang w:val="en-US"/>
        </w:rPr>
        <w:t xml:space="preserve">The phrase “explosives testing” is used to refer to tests in the </w:t>
      </w:r>
      <w:r w:rsidRPr="00D82E8E">
        <w:rPr>
          <w:i/>
          <w:iCs/>
        </w:rPr>
        <w:t xml:space="preserve">Manual of Tests </w:t>
      </w:r>
      <w:r>
        <w:rPr>
          <w:i/>
          <w:iCs/>
        </w:rPr>
        <w:t>and</w:t>
      </w:r>
      <w:r w:rsidRPr="00D82E8E">
        <w:rPr>
          <w:i/>
          <w:iCs/>
        </w:rPr>
        <w:t xml:space="preserve"> Criteria</w:t>
      </w:r>
      <w:r>
        <w:t xml:space="preserve"> in </w:t>
      </w:r>
      <w:r w:rsidRPr="00E1316A">
        <w:t>Part I:</w:t>
      </w:r>
      <w:r>
        <w:t xml:space="preserve"> </w:t>
      </w:r>
      <w:r w:rsidRPr="00E1316A">
        <w:t xml:space="preserve">Classification Procedures, Test </w:t>
      </w:r>
      <w:r>
        <w:t>m</w:t>
      </w:r>
      <w:r w:rsidRPr="00E1316A">
        <w:t xml:space="preserve">ethods </w:t>
      </w:r>
      <w:r>
        <w:t>a</w:t>
      </w:r>
      <w:r w:rsidRPr="00E1316A">
        <w:t xml:space="preserve">nd </w:t>
      </w:r>
      <w:r>
        <w:t>c</w:t>
      </w:r>
      <w:r w:rsidRPr="00E1316A">
        <w:t xml:space="preserve">riteria </w:t>
      </w:r>
      <w:r>
        <w:t>r</w:t>
      </w:r>
      <w:r w:rsidRPr="00E1316A">
        <w:t xml:space="preserve">elating </w:t>
      </w:r>
      <w:r>
        <w:t>t</w:t>
      </w:r>
      <w:r w:rsidRPr="00E1316A">
        <w:t xml:space="preserve">o </w:t>
      </w:r>
      <w:r>
        <w:t>e</w:t>
      </w:r>
      <w:r w:rsidRPr="00E1316A">
        <w:t>xplosives</w:t>
      </w:r>
      <w:r>
        <w:t>.</w:t>
      </w:r>
    </w:p>
  </w:footnote>
  <w:footnote w:id="4">
    <w:p w14:paraId="1BA3679F" w14:textId="23AF15B2" w:rsidR="004039F0" w:rsidRPr="002F5822" w:rsidRDefault="004039F0" w:rsidP="004039F0">
      <w:pPr>
        <w:pStyle w:val="FootnoteText"/>
        <w:widowControl w:val="0"/>
        <w:tabs>
          <w:tab w:val="clear" w:pos="1021"/>
          <w:tab w:val="right" w:pos="1020"/>
        </w:tabs>
        <w:suppressAutoHyphens/>
        <w:rPr>
          <w:lang w:val="fr-CH"/>
        </w:rPr>
      </w:pPr>
      <w:r>
        <w:tab/>
      </w:r>
      <w:r>
        <w:rPr>
          <w:rStyle w:val="FootnoteReference"/>
        </w:rPr>
        <w:footnoteRef/>
      </w:r>
      <w:r>
        <w:tab/>
      </w:r>
      <w:r>
        <w:rPr>
          <w:lang w:val="en-US"/>
        </w:rPr>
        <w:t xml:space="preserve">For a discussion of the four types of proper shipping names, and their preferential ranking, see the International Air Transport Association’s (IATA) </w:t>
      </w:r>
      <w:r w:rsidRPr="00D82E8E">
        <w:rPr>
          <w:i/>
          <w:iCs/>
          <w:lang w:val="en-US"/>
        </w:rPr>
        <w:t>Dangerous Goods Regulations</w:t>
      </w:r>
      <w:r>
        <w:rPr>
          <w:lang w:val="en-US"/>
        </w:rPr>
        <w:t xml:space="preserve"> (DGR), Section 4.1.0.2.</w:t>
      </w:r>
    </w:p>
  </w:footnote>
  <w:footnote w:id="5">
    <w:p w14:paraId="66CB015F" w14:textId="0EE00544" w:rsidR="004039F0" w:rsidRPr="006F2D3F" w:rsidRDefault="004039F0" w:rsidP="004039F0">
      <w:pPr>
        <w:pStyle w:val="FootnoteText"/>
        <w:widowControl w:val="0"/>
        <w:tabs>
          <w:tab w:val="clear" w:pos="1021"/>
          <w:tab w:val="right" w:pos="1020"/>
        </w:tabs>
        <w:suppressAutoHyphens/>
        <w:rPr>
          <w:lang w:val="fr-CH"/>
        </w:rPr>
      </w:pPr>
      <w:r>
        <w:tab/>
      </w:r>
      <w:r>
        <w:rPr>
          <w:rStyle w:val="FootnoteReference"/>
        </w:rPr>
        <w:footnoteRef/>
      </w:r>
      <w:r>
        <w:tab/>
      </w:r>
      <w:r>
        <w:rPr>
          <w:lang w:val="en-US"/>
        </w:rPr>
        <w:t xml:space="preserve">See </w:t>
      </w:r>
      <w:r w:rsidRPr="00831392">
        <w:rPr>
          <w:lang w:val="en-US"/>
        </w:rPr>
        <w:t>ST/SG/AC.10/C.3/2024/24−ST/SG/AC.10/C.4/2024/5</w:t>
      </w:r>
      <w:r>
        <w:rPr>
          <w:lang w:val="en-US"/>
        </w:rPr>
        <w:t xml:space="preserve">, para. 16 for new proposed explosives testing requirements for nitrocellulose with pigments or </w:t>
      </w:r>
      <w:proofErr w:type="gramStart"/>
      <w:r>
        <w:rPr>
          <w:lang w:val="en-US"/>
        </w:rPr>
        <w:t>plasticizers, and</w:t>
      </w:r>
      <w:proofErr w:type="gramEnd"/>
      <w:r>
        <w:rPr>
          <w:lang w:val="en-US"/>
        </w:rPr>
        <w:t xml:space="preserve"> see UN 2557 which allows pigments.</w:t>
      </w:r>
      <w:r>
        <w:t xml:space="preserve"> </w:t>
      </w:r>
    </w:p>
  </w:footnote>
  <w:footnote w:id="6">
    <w:p w14:paraId="150085B6" w14:textId="2389C621" w:rsidR="004039F0" w:rsidRPr="00335124" w:rsidRDefault="004039F0" w:rsidP="004039F0">
      <w:pPr>
        <w:pStyle w:val="FootnoteText"/>
        <w:tabs>
          <w:tab w:val="clear" w:pos="1021"/>
          <w:tab w:val="right" w:pos="1020"/>
        </w:tabs>
        <w:rPr>
          <w:lang w:val="en-US"/>
        </w:rPr>
      </w:pPr>
      <w:r>
        <w:tab/>
      </w:r>
      <w:r>
        <w:rPr>
          <w:rStyle w:val="FootnoteReference"/>
        </w:rPr>
        <w:footnoteRef/>
      </w:r>
      <w:r>
        <w:tab/>
      </w:r>
      <w:r>
        <w:rPr>
          <w:lang w:val="en-US"/>
        </w:rPr>
        <w:t xml:space="preserve">See special provisions 198, 223 and 241 of the </w:t>
      </w:r>
      <w:r w:rsidRPr="00DD18C8">
        <w:rPr>
          <w:i/>
          <w:iCs/>
          <w:lang w:val="en-US"/>
        </w:rPr>
        <w:t>Model Regulations</w:t>
      </w:r>
      <w:r>
        <w:rPr>
          <w:lang w:val="en-US"/>
        </w:rPr>
        <w:t>.</w:t>
      </w:r>
    </w:p>
  </w:footnote>
  <w:footnote w:id="7">
    <w:p w14:paraId="501655AF" w14:textId="68B8FE62" w:rsidR="004039F0" w:rsidRPr="00533A69" w:rsidRDefault="004039F0" w:rsidP="004039F0">
      <w:pPr>
        <w:pStyle w:val="FootnoteText"/>
        <w:widowControl w:val="0"/>
        <w:tabs>
          <w:tab w:val="clear" w:pos="1021"/>
          <w:tab w:val="right" w:pos="1020"/>
        </w:tabs>
        <w:suppressAutoHyphens/>
        <w:rPr>
          <w:lang w:val="fr-CH"/>
        </w:rPr>
      </w:pPr>
      <w:r>
        <w:tab/>
      </w:r>
      <w:r>
        <w:rPr>
          <w:rStyle w:val="FootnoteReference"/>
        </w:rPr>
        <w:footnoteRef/>
      </w:r>
      <w:r>
        <w:tab/>
      </w:r>
      <w:r>
        <w:rPr>
          <w:lang w:val="en-US"/>
        </w:rPr>
        <w:t>See</w:t>
      </w:r>
      <w:r w:rsidRPr="003462E7">
        <w:rPr>
          <w:lang w:val="en-US"/>
        </w:rPr>
        <w:t xml:space="preserve"> </w:t>
      </w:r>
      <w:r>
        <w:rPr>
          <w:lang w:val="en-US"/>
        </w:rPr>
        <w:t xml:space="preserve">special provision 311 of the </w:t>
      </w:r>
      <w:r w:rsidRPr="00DD18C8">
        <w:rPr>
          <w:i/>
          <w:iCs/>
          <w:lang w:val="en-US"/>
        </w:rPr>
        <w:t>Model Regulations</w:t>
      </w:r>
      <w:r>
        <w:rPr>
          <w:lang w:val="en-US"/>
        </w:rPr>
        <w:t>.</w:t>
      </w:r>
      <w:r>
        <w:t xml:space="preserve"> </w:t>
      </w:r>
    </w:p>
  </w:footnote>
  <w:footnote w:id="8">
    <w:p w14:paraId="03E1E7C1" w14:textId="1C03D357" w:rsidR="004039F0" w:rsidRPr="00F31FB8" w:rsidRDefault="004039F0" w:rsidP="004039F0">
      <w:pPr>
        <w:pStyle w:val="FootnoteText"/>
        <w:tabs>
          <w:tab w:val="clear" w:pos="1021"/>
          <w:tab w:val="right" w:pos="1020"/>
        </w:tabs>
        <w:rPr>
          <w:lang w:val="en-US"/>
        </w:rPr>
      </w:pPr>
      <w:r>
        <w:tab/>
      </w:r>
      <w:r>
        <w:rPr>
          <w:rStyle w:val="FootnoteReference"/>
        </w:rPr>
        <w:footnoteRef/>
      </w:r>
      <w:r>
        <w:tab/>
      </w:r>
      <w:r>
        <w:rPr>
          <w:lang w:val="en-US"/>
        </w:rPr>
        <w:t xml:space="preserve">See </w:t>
      </w:r>
      <w:r w:rsidRPr="00831392">
        <w:rPr>
          <w:lang w:val="en-US"/>
        </w:rPr>
        <w:t>ST/SG/AC.10/C.3/2024/24−ST/SG/AC.10/C.4/2024/5</w:t>
      </w:r>
      <w:r>
        <w:rPr>
          <w:lang w:val="en-US"/>
        </w:rPr>
        <w:t>, paras. 14 and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CF6B" w14:textId="5A21C0A4" w:rsidR="00D50D42" w:rsidRPr="00D50D42" w:rsidRDefault="00901590">
    <w:pPr>
      <w:pStyle w:val="Header"/>
    </w:pPr>
    <w:r>
      <w:fldChar w:fldCharType="begin"/>
    </w:r>
    <w:r>
      <w:instrText xml:space="preserve"> TITLE  \* MERGEFORMAT </w:instrText>
    </w:r>
    <w:r>
      <w:fldChar w:fldCharType="separate"/>
    </w:r>
    <w:r w:rsidR="00D50D42">
      <w:t>ST/SG/AC.10/C.3/2024/69</w:t>
    </w:r>
    <w:r>
      <w:fldChar w:fldCharType="end"/>
    </w:r>
    <w:r w:rsidR="00D50D42">
      <w:br/>
    </w:r>
    <w:r>
      <w:fldChar w:fldCharType="begin"/>
    </w:r>
    <w:r>
      <w:instrText xml:space="preserve"> KEYWORDS  \* MERGEFORMAT </w:instrText>
    </w:r>
    <w:r>
      <w:fldChar w:fldCharType="separate"/>
    </w:r>
    <w:r w:rsidR="00D50D42">
      <w:t>ST/SG/AC.10/C.4/2024/12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C90A" w14:textId="67FE29BF" w:rsidR="00D94B05" w:rsidRPr="00D50D42" w:rsidRDefault="00901590" w:rsidP="00D50D42">
    <w:pPr>
      <w:pStyle w:val="Header"/>
      <w:jc w:val="right"/>
    </w:pPr>
    <w:r>
      <w:fldChar w:fldCharType="begin"/>
    </w:r>
    <w:r>
      <w:instrText xml:space="preserve"> TITLE  \* MERGEFORMAT </w:instrText>
    </w:r>
    <w:r>
      <w:fldChar w:fldCharType="separate"/>
    </w:r>
    <w:r w:rsidR="00D50D42">
      <w:t>ST/SG/AC.10/C.3/2024/69</w:t>
    </w:r>
    <w:r>
      <w:fldChar w:fldCharType="end"/>
    </w:r>
    <w:r w:rsidR="00D50D42">
      <w:br/>
    </w:r>
    <w:r>
      <w:fldChar w:fldCharType="begin"/>
    </w:r>
    <w:r>
      <w:instrText xml:space="preserve"> KEYWORDS  \* MERGEFORMAT </w:instrText>
    </w:r>
    <w:r>
      <w:fldChar w:fldCharType="separate"/>
    </w:r>
    <w:r w:rsidR="00D50D42">
      <w:t>ST/SG/AC.10/C.4/2024/12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D5032"/>
    <w:multiLevelType w:val="multilevel"/>
    <w:tmpl w:val="C4604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6172172">
    <w:abstractNumId w:val="6"/>
  </w:num>
  <w:num w:numId="2" w16cid:durableId="1073159890">
    <w:abstractNumId w:val="5"/>
  </w:num>
  <w:num w:numId="3" w16cid:durableId="551188904">
    <w:abstractNumId w:val="0"/>
  </w:num>
  <w:num w:numId="4" w16cid:durableId="44254624">
    <w:abstractNumId w:val="7"/>
  </w:num>
  <w:num w:numId="5" w16cid:durableId="1816027029">
    <w:abstractNumId w:val="8"/>
  </w:num>
  <w:num w:numId="6" w16cid:durableId="1836190579">
    <w:abstractNumId w:val="10"/>
  </w:num>
  <w:num w:numId="7" w16cid:durableId="634676252">
    <w:abstractNumId w:val="4"/>
  </w:num>
  <w:num w:numId="8" w16cid:durableId="1039166836">
    <w:abstractNumId w:val="1"/>
  </w:num>
  <w:num w:numId="9" w16cid:durableId="644969981">
    <w:abstractNumId w:val="9"/>
  </w:num>
  <w:num w:numId="10" w16cid:durableId="525103391">
    <w:abstractNumId w:val="1"/>
  </w:num>
  <w:num w:numId="11" w16cid:durableId="297342166">
    <w:abstractNumId w:val="9"/>
  </w:num>
  <w:num w:numId="12" w16cid:durableId="1280380300">
    <w:abstractNumId w:val="3"/>
  </w:num>
  <w:num w:numId="13" w16cid:durableId="1988699530">
    <w:abstractNumId w:val="3"/>
  </w:num>
  <w:num w:numId="14" w16cid:durableId="538058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42"/>
    <w:rsid w:val="00046E92"/>
    <w:rsid w:val="00055335"/>
    <w:rsid w:val="00063C90"/>
    <w:rsid w:val="00070000"/>
    <w:rsid w:val="000A44F0"/>
    <w:rsid w:val="00101B98"/>
    <w:rsid w:val="001514D1"/>
    <w:rsid w:val="001C3628"/>
    <w:rsid w:val="00247E2C"/>
    <w:rsid w:val="00254C79"/>
    <w:rsid w:val="002A0579"/>
    <w:rsid w:val="002A32CB"/>
    <w:rsid w:val="002B1A21"/>
    <w:rsid w:val="002D5B2C"/>
    <w:rsid w:val="002D6C53"/>
    <w:rsid w:val="002F5595"/>
    <w:rsid w:val="00323BB3"/>
    <w:rsid w:val="00334F6A"/>
    <w:rsid w:val="00342AC8"/>
    <w:rsid w:val="00343302"/>
    <w:rsid w:val="003979DE"/>
    <w:rsid w:val="003B1248"/>
    <w:rsid w:val="003B4550"/>
    <w:rsid w:val="003D2A18"/>
    <w:rsid w:val="003D73D0"/>
    <w:rsid w:val="004039F0"/>
    <w:rsid w:val="00413386"/>
    <w:rsid w:val="00461253"/>
    <w:rsid w:val="004858F5"/>
    <w:rsid w:val="004947F8"/>
    <w:rsid w:val="004A2814"/>
    <w:rsid w:val="004C0622"/>
    <w:rsid w:val="004F73D0"/>
    <w:rsid w:val="005042C2"/>
    <w:rsid w:val="005204C5"/>
    <w:rsid w:val="005E716E"/>
    <w:rsid w:val="006476E1"/>
    <w:rsid w:val="006604DF"/>
    <w:rsid w:val="00671529"/>
    <w:rsid w:val="006A5A16"/>
    <w:rsid w:val="006C1C55"/>
    <w:rsid w:val="006F1EF5"/>
    <w:rsid w:val="0070489D"/>
    <w:rsid w:val="007200A1"/>
    <w:rsid w:val="007268F9"/>
    <w:rsid w:val="00750282"/>
    <w:rsid w:val="00764440"/>
    <w:rsid w:val="0077101B"/>
    <w:rsid w:val="007A0B09"/>
    <w:rsid w:val="007C52B0"/>
    <w:rsid w:val="007C6033"/>
    <w:rsid w:val="008147C8"/>
    <w:rsid w:val="0081753A"/>
    <w:rsid w:val="00857D23"/>
    <w:rsid w:val="00901590"/>
    <w:rsid w:val="009411B4"/>
    <w:rsid w:val="00946F1D"/>
    <w:rsid w:val="009A0A7F"/>
    <w:rsid w:val="009B1269"/>
    <w:rsid w:val="009D0139"/>
    <w:rsid w:val="009D717D"/>
    <w:rsid w:val="009F253B"/>
    <w:rsid w:val="009F5CDC"/>
    <w:rsid w:val="00A072D7"/>
    <w:rsid w:val="00A775CF"/>
    <w:rsid w:val="00AD1A9C"/>
    <w:rsid w:val="00AF5DE1"/>
    <w:rsid w:val="00B06045"/>
    <w:rsid w:val="00B206DD"/>
    <w:rsid w:val="00B52EF4"/>
    <w:rsid w:val="00B777AD"/>
    <w:rsid w:val="00C03015"/>
    <w:rsid w:val="00C0358D"/>
    <w:rsid w:val="00C35A27"/>
    <w:rsid w:val="00C467F9"/>
    <w:rsid w:val="00C47B2E"/>
    <w:rsid w:val="00C5431A"/>
    <w:rsid w:val="00D45277"/>
    <w:rsid w:val="00D50D42"/>
    <w:rsid w:val="00D63CD2"/>
    <w:rsid w:val="00D82E8E"/>
    <w:rsid w:val="00D85308"/>
    <w:rsid w:val="00D87DC2"/>
    <w:rsid w:val="00D93887"/>
    <w:rsid w:val="00D94B05"/>
    <w:rsid w:val="00DC7379"/>
    <w:rsid w:val="00E02C2B"/>
    <w:rsid w:val="00E21C27"/>
    <w:rsid w:val="00E22FB6"/>
    <w:rsid w:val="00E26BCF"/>
    <w:rsid w:val="00E52109"/>
    <w:rsid w:val="00E75317"/>
    <w:rsid w:val="00EC0CE6"/>
    <w:rsid w:val="00EC7C1D"/>
    <w:rsid w:val="00ED6C48"/>
    <w:rsid w:val="00EE3045"/>
    <w:rsid w:val="00F26186"/>
    <w:rsid w:val="00F65F5D"/>
    <w:rsid w:val="00F86A3A"/>
    <w:rsid w:val="00FA42DA"/>
    <w:rsid w:val="00FC1E2A"/>
    <w:rsid w:val="00FE2AC5"/>
    <w:rsid w:val="00FF5129"/>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20585"/>
  <w15:docId w15:val="{17506977-416E-4A06-B814-E59CCEAD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qFormat/>
    <w:locked/>
    <w:rsid w:val="004039F0"/>
    <w:rPr>
      <w:b/>
      <w:sz w:val="28"/>
    </w:rPr>
  </w:style>
  <w:style w:type="character" w:customStyle="1" w:styleId="H1GChar">
    <w:name w:val="_ H_1_G Char"/>
    <w:link w:val="H1G"/>
    <w:qFormat/>
    <w:locked/>
    <w:rsid w:val="004039F0"/>
    <w:rPr>
      <w:b/>
      <w:sz w:val="24"/>
    </w:rPr>
  </w:style>
  <w:style w:type="character" w:customStyle="1" w:styleId="SingleTxtGChar">
    <w:name w:val="_ Single Txt_G Char"/>
    <w:link w:val="SingleTxtG"/>
    <w:qFormat/>
    <w:rsid w:val="00403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2.xml><?xml version="1.0" encoding="utf-8"?>
<ds:datastoreItem xmlns:ds="http://schemas.openxmlformats.org/officeDocument/2006/customXml" ds:itemID="{7B514F59-6749-41CE-837F-B381E4E81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6D6C7-A69F-4CC1-9C48-E5514C6CF912}">
  <ds:schemaRefs>
    <ds:schemaRef ds:uri="http://schemas.microsoft.com/sharepoint/v3/contenttype/forms"/>
  </ds:schemaRefs>
</ds:datastoreItem>
</file>

<file path=customXml/itemProps4.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SGAC10_E.dotm</Template>
  <TotalTime>0</TotalTime>
  <Pages>3</Pages>
  <Words>1278</Words>
  <Characters>7000</Characters>
  <Application>Microsoft Office Word</Application>
  <DocSecurity>0</DocSecurity>
  <Lines>135</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ST/SG/AC.10/C.3/2024/69 </dc:title>
  <dc:subject>2416015</dc:subject>
  <dc:creator>Alicia DORCA-GARCIA</dc:creator>
  <cp:keywords>ST/SG/AC.10/C.4/2024/12</cp:keywords>
  <dc:description/>
  <cp:lastModifiedBy>Pauline Anne Escalante</cp:lastModifiedBy>
  <cp:revision>2</cp:revision>
  <dcterms:created xsi:type="dcterms:W3CDTF">2024-09-05T14:57:00Z</dcterms:created>
  <dcterms:modified xsi:type="dcterms:W3CDTF">2024-09-05T14:57:00Z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ies>
</file>