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14:paraId="57A4ECE6" w14:textId="77777777" w:rsidTr="006476E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6B048" w14:textId="77777777" w:rsidR="00E52109" w:rsidRPr="002A32CB" w:rsidRDefault="00E52109" w:rsidP="004858F5"/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5ACCC" w14:textId="77777777" w:rsidR="00E52109" w:rsidRDefault="00E52109" w:rsidP="006476E1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2E480" w14:textId="485AAB70" w:rsidR="00E52109" w:rsidRDefault="0091333E" w:rsidP="004F3685">
            <w:pPr>
              <w:jc w:val="right"/>
            </w:pPr>
            <w:r w:rsidRPr="0091333E">
              <w:rPr>
                <w:sz w:val="40"/>
              </w:rPr>
              <w:t>ST</w:t>
            </w:r>
            <w:r>
              <w:t>/SG/AC.10/C.3/2024/90</w:t>
            </w:r>
          </w:p>
        </w:tc>
      </w:tr>
      <w:tr w:rsidR="00E52109" w14:paraId="19D2DF04" w14:textId="77777777" w:rsidTr="006476E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D210AB2" w14:textId="77777777" w:rsidR="00E52109" w:rsidRDefault="00E52109" w:rsidP="006476E1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2A8BF48" wp14:editId="5EBF1049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7A43205" w14:textId="77777777" w:rsidR="00E52109" w:rsidRDefault="00D94B05" w:rsidP="006476E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Secretariat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4A1EFC7" w14:textId="77777777" w:rsidR="00D94B05" w:rsidRDefault="004F3685" w:rsidP="004F3685">
            <w:pPr>
              <w:spacing w:before="240" w:line="240" w:lineRule="exact"/>
            </w:pPr>
            <w:r>
              <w:t>Distr.: General</w:t>
            </w:r>
          </w:p>
          <w:p w14:paraId="2FAE4B3C" w14:textId="729D6D6E" w:rsidR="004F3685" w:rsidRDefault="004F3685" w:rsidP="004F3685">
            <w:pPr>
              <w:spacing w:line="240" w:lineRule="exact"/>
            </w:pPr>
            <w:r>
              <w:t>1</w:t>
            </w:r>
            <w:r w:rsidR="008A7FF8">
              <w:t>3</w:t>
            </w:r>
            <w:r>
              <w:t xml:space="preserve"> September 2024</w:t>
            </w:r>
          </w:p>
          <w:p w14:paraId="415BC6B7" w14:textId="77777777" w:rsidR="004F3685" w:rsidRDefault="004F3685" w:rsidP="004F3685">
            <w:pPr>
              <w:spacing w:line="240" w:lineRule="exact"/>
            </w:pPr>
          </w:p>
          <w:p w14:paraId="611FBE42" w14:textId="78E33A29" w:rsidR="004F3685" w:rsidRDefault="004F3685" w:rsidP="004F3685">
            <w:pPr>
              <w:spacing w:line="240" w:lineRule="exact"/>
            </w:pPr>
            <w:r>
              <w:t>Original: English</w:t>
            </w:r>
          </w:p>
        </w:tc>
      </w:tr>
    </w:tbl>
    <w:p w14:paraId="7FE9548C" w14:textId="77777777" w:rsidR="004F3685" w:rsidRPr="006500BA" w:rsidRDefault="004F3685" w:rsidP="004F3685">
      <w:pPr>
        <w:spacing w:before="120"/>
        <w:rPr>
          <w:b/>
          <w:sz w:val="24"/>
          <w:szCs w:val="24"/>
        </w:rPr>
      </w:pPr>
      <w:r w:rsidRPr="006500BA">
        <w:rPr>
          <w:b/>
          <w:sz w:val="24"/>
          <w:szCs w:val="24"/>
        </w:rPr>
        <w:t>Committee of Experts on the Transport of Dangerous Goods</w:t>
      </w:r>
      <w:r w:rsidRPr="006500BA">
        <w:rPr>
          <w:b/>
          <w:sz w:val="24"/>
          <w:szCs w:val="24"/>
        </w:rPr>
        <w:br/>
        <w:t>and on the Globally Harmonized System of Classification</w:t>
      </w:r>
      <w:r w:rsidRPr="006500BA">
        <w:rPr>
          <w:b/>
          <w:sz w:val="24"/>
          <w:szCs w:val="24"/>
        </w:rPr>
        <w:br/>
        <w:t>and Labelling of Chemicals</w:t>
      </w:r>
    </w:p>
    <w:p w14:paraId="355D82A9" w14:textId="77777777" w:rsidR="004F3685" w:rsidRPr="006500BA" w:rsidRDefault="004F3685" w:rsidP="004F3685">
      <w:pPr>
        <w:spacing w:before="120"/>
        <w:rPr>
          <w:rFonts w:ascii="Helv" w:hAnsi="Helv" w:cs="Helv"/>
          <w:b/>
          <w:color w:val="000000"/>
        </w:rPr>
      </w:pPr>
      <w:r w:rsidRPr="006500BA">
        <w:rPr>
          <w:b/>
        </w:rPr>
        <w:t xml:space="preserve">Sub-Committee of Experts on the </w:t>
      </w:r>
      <w:r>
        <w:rPr>
          <w:b/>
        </w:rPr>
        <w:t>Transport of Dangerous Goods</w:t>
      </w:r>
    </w:p>
    <w:p w14:paraId="5F6A545A" w14:textId="77777777" w:rsidR="004F3685" w:rsidRPr="006500BA" w:rsidRDefault="004F3685" w:rsidP="004F3685">
      <w:pPr>
        <w:spacing w:before="120"/>
        <w:rPr>
          <w:b/>
        </w:rPr>
      </w:pPr>
      <w:r>
        <w:rPr>
          <w:b/>
        </w:rPr>
        <w:t xml:space="preserve">Sixty-fifth </w:t>
      </w:r>
      <w:r w:rsidRPr="006500BA">
        <w:rPr>
          <w:b/>
        </w:rPr>
        <w:t>session</w:t>
      </w:r>
    </w:p>
    <w:p w14:paraId="0D32DB10" w14:textId="77777777" w:rsidR="004F3685" w:rsidRPr="006500BA" w:rsidRDefault="004F3685" w:rsidP="004F3685">
      <w:r w:rsidRPr="006500BA">
        <w:t xml:space="preserve">Geneva, </w:t>
      </w:r>
      <w:r>
        <w:t xml:space="preserve">25 November-3 December 2024 </w:t>
      </w:r>
    </w:p>
    <w:p w14:paraId="730AAA89" w14:textId="5AC0EEE4" w:rsidR="004F3685" w:rsidRPr="00694941" w:rsidRDefault="004F3685" w:rsidP="004F3685">
      <w:r w:rsidRPr="00694941">
        <w:t>Item 6 (</w:t>
      </w:r>
      <w:r w:rsidR="003B6E42" w:rsidRPr="00694941">
        <w:t>b</w:t>
      </w:r>
      <w:r w:rsidRPr="00694941">
        <w:t>) of the provisional agenda</w:t>
      </w:r>
    </w:p>
    <w:p w14:paraId="7B3D2CAC" w14:textId="76340A95" w:rsidR="004F3685" w:rsidRPr="00694941" w:rsidRDefault="004F3685" w:rsidP="004F3685">
      <w:pPr>
        <w:spacing w:line="240" w:lineRule="auto"/>
        <w:rPr>
          <w:b/>
          <w:bCs/>
        </w:rPr>
      </w:pPr>
      <w:r w:rsidRPr="00694941">
        <w:rPr>
          <w:b/>
          <w:bCs/>
        </w:rPr>
        <w:t xml:space="preserve">Miscellaneous proposals for amendments to the Model Regulations </w:t>
      </w:r>
      <w:r w:rsidRPr="00694941">
        <w:rPr>
          <w:b/>
          <w:bCs/>
        </w:rPr>
        <w:br/>
        <w:t>on the Transport of Dangerous Goods:</w:t>
      </w:r>
      <w:r w:rsidRPr="00694941">
        <w:rPr>
          <w:b/>
          <w:bCs/>
        </w:rPr>
        <w:br/>
      </w:r>
      <w:proofErr w:type="spellStart"/>
      <w:r w:rsidR="00694941" w:rsidRPr="00694941">
        <w:rPr>
          <w:b/>
          <w:bCs/>
        </w:rPr>
        <w:t>Packagings</w:t>
      </w:r>
      <w:proofErr w:type="spellEnd"/>
      <w:r w:rsidR="00694941" w:rsidRPr="00694941">
        <w:rPr>
          <w:b/>
          <w:bCs/>
        </w:rPr>
        <w:t xml:space="preserve">, including the use of recycled plastics </w:t>
      </w:r>
      <w:proofErr w:type="gramStart"/>
      <w:r w:rsidR="00694941" w:rsidRPr="00694941">
        <w:rPr>
          <w:b/>
          <w:bCs/>
        </w:rPr>
        <w:t>material</w:t>
      </w:r>
      <w:proofErr w:type="gramEnd"/>
    </w:p>
    <w:p w14:paraId="1FFF072B" w14:textId="77777777" w:rsidR="00BC2CED" w:rsidRDefault="00BC2CED" w:rsidP="00BC2CED">
      <w:pPr>
        <w:pStyle w:val="HChG"/>
      </w:pPr>
      <w:r>
        <w:tab/>
      </w:r>
      <w:r>
        <w:tab/>
      </w:r>
      <w:r>
        <w:rPr>
          <w:rFonts w:hint="eastAsia"/>
        </w:rPr>
        <w:t>Proposal</w:t>
      </w:r>
      <w:r>
        <w:t xml:space="preserve"> on c</w:t>
      </w:r>
      <w:r w:rsidRPr="00BC655A">
        <w:t>larify</w:t>
      </w:r>
      <w:r>
        <w:t>ing</w:t>
      </w:r>
      <w:r w:rsidRPr="00BC655A">
        <w:t xml:space="preserve"> the definition of </w:t>
      </w:r>
      <w:r>
        <w:rPr>
          <w:rFonts w:hint="eastAsia"/>
        </w:rPr>
        <w:t xml:space="preserve">large </w:t>
      </w:r>
      <w:proofErr w:type="gramStart"/>
      <w:r>
        <w:rPr>
          <w:rFonts w:hint="eastAsia"/>
        </w:rPr>
        <w:t>packaging</w:t>
      </w:r>
      <w:proofErr w:type="gramEnd"/>
    </w:p>
    <w:p w14:paraId="15C2B1D3" w14:textId="6893F11E" w:rsidR="00BC2CED" w:rsidRDefault="00BC2CED" w:rsidP="00BC2CED">
      <w:pPr>
        <w:pStyle w:val="H1G"/>
        <w:spacing w:before="240" w:after="12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hint="eastAsia"/>
        </w:rPr>
        <w:t xml:space="preserve">Transmitted by the expert </w:t>
      </w:r>
      <w:r w:rsidR="000E7E48">
        <w:t>from</w:t>
      </w:r>
      <w:r w:rsidR="000E7E48">
        <w:rPr>
          <w:rFonts w:hint="eastAsia"/>
        </w:rPr>
        <w:t xml:space="preserve"> </w:t>
      </w:r>
      <w:r>
        <w:rPr>
          <w:rFonts w:hint="eastAsia"/>
        </w:rPr>
        <w:t>China</w:t>
      </w:r>
      <w:r w:rsidR="00336B75" w:rsidRPr="0012708E">
        <w:rPr>
          <w:rStyle w:val="FootnoteReference"/>
          <w:sz w:val="20"/>
          <w:vertAlign w:val="baseline"/>
        </w:rPr>
        <w:footnoteReference w:customMarkFollows="1" w:id="2"/>
        <w:t>*</w:t>
      </w:r>
    </w:p>
    <w:p w14:paraId="692C9DC7" w14:textId="77777777" w:rsidR="00BC2CED" w:rsidRDefault="00BC2CED" w:rsidP="00BC2CED">
      <w:pPr>
        <w:pStyle w:val="HChG"/>
      </w:pPr>
      <w:r>
        <w:tab/>
      </w:r>
      <w:r>
        <w:tab/>
      </w:r>
      <w:r w:rsidRPr="00BC655A">
        <w:rPr>
          <w:rFonts w:hint="eastAsia"/>
          <w:sz w:val="24"/>
        </w:rPr>
        <w:t>Introduction</w:t>
      </w:r>
    </w:p>
    <w:p w14:paraId="6FADC8FC" w14:textId="476323D4" w:rsidR="00BC2CED" w:rsidRPr="00845EA8" w:rsidRDefault="006D10C4" w:rsidP="006D10C4">
      <w:pPr>
        <w:pStyle w:val="SingleTxtG"/>
        <w:rPr>
          <w:rFonts w:eastAsia="Times New Roman"/>
        </w:rPr>
      </w:pPr>
      <w:r w:rsidRPr="006D10C4">
        <w:rPr>
          <w:rFonts w:hint="eastAsia"/>
          <w:lang w:val="en-US"/>
        </w:rPr>
        <w:t>1.</w:t>
      </w:r>
      <w:r>
        <w:rPr>
          <w:rFonts w:hint="eastAsia"/>
          <w:lang w:val="en-US"/>
        </w:rPr>
        <w:tab/>
      </w:r>
      <w:r w:rsidR="00BC2CED">
        <w:rPr>
          <w:rFonts w:hint="eastAsia"/>
          <w:lang w:val="en-US"/>
        </w:rPr>
        <w:t xml:space="preserve">In chapter </w:t>
      </w:r>
      <w:r w:rsidR="001264A9">
        <w:rPr>
          <w:lang w:val="en-US"/>
        </w:rPr>
        <w:t xml:space="preserve">1.2, section </w:t>
      </w:r>
      <w:r w:rsidR="00BC2CED">
        <w:rPr>
          <w:rFonts w:hint="eastAsia"/>
          <w:lang w:val="en-US"/>
        </w:rPr>
        <w:t xml:space="preserve">1.2.1 of the </w:t>
      </w:r>
      <w:r w:rsidR="00BC2CED" w:rsidRPr="00336B75">
        <w:rPr>
          <w:rFonts w:hint="eastAsia"/>
          <w:i/>
          <w:iCs/>
          <w:lang w:val="en-US"/>
        </w:rPr>
        <w:t>Model Regulation</w:t>
      </w:r>
      <w:r w:rsidR="00BC2CED" w:rsidRPr="00336B75">
        <w:rPr>
          <w:i/>
          <w:iCs/>
          <w:lang w:val="en-US"/>
        </w:rPr>
        <w:t>s</w:t>
      </w:r>
      <w:r w:rsidR="00BC2CED">
        <w:rPr>
          <w:rFonts w:hint="eastAsia"/>
          <w:lang w:val="en-US"/>
        </w:rPr>
        <w:t>,</w:t>
      </w:r>
      <w:r w:rsidR="00BC2CED">
        <w:rPr>
          <w:lang w:val="en-US"/>
        </w:rPr>
        <w:t xml:space="preserve"> </w:t>
      </w:r>
      <w:r w:rsidR="00BC2CED">
        <w:rPr>
          <w:rFonts w:hint="eastAsia"/>
          <w:lang w:val="en-US"/>
        </w:rPr>
        <w:t xml:space="preserve">the definition of </w:t>
      </w:r>
      <w:r w:rsidR="001264A9">
        <w:rPr>
          <w:lang w:val="en-US"/>
        </w:rPr>
        <w:t>l</w:t>
      </w:r>
      <w:r w:rsidR="00BC2CED">
        <w:rPr>
          <w:rFonts w:hint="eastAsia"/>
          <w:lang w:val="en-US"/>
        </w:rPr>
        <w:t>arge packaging</w:t>
      </w:r>
      <w:r w:rsidR="00BC2CED">
        <w:rPr>
          <w:lang w:val="en-US"/>
        </w:rPr>
        <w:t xml:space="preserve"> </w:t>
      </w:r>
      <w:r w:rsidR="00BC2CED" w:rsidRPr="003E58A4">
        <w:rPr>
          <w:lang w:val="en-US"/>
        </w:rPr>
        <w:t>is</w:t>
      </w:r>
      <w:r w:rsidR="00BC2CED">
        <w:rPr>
          <w:rFonts w:hint="eastAsia"/>
          <w:lang w:val="en-US"/>
        </w:rPr>
        <w:t>:</w:t>
      </w:r>
    </w:p>
    <w:p w14:paraId="790468C0" w14:textId="3C37C235" w:rsidR="00BC2CED" w:rsidRPr="00845EA8" w:rsidRDefault="001264A9" w:rsidP="001264A9">
      <w:pPr>
        <w:pStyle w:val="SingleTxtG"/>
        <w:ind w:left="1701"/>
        <w:rPr>
          <w:rFonts w:eastAsia="Times New Roman"/>
        </w:rPr>
      </w:pPr>
      <w:r>
        <w:rPr>
          <w:lang w:val="en-US"/>
        </w:rPr>
        <w:t>“</w:t>
      </w:r>
      <w:r w:rsidR="00BC2CED" w:rsidRPr="00336B75">
        <w:rPr>
          <w:rFonts w:hint="eastAsia"/>
          <w:b/>
          <w:bCs/>
          <w:i/>
          <w:iCs/>
          <w:lang w:val="en-US"/>
        </w:rPr>
        <w:t>L</w:t>
      </w:r>
      <w:r w:rsidR="00BC2CED" w:rsidRPr="00336B75">
        <w:rPr>
          <w:b/>
          <w:bCs/>
          <w:i/>
          <w:iCs/>
          <w:lang w:val="en-US"/>
        </w:rPr>
        <w:t>arge packaging</w:t>
      </w:r>
      <w:r w:rsidR="00BC2CED" w:rsidRPr="00845EA8">
        <w:rPr>
          <w:lang w:val="en-US"/>
        </w:rPr>
        <w:t xml:space="preserve"> means a packaging consisting of an outer packaging which contains articles or inner </w:t>
      </w:r>
      <w:proofErr w:type="spellStart"/>
      <w:r w:rsidR="00BC2CED" w:rsidRPr="00845EA8">
        <w:rPr>
          <w:lang w:val="en-US"/>
        </w:rPr>
        <w:t>packagings</w:t>
      </w:r>
      <w:proofErr w:type="spellEnd"/>
      <w:r w:rsidR="00BC2CED" w:rsidRPr="00845EA8">
        <w:rPr>
          <w:lang w:val="en-US"/>
        </w:rPr>
        <w:t xml:space="preserve"> and which</w:t>
      </w:r>
      <w:r w:rsidR="00BC2CED">
        <w:rPr>
          <w:rFonts w:hint="eastAsia"/>
          <w:lang w:val="en-US"/>
        </w:rPr>
        <w:t>:</w:t>
      </w:r>
    </w:p>
    <w:p w14:paraId="39337BAC" w14:textId="74ED0A6C" w:rsidR="00BC2CED" w:rsidRPr="00F66AE0" w:rsidRDefault="00BC2CED" w:rsidP="001264A9">
      <w:pPr>
        <w:pStyle w:val="SingleTxtG"/>
        <w:ind w:left="1701"/>
      </w:pPr>
      <w:r w:rsidRPr="00F66AE0">
        <w:t>(a)</w:t>
      </w:r>
      <w:r w:rsidRPr="00F66AE0">
        <w:tab/>
        <w:t>is designed for mechanical handling; and</w:t>
      </w:r>
    </w:p>
    <w:p w14:paraId="071C3AF2" w14:textId="230DB537" w:rsidR="00BC2CED" w:rsidRDefault="00BC2CED" w:rsidP="001264A9">
      <w:pPr>
        <w:pStyle w:val="SingleTxtG"/>
        <w:tabs>
          <w:tab w:val="clear" w:pos="1701"/>
        </w:tabs>
        <w:ind w:left="2268" w:hanging="567"/>
        <w:rPr>
          <w:lang w:val="en-US"/>
        </w:rPr>
      </w:pPr>
      <w:r w:rsidRPr="00845EA8">
        <w:rPr>
          <w:lang w:val="en-US"/>
        </w:rPr>
        <w:t>(b)</w:t>
      </w:r>
      <w:r w:rsidRPr="00845EA8">
        <w:rPr>
          <w:lang w:val="en-US"/>
        </w:rPr>
        <w:tab/>
        <w:t xml:space="preserve">exceeds 400 kg net mass or 450 </w:t>
      </w:r>
      <w:proofErr w:type="spellStart"/>
      <w:r w:rsidRPr="00845EA8">
        <w:rPr>
          <w:lang w:val="en-US"/>
        </w:rPr>
        <w:t>litres</w:t>
      </w:r>
      <w:proofErr w:type="spellEnd"/>
      <w:r w:rsidRPr="00845EA8">
        <w:rPr>
          <w:lang w:val="en-US"/>
        </w:rPr>
        <w:t xml:space="preserve"> capacity but has a volume of not more than 3 </w:t>
      </w:r>
      <w:proofErr w:type="gramStart"/>
      <w:r w:rsidRPr="00845EA8">
        <w:rPr>
          <w:lang w:val="en-US"/>
        </w:rPr>
        <w:t>m</w:t>
      </w:r>
      <w:r w:rsidRPr="00845EA8">
        <w:rPr>
          <w:vertAlign w:val="superscript"/>
          <w:lang w:val="en-US"/>
        </w:rPr>
        <w:t>3</w:t>
      </w:r>
      <w:r>
        <w:rPr>
          <w:rFonts w:hint="eastAsia"/>
          <w:lang w:val="en-US"/>
        </w:rPr>
        <w:t>;</w:t>
      </w:r>
      <w:proofErr w:type="gramEnd"/>
      <w:r w:rsidR="001264A9">
        <w:rPr>
          <w:lang w:val="en-US"/>
        </w:rPr>
        <w:t>”</w:t>
      </w:r>
    </w:p>
    <w:p w14:paraId="610E1800" w14:textId="5FEDC1BD" w:rsidR="00BC2CED" w:rsidRDefault="001264A9" w:rsidP="00BC2CED">
      <w:pPr>
        <w:pStyle w:val="SingleTxtG"/>
        <w:rPr>
          <w:lang w:val="en-US"/>
        </w:rPr>
      </w:pPr>
      <w:r>
        <w:rPr>
          <w:lang w:val="en-US"/>
        </w:rPr>
        <w:t>2.</w:t>
      </w:r>
      <w:r w:rsidR="008A7FF8">
        <w:rPr>
          <w:lang w:val="en-US"/>
        </w:rPr>
        <w:tab/>
      </w:r>
      <w:r w:rsidR="00BC2CED">
        <w:rPr>
          <w:rFonts w:hint="eastAsia"/>
          <w:lang w:val="en-US"/>
        </w:rPr>
        <w:t xml:space="preserve">Some experts understand the meaning of word </w:t>
      </w:r>
      <w:r w:rsidR="00BC2CED">
        <w:rPr>
          <w:lang w:val="en-US"/>
        </w:rPr>
        <w:t>‘v</w:t>
      </w:r>
      <w:r w:rsidR="00BC2CED">
        <w:rPr>
          <w:rFonts w:hint="eastAsia"/>
          <w:lang w:val="en-US"/>
        </w:rPr>
        <w:t>olume</w:t>
      </w:r>
      <w:r w:rsidR="00BC2CED">
        <w:rPr>
          <w:lang w:val="en-US"/>
        </w:rPr>
        <w:t>’</w:t>
      </w:r>
      <w:r w:rsidR="00BC2CED">
        <w:rPr>
          <w:rFonts w:hint="eastAsia"/>
          <w:lang w:val="en-US"/>
        </w:rPr>
        <w:t xml:space="preserve"> </w:t>
      </w:r>
      <w:r w:rsidR="00BC2CED">
        <w:rPr>
          <w:lang w:val="en-US"/>
        </w:rPr>
        <w:t>as</w:t>
      </w:r>
      <w:r w:rsidR="00BC2CED">
        <w:rPr>
          <w:rFonts w:hint="eastAsia"/>
          <w:lang w:val="en-US"/>
        </w:rPr>
        <w:t xml:space="preserve"> </w:t>
      </w:r>
      <w:r w:rsidR="00BC2CED">
        <w:rPr>
          <w:lang w:val="en-US"/>
        </w:rPr>
        <w:t>‘e</w:t>
      </w:r>
      <w:r w:rsidR="00BC2CED" w:rsidRPr="00BC655A">
        <w:rPr>
          <w:lang w:val="en-US"/>
        </w:rPr>
        <w:t>xternal volume</w:t>
      </w:r>
      <w:r w:rsidR="00BC2CED">
        <w:rPr>
          <w:lang w:val="en-US"/>
        </w:rPr>
        <w:t>’</w:t>
      </w:r>
      <w:r w:rsidR="00BC2CED">
        <w:rPr>
          <w:rFonts w:hint="eastAsia"/>
          <w:lang w:val="en-US"/>
        </w:rPr>
        <w:t xml:space="preserve">, but some others understand </w:t>
      </w:r>
      <w:r w:rsidR="00BC2CED">
        <w:rPr>
          <w:lang w:val="en-US"/>
        </w:rPr>
        <w:t>it as</w:t>
      </w:r>
      <w:r w:rsidR="00BC2CED">
        <w:rPr>
          <w:rFonts w:hint="eastAsia"/>
          <w:lang w:val="en-US"/>
        </w:rPr>
        <w:t xml:space="preserve"> </w:t>
      </w:r>
      <w:r w:rsidR="00BC2CED">
        <w:rPr>
          <w:lang w:val="en-US"/>
        </w:rPr>
        <w:t>‘i</w:t>
      </w:r>
      <w:r w:rsidR="00BC2CED">
        <w:rPr>
          <w:rFonts w:hint="eastAsia"/>
          <w:lang w:val="en-US"/>
        </w:rPr>
        <w:t>nternal volume</w:t>
      </w:r>
      <w:r w:rsidR="00BC2CED">
        <w:rPr>
          <w:lang w:val="en-US"/>
        </w:rPr>
        <w:t>’</w:t>
      </w:r>
      <w:r w:rsidR="00BC2CED">
        <w:rPr>
          <w:rFonts w:hint="eastAsia"/>
          <w:lang w:val="en-US"/>
        </w:rPr>
        <w:t>, which l</w:t>
      </w:r>
      <w:r w:rsidR="00BC2CED" w:rsidRPr="008E5EB1">
        <w:rPr>
          <w:lang w:val="en-US"/>
        </w:rPr>
        <w:t>ead</w:t>
      </w:r>
      <w:r w:rsidR="00BC2CED">
        <w:rPr>
          <w:lang w:val="en-US"/>
        </w:rPr>
        <w:t>s</w:t>
      </w:r>
      <w:r w:rsidR="00BC2CED" w:rsidRPr="008E5EB1">
        <w:rPr>
          <w:lang w:val="en-US"/>
        </w:rPr>
        <w:t xml:space="preserve"> to different requirements </w:t>
      </w:r>
      <w:r w:rsidR="00BC2CED">
        <w:rPr>
          <w:rFonts w:hint="eastAsia"/>
          <w:lang w:val="en-US"/>
        </w:rPr>
        <w:t>during</w:t>
      </w:r>
      <w:r w:rsidR="00BC2CED" w:rsidRPr="004B3DF9">
        <w:rPr>
          <w:rFonts w:hint="eastAsia"/>
          <w:lang w:val="en-US"/>
        </w:rPr>
        <w:t xml:space="preserve"> transport</w:t>
      </w:r>
      <w:r w:rsidR="00BC2CED">
        <w:rPr>
          <w:rFonts w:hint="eastAsia"/>
          <w:lang w:val="en-US"/>
        </w:rPr>
        <w:t>.</w:t>
      </w:r>
    </w:p>
    <w:p w14:paraId="74BB99C7" w14:textId="5159AE56" w:rsidR="00BC2CED" w:rsidRPr="00BC2CED" w:rsidRDefault="001264A9" w:rsidP="006D10C4">
      <w:pPr>
        <w:pStyle w:val="SingleTxtG"/>
      </w:pPr>
      <w:r>
        <w:t>3</w:t>
      </w:r>
      <w:r w:rsidR="006D10C4">
        <w:t>.</w:t>
      </w:r>
      <w:r w:rsidR="006D10C4">
        <w:tab/>
      </w:r>
      <w:proofErr w:type="gramStart"/>
      <w:r w:rsidR="00BC2CED" w:rsidRPr="00BC2CED">
        <w:t>In order to</w:t>
      </w:r>
      <w:proofErr w:type="gramEnd"/>
      <w:r w:rsidR="00BC2CED" w:rsidRPr="00BC2CED">
        <w:t xml:space="preserve"> achieve global sustainable development and the "</w:t>
      </w:r>
      <w:r w:rsidR="00BC2CED" w:rsidRPr="00BC2CED">
        <w:rPr>
          <w:rFonts w:hint="eastAsia"/>
        </w:rPr>
        <w:t>Carbon Peak and Carbon Neutrality</w:t>
      </w:r>
      <w:r w:rsidR="00BC2CED" w:rsidRPr="00BC2CED">
        <w:t>" target, the lithium</w:t>
      </w:r>
      <w:r w:rsidR="00BC2CED" w:rsidRPr="00BC2CED">
        <w:rPr>
          <w:rFonts w:hint="eastAsia"/>
        </w:rPr>
        <w:t>-ion</w:t>
      </w:r>
      <w:r w:rsidR="00BC2CED" w:rsidRPr="00BC2CED">
        <w:t xml:space="preserve"> battery industry has developed rapidly</w:t>
      </w:r>
      <w:r w:rsidR="00BC2CED" w:rsidRPr="00BC2CED">
        <w:rPr>
          <w:rFonts w:hint="eastAsia"/>
        </w:rPr>
        <w:t xml:space="preserve"> </w:t>
      </w:r>
      <w:r w:rsidR="00BC2CED" w:rsidRPr="00BC2CED">
        <w:t>in recent years.</w:t>
      </w:r>
      <w:r w:rsidR="00BC2CED" w:rsidRPr="00BC2CED">
        <w:rPr>
          <w:rFonts w:hint="eastAsia"/>
        </w:rPr>
        <w:t xml:space="preserve"> Accompanied with </w:t>
      </w:r>
      <w:r w:rsidR="00BC2CED" w:rsidRPr="00BC2CED">
        <w:t xml:space="preserve">industrial demand, </w:t>
      </w:r>
      <w:r w:rsidR="00BC2CED" w:rsidRPr="00BC2CED">
        <w:rPr>
          <w:rFonts w:hint="eastAsia"/>
        </w:rPr>
        <w:t>the</w:t>
      </w:r>
      <w:r w:rsidR="00BC2CED" w:rsidRPr="00BC2CED">
        <w:t xml:space="preserve"> lithium battery </w:t>
      </w:r>
      <w:r w:rsidR="00BC2CED" w:rsidRPr="00BC2CED">
        <w:rPr>
          <w:rFonts w:hint="eastAsia"/>
        </w:rPr>
        <w:t>volume is larger and larger,</w:t>
      </w:r>
      <w:r w:rsidR="00BC2CED" w:rsidRPr="00BC2CED">
        <w:t xml:space="preserve"> </w:t>
      </w:r>
      <w:r w:rsidR="00BC2CED" w:rsidRPr="00BC2CED">
        <w:rPr>
          <w:rFonts w:hint="eastAsia"/>
        </w:rPr>
        <w:t xml:space="preserve">and there </w:t>
      </w:r>
      <w:r w:rsidR="007F7F69">
        <w:t>are now</w:t>
      </w:r>
      <w:r w:rsidR="00BC2CED" w:rsidRPr="00BC2CED">
        <w:rPr>
          <w:rFonts w:hint="eastAsia"/>
        </w:rPr>
        <w:t xml:space="preserve"> </w:t>
      </w:r>
      <w:r w:rsidR="00BC2CED" w:rsidRPr="00BC2CED">
        <w:t xml:space="preserve">some lithium battery products with </w:t>
      </w:r>
      <w:r w:rsidR="00BC2CED" w:rsidRPr="00BC2CED">
        <w:rPr>
          <w:rFonts w:hint="eastAsia"/>
        </w:rPr>
        <w:t xml:space="preserve">a </w:t>
      </w:r>
      <w:r w:rsidR="00BC2CED" w:rsidRPr="00BC2CED">
        <w:t>volume of 2.7 or 2.8 m</w:t>
      </w:r>
      <w:r w:rsidR="00BC2CED" w:rsidRPr="00336B75">
        <w:rPr>
          <w:vertAlign w:val="superscript"/>
        </w:rPr>
        <w:t>3</w:t>
      </w:r>
      <w:r w:rsidR="00BC2CED" w:rsidRPr="00BC2CED">
        <w:t>. The overall external volume of these lithium battery together with the packaging can exceed 3</w:t>
      </w:r>
      <w:r w:rsidR="007F7F69">
        <w:t> </w:t>
      </w:r>
      <w:r w:rsidR="00BC2CED" w:rsidRPr="00BC2CED">
        <w:t>m</w:t>
      </w:r>
      <w:r w:rsidR="00BC2CED" w:rsidRPr="00336B75">
        <w:rPr>
          <w:vertAlign w:val="superscript"/>
        </w:rPr>
        <w:t>3</w:t>
      </w:r>
      <w:r w:rsidR="00BC2CED" w:rsidRPr="00BC2CED">
        <w:t>.</w:t>
      </w:r>
      <w:r w:rsidR="00BC2CED" w:rsidRPr="00BC2CED">
        <w:rPr>
          <w:rFonts w:hint="eastAsia"/>
        </w:rPr>
        <w:t xml:space="preserve"> </w:t>
      </w:r>
      <w:r w:rsidR="00BC2CED" w:rsidRPr="00BC2CED">
        <w:t>In this case,</w:t>
      </w:r>
      <w:r w:rsidR="00BC2CED" w:rsidRPr="00BC2CED">
        <w:rPr>
          <w:rFonts w:hint="eastAsia"/>
        </w:rPr>
        <w:t xml:space="preserve"> </w:t>
      </w:r>
      <w:r w:rsidR="00BC2CED" w:rsidRPr="00BC2CED">
        <w:t xml:space="preserve">different understanding of ‘volume’ </w:t>
      </w:r>
      <w:r w:rsidR="00BC2CED" w:rsidRPr="00BC2CED">
        <w:rPr>
          <w:rFonts w:hint="eastAsia"/>
        </w:rPr>
        <w:t>will</w:t>
      </w:r>
      <w:r w:rsidR="00BC2CED" w:rsidRPr="00BC2CED">
        <w:t xml:space="preserve"> lead to disputes on the applicability of LP903. </w:t>
      </w:r>
    </w:p>
    <w:p w14:paraId="5C076911" w14:textId="6216769B" w:rsidR="00BC2CED" w:rsidRPr="00DD49C4" w:rsidRDefault="001264A9" w:rsidP="00730166">
      <w:pPr>
        <w:pStyle w:val="SingleTxtG"/>
        <w:rPr>
          <w:rFonts w:eastAsia="Times New Roman"/>
        </w:rPr>
      </w:pPr>
      <w:r>
        <w:rPr>
          <w:lang w:val="en-US"/>
        </w:rPr>
        <w:t>4</w:t>
      </w:r>
      <w:r w:rsidR="00730166">
        <w:rPr>
          <w:lang w:val="en-US"/>
        </w:rPr>
        <w:t>.</w:t>
      </w:r>
      <w:r w:rsidR="00730166">
        <w:rPr>
          <w:lang w:val="en-US"/>
        </w:rPr>
        <w:tab/>
      </w:r>
      <w:r w:rsidR="00BC2CED" w:rsidRPr="00DD49C4">
        <w:rPr>
          <w:lang w:val="en-US"/>
        </w:rPr>
        <w:t>There are many similar expressions</w:t>
      </w:r>
      <w:r w:rsidR="00BC2CED">
        <w:rPr>
          <w:rFonts w:hint="eastAsia"/>
          <w:lang w:val="en-US"/>
        </w:rPr>
        <w:t xml:space="preserve"> in </w:t>
      </w:r>
      <w:r w:rsidR="00BC2CED" w:rsidRPr="00336B75">
        <w:rPr>
          <w:rFonts w:hint="eastAsia"/>
          <w:i/>
          <w:iCs/>
          <w:lang w:val="en-US"/>
        </w:rPr>
        <w:t>Model Regulation</w:t>
      </w:r>
      <w:r w:rsidR="00BC2CED" w:rsidRPr="00336B75">
        <w:rPr>
          <w:i/>
          <w:iCs/>
          <w:lang w:val="en-US"/>
        </w:rPr>
        <w:t>s</w:t>
      </w:r>
      <w:r w:rsidR="00BC2CED">
        <w:rPr>
          <w:rFonts w:hint="eastAsia"/>
          <w:lang w:val="en-US"/>
        </w:rPr>
        <w:t xml:space="preserve">. </w:t>
      </w:r>
      <w:r w:rsidR="00432591">
        <w:rPr>
          <w:lang w:val="en-US"/>
        </w:rPr>
        <w:t>For instance</w:t>
      </w:r>
      <w:r w:rsidR="00BC2CED">
        <w:rPr>
          <w:rFonts w:hint="eastAsia"/>
          <w:lang w:val="en-US"/>
        </w:rPr>
        <w:t xml:space="preserve">, the definition of </w:t>
      </w:r>
      <w:proofErr w:type="gramStart"/>
      <w:r w:rsidR="00BC2CED" w:rsidRPr="00DD49C4">
        <w:rPr>
          <w:rFonts w:hint="eastAsia"/>
          <w:i/>
          <w:iCs/>
          <w:lang w:val="en-US"/>
        </w:rPr>
        <w:t>Small</w:t>
      </w:r>
      <w:proofErr w:type="gramEnd"/>
      <w:r w:rsidR="00BC2CED" w:rsidRPr="00DD49C4">
        <w:rPr>
          <w:rFonts w:hint="eastAsia"/>
          <w:i/>
          <w:iCs/>
          <w:lang w:val="en-US"/>
        </w:rPr>
        <w:t xml:space="preserve"> </w:t>
      </w:r>
      <w:r w:rsidR="00432591">
        <w:rPr>
          <w:i/>
          <w:iCs/>
          <w:lang w:val="en-US"/>
        </w:rPr>
        <w:t>f</w:t>
      </w:r>
      <w:r w:rsidR="00BC2CED" w:rsidRPr="00DD49C4">
        <w:rPr>
          <w:rFonts w:hint="eastAsia"/>
          <w:i/>
          <w:iCs/>
          <w:lang w:val="en-US"/>
        </w:rPr>
        <w:t>reight</w:t>
      </w:r>
      <w:r w:rsidR="00BC2CED">
        <w:rPr>
          <w:rFonts w:hint="eastAsia"/>
          <w:lang w:val="en-US"/>
        </w:rPr>
        <w:t xml:space="preserve"> in 1.2.1 </w:t>
      </w:r>
      <w:r w:rsidR="00BC2CED">
        <w:rPr>
          <w:lang w:val="en-US"/>
        </w:rPr>
        <w:t>uses</w:t>
      </w:r>
      <w:r w:rsidR="00BC2CED">
        <w:rPr>
          <w:rFonts w:hint="eastAsia"/>
          <w:lang w:val="en-US"/>
        </w:rPr>
        <w:t xml:space="preserve"> </w:t>
      </w:r>
      <w:r w:rsidR="00BC2CED">
        <w:rPr>
          <w:lang w:val="en-US"/>
        </w:rPr>
        <w:t>‘</w:t>
      </w:r>
      <w:r w:rsidR="00BC2CED">
        <w:rPr>
          <w:rFonts w:hint="eastAsia"/>
          <w:lang w:val="en-US"/>
        </w:rPr>
        <w:t xml:space="preserve">an internal volume of not more than 3 </w:t>
      </w:r>
      <w:r w:rsidR="00BC2CED" w:rsidRPr="00845EA8">
        <w:rPr>
          <w:lang w:val="en-US"/>
        </w:rPr>
        <w:t>m</w:t>
      </w:r>
      <w:r w:rsidR="00BC2CED" w:rsidRPr="00845EA8">
        <w:rPr>
          <w:vertAlign w:val="superscript"/>
          <w:lang w:val="en-US"/>
        </w:rPr>
        <w:t>3</w:t>
      </w:r>
      <w:r w:rsidR="00BC2CED">
        <w:rPr>
          <w:lang w:val="en-US"/>
        </w:rPr>
        <w:t>’</w:t>
      </w:r>
      <w:r w:rsidR="00BC2CED">
        <w:rPr>
          <w:rFonts w:hint="eastAsia"/>
          <w:lang w:val="en-US"/>
        </w:rPr>
        <w:t xml:space="preserve">. In </w:t>
      </w:r>
      <w:r w:rsidR="00432591">
        <w:rPr>
          <w:lang w:val="en-US"/>
        </w:rPr>
        <w:t>chapter 4.1, paragraph</w:t>
      </w:r>
      <w:r w:rsidR="00432591">
        <w:rPr>
          <w:rFonts w:hint="eastAsia"/>
          <w:lang w:val="en-US"/>
        </w:rPr>
        <w:t xml:space="preserve"> </w:t>
      </w:r>
      <w:r w:rsidR="00BC2CED">
        <w:rPr>
          <w:rFonts w:hint="eastAsia"/>
          <w:lang w:val="en-US"/>
        </w:rPr>
        <w:t xml:space="preserve">4.1.4.3, the definition of </w:t>
      </w:r>
      <w:r w:rsidR="00BC2CED">
        <w:rPr>
          <w:lang w:val="en-US"/>
        </w:rPr>
        <w:t>‘</w:t>
      </w:r>
      <w:r w:rsidR="00BC2CED">
        <w:rPr>
          <w:rFonts w:hint="eastAsia"/>
          <w:lang w:val="en-US"/>
        </w:rPr>
        <w:t>Packaging group III of LP01</w:t>
      </w:r>
      <w:r w:rsidR="00BC2CED">
        <w:rPr>
          <w:lang w:val="en-US"/>
        </w:rPr>
        <w:t>’</w:t>
      </w:r>
      <w:r w:rsidR="00BC2CED">
        <w:rPr>
          <w:rFonts w:hint="eastAsia"/>
          <w:lang w:val="en-US"/>
        </w:rPr>
        <w:t xml:space="preserve"> </w:t>
      </w:r>
      <w:r w:rsidR="00BC2CED">
        <w:rPr>
          <w:lang w:val="en-US"/>
        </w:rPr>
        <w:t>refers to</w:t>
      </w:r>
      <w:r w:rsidR="00BC2CED">
        <w:rPr>
          <w:rFonts w:hint="eastAsia"/>
          <w:lang w:val="en-US"/>
        </w:rPr>
        <w:t xml:space="preserve"> </w:t>
      </w:r>
      <w:r w:rsidR="00BC2CED">
        <w:rPr>
          <w:lang w:val="en-US"/>
        </w:rPr>
        <w:t>‘m</w:t>
      </w:r>
      <w:r w:rsidR="00BC2CED">
        <w:rPr>
          <w:rFonts w:hint="eastAsia"/>
          <w:lang w:val="en-US"/>
        </w:rPr>
        <w:t>aximum capacity 3</w:t>
      </w:r>
      <w:r w:rsidR="00BC2CED" w:rsidRPr="00845EA8">
        <w:rPr>
          <w:lang w:val="en-US"/>
        </w:rPr>
        <w:t> m</w:t>
      </w:r>
      <w:r w:rsidR="00BC2CED" w:rsidRPr="00845EA8">
        <w:rPr>
          <w:vertAlign w:val="superscript"/>
          <w:lang w:val="en-US"/>
        </w:rPr>
        <w:t>3</w:t>
      </w:r>
      <w:r w:rsidR="00BC2CED">
        <w:rPr>
          <w:lang w:val="en-US"/>
        </w:rPr>
        <w:t>’</w:t>
      </w:r>
      <w:r w:rsidR="00BC2CED">
        <w:rPr>
          <w:rFonts w:hint="eastAsia"/>
          <w:lang w:val="en-US"/>
        </w:rPr>
        <w:t xml:space="preserve">. </w:t>
      </w:r>
      <w:r w:rsidR="00BC2CED">
        <w:rPr>
          <w:lang w:val="en-US"/>
        </w:rPr>
        <w:t xml:space="preserve">Using </w:t>
      </w:r>
      <w:r w:rsidR="00BC2CED" w:rsidRPr="00EF7C03">
        <w:rPr>
          <w:lang w:val="en-US"/>
        </w:rPr>
        <w:t xml:space="preserve">other relevant provisions of the </w:t>
      </w:r>
      <w:r w:rsidR="00BC2CED" w:rsidRPr="00336B75">
        <w:rPr>
          <w:i/>
          <w:iCs/>
          <w:lang w:val="en-US"/>
        </w:rPr>
        <w:t>Model Regulations</w:t>
      </w:r>
      <w:r w:rsidR="00BC2CED">
        <w:rPr>
          <w:lang w:val="en-US"/>
        </w:rPr>
        <w:t xml:space="preserve"> as reference</w:t>
      </w:r>
      <w:r w:rsidR="00BC2CED" w:rsidRPr="00EF7C03">
        <w:rPr>
          <w:lang w:val="en-US"/>
        </w:rPr>
        <w:t xml:space="preserve">, </w:t>
      </w:r>
      <w:r w:rsidR="00BC2CED">
        <w:rPr>
          <w:lang w:val="en-US"/>
        </w:rPr>
        <w:t>it seems</w:t>
      </w:r>
      <w:r w:rsidR="00BC2CED" w:rsidRPr="00EF7C03">
        <w:rPr>
          <w:lang w:val="en-US"/>
        </w:rPr>
        <w:t xml:space="preserve"> more appropriate </w:t>
      </w:r>
      <w:r w:rsidR="00BC2CED">
        <w:rPr>
          <w:rFonts w:hint="eastAsia"/>
          <w:lang w:val="en-US"/>
        </w:rPr>
        <w:t xml:space="preserve">to </w:t>
      </w:r>
      <w:r w:rsidR="00BC2CED" w:rsidRPr="00EF7C03">
        <w:rPr>
          <w:lang w:val="en-US"/>
        </w:rPr>
        <w:t>underst</w:t>
      </w:r>
      <w:r w:rsidR="00BC2CED">
        <w:rPr>
          <w:lang w:val="en-US"/>
        </w:rPr>
        <w:t>an</w:t>
      </w:r>
      <w:r w:rsidR="00BC2CED" w:rsidRPr="00EF7C03">
        <w:rPr>
          <w:lang w:val="en-US"/>
        </w:rPr>
        <w:t>d "</w:t>
      </w:r>
      <w:r w:rsidR="00BC2CED">
        <w:rPr>
          <w:lang w:val="en-US"/>
        </w:rPr>
        <w:t>v</w:t>
      </w:r>
      <w:r w:rsidR="00BC2CED" w:rsidRPr="00EF7C03">
        <w:rPr>
          <w:lang w:val="en-US"/>
        </w:rPr>
        <w:t>olume" in the definition of large packaging as "internal volume".</w:t>
      </w:r>
      <w:r w:rsidR="00BC2CED">
        <w:rPr>
          <w:rFonts w:hint="eastAsia"/>
          <w:lang w:val="en-US"/>
        </w:rPr>
        <w:t xml:space="preserve"> </w:t>
      </w:r>
      <w:r w:rsidR="00BC2CED" w:rsidRPr="00EF7C03">
        <w:rPr>
          <w:lang w:val="en-US"/>
        </w:rPr>
        <w:t xml:space="preserve">If </w:t>
      </w:r>
      <w:r w:rsidR="00BC2CED">
        <w:rPr>
          <w:lang w:val="en-US"/>
        </w:rPr>
        <w:t xml:space="preserve">the </w:t>
      </w:r>
      <w:r w:rsidR="00BC2CED">
        <w:rPr>
          <w:rFonts w:hint="eastAsia"/>
          <w:lang w:val="en-US"/>
        </w:rPr>
        <w:t>Sub-</w:t>
      </w:r>
      <w:r w:rsidR="00BC2CED">
        <w:rPr>
          <w:lang w:val="en-US"/>
        </w:rPr>
        <w:t>C</w:t>
      </w:r>
      <w:r w:rsidR="00BC2CED">
        <w:rPr>
          <w:rFonts w:hint="eastAsia"/>
          <w:lang w:val="en-US"/>
        </w:rPr>
        <w:t>ommitte</w:t>
      </w:r>
      <w:r w:rsidR="00BC2CED">
        <w:rPr>
          <w:lang w:val="en-US"/>
        </w:rPr>
        <w:t>e</w:t>
      </w:r>
      <w:r w:rsidR="00BC2CED" w:rsidRPr="00EF7C03">
        <w:rPr>
          <w:lang w:val="en-US"/>
        </w:rPr>
        <w:t xml:space="preserve"> agree</w:t>
      </w:r>
      <w:r w:rsidR="00BC2CED">
        <w:rPr>
          <w:lang w:val="en-US"/>
        </w:rPr>
        <w:t>s</w:t>
      </w:r>
      <w:r w:rsidR="00BC2CED" w:rsidRPr="00EF7C03">
        <w:rPr>
          <w:lang w:val="en-US"/>
        </w:rPr>
        <w:t xml:space="preserve"> with this interpretation, we propose to make </w:t>
      </w:r>
      <w:r w:rsidR="00BC2CED" w:rsidRPr="00EF7C03">
        <w:rPr>
          <w:lang w:val="en-US"/>
        </w:rPr>
        <w:lastRenderedPageBreak/>
        <w:t xml:space="preserve">the following </w:t>
      </w:r>
      <w:r w:rsidR="00BC2CED">
        <w:rPr>
          <w:rFonts w:hint="eastAsia"/>
          <w:lang w:val="en-US"/>
        </w:rPr>
        <w:t>amendments</w:t>
      </w:r>
      <w:r w:rsidR="00BC2CED" w:rsidRPr="00EF7C03">
        <w:rPr>
          <w:lang w:val="en-US"/>
        </w:rPr>
        <w:t xml:space="preserve"> to the definition of large packaging</w:t>
      </w:r>
      <w:r w:rsidR="00835172">
        <w:rPr>
          <w:lang w:val="en-US"/>
        </w:rPr>
        <w:t xml:space="preserve"> in 1.2.1</w:t>
      </w:r>
      <w:r w:rsidR="00BC2CED" w:rsidRPr="00EF7C03">
        <w:rPr>
          <w:lang w:val="en-US"/>
        </w:rPr>
        <w:t>, together with other references to "</w:t>
      </w:r>
      <w:r w:rsidR="00BC2CED">
        <w:rPr>
          <w:lang w:val="en-US"/>
        </w:rPr>
        <w:t>v</w:t>
      </w:r>
      <w:r w:rsidR="00BC2CED" w:rsidRPr="00EF7C03">
        <w:rPr>
          <w:lang w:val="en-US"/>
        </w:rPr>
        <w:t>olume".</w:t>
      </w:r>
    </w:p>
    <w:p w14:paraId="2356A218" w14:textId="56888103" w:rsidR="00BC2CED" w:rsidRDefault="00730166" w:rsidP="00730166">
      <w:pPr>
        <w:pStyle w:val="HChG"/>
      </w:pPr>
      <w:r>
        <w:tab/>
      </w:r>
      <w:r>
        <w:tab/>
      </w:r>
      <w:r w:rsidR="00BC2CED">
        <w:rPr>
          <w:rFonts w:hint="eastAsia"/>
        </w:rPr>
        <w:t>Proposals</w:t>
      </w:r>
    </w:p>
    <w:p w14:paraId="0622177E" w14:textId="236F9B06" w:rsidR="00B509F1" w:rsidRPr="00B509F1" w:rsidRDefault="00B509F1" w:rsidP="00336B75">
      <w:pPr>
        <w:pStyle w:val="H23G"/>
      </w:pPr>
      <w:r>
        <w:tab/>
      </w:r>
      <w:r>
        <w:tab/>
        <w:t>Amendments to chapter 1.2</w:t>
      </w:r>
    </w:p>
    <w:p w14:paraId="4D95424B" w14:textId="03303857" w:rsidR="00BC2CED" w:rsidRPr="009B2A56" w:rsidRDefault="001264A9" w:rsidP="002245A1">
      <w:pPr>
        <w:pStyle w:val="SingleTxtG"/>
        <w:rPr>
          <w:lang w:val="en-US"/>
        </w:rPr>
      </w:pPr>
      <w:r>
        <w:rPr>
          <w:lang w:val="en-US"/>
        </w:rPr>
        <w:t>5</w:t>
      </w:r>
      <w:r w:rsidR="002245A1">
        <w:rPr>
          <w:lang w:val="en-US"/>
        </w:rPr>
        <w:t>.</w:t>
      </w:r>
      <w:r w:rsidR="002245A1">
        <w:rPr>
          <w:lang w:val="en-US"/>
        </w:rPr>
        <w:tab/>
      </w:r>
      <w:r w:rsidR="00835172">
        <w:rPr>
          <w:lang w:val="en-US"/>
        </w:rPr>
        <w:t>A</w:t>
      </w:r>
      <w:r w:rsidR="00BC2CED">
        <w:rPr>
          <w:rFonts w:hint="eastAsia"/>
          <w:lang w:val="en-US"/>
        </w:rPr>
        <w:t xml:space="preserve">mend the </w:t>
      </w:r>
      <w:r w:rsidR="00835172">
        <w:rPr>
          <w:lang w:val="en-US"/>
        </w:rPr>
        <w:t>definition of “</w:t>
      </w:r>
      <w:r w:rsidR="00BC2CED" w:rsidRPr="00835172">
        <w:rPr>
          <w:rFonts w:hint="eastAsia"/>
          <w:lang w:val="en-US"/>
        </w:rPr>
        <w:t>Large packaging</w:t>
      </w:r>
      <w:r w:rsidR="00835172">
        <w:rPr>
          <w:lang w:val="en-US"/>
        </w:rPr>
        <w:t>”</w:t>
      </w:r>
      <w:r w:rsidR="00BC2CED">
        <w:rPr>
          <w:rFonts w:hint="eastAsia"/>
          <w:lang w:val="en-US"/>
        </w:rPr>
        <w:t xml:space="preserve"> in 1.2.1 of </w:t>
      </w:r>
      <w:r w:rsidR="00835172">
        <w:rPr>
          <w:lang w:val="en-US"/>
        </w:rPr>
        <w:t xml:space="preserve">the </w:t>
      </w:r>
      <w:r w:rsidR="00BC2CED" w:rsidRPr="00336B75">
        <w:rPr>
          <w:rFonts w:hint="eastAsia"/>
          <w:i/>
          <w:iCs/>
          <w:lang w:val="en-US"/>
        </w:rPr>
        <w:t>Model Regulation</w:t>
      </w:r>
      <w:r w:rsidR="00835172" w:rsidRPr="00336B75">
        <w:rPr>
          <w:i/>
          <w:iCs/>
          <w:lang w:val="en-US"/>
        </w:rPr>
        <w:t>s</w:t>
      </w:r>
      <w:r w:rsidR="00BC2CED">
        <w:rPr>
          <w:rFonts w:hint="eastAsia"/>
          <w:lang w:val="en-US"/>
        </w:rPr>
        <w:t xml:space="preserve"> as follow</w:t>
      </w:r>
      <w:r w:rsidR="00E245EC">
        <w:rPr>
          <w:lang w:val="en-US"/>
        </w:rPr>
        <w:t>s</w:t>
      </w:r>
      <w:r w:rsidR="00BC2CED">
        <w:rPr>
          <w:rFonts w:hint="eastAsia"/>
          <w:lang w:val="en-US"/>
        </w:rPr>
        <w:t xml:space="preserve"> (new </w:t>
      </w:r>
      <w:r w:rsidR="00835172">
        <w:rPr>
          <w:lang w:val="en-US"/>
        </w:rPr>
        <w:t>text</w:t>
      </w:r>
      <w:r w:rsidR="00835172">
        <w:rPr>
          <w:rFonts w:hint="eastAsia"/>
          <w:lang w:val="en-US"/>
        </w:rPr>
        <w:t xml:space="preserve"> </w:t>
      </w:r>
      <w:r w:rsidR="00BC2CED">
        <w:rPr>
          <w:rFonts w:hint="eastAsia"/>
          <w:lang w:val="en-US"/>
        </w:rPr>
        <w:t xml:space="preserve">is </w:t>
      </w:r>
      <w:r w:rsidR="00835172">
        <w:rPr>
          <w:lang w:val="en-US"/>
        </w:rPr>
        <w:t xml:space="preserve">shown in </w:t>
      </w:r>
      <w:r w:rsidR="00BC2CED" w:rsidRPr="00737A35">
        <w:rPr>
          <w:b/>
          <w:u w:val="single"/>
          <w:lang w:val="en-US"/>
        </w:rPr>
        <w:t>bold and underlined</w:t>
      </w:r>
      <w:r w:rsidR="00BC2CED">
        <w:rPr>
          <w:rFonts w:hint="eastAsia"/>
          <w:lang w:val="en-US"/>
        </w:rPr>
        <w:t xml:space="preserve">, </w:t>
      </w:r>
      <w:proofErr w:type="gramStart"/>
      <w:r w:rsidR="00BC2CED">
        <w:rPr>
          <w:rFonts w:hint="eastAsia"/>
          <w:lang w:val="en-US"/>
        </w:rPr>
        <w:t xml:space="preserve">deletions </w:t>
      </w:r>
      <w:r w:rsidR="00835172">
        <w:rPr>
          <w:lang w:val="en-US"/>
        </w:rPr>
        <w:t xml:space="preserve"> </w:t>
      </w:r>
      <w:r w:rsidR="00BC2CED">
        <w:rPr>
          <w:rFonts w:hint="eastAsia"/>
          <w:lang w:val="en-US"/>
        </w:rPr>
        <w:t>in</w:t>
      </w:r>
      <w:proofErr w:type="gramEnd"/>
      <w:r w:rsidR="00BC2CED">
        <w:rPr>
          <w:rFonts w:hint="eastAsia"/>
          <w:lang w:val="en-US"/>
        </w:rPr>
        <w:t xml:space="preserve"> </w:t>
      </w:r>
      <w:r w:rsidR="00BC2CED" w:rsidRPr="003159A9">
        <w:rPr>
          <w:rFonts w:hint="eastAsia"/>
          <w:strike/>
          <w:lang w:val="en-US"/>
        </w:rPr>
        <w:t>strikethrough</w:t>
      </w:r>
      <w:r w:rsidR="00BC2CED">
        <w:rPr>
          <w:rFonts w:hint="eastAsia"/>
          <w:lang w:val="en-US"/>
        </w:rPr>
        <w:t>):</w:t>
      </w:r>
    </w:p>
    <w:p w14:paraId="7FE32D33" w14:textId="6BEE0AAA" w:rsidR="006E6083" w:rsidRDefault="00835172" w:rsidP="00835172">
      <w:pPr>
        <w:pStyle w:val="SingleTxtG"/>
        <w:ind w:left="1701"/>
        <w:rPr>
          <w:lang w:val="en-US"/>
        </w:rPr>
      </w:pPr>
      <w:r>
        <w:rPr>
          <w:i/>
          <w:iCs/>
          <w:lang w:val="en-US"/>
        </w:rPr>
        <w:t>“</w:t>
      </w:r>
      <w:r w:rsidR="00BC2CED" w:rsidRPr="003159A9">
        <w:rPr>
          <w:rFonts w:hint="eastAsia"/>
          <w:i/>
          <w:iCs/>
          <w:lang w:val="en-US"/>
        </w:rPr>
        <w:t>L</w:t>
      </w:r>
      <w:r w:rsidR="00BC2CED" w:rsidRPr="003159A9">
        <w:rPr>
          <w:i/>
          <w:iCs/>
          <w:lang w:val="en-US"/>
        </w:rPr>
        <w:t>arge packaging</w:t>
      </w:r>
      <w:r w:rsidR="00BC2CED" w:rsidRPr="00845EA8">
        <w:rPr>
          <w:lang w:val="en-US"/>
        </w:rPr>
        <w:t xml:space="preserve"> means a packaging consisting of an outer packaging which contains articles or inner </w:t>
      </w:r>
      <w:proofErr w:type="spellStart"/>
      <w:r w:rsidR="00BC2CED" w:rsidRPr="00845EA8">
        <w:rPr>
          <w:lang w:val="en-US"/>
        </w:rPr>
        <w:t>packagings</w:t>
      </w:r>
      <w:proofErr w:type="spellEnd"/>
      <w:r w:rsidR="00BC2CED" w:rsidRPr="00845EA8">
        <w:rPr>
          <w:lang w:val="en-US"/>
        </w:rPr>
        <w:t xml:space="preserve"> and </w:t>
      </w:r>
      <w:proofErr w:type="gramStart"/>
      <w:r w:rsidR="00BC2CED" w:rsidRPr="00845EA8">
        <w:rPr>
          <w:lang w:val="en-US"/>
        </w:rPr>
        <w:t>which</w:t>
      </w:r>
      <w:proofErr w:type="gramEnd"/>
    </w:p>
    <w:p w14:paraId="721D0D56" w14:textId="21D235AD" w:rsidR="00BC2CED" w:rsidRPr="00336B75" w:rsidRDefault="006E6083" w:rsidP="00336B75">
      <w:pPr>
        <w:pStyle w:val="SingleTxtG"/>
        <w:tabs>
          <w:tab w:val="clear" w:pos="2268"/>
          <w:tab w:val="left" w:pos="2127"/>
        </w:tabs>
        <w:ind w:left="1701"/>
        <w:rPr>
          <w:lang w:val="en-US"/>
        </w:rPr>
      </w:pPr>
      <w:r w:rsidRPr="00336B75">
        <w:rPr>
          <w:lang w:val="en-US"/>
        </w:rPr>
        <w:t>(a)</w:t>
      </w:r>
      <w:r w:rsidRPr="00336B75">
        <w:rPr>
          <w:lang w:val="en-US"/>
        </w:rPr>
        <w:tab/>
        <w:t>is designed for mechanical handling; and</w:t>
      </w:r>
    </w:p>
    <w:p w14:paraId="07ED869E" w14:textId="261C0A48" w:rsidR="00BC2CED" w:rsidRDefault="00BC2CED" w:rsidP="00336B75">
      <w:pPr>
        <w:pStyle w:val="SingleTxtG"/>
        <w:tabs>
          <w:tab w:val="clear" w:pos="1701"/>
        </w:tabs>
        <w:ind w:left="2127" w:hanging="426"/>
        <w:rPr>
          <w:lang w:val="en-US"/>
        </w:rPr>
      </w:pPr>
      <w:r w:rsidRPr="00845EA8">
        <w:rPr>
          <w:lang w:val="en-US"/>
        </w:rPr>
        <w:t>(b)</w:t>
      </w:r>
      <w:r w:rsidRPr="00845EA8">
        <w:rPr>
          <w:lang w:val="en-US"/>
        </w:rPr>
        <w:tab/>
        <w:t xml:space="preserve">exceeds 400 kg net mass or 450 </w:t>
      </w:r>
      <w:proofErr w:type="spellStart"/>
      <w:r w:rsidRPr="00845EA8">
        <w:rPr>
          <w:lang w:val="en-US"/>
        </w:rPr>
        <w:t>litres</w:t>
      </w:r>
      <w:proofErr w:type="spellEnd"/>
      <w:r w:rsidRPr="00845EA8">
        <w:rPr>
          <w:lang w:val="en-US"/>
        </w:rPr>
        <w:t xml:space="preserve"> capacity but has </w:t>
      </w:r>
      <w:proofErr w:type="gramStart"/>
      <w:r w:rsidRPr="00737A35">
        <w:rPr>
          <w:strike/>
          <w:lang w:val="en-US"/>
        </w:rPr>
        <w:t>a</w:t>
      </w:r>
      <w:r w:rsidRPr="00AC7BA7">
        <w:rPr>
          <w:b/>
          <w:lang w:val="en-US"/>
        </w:rPr>
        <w:t xml:space="preserve"> </w:t>
      </w:r>
      <w:r w:rsidRPr="00AC7BA7">
        <w:rPr>
          <w:rFonts w:hint="eastAsia"/>
          <w:b/>
          <w:u w:val="single"/>
          <w:lang w:val="en-US"/>
        </w:rPr>
        <w:t>an</w:t>
      </w:r>
      <w:proofErr w:type="gramEnd"/>
      <w:r w:rsidRPr="00AC7BA7">
        <w:rPr>
          <w:rFonts w:hint="eastAsia"/>
          <w:b/>
          <w:u w:val="single"/>
          <w:lang w:val="en-US"/>
        </w:rPr>
        <w:t xml:space="preserve"> internal</w:t>
      </w:r>
      <w:r>
        <w:rPr>
          <w:rFonts w:hint="eastAsia"/>
          <w:lang w:val="en-US"/>
        </w:rPr>
        <w:t xml:space="preserve"> </w:t>
      </w:r>
      <w:r w:rsidRPr="00845EA8">
        <w:rPr>
          <w:lang w:val="en-US"/>
        </w:rPr>
        <w:t>volume of not more than 3 m</w:t>
      </w:r>
      <w:r w:rsidRPr="00845EA8">
        <w:rPr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; </w:t>
      </w:r>
      <w:r>
        <w:rPr>
          <w:lang w:val="en-US"/>
        </w:rPr>
        <w:tab/>
      </w:r>
    </w:p>
    <w:p w14:paraId="3E5216E4" w14:textId="6E84BFB3" w:rsidR="00BC2CED" w:rsidRPr="009B2A56" w:rsidRDefault="001264A9" w:rsidP="002245A1">
      <w:pPr>
        <w:pStyle w:val="SingleTxtG"/>
        <w:rPr>
          <w:lang w:val="en-US"/>
        </w:rPr>
      </w:pPr>
      <w:r>
        <w:t>6</w:t>
      </w:r>
      <w:r w:rsidR="00B54272">
        <w:t>.</w:t>
      </w:r>
      <w:r w:rsidR="00B54272">
        <w:tab/>
      </w:r>
      <w:r w:rsidR="00B509F1">
        <w:t>A</w:t>
      </w:r>
      <w:r w:rsidR="00BC2CED" w:rsidRPr="003159A9">
        <w:t xml:space="preserve">mend the </w:t>
      </w:r>
      <w:r w:rsidR="00B509F1">
        <w:t>definition of “</w:t>
      </w:r>
      <w:r w:rsidR="00BC2CED" w:rsidRPr="003159A9">
        <w:t>Large</w:t>
      </w:r>
      <w:r w:rsidR="00BC2CED">
        <w:rPr>
          <w:rFonts w:hint="eastAsia"/>
        </w:rPr>
        <w:t xml:space="preserve"> </w:t>
      </w:r>
      <w:r w:rsidR="00BC2CED" w:rsidRPr="003159A9">
        <w:t>salvage packaging</w:t>
      </w:r>
      <w:r w:rsidR="00B509F1">
        <w:t>”</w:t>
      </w:r>
      <w:r w:rsidR="00BC2CED" w:rsidRPr="003159A9">
        <w:t xml:space="preserve"> in 1.2.1 of </w:t>
      </w:r>
      <w:r w:rsidR="00B509F1">
        <w:t xml:space="preserve">the </w:t>
      </w:r>
      <w:r w:rsidR="00BC2CED" w:rsidRPr="00336B75">
        <w:rPr>
          <w:i/>
          <w:iCs/>
        </w:rPr>
        <w:t>Model Regulation</w:t>
      </w:r>
      <w:r w:rsidR="00B509F1">
        <w:rPr>
          <w:i/>
          <w:iCs/>
        </w:rPr>
        <w:t>s</w:t>
      </w:r>
      <w:r w:rsidR="00BC2CED" w:rsidRPr="003159A9">
        <w:t xml:space="preserve"> as follow</w:t>
      </w:r>
      <w:r w:rsidR="00E245EC">
        <w:t>s</w:t>
      </w:r>
      <w:r w:rsidR="00BC2CED">
        <w:rPr>
          <w:rFonts w:hint="eastAsia"/>
        </w:rPr>
        <w:t xml:space="preserve"> </w:t>
      </w:r>
      <w:r w:rsidR="00BC2CED" w:rsidRPr="003159A9">
        <w:t>(new te</w:t>
      </w:r>
      <w:r w:rsidR="00B509F1">
        <w:t>x</w:t>
      </w:r>
      <w:r w:rsidR="00BC2CED" w:rsidRPr="003159A9">
        <w:t>t is</w:t>
      </w:r>
      <w:r w:rsidR="00B509F1">
        <w:t xml:space="preserve"> shown in</w:t>
      </w:r>
      <w:r w:rsidR="00BC2CED" w:rsidRPr="003159A9">
        <w:t xml:space="preserve"> </w:t>
      </w:r>
      <w:r w:rsidR="00BC2CED" w:rsidRPr="00737A35">
        <w:rPr>
          <w:b/>
          <w:u w:val="single"/>
          <w:lang w:val="en-US"/>
        </w:rPr>
        <w:t>bold and underlined</w:t>
      </w:r>
      <w:r w:rsidR="00BC2CED" w:rsidRPr="003159A9">
        <w:t>, deletions in strikethrough):</w:t>
      </w:r>
    </w:p>
    <w:p w14:paraId="6E450B35" w14:textId="75BB181B" w:rsidR="00BC2CED" w:rsidRPr="003159A9" w:rsidRDefault="00BC2CED" w:rsidP="00BC2CED">
      <w:pPr>
        <w:pStyle w:val="SingleTxtG"/>
        <w:rPr>
          <w:lang w:val="en-US"/>
        </w:rPr>
      </w:pPr>
      <w:r w:rsidRPr="002245A1">
        <w:rPr>
          <w:i/>
          <w:iCs/>
        </w:rPr>
        <w:tab/>
      </w:r>
      <w:r w:rsidR="00B509F1">
        <w:rPr>
          <w:i/>
          <w:iCs/>
        </w:rPr>
        <w:t>“</w:t>
      </w:r>
      <w:r w:rsidRPr="002245A1">
        <w:rPr>
          <w:i/>
          <w:iCs/>
        </w:rPr>
        <w:t xml:space="preserve">Large </w:t>
      </w:r>
      <w:bookmarkStart w:id="0" w:name="_Hlk174024910"/>
      <w:r w:rsidRPr="002245A1">
        <w:rPr>
          <w:i/>
          <w:iCs/>
        </w:rPr>
        <w:t>salvage packaging</w:t>
      </w:r>
      <w:bookmarkEnd w:id="0"/>
      <w:r w:rsidRPr="002245A1">
        <w:rPr>
          <w:i/>
          <w:iCs/>
        </w:rPr>
        <w:t xml:space="preserve"> </w:t>
      </w:r>
      <w:r w:rsidRPr="002245A1">
        <w:t xml:space="preserve">means a special </w:t>
      </w:r>
      <w:r w:rsidRPr="002245A1">
        <w:rPr>
          <w:lang w:val="en-US"/>
        </w:rPr>
        <w:t>packaging</w:t>
      </w:r>
      <w:r w:rsidRPr="002245A1">
        <w:t xml:space="preserve"> </w:t>
      </w:r>
      <w:proofErr w:type="gramStart"/>
      <w:r w:rsidRPr="002245A1">
        <w:t>which</w:t>
      </w:r>
      <w:proofErr w:type="gramEnd"/>
    </w:p>
    <w:p w14:paraId="69CBDD0C" w14:textId="2DFA0F52" w:rsidR="00BC2CED" w:rsidRPr="003159A9" w:rsidRDefault="00BC2CED" w:rsidP="00336B75">
      <w:pPr>
        <w:pStyle w:val="SingleTxtG"/>
        <w:tabs>
          <w:tab w:val="clear" w:pos="2268"/>
          <w:tab w:val="left" w:pos="2127"/>
        </w:tabs>
      </w:pPr>
      <w:r w:rsidRPr="003159A9">
        <w:rPr>
          <w:rFonts w:ascii="TimesNewRomanPSMT" w:hAnsi="TimesNewRomanPSMT"/>
          <w:color w:val="000000"/>
        </w:rPr>
        <w:tab/>
        <w:t>(a)</w:t>
      </w:r>
      <w:r w:rsidR="00B54272">
        <w:rPr>
          <w:rFonts w:ascii="TimesNewRomanPSMT" w:hAnsi="TimesNewRomanPSMT"/>
          <w:color w:val="000000"/>
        </w:rPr>
        <w:tab/>
      </w:r>
      <w:r w:rsidRPr="003159A9">
        <w:rPr>
          <w:rFonts w:ascii="TimesNewRomanPSMT" w:hAnsi="TimesNewRomanPSMT"/>
          <w:color w:val="000000"/>
        </w:rPr>
        <w:t>is designed for mechanical handling; and</w:t>
      </w:r>
    </w:p>
    <w:p w14:paraId="4CEC0BAC" w14:textId="59985AE8" w:rsidR="00BC2CED" w:rsidRDefault="00B54272" w:rsidP="00336B75">
      <w:pPr>
        <w:pStyle w:val="SingleTxtG"/>
        <w:ind w:left="2127" w:hanging="993"/>
        <w:rPr>
          <w:lang w:val="en-US"/>
        </w:rPr>
      </w:pPr>
      <w:r>
        <w:rPr>
          <w:lang w:val="en-US"/>
        </w:rPr>
        <w:tab/>
      </w:r>
      <w:r w:rsidR="00BC2CED" w:rsidRPr="003159A9">
        <w:rPr>
          <w:lang w:val="en-US"/>
        </w:rPr>
        <w:t>(b)</w:t>
      </w:r>
      <w:r>
        <w:rPr>
          <w:lang w:val="en-US"/>
        </w:rPr>
        <w:tab/>
      </w:r>
      <w:r w:rsidR="00BC2CED" w:rsidRPr="003159A9">
        <w:rPr>
          <w:lang w:val="en-US"/>
        </w:rPr>
        <w:t xml:space="preserve">exceeds 400 kg net mass or 450 </w:t>
      </w:r>
      <w:proofErr w:type="spellStart"/>
      <w:r w:rsidR="00BC2CED" w:rsidRPr="003159A9">
        <w:rPr>
          <w:lang w:val="en-US"/>
        </w:rPr>
        <w:t>litres</w:t>
      </w:r>
      <w:proofErr w:type="spellEnd"/>
      <w:r w:rsidR="00BC2CED" w:rsidRPr="003159A9">
        <w:rPr>
          <w:lang w:val="en-US"/>
        </w:rPr>
        <w:t xml:space="preserve"> capacity but has </w:t>
      </w:r>
      <w:proofErr w:type="gramStart"/>
      <w:r w:rsidR="00BC2CED" w:rsidRPr="00737A35">
        <w:rPr>
          <w:strike/>
          <w:lang w:val="en-US"/>
        </w:rPr>
        <w:t>a</w:t>
      </w:r>
      <w:r w:rsidR="00BC2CED" w:rsidRPr="003159A9">
        <w:rPr>
          <w:b/>
          <w:lang w:val="en-US"/>
        </w:rPr>
        <w:t xml:space="preserve"> </w:t>
      </w:r>
      <w:r w:rsidR="00BC2CED" w:rsidRPr="003159A9">
        <w:rPr>
          <w:rFonts w:hint="eastAsia"/>
          <w:b/>
          <w:u w:val="single"/>
          <w:lang w:val="en-US"/>
        </w:rPr>
        <w:t>an</w:t>
      </w:r>
      <w:proofErr w:type="gramEnd"/>
      <w:r w:rsidR="00BC2CED" w:rsidRPr="003159A9">
        <w:rPr>
          <w:rFonts w:hint="eastAsia"/>
          <w:b/>
          <w:u w:val="single"/>
          <w:lang w:val="en-US"/>
        </w:rPr>
        <w:t xml:space="preserve"> internal</w:t>
      </w:r>
      <w:r w:rsidR="00BC2CED" w:rsidRPr="003159A9">
        <w:rPr>
          <w:b/>
          <w:lang w:val="en-US"/>
        </w:rPr>
        <w:t xml:space="preserve"> </w:t>
      </w:r>
      <w:r w:rsidR="00BC2CED" w:rsidRPr="003159A9">
        <w:rPr>
          <w:lang w:val="en-US"/>
        </w:rPr>
        <w:t>volume of not more than 3 m³;</w:t>
      </w:r>
      <w:r w:rsidR="00B509F1">
        <w:rPr>
          <w:lang w:val="en-US"/>
        </w:rPr>
        <w:t>”</w:t>
      </w:r>
    </w:p>
    <w:p w14:paraId="39A2E0F1" w14:textId="77777777" w:rsidR="00B509F1" w:rsidRPr="00B509F1" w:rsidRDefault="00B509F1" w:rsidP="00B509F1">
      <w:pPr>
        <w:pStyle w:val="H23G"/>
      </w:pPr>
      <w:r>
        <w:tab/>
      </w:r>
      <w:r>
        <w:tab/>
        <w:t>Amendments to chapter 2.4</w:t>
      </w:r>
    </w:p>
    <w:p w14:paraId="1688980F" w14:textId="3D654D38" w:rsidR="00BC2CED" w:rsidRDefault="001264A9" w:rsidP="00E245EC">
      <w:pPr>
        <w:pStyle w:val="SingleTxtG"/>
      </w:pPr>
      <w:r>
        <w:t>7</w:t>
      </w:r>
      <w:r w:rsidR="00B54272">
        <w:t>.</w:t>
      </w:r>
      <w:r w:rsidR="00B54272">
        <w:tab/>
      </w:r>
      <w:r w:rsidR="00B509F1">
        <w:t>A</w:t>
      </w:r>
      <w:r w:rsidR="00BC2CED" w:rsidRPr="002245A1">
        <w:rPr>
          <w:lang w:val="en-US"/>
        </w:rPr>
        <w:t>mend</w:t>
      </w:r>
      <w:r w:rsidR="00BC2CED" w:rsidRPr="003159A9">
        <w:t xml:space="preserve"> </w:t>
      </w:r>
      <w:r w:rsidR="00E245EC">
        <w:t xml:space="preserve">the following </w:t>
      </w:r>
      <w:proofErr w:type="gramStart"/>
      <w:r w:rsidR="00B509F1">
        <w:t>paragraphs</w:t>
      </w:r>
      <w:r w:rsidR="00B509F1" w:rsidRPr="003159A9">
        <w:t xml:space="preserve"> </w:t>
      </w:r>
      <w:r w:rsidR="00B509F1">
        <w:t xml:space="preserve"> </w:t>
      </w:r>
      <w:r w:rsidR="00BC2CED" w:rsidRPr="003159A9">
        <w:t>of</w:t>
      </w:r>
      <w:proofErr w:type="gramEnd"/>
      <w:r w:rsidR="00BC2CED" w:rsidRPr="003159A9">
        <w:t xml:space="preserve"> </w:t>
      </w:r>
      <w:r w:rsidR="00B509F1">
        <w:t xml:space="preserve">the </w:t>
      </w:r>
      <w:r w:rsidR="00BC2CED" w:rsidRPr="003159A9">
        <w:t>Model Regulation</w:t>
      </w:r>
      <w:r w:rsidR="00B509F1">
        <w:t>s</w:t>
      </w:r>
      <w:r w:rsidR="00BC2CED" w:rsidRPr="003159A9">
        <w:t xml:space="preserve"> as follow</w:t>
      </w:r>
      <w:r w:rsidR="00E245EC">
        <w:t>s</w:t>
      </w:r>
      <w:r w:rsidR="00BC2CED">
        <w:rPr>
          <w:rFonts w:hint="eastAsia"/>
        </w:rPr>
        <w:t xml:space="preserve"> </w:t>
      </w:r>
      <w:r w:rsidR="00BC2CED" w:rsidRPr="003159A9">
        <w:t xml:space="preserve">(new test is </w:t>
      </w:r>
      <w:r w:rsidR="00BC2CED" w:rsidRPr="00737A35">
        <w:rPr>
          <w:b/>
          <w:u w:val="single"/>
          <w:lang w:val="en-US"/>
        </w:rPr>
        <w:t>bold and underlined</w:t>
      </w:r>
      <w:r w:rsidR="00BC2CED" w:rsidRPr="003159A9">
        <w:t xml:space="preserve">, deletions in </w:t>
      </w:r>
      <w:r w:rsidR="00BC2CED" w:rsidRPr="00737A35">
        <w:rPr>
          <w:strike/>
        </w:rPr>
        <w:t>strikethrough</w:t>
      </w:r>
      <w:r w:rsidR="00BC2CED" w:rsidRPr="003159A9">
        <w:t>):</w:t>
      </w:r>
    </w:p>
    <w:p w14:paraId="19F8CCA6" w14:textId="63CC8910" w:rsidR="00BC2CED" w:rsidRPr="009B2A56" w:rsidRDefault="00BC2CED" w:rsidP="00336B75">
      <w:pPr>
        <w:pStyle w:val="Bullet1G"/>
      </w:pPr>
      <w:r w:rsidRPr="009B2A56">
        <w:t>2.4.3.2.3.</w:t>
      </w:r>
      <w:r w:rsidRPr="009B2A56">
        <w:rPr>
          <w:rFonts w:hint="eastAsia"/>
        </w:rPr>
        <w:t>1</w:t>
      </w:r>
      <w:r w:rsidR="00E245EC">
        <w:t xml:space="preserve"> (b): </w:t>
      </w:r>
    </w:p>
    <w:p w14:paraId="78CFCC8D" w14:textId="38B31F67" w:rsidR="00BC2CED" w:rsidRDefault="00E245EC" w:rsidP="00336B75">
      <w:pPr>
        <w:pStyle w:val="SingleTxtG"/>
        <w:tabs>
          <w:tab w:val="clear" w:pos="1701"/>
        </w:tabs>
        <w:ind w:left="2268" w:hanging="567"/>
        <w:rPr>
          <w:lang w:val="en-US"/>
        </w:rPr>
      </w:pPr>
      <w:r>
        <w:rPr>
          <w:lang w:val="en-US"/>
        </w:rPr>
        <w:t>“</w:t>
      </w:r>
      <w:r w:rsidR="00BC2CED" w:rsidRPr="0068745F">
        <w:rPr>
          <w:lang w:val="en-US"/>
        </w:rPr>
        <w:t>(b)</w:t>
      </w:r>
      <w:r w:rsidR="00BC2CED" w:rsidRPr="0068745F">
        <w:rPr>
          <w:lang w:val="en-US"/>
        </w:rPr>
        <w:tab/>
        <w:t xml:space="preserve">A positive result is obtained in a test using a 100 mm sample cube at 140 °C and a negative result is obtained in a test using a 100 mm cube sample at 120 °C and the substance is to be transported in packages with </w:t>
      </w:r>
      <w:r w:rsidR="00BC2CED" w:rsidRPr="00737A35">
        <w:rPr>
          <w:rFonts w:hint="eastAsia"/>
          <w:strike/>
          <w:lang w:val="en-US"/>
        </w:rPr>
        <w:t>a</w:t>
      </w:r>
      <w:r w:rsidR="00BC2CED" w:rsidRPr="00A10EF2">
        <w:rPr>
          <w:rFonts w:hint="eastAsia"/>
          <w:b/>
          <w:lang w:val="en-US"/>
        </w:rPr>
        <w:t xml:space="preserve"> </w:t>
      </w:r>
      <w:r w:rsidR="00BC2CED" w:rsidRPr="00A10EF2">
        <w:rPr>
          <w:rFonts w:hint="eastAsia"/>
          <w:b/>
          <w:u w:val="single"/>
          <w:lang w:val="en-US"/>
        </w:rPr>
        <w:t>an internal</w:t>
      </w:r>
      <w:r w:rsidR="00BC2CED" w:rsidRPr="0068745F">
        <w:rPr>
          <w:lang w:val="en-US"/>
        </w:rPr>
        <w:t xml:space="preserve"> </w:t>
      </w:r>
      <w:proofErr w:type="gramStart"/>
      <w:r w:rsidR="00BC2CED" w:rsidRPr="00A10EF2">
        <w:rPr>
          <w:lang w:val="en-US"/>
        </w:rPr>
        <w:t xml:space="preserve">volume </w:t>
      </w:r>
      <w:r w:rsidR="00BC2CED">
        <w:rPr>
          <w:rFonts w:hint="eastAsia"/>
          <w:lang w:val="en-US"/>
        </w:rPr>
        <w:t xml:space="preserve"> </w:t>
      </w:r>
      <w:r w:rsidR="00BC2CED" w:rsidRPr="0068745F">
        <w:rPr>
          <w:lang w:val="en-US"/>
        </w:rPr>
        <w:t>of</w:t>
      </w:r>
      <w:proofErr w:type="gramEnd"/>
      <w:r w:rsidR="00BC2CED" w:rsidRPr="0068745F">
        <w:rPr>
          <w:lang w:val="en-US"/>
        </w:rPr>
        <w:t xml:space="preserve"> more than 3 m</w:t>
      </w:r>
      <w:r w:rsidR="00BC2CED" w:rsidRPr="00E3342B">
        <w:rPr>
          <w:vertAlign w:val="superscript"/>
          <w:lang w:val="en-US"/>
        </w:rPr>
        <w:t>3</w:t>
      </w:r>
      <w:r w:rsidR="00BC2CED" w:rsidRPr="0068745F">
        <w:rPr>
          <w:lang w:val="en-US"/>
        </w:rPr>
        <w:t>;</w:t>
      </w:r>
      <w:r>
        <w:rPr>
          <w:lang w:val="en-US"/>
        </w:rPr>
        <w:t>”</w:t>
      </w:r>
    </w:p>
    <w:p w14:paraId="7D830F11" w14:textId="089D29F7" w:rsidR="00BC2CED" w:rsidRPr="00336B75" w:rsidRDefault="00BC2CED" w:rsidP="00336B75">
      <w:pPr>
        <w:pStyle w:val="Bullet1G"/>
      </w:pPr>
      <w:r w:rsidRPr="00336B75">
        <w:tab/>
        <w:t>2.4.3.2.3.</w:t>
      </w:r>
      <w:r w:rsidRPr="00336B75">
        <w:rPr>
          <w:rFonts w:hint="eastAsia"/>
        </w:rPr>
        <w:t>2</w:t>
      </w:r>
      <w:r w:rsidR="00E245EC" w:rsidRPr="00336B75">
        <w:t xml:space="preserve"> (b)</w:t>
      </w:r>
      <w:r w:rsidR="004E4493">
        <w:t>:</w:t>
      </w:r>
    </w:p>
    <w:p w14:paraId="27E5F81D" w14:textId="105FA341" w:rsidR="00BC2CED" w:rsidRDefault="00E245EC" w:rsidP="00336B75">
      <w:pPr>
        <w:pStyle w:val="SingleTxtG"/>
        <w:tabs>
          <w:tab w:val="clear" w:pos="1701"/>
        </w:tabs>
        <w:ind w:left="2268" w:hanging="567"/>
        <w:rPr>
          <w:lang w:val="en-US"/>
        </w:rPr>
      </w:pPr>
      <w:r>
        <w:rPr>
          <w:lang w:val="en-US"/>
        </w:rPr>
        <w:t>“</w:t>
      </w:r>
      <w:r w:rsidR="00BC2CED" w:rsidRPr="0068745F">
        <w:rPr>
          <w:lang w:val="en-US"/>
        </w:rPr>
        <w:t>(b)</w:t>
      </w:r>
      <w:r w:rsidR="00BC2CED" w:rsidRPr="0068745F">
        <w:rPr>
          <w:lang w:val="en-US"/>
        </w:rPr>
        <w:tab/>
        <w:t>A positive result is obtained in a test using a 100 mm sample cube at 140 °C and a</w:t>
      </w:r>
      <w:r w:rsidR="00BC2CED">
        <w:rPr>
          <w:lang w:val="en-US"/>
        </w:rPr>
        <w:t xml:space="preserve"> </w:t>
      </w:r>
      <w:r w:rsidR="00BC2CED" w:rsidRPr="0068745F">
        <w:rPr>
          <w:lang w:val="en-US"/>
        </w:rPr>
        <w:t>negative result is obtained in a test using a 25 mm cube sample at 140 °C, a negative</w:t>
      </w:r>
      <w:r w:rsidR="00BC2CED">
        <w:rPr>
          <w:lang w:val="en-US"/>
        </w:rPr>
        <w:t xml:space="preserve"> </w:t>
      </w:r>
      <w:r w:rsidR="00BC2CED" w:rsidRPr="0068745F">
        <w:rPr>
          <w:lang w:val="en-US"/>
        </w:rPr>
        <w:t>result is obtained in a test using a 100 mm cube sample at 120 °C and the substance is</w:t>
      </w:r>
      <w:r w:rsidR="00BC2CED">
        <w:rPr>
          <w:rFonts w:hint="eastAsia"/>
          <w:lang w:val="en-US"/>
        </w:rPr>
        <w:t xml:space="preserve"> </w:t>
      </w:r>
      <w:r w:rsidR="00BC2CED" w:rsidRPr="0068745F">
        <w:rPr>
          <w:lang w:val="en-US"/>
        </w:rPr>
        <w:t>to be transported in packages with</w:t>
      </w:r>
      <w:r w:rsidR="00BC2CED" w:rsidRPr="00A10EF2">
        <w:rPr>
          <w:b/>
          <w:lang w:val="en-US"/>
        </w:rPr>
        <w:t xml:space="preserve"> </w:t>
      </w:r>
      <w:proofErr w:type="gramStart"/>
      <w:r w:rsidR="00BC2CED" w:rsidRPr="00737A35">
        <w:rPr>
          <w:rFonts w:hint="eastAsia"/>
          <w:strike/>
          <w:lang w:val="en-US"/>
        </w:rPr>
        <w:t>a</w:t>
      </w:r>
      <w:r w:rsidR="00BC2CED" w:rsidRPr="00A10EF2">
        <w:rPr>
          <w:rFonts w:hint="eastAsia"/>
          <w:b/>
          <w:lang w:val="en-US"/>
        </w:rPr>
        <w:t xml:space="preserve"> </w:t>
      </w:r>
      <w:r w:rsidR="00BC2CED" w:rsidRPr="00A10EF2">
        <w:rPr>
          <w:rFonts w:hint="eastAsia"/>
          <w:b/>
          <w:u w:val="single"/>
          <w:lang w:val="en-US"/>
        </w:rPr>
        <w:t>an</w:t>
      </w:r>
      <w:proofErr w:type="gramEnd"/>
      <w:r w:rsidR="00BC2CED" w:rsidRPr="00A10EF2">
        <w:rPr>
          <w:rFonts w:hint="eastAsia"/>
          <w:b/>
          <w:u w:val="single"/>
          <w:lang w:val="en-US"/>
        </w:rPr>
        <w:t xml:space="preserve"> internal</w:t>
      </w:r>
      <w:r w:rsidR="00BC2CED" w:rsidRPr="0068745F">
        <w:rPr>
          <w:lang w:val="en-US"/>
        </w:rPr>
        <w:t xml:space="preserve"> volume not more than 3 m</w:t>
      </w:r>
      <w:r w:rsidR="00BC2CED" w:rsidRPr="0068745F">
        <w:rPr>
          <w:vertAlign w:val="superscript"/>
          <w:lang w:val="en-US"/>
        </w:rPr>
        <w:t>3</w:t>
      </w:r>
      <w:r w:rsidR="00BC2CED" w:rsidRPr="0068745F">
        <w:rPr>
          <w:lang w:val="en-US"/>
        </w:rPr>
        <w:t>;</w:t>
      </w:r>
      <w:r>
        <w:rPr>
          <w:lang w:val="en-US"/>
        </w:rPr>
        <w:t>”</w:t>
      </w:r>
    </w:p>
    <w:p w14:paraId="1CAB4D62" w14:textId="4006A2C5" w:rsidR="00BC2CED" w:rsidRPr="00336B75" w:rsidRDefault="00BC2CED" w:rsidP="00336B75">
      <w:pPr>
        <w:pStyle w:val="Bullet1G"/>
      </w:pPr>
      <w:r w:rsidRPr="00336B75">
        <w:tab/>
      </w:r>
      <w:r w:rsidRPr="00336B75">
        <w:rPr>
          <w:rFonts w:hint="eastAsia"/>
        </w:rPr>
        <w:t>2.4.3.3.3</w:t>
      </w:r>
      <w:r w:rsidR="00E245EC" w:rsidRPr="00336B75">
        <w:t xml:space="preserve"> (a)</w:t>
      </w:r>
      <w:r w:rsidR="004E4493">
        <w:t>:</w:t>
      </w:r>
    </w:p>
    <w:p w14:paraId="43D68F60" w14:textId="599F3535" w:rsidR="00AF5DE1" w:rsidRDefault="00E245EC" w:rsidP="00336B75">
      <w:pPr>
        <w:pStyle w:val="SingleTxtG"/>
        <w:tabs>
          <w:tab w:val="clear" w:pos="1701"/>
          <w:tab w:val="clear" w:pos="2268"/>
        </w:tabs>
        <w:ind w:left="2268" w:hanging="567"/>
        <w:rPr>
          <w:lang w:val="en-US"/>
        </w:rPr>
      </w:pPr>
      <w:r>
        <w:rPr>
          <w:lang w:val="en-US"/>
        </w:rPr>
        <w:t>“</w:t>
      </w:r>
      <w:r w:rsidR="00F41181" w:rsidRPr="00F41181">
        <w:rPr>
          <w:lang w:val="en-US"/>
        </w:rPr>
        <w:t>(</w:t>
      </w:r>
      <w:r w:rsidR="00F41181">
        <w:rPr>
          <w:lang w:val="en-US"/>
        </w:rPr>
        <w:t>a)</w:t>
      </w:r>
      <w:r w:rsidR="00F41181">
        <w:rPr>
          <w:lang w:val="en-US"/>
        </w:rPr>
        <w:tab/>
      </w:r>
      <w:r w:rsidR="00BC2CED" w:rsidRPr="003E1E66">
        <w:rPr>
          <w:lang w:val="en-US"/>
        </w:rPr>
        <w:t>A positive result is obtained in a test using a 100 mm sample cube at 140 °C and a negative result is obtained in a test using a 25 mm cube sample at 140 °C and the substance is to be transported in packages with</w:t>
      </w:r>
      <w:r w:rsidR="00BC2CED" w:rsidRPr="0068745F">
        <w:rPr>
          <w:lang w:val="en-US"/>
        </w:rPr>
        <w:t xml:space="preserve"> </w:t>
      </w:r>
      <w:proofErr w:type="gramStart"/>
      <w:r w:rsidR="00BC2CED" w:rsidRPr="00737A35">
        <w:rPr>
          <w:rFonts w:hint="eastAsia"/>
          <w:strike/>
          <w:lang w:val="en-US"/>
        </w:rPr>
        <w:t>a</w:t>
      </w:r>
      <w:r w:rsidR="00BC2CED" w:rsidRPr="00A10EF2">
        <w:rPr>
          <w:rFonts w:hint="eastAsia"/>
          <w:b/>
          <w:lang w:val="en-US"/>
        </w:rPr>
        <w:t xml:space="preserve"> </w:t>
      </w:r>
      <w:r w:rsidR="00BC2CED" w:rsidRPr="00A10EF2">
        <w:rPr>
          <w:rFonts w:hint="eastAsia"/>
          <w:b/>
          <w:u w:val="single"/>
          <w:lang w:val="en-US"/>
        </w:rPr>
        <w:t>an</w:t>
      </w:r>
      <w:proofErr w:type="gramEnd"/>
      <w:r w:rsidR="00BC2CED" w:rsidRPr="00A10EF2">
        <w:rPr>
          <w:rFonts w:hint="eastAsia"/>
          <w:b/>
          <w:u w:val="single"/>
          <w:lang w:val="en-US"/>
        </w:rPr>
        <w:t xml:space="preserve"> internal</w:t>
      </w:r>
      <w:r w:rsidR="00BC2CED" w:rsidRPr="0068745F">
        <w:rPr>
          <w:lang w:val="en-US"/>
        </w:rPr>
        <w:t xml:space="preserve"> </w:t>
      </w:r>
      <w:r w:rsidR="00BC2CED" w:rsidRPr="003E1E66">
        <w:rPr>
          <w:lang w:val="en-US"/>
        </w:rPr>
        <w:t>volume of more than 3 m</w:t>
      </w:r>
      <w:r w:rsidR="00BC2CED" w:rsidRPr="003E1E66">
        <w:rPr>
          <w:vertAlign w:val="superscript"/>
          <w:lang w:val="en-US"/>
        </w:rPr>
        <w:t>3</w:t>
      </w:r>
      <w:r w:rsidR="00BC2CED" w:rsidRPr="003E1E66">
        <w:rPr>
          <w:lang w:val="en-US"/>
        </w:rPr>
        <w:t>;</w:t>
      </w:r>
      <w:r>
        <w:rPr>
          <w:lang w:val="en-US"/>
        </w:rPr>
        <w:t>”</w:t>
      </w:r>
    </w:p>
    <w:p w14:paraId="70321F5F" w14:textId="60DE18FA" w:rsidR="008343AB" w:rsidRPr="008343AB" w:rsidRDefault="008343AB" w:rsidP="008343AB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343AB" w:rsidRPr="008343AB" w:rsidSect="004F3685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AE38" w14:textId="77777777" w:rsidR="00EF1095" w:rsidRPr="00C47B2E" w:rsidRDefault="00EF1095" w:rsidP="00C47B2E">
      <w:pPr>
        <w:pStyle w:val="Footer"/>
      </w:pPr>
    </w:p>
  </w:endnote>
  <w:endnote w:type="continuationSeparator" w:id="0">
    <w:p w14:paraId="510304E2" w14:textId="77777777" w:rsidR="00EF1095" w:rsidRPr="00C47B2E" w:rsidRDefault="00EF1095" w:rsidP="00C47B2E">
      <w:pPr>
        <w:pStyle w:val="Footer"/>
      </w:pPr>
    </w:p>
  </w:endnote>
  <w:endnote w:type="continuationNotice" w:id="1">
    <w:p w14:paraId="3E1DF1C5" w14:textId="77777777" w:rsidR="00EF1095" w:rsidRPr="00C47B2E" w:rsidRDefault="00EF1095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C470" w14:textId="34CE970D" w:rsidR="00D94B05" w:rsidRPr="004F3685" w:rsidRDefault="004F3685" w:rsidP="00D85308">
    <w:pPr>
      <w:pStyle w:val="Footer"/>
      <w:tabs>
        <w:tab w:val="right" w:pos="9639"/>
      </w:tabs>
      <w:rPr>
        <w:sz w:val="18"/>
      </w:rPr>
    </w:pPr>
    <w:r w:rsidRPr="004F3685">
      <w:rPr>
        <w:b/>
        <w:sz w:val="18"/>
      </w:rPr>
      <w:fldChar w:fldCharType="begin"/>
    </w:r>
    <w:r w:rsidRPr="004F3685">
      <w:rPr>
        <w:b/>
        <w:sz w:val="18"/>
      </w:rPr>
      <w:instrText xml:space="preserve"> PAGE  \* MERGEFORMAT </w:instrText>
    </w:r>
    <w:r w:rsidRPr="004F3685">
      <w:rPr>
        <w:b/>
        <w:sz w:val="18"/>
      </w:rPr>
      <w:fldChar w:fldCharType="separate"/>
    </w:r>
    <w:r w:rsidRPr="004F3685">
      <w:rPr>
        <w:b/>
        <w:noProof/>
        <w:sz w:val="18"/>
      </w:rPr>
      <w:t>2</w:t>
    </w:r>
    <w:r w:rsidRPr="004F3685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9D34" w14:textId="532A4EA7" w:rsidR="00D94B05" w:rsidRPr="004F3685" w:rsidRDefault="004F3685" w:rsidP="00D85308">
    <w:pPr>
      <w:pStyle w:val="Footer"/>
      <w:tabs>
        <w:tab w:val="right" w:pos="9639"/>
      </w:tabs>
      <w:rPr>
        <w:b/>
        <w:bCs/>
        <w:sz w:val="18"/>
      </w:rPr>
    </w:pPr>
    <w:r>
      <w:rPr>
        <w:bCs/>
        <w:sz w:val="18"/>
      </w:rPr>
      <w:tab/>
    </w:r>
    <w:r w:rsidRPr="004F3685">
      <w:rPr>
        <w:b/>
        <w:bCs/>
        <w:sz w:val="18"/>
      </w:rPr>
      <w:fldChar w:fldCharType="begin"/>
    </w:r>
    <w:r w:rsidRPr="004F3685">
      <w:rPr>
        <w:b/>
        <w:bCs/>
        <w:sz w:val="18"/>
      </w:rPr>
      <w:instrText xml:space="preserve"> PAGE  \* MERGEFORMAT </w:instrText>
    </w:r>
    <w:r w:rsidRPr="004F3685">
      <w:rPr>
        <w:b/>
        <w:bCs/>
        <w:sz w:val="18"/>
      </w:rPr>
      <w:fldChar w:fldCharType="separate"/>
    </w:r>
    <w:r w:rsidRPr="004F3685">
      <w:rPr>
        <w:b/>
        <w:bCs/>
        <w:noProof/>
        <w:sz w:val="18"/>
      </w:rPr>
      <w:t>3</w:t>
    </w:r>
    <w:r w:rsidRPr="004F3685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29B4" w14:textId="1B8359D7" w:rsidR="00CB707C" w:rsidRDefault="00CB707C" w:rsidP="00CB707C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191A544B" wp14:editId="22207ACB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B4846" w14:textId="7962CEBA" w:rsidR="00CB707C" w:rsidRPr="00CB707C" w:rsidRDefault="00CB707C" w:rsidP="00CB707C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16577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5EC7B4A" wp14:editId="69147108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7917581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66C4" w14:textId="77777777" w:rsidR="00EF1095" w:rsidRPr="00C47B2E" w:rsidRDefault="00EF1095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1554BCFB" w14:textId="77777777" w:rsidR="00EF1095" w:rsidRPr="00C47B2E" w:rsidRDefault="00EF1095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0827BF7B" w14:textId="77777777" w:rsidR="00EF1095" w:rsidRPr="00C47B2E" w:rsidRDefault="00EF1095" w:rsidP="00C47B2E">
      <w:pPr>
        <w:pStyle w:val="Footer"/>
      </w:pPr>
    </w:p>
  </w:footnote>
  <w:footnote w:id="2">
    <w:p w14:paraId="5FFF8DD5" w14:textId="51872C9B" w:rsidR="00336B75" w:rsidRPr="0012708E" w:rsidRDefault="00336B75" w:rsidP="004E4493">
      <w:pPr>
        <w:pStyle w:val="FootnoteText"/>
        <w:rPr>
          <w:lang w:val="fr-CH"/>
        </w:rPr>
      </w:pPr>
      <w:r>
        <w:rPr>
          <w:rStyle w:val="FootnoteReference"/>
        </w:rPr>
        <w:tab/>
      </w:r>
      <w:r w:rsidRPr="0012708E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="004E4493" w:rsidRPr="00C5543E">
        <w:rPr>
          <w:szCs w:val="18"/>
        </w:rPr>
        <w:t>A/78/6 (Sect. 20), table 20.5</w:t>
      </w:r>
      <w:r w:rsidR="004E4493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ADF4" w14:textId="2FCD64CD" w:rsidR="004F3685" w:rsidRPr="004F3685" w:rsidRDefault="00CB707C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91333E">
      <w:t>ST/SG/AC.10/C.3/2024/90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7931" w14:textId="382662F1" w:rsidR="00D94B05" w:rsidRPr="004F3685" w:rsidRDefault="00CB707C" w:rsidP="004F3685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91333E">
      <w:t>ST/SG/AC.10/C.3/2024/90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E4376"/>
    <w:multiLevelType w:val="hybridMultilevel"/>
    <w:tmpl w:val="BFB40986"/>
    <w:lvl w:ilvl="0" w:tplc="3D2AEA2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C10AD"/>
    <w:multiLevelType w:val="hybridMultilevel"/>
    <w:tmpl w:val="8354A8D2"/>
    <w:lvl w:ilvl="0" w:tplc="909C15BE">
      <w:start w:val="1"/>
      <w:numFmt w:val="decimal"/>
      <w:lvlText w:val="%1."/>
      <w:lvlJc w:val="left"/>
      <w:pPr>
        <w:ind w:left="1494" w:hanging="36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0FE405A"/>
    <w:multiLevelType w:val="multilevel"/>
    <w:tmpl w:val="60FE405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271455A"/>
    <w:multiLevelType w:val="hybridMultilevel"/>
    <w:tmpl w:val="D96C7F28"/>
    <w:lvl w:ilvl="0" w:tplc="3C669118">
      <w:start w:val="3"/>
      <w:numFmt w:val="decimal"/>
      <w:lvlText w:val="%1."/>
      <w:lvlJc w:val="left"/>
      <w:pPr>
        <w:ind w:left="1494" w:hanging="36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98C40E9"/>
    <w:multiLevelType w:val="hybridMultilevel"/>
    <w:tmpl w:val="3DD0B2BA"/>
    <w:lvl w:ilvl="0" w:tplc="15967B58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9" w:hanging="360"/>
      </w:pPr>
    </w:lvl>
    <w:lvl w:ilvl="2" w:tplc="0809001B" w:tentative="1">
      <w:start w:val="1"/>
      <w:numFmt w:val="lowerRoman"/>
      <w:lvlText w:val="%3."/>
      <w:lvlJc w:val="right"/>
      <w:pPr>
        <w:ind w:left="3489" w:hanging="180"/>
      </w:pPr>
    </w:lvl>
    <w:lvl w:ilvl="3" w:tplc="0809000F" w:tentative="1">
      <w:start w:val="1"/>
      <w:numFmt w:val="decimal"/>
      <w:lvlText w:val="%4."/>
      <w:lvlJc w:val="left"/>
      <w:pPr>
        <w:ind w:left="4209" w:hanging="360"/>
      </w:pPr>
    </w:lvl>
    <w:lvl w:ilvl="4" w:tplc="08090019" w:tentative="1">
      <w:start w:val="1"/>
      <w:numFmt w:val="lowerLetter"/>
      <w:lvlText w:val="%5."/>
      <w:lvlJc w:val="left"/>
      <w:pPr>
        <w:ind w:left="4929" w:hanging="360"/>
      </w:pPr>
    </w:lvl>
    <w:lvl w:ilvl="5" w:tplc="0809001B" w:tentative="1">
      <w:start w:val="1"/>
      <w:numFmt w:val="lowerRoman"/>
      <w:lvlText w:val="%6."/>
      <w:lvlJc w:val="right"/>
      <w:pPr>
        <w:ind w:left="5649" w:hanging="180"/>
      </w:pPr>
    </w:lvl>
    <w:lvl w:ilvl="6" w:tplc="0809000F" w:tentative="1">
      <w:start w:val="1"/>
      <w:numFmt w:val="decimal"/>
      <w:lvlText w:val="%7."/>
      <w:lvlJc w:val="left"/>
      <w:pPr>
        <w:ind w:left="6369" w:hanging="360"/>
      </w:pPr>
    </w:lvl>
    <w:lvl w:ilvl="7" w:tplc="08090019" w:tentative="1">
      <w:start w:val="1"/>
      <w:numFmt w:val="lowerLetter"/>
      <w:lvlText w:val="%8."/>
      <w:lvlJc w:val="left"/>
      <w:pPr>
        <w:ind w:left="7089" w:hanging="360"/>
      </w:pPr>
    </w:lvl>
    <w:lvl w:ilvl="8" w:tplc="0809001B" w:tentative="1">
      <w:start w:val="1"/>
      <w:numFmt w:val="lowerRoman"/>
      <w:lvlText w:val="%9."/>
      <w:lvlJc w:val="right"/>
      <w:pPr>
        <w:ind w:left="7809" w:hanging="180"/>
      </w:pPr>
    </w:lvl>
  </w:abstractNum>
  <w:num w:numId="1" w16cid:durableId="1116172172">
    <w:abstractNumId w:val="6"/>
  </w:num>
  <w:num w:numId="2" w16cid:durableId="1073159890">
    <w:abstractNumId w:val="4"/>
  </w:num>
  <w:num w:numId="3" w16cid:durableId="551188904">
    <w:abstractNumId w:val="0"/>
  </w:num>
  <w:num w:numId="4" w16cid:durableId="44254624">
    <w:abstractNumId w:val="8"/>
  </w:num>
  <w:num w:numId="5" w16cid:durableId="1816027029">
    <w:abstractNumId w:val="9"/>
  </w:num>
  <w:num w:numId="6" w16cid:durableId="1836190579">
    <w:abstractNumId w:val="13"/>
  </w:num>
  <w:num w:numId="7" w16cid:durableId="634676252">
    <w:abstractNumId w:val="3"/>
  </w:num>
  <w:num w:numId="8" w16cid:durableId="1039166836">
    <w:abstractNumId w:val="1"/>
  </w:num>
  <w:num w:numId="9" w16cid:durableId="644969981">
    <w:abstractNumId w:val="12"/>
  </w:num>
  <w:num w:numId="10" w16cid:durableId="525103391">
    <w:abstractNumId w:val="1"/>
  </w:num>
  <w:num w:numId="11" w16cid:durableId="297342166">
    <w:abstractNumId w:val="12"/>
  </w:num>
  <w:num w:numId="12" w16cid:durableId="1280380300">
    <w:abstractNumId w:val="2"/>
  </w:num>
  <w:num w:numId="13" w16cid:durableId="1988699530">
    <w:abstractNumId w:val="2"/>
  </w:num>
  <w:num w:numId="14" w16cid:durableId="3045474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8227946">
    <w:abstractNumId w:val="7"/>
  </w:num>
  <w:num w:numId="16" w16cid:durableId="1355116104">
    <w:abstractNumId w:val="11"/>
  </w:num>
  <w:num w:numId="17" w16cid:durableId="433552422">
    <w:abstractNumId w:val="5"/>
  </w:num>
  <w:num w:numId="18" w16cid:durableId="179896666">
    <w:abstractNumId w:val="14"/>
  </w:num>
  <w:num w:numId="19" w16cid:durableId="806237580">
    <w:abstractNumId w:val="1"/>
  </w:num>
  <w:num w:numId="20" w16cid:durableId="170328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85"/>
    <w:rsid w:val="00046E92"/>
    <w:rsid w:val="00063C90"/>
    <w:rsid w:val="00070000"/>
    <w:rsid w:val="000E7E48"/>
    <w:rsid w:val="00101B98"/>
    <w:rsid w:val="001264A9"/>
    <w:rsid w:val="0012708E"/>
    <w:rsid w:val="001514D1"/>
    <w:rsid w:val="00177E38"/>
    <w:rsid w:val="001C1F0A"/>
    <w:rsid w:val="002245A1"/>
    <w:rsid w:val="00247E2C"/>
    <w:rsid w:val="002A32CB"/>
    <w:rsid w:val="002D5B2C"/>
    <w:rsid w:val="002D6C53"/>
    <w:rsid w:val="002F5595"/>
    <w:rsid w:val="0032325C"/>
    <w:rsid w:val="00334F6A"/>
    <w:rsid w:val="00336B75"/>
    <w:rsid w:val="00342AC8"/>
    <w:rsid w:val="00343302"/>
    <w:rsid w:val="003979DE"/>
    <w:rsid w:val="003B1248"/>
    <w:rsid w:val="003B4550"/>
    <w:rsid w:val="003B6E42"/>
    <w:rsid w:val="003D2A18"/>
    <w:rsid w:val="00413386"/>
    <w:rsid w:val="00430A19"/>
    <w:rsid w:val="00432591"/>
    <w:rsid w:val="00461253"/>
    <w:rsid w:val="004858F5"/>
    <w:rsid w:val="004A2814"/>
    <w:rsid w:val="004C0622"/>
    <w:rsid w:val="004E4493"/>
    <w:rsid w:val="004F3685"/>
    <w:rsid w:val="004F73D0"/>
    <w:rsid w:val="005042C2"/>
    <w:rsid w:val="005E716E"/>
    <w:rsid w:val="006476E1"/>
    <w:rsid w:val="006604DF"/>
    <w:rsid w:val="00671529"/>
    <w:rsid w:val="00694941"/>
    <w:rsid w:val="006D10C4"/>
    <w:rsid w:val="006E6083"/>
    <w:rsid w:val="006F1EF5"/>
    <w:rsid w:val="0070489D"/>
    <w:rsid w:val="007200A1"/>
    <w:rsid w:val="007268F9"/>
    <w:rsid w:val="00730166"/>
    <w:rsid w:val="00750282"/>
    <w:rsid w:val="00764440"/>
    <w:rsid w:val="0077101B"/>
    <w:rsid w:val="007C52B0"/>
    <w:rsid w:val="007C6033"/>
    <w:rsid w:val="007F7F69"/>
    <w:rsid w:val="008147C8"/>
    <w:rsid w:val="0081753A"/>
    <w:rsid w:val="008343AB"/>
    <w:rsid w:val="00835172"/>
    <w:rsid w:val="00856AFC"/>
    <w:rsid w:val="00857D23"/>
    <w:rsid w:val="008A7FF8"/>
    <w:rsid w:val="0090508F"/>
    <w:rsid w:val="0091333E"/>
    <w:rsid w:val="009411B4"/>
    <w:rsid w:val="00946F1D"/>
    <w:rsid w:val="009660C9"/>
    <w:rsid w:val="009A0A7F"/>
    <w:rsid w:val="009D0139"/>
    <w:rsid w:val="009D717D"/>
    <w:rsid w:val="009F5CDC"/>
    <w:rsid w:val="00A072D7"/>
    <w:rsid w:val="00A4323D"/>
    <w:rsid w:val="00A51B1D"/>
    <w:rsid w:val="00A7491A"/>
    <w:rsid w:val="00A775CF"/>
    <w:rsid w:val="00A87C44"/>
    <w:rsid w:val="00A90300"/>
    <w:rsid w:val="00AD1A9C"/>
    <w:rsid w:val="00AF5DE1"/>
    <w:rsid w:val="00B06045"/>
    <w:rsid w:val="00B206DD"/>
    <w:rsid w:val="00B509F1"/>
    <w:rsid w:val="00B50B07"/>
    <w:rsid w:val="00B52EF4"/>
    <w:rsid w:val="00B54272"/>
    <w:rsid w:val="00B777AD"/>
    <w:rsid w:val="00BC2CED"/>
    <w:rsid w:val="00C03015"/>
    <w:rsid w:val="00C0358D"/>
    <w:rsid w:val="00C35A27"/>
    <w:rsid w:val="00C47B2E"/>
    <w:rsid w:val="00CB707C"/>
    <w:rsid w:val="00D63CD2"/>
    <w:rsid w:val="00D85308"/>
    <w:rsid w:val="00D87DC2"/>
    <w:rsid w:val="00D93887"/>
    <w:rsid w:val="00D94B05"/>
    <w:rsid w:val="00DC7379"/>
    <w:rsid w:val="00E02C2B"/>
    <w:rsid w:val="00E21C27"/>
    <w:rsid w:val="00E245EC"/>
    <w:rsid w:val="00E26BCF"/>
    <w:rsid w:val="00E52109"/>
    <w:rsid w:val="00E75317"/>
    <w:rsid w:val="00EB6F29"/>
    <w:rsid w:val="00EC0CE6"/>
    <w:rsid w:val="00EC7C1D"/>
    <w:rsid w:val="00ED6C48"/>
    <w:rsid w:val="00EE3045"/>
    <w:rsid w:val="00EF1095"/>
    <w:rsid w:val="00F26186"/>
    <w:rsid w:val="00F41181"/>
    <w:rsid w:val="00F65F5D"/>
    <w:rsid w:val="00F86A3A"/>
    <w:rsid w:val="00FA42DA"/>
    <w:rsid w:val="00FE2AC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6FF15"/>
  <w15:docId w15:val="{50870E4E-5544-4B50-8930-1B63FBE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79"/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4A281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FA42DA"/>
    <w:pPr>
      <w:numPr>
        <w:numId w:val="1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  <w:rPr>
      <w:rFonts w:eastAsia="Times New Roman"/>
    </w:r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DC7379"/>
    <w:rPr>
      <w:sz w:val="18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uiPriority w:val="99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C0CE6"/>
    <w:rPr>
      <w:color w:val="0000FF"/>
      <w:u w:val="none"/>
    </w:rPr>
  </w:style>
  <w:style w:type="character" w:styleId="FollowedHyperlink">
    <w:name w:val="FollowedHyperlink"/>
    <w:basedOn w:val="DefaultParagraphFont"/>
    <w:rsid w:val="00EC0CE6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ChGChar">
    <w:name w:val="_ H _Ch_G Char"/>
    <w:link w:val="HChG"/>
    <w:uiPriority w:val="99"/>
    <w:qFormat/>
    <w:locked/>
    <w:rsid w:val="004F3685"/>
    <w:rPr>
      <w:b/>
      <w:sz w:val="28"/>
    </w:rPr>
  </w:style>
  <w:style w:type="character" w:customStyle="1" w:styleId="H1GChar">
    <w:name w:val="_ H_1_G Char"/>
    <w:link w:val="H1G"/>
    <w:qFormat/>
    <w:locked/>
    <w:rsid w:val="004F3685"/>
    <w:rPr>
      <w:b/>
      <w:sz w:val="24"/>
    </w:rPr>
  </w:style>
  <w:style w:type="character" w:customStyle="1" w:styleId="SingleTxtGChar">
    <w:name w:val="_ Single Txt_G Char"/>
    <w:link w:val="SingleTxtG"/>
    <w:qFormat/>
    <w:locked/>
    <w:rsid w:val="00BC2CED"/>
  </w:style>
  <w:style w:type="paragraph" w:customStyle="1" w:styleId="OBind1">
    <w:name w:val="OB_ind1"/>
    <w:basedOn w:val="Normal"/>
    <w:link w:val="OBind1Char"/>
    <w:qFormat/>
    <w:rsid w:val="00BC2CED"/>
    <w:pPr>
      <w:spacing w:after="220" w:line="240" w:lineRule="auto"/>
      <w:ind w:left="1985" w:hanging="567"/>
      <w:jc w:val="both"/>
    </w:pPr>
    <w:rPr>
      <w:rFonts w:eastAsiaTheme="minorEastAsia"/>
      <w:snapToGrid w:val="0"/>
      <w:sz w:val="22"/>
      <w:lang w:val="en-US" w:eastAsia="en-US"/>
    </w:rPr>
  </w:style>
  <w:style w:type="character" w:customStyle="1" w:styleId="OBind1Char">
    <w:name w:val="OB_ind1 Char"/>
    <w:basedOn w:val="DefaultParagraphFont"/>
    <w:link w:val="OBind1"/>
    <w:rsid w:val="00BC2CED"/>
    <w:rPr>
      <w:rFonts w:eastAsiaTheme="minorEastAsia"/>
      <w:snapToGrid w:val="0"/>
      <w:sz w:val="22"/>
      <w:lang w:val="en-US" w:eastAsia="en-US"/>
    </w:rPr>
  </w:style>
  <w:style w:type="character" w:customStyle="1" w:styleId="fontstyle01">
    <w:name w:val="fontstyle01"/>
    <w:basedOn w:val="DefaultParagraphFont"/>
    <w:rsid w:val="00BC2CED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C2CE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1264A9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0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09F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509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inova\United%20Nations\UNOG_DCM-Macros%20-%20UNECE\Templates\ST\SGAC10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C699A-3081-464D-8175-18FB791049CF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63518F60-7DA2-420D-843C-E28B2BAD87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1BD733-10F6-45CA-B68F-C337AF5C7FDD}"/>
</file>

<file path=customXml/itemProps4.xml><?xml version="1.0" encoding="utf-8"?>
<ds:datastoreItem xmlns:ds="http://schemas.openxmlformats.org/officeDocument/2006/customXml" ds:itemID="{0E96D6C7-A69F-4CC1-9C48-E5514C6CF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SGAC10_E.dotm</Template>
  <TotalTime>0</TotalTime>
  <Pages>2</Pages>
  <Words>721</Words>
  <Characters>3594</Characters>
  <Application>Microsoft Office Word</Application>
  <DocSecurity>0</DocSecurity>
  <Lines>81</Lines>
  <Paragraphs>40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ST/SG/AC.10/C.3/2024/90</dc:title>
  <dc:subject>2416577</dc:subject>
  <dc:creator>Anastasia Barinova</dc:creator>
  <cp:keywords/>
  <dc:description/>
  <cp:lastModifiedBy>Pauline Anne Escalante</cp:lastModifiedBy>
  <cp:revision>2</cp:revision>
  <dcterms:created xsi:type="dcterms:W3CDTF">2024-09-13T14:59:00Z</dcterms:created>
  <dcterms:modified xsi:type="dcterms:W3CDTF">2024-09-13T14:59:00Z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