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32EA9" w:rsidRPr="00DB58B5" w14:paraId="10FA3276" w14:textId="77777777" w:rsidTr="00F01738">
        <w:trPr>
          <w:trHeight w:hRule="exact" w:val="851"/>
        </w:trPr>
        <w:tc>
          <w:tcPr>
            <w:tcW w:w="1276" w:type="dxa"/>
            <w:tcBorders>
              <w:bottom w:val="single" w:sz="4" w:space="0" w:color="auto"/>
            </w:tcBorders>
          </w:tcPr>
          <w:p w14:paraId="122A039C" w14:textId="77777777" w:rsidR="00132EA9" w:rsidRPr="00DB58B5" w:rsidRDefault="00132EA9" w:rsidP="000B1084"/>
        </w:tc>
        <w:tc>
          <w:tcPr>
            <w:tcW w:w="2268" w:type="dxa"/>
            <w:tcBorders>
              <w:bottom w:val="single" w:sz="4" w:space="0" w:color="auto"/>
            </w:tcBorders>
            <w:vAlign w:val="bottom"/>
          </w:tcPr>
          <w:p w14:paraId="70D9302A" w14:textId="77777777" w:rsidR="00132EA9" w:rsidRPr="00DB58B5" w:rsidRDefault="00132EA9" w:rsidP="00F01738">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5719B9D0" w14:textId="40F42EB1" w:rsidR="00132EA9" w:rsidRPr="00DB58B5" w:rsidRDefault="000B1084" w:rsidP="000B1084">
            <w:pPr>
              <w:jc w:val="right"/>
            </w:pPr>
            <w:r w:rsidRPr="000B1084">
              <w:rPr>
                <w:sz w:val="40"/>
              </w:rPr>
              <w:t>ST</w:t>
            </w:r>
            <w:r>
              <w:t>/SG/AC.10/C.3/2024/89</w:t>
            </w:r>
          </w:p>
        </w:tc>
      </w:tr>
      <w:tr w:rsidR="00132EA9" w:rsidRPr="00DB58B5" w14:paraId="13E440AD" w14:textId="77777777" w:rsidTr="00F01738">
        <w:trPr>
          <w:trHeight w:hRule="exact" w:val="2835"/>
        </w:trPr>
        <w:tc>
          <w:tcPr>
            <w:tcW w:w="1276" w:type="dxa"/>
            <w:tcBorders>
              <w:top w:val="single" w:sz="4" w:space="0" w:color="auto"/>
              <w:bottom w:val="single" w:sz="12" w:space="0" w:color="auto"/>
            </w:tcBorders>
          </w:tcPr>
          <w:p w14:paraId="696EA0CC" w14:textId="77777777" w:rsidR="00132EA9" w:rsidRPr="00DB58B5" w:rsidRDefault="00132EA9" w:rsidP="00F01738">
            <w:pPr>
              <w:spacing w:before="120"/>
              <w:jc w:val="center"/>
            </w:pPr>
            <w:r>
              <w:rPr>
                <w:noProof/>
                <w:lang w:eastAsia="fr-CH"/>
              </w:rPr>
              <w:drawing>
                <wp:inline distT="0" distB="0" distL="0" distR="0" wp14:anchorId="18A1DBEF" wp14:editId="147F2702">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41B9A55" w14:textId="77777777" w:rsidR="00132EA9" w:rsidRPr="00740562" w:rsidRDefault="00132EA9" w:rsidP="00F01738">
            <w:pPr>
              <w:spacing w:before="120" w:line="420" w:lineRule="exact"/>
              <w:rPr>
                <w:b/>
                <w:sz w:val="40"/>
                <w:szCs w:val="40"/>
              </w:rPr>
            </w:pPr>
            <w:r w:rsidRPr="00A55C22">
              <w:rPr>
                <w:b/>
                <w:sz w:val="40"/>
                <w:szCs w:val="40"/>
              </w:rPr>
              <w:t>Secrétariat</w:t>
            </w:r>
          </w:p>
        </w:tc>
        <w:tc>
          <w:tcPr>
            <w:tcW w:w="2835" w:type="dxa"/>
            <w:tcBorders>
              <w:top w:val="single" w:sz="4" w:space="0" w:color="auto"/>
              <w:bottom w:val="single" w:sz="12" w:space="0" w:color="auto"/>
            </w:tcBorders>
          </w:tcPr>
          <w:p w14:paraId="1FB215FE" w14:textId="77777777" w:rsidR="00132EA9" w:rsidRDefault="000B1084" w:rsidP="00F01738">
            <w:pPr>
              <w:spacing w:before="240"/>
            </w:pPr>
            <w:proofErr w:type="spellStart"/>
            <w:r>
              <w:t>Distr</w:t>
            </w:r>
            <w:proofErr w:type="spellEnd"/>
            <w:r>
              <w:t>. générale</w:t>
            </w:r>
          </w:p>
          <w:p w14:paraId="30662419" w14:textId="77777777" w:rsidR="000B1084" w:rsidRDefault="000B1084" w:rsidP="000B1084">
            <w:pPr>
              <w:spacing w:line="240" w:lineRule="exact"/>
            </w:pPr>
            <w:r>
              <w:t>12 septembre 2024</w:t>
            </w:r>
          </w:p>
          <w:p w14:paraId="7AC95777" w14:textId="77777777" w:rsidR="000B1084" w:rsidRDefault="000B1084" w:rsidP="000B1084">
            <w:pPr>
              <w:spacing w:line="240" w:lineRule="exact"/>
            </w:pPr>
            <w:r>
              <w:t>Français</w:t>
            </w:r>
          </w:p>
          <w:p w14:paraId="41FCA21E" w14:textId="04287F54" w:rsidR="000B1084" w:rsidRPr="00DB58B5" w:rsidRDefault="000B1084" w:rsidP="000B1084">
            <w:pPr>
              <w:spacing w:line="240" w:lineRule="exact"/>
            </w:pPr>
            <w:r>
              <w:t>Original : anglais</w:t>
            </w:r>
          </w:p>
        </w:tc>
      </w:tr>
    </w:tbl>
    <w:p w14:paraId="22D57516" w14:textId="3A0051B7" w:rsidR="000B1084" w:rsidRPr="00CA3617" w:rsidRDefault="000B1084" w:rsidP="000B1084">
      <w:pPr>
        <w:spacing w:before="120"/>
        <w:rPr>
          <w:b/>
          <w:sz w:val="24"/>
          <w:szCs w:val="24"/>
        </w:rPr>
      </w:pPr>
      <w:r w:rsidRPr="00267A2B">
        <w:rPr>
          <w:b/>
          <w:bCs/>
          <w:sz w:val="24"/>
          <w:szCs w:val="24"/>
          <w:lang w:val="fr-FR"/>
        </w:rPr>
        <w:t>Comité d</w:t>
      </w:r>
      <w:r>
        <w:rPr>
          <w:b/>
          <w:bCs/>
          <w:sz w:val="24"/>
          <w:szCs w:val="24"/>
          <w:lang w:val="fr-FR"/>
        </w:rPr>
        <w:t>’</w:t>
      </w:r>
      <w:r w:rsidRPr="00267A2B">
        <w:rPr>
          <w:b/>
          <w:bCs/>
          <w:sz w:val="24"/>
          <w:szCs w:val="24"/>
          <w:lang w:val="fr-FR"/>
        </w:rPr>
        <w:t xml:space="preserve">experts du transport des marchandises dangereuses </w:t>
      </w:r>
      <w:r>
        <w:rPr>
          <w:b/>
          <w:bCs/>
          <w:sz w:val="24"/>
          <w:szCs w:val="24"/>
          <w:lang w:val="fr-FR"/>
        </w:rPr>
        <w:br/>
      </w:r>
      <w:r w:rsidRPr="00267A2B">
        <w:rPr>
          <w:b/>
          <w:bCs/>
          <w:sz w:val="24"/>
          <w:szCs w:val="24"/>
          <w:lang w:val="fr-FR"/>
        </w:rPr>
        <w:t xml:space="preserve">et du Système général harmonisé de classification </w:t>
      </w:r>
      <w:r>
        <w:rPr>
          <w:b/>
          <w:bCs/>
          <w:sz w:val="24"/>
          <w:szCs w:val="24"/>
          <w:lang w:val="fr-FR"/>
        </w:rPr>
        <w:br/>
      </w:r>
      <w:r w:rsidRPr="00267A2B">
        <w:rPr>
          <w:b/>
          <w:bCs/>
          <w:sz w:val="24"/>
          <w:szCs w:val="24"/>
          <w:lang w:val="fr-FR"/>
        </w:rPr>
        <w:t>et d</w:t>
      </w:r>
      <w:r>
        <w:rPr>
          <w:b/>
          <w:bCs/>
          <w:sz w:val="24"/>
          <w:szCs w:val="24"/>
          <w:lang w:val="fr-FR"/>
        </w:rPr>
        <w:t>’</w:t>
      </w:r>
      <w:r w:rsidRPr="00267A2B">
        <w:rPr>
          <w:b/>
          <w:bCs/>
          <w:sz w:val="24"/>
          <w:szCs w:val="24"/>
          <w:lang w:val="fr-FR"/>
        </w:rPr>
        <w:t>étiquetage des produits chimiques</w:t>
      </w:r>
    </w:p>
    <w:p w14:paraId="71F9991E" w14:textId="77777777" w:rsidR="000B1084" w:rsidRPr="00CA3617" w:rsidRDefault="000B1084" w:rsidP="000B1084">
      <w:pPr>
        <w:spacing w:before="120"/>
        <w:rPr>
          <w:rFonts w:ascii="Helv" w:hAnsi="Helv" w:cs="Helv"/>
          <w:b/>
          <w:color w:val="000000"/>
        </w:rPr>
      </w:pPr>
      <w:r>
        <w:rPr>
          <w:b/>
          <w:bCs/>
          <w:lang w:val="fr-FR"/>
        </w:rPr>
        <w:t>Sous-Comité d’experts du transport des marchandises dangereuses</w:t>
      </w:r>
    </w:p>
    <w:p w14:paraId="0F7402B8" w14:textId="77777777" w:rsidR="000B1084" w:rsidRPr="00CA3617" w:rsidRDefault="000B1084" w:rsidP="000B1084">
      <w:pPr>
        <w:spacing w:before="120"/>
        <w:rPr>
          <w:b/>
        </w:rPr>
      </w:pPr>
      <w:r>
        <w:rPr>
          <w:b/>
          <w:bCs/>
          <w:lang w:val="fr-FR"/>
        </w:rPr>
        <w:t>Soixante-cinquième session</w:t>
      </w:r>
    </w:p>
    <w:p w14:paraId="70991931" w14:textId="77777777" w:rsidR="000B1084" w:rsidRPr="00CA3617" w:rsidRDefault="000B1084" w:rsidP="000B1084">
      <w:r>
        <w:rPr>
          <w:lang w:val="fr-FR"/>
        </w:rPr>
        <w:t xml:space="preserve">Genève, 25 novembre-3 décembre 2024 </w:t>
      </w:r>
    </w:p>
    <w:p w14:paraId="3C687086" w14:textId="77777777" w:rsidR="000B1084" w:rsidRPr="00CA3617" w:rsidRDefault="000B1084" w:rsidP="000B1084">
      <w:r>
        <w:rPr>
          <w:lang w:val="fr-FR"/>
        </w:rPr>
        <w:t>Point 3 de l’ordre du jour provisoire</w:t>
      </w:r>
    </w:p>
    <w:p w14:paraId="0DB1AB1C" w14:textId="77777777" w:rsidR="000B1084" w:rsidRPr="00CA3617" w:rsidRDefault="000B1084" w:rsidP="000B1084">
      <w:pPr>
        <w:spacing w:line="240" w:lineRule="auto"/>
        <w:rPr>
          <w:b/>
          <w:bCs/>
        </w:rPr>
      </w:pPr>
      <w:r>
        <w:rPr>
          <w:b/>
          <w:bCs/>
          <w:lang w:val="fr-FR"/>
        </w:rPr>
        <w:t>Inscription, classement et emballage</w:t>
      </w:r>
    </w:p>
    <w:p w14:paraId="73FE1042" w14:textId="6E3E1D47" w:rsidR="000B1084" w:rsidRPr="00CA3617" w:rsidRDefault="000B1084" w:rsidP="000B1084">
      <w:pPr>
        <w:pStyle w:val="HChG"/>
      </w:pPr>
      <w:r>
        <w:rPr>
          <w:lang w:val="fr-FR"/>
        </w:rPr>
        <w:tab/>
      </w:r>
      <w:r>
        <w:rPr>
          <w:lang w:val="fr-FR"/>
        </w:rPr>
        <w:tab/>
      </w:r>
      <w:r>
        <w:rPr>
          <w:bCs/>
          <w:lang w:val="fr-FR"/>
        </w:rPr>
        <w:t xml:space="preserve">Proposition visant à préciser les prescriptions relatives </w:t>
      </w:r>
      <w:r>
        <w:rPr>
          <w:bCs/>
          <w:lang w:val="fr-FR"/>
        </w:rPr>
        <w:br/>
      </w:r>
      <w:r>
        <w:rPr>
          <w:bCs/>
          <w:lang w:val="fr-FR"/>
        </w:rPr>
        <w:t xml:space="preserve">à la perforation de trous en guise de poignées </w:t>
      </w:r>
      <w:r>
        <w:rPr>
          <w:bCs/>
          <w:lang w:val="fr-FR"/>
        </w:rPr>
        <w:br/>
      </w:r>
      <w:r>
        <w:rPr>
          <w:bCs/>
          <w:lang w:val="fr-FR"/>
        </w:rPr>
        <w:t>sur les côtés des caisses en carton (4G)</w:t>
      </w:r>
      <w:r>
        <w:rPr>
          <w:lang w:val="fr-FR"/>
        </w:rPr>
        <w:t xml:space="preserve"> </w:t>
      </w:r>
    </w:p>
    <w:p w14:paraId="74C2B1EE" w14:textId="77777777" w:rsidR="000B1084" w:rsidRPr="00CA3617" w:rsidRDefault="000B1084" w:rsidP="000B1084">
      <w:pPr>
        <w:pStyle w:val="H1G"/>
      </w:pPr>
      <w:r>
        <w:rPr>
          <w:lang w:val="fr-FR"/>
        </w:rPr>
        <w:tab/>
      </w:r>
      <w:r>
        <w:rPr>
          <w:lang w:val="fr-FR"/>
        </w:rPr>
        <w:tab/>
        <w:t>Communication de l’expert de la Chine</w:t>
      </w:r>
      <w:r w:rsidRPr="000B1084">
        <w:rPr>
          <w:rStyle w:val="Appelnotedebasdep"/>
          <w:b w:val="0"/>
          <w:bCs/>
          <w:sz w:val="20"/>
          <w:vertAlign w:val="baseline"/>
          <w:lang w:val="fr-FR"/>
        </w:rPr>
        <w:footnoteReference w:customMarkFollows="1" w:id="2"/>
        <w:t>*</w:t>
      </w:r>
    </w:p>
    <w:p w14:paraId="6C30DE56" w14:textId="77777777" w:rsidR="000B1084" w:rsidRPr="00CA3617" w:rsidRDefault="000B1084" w:rsidP="000B1084">
      <w:pPr>
        <w:pStyle w:val="HChG"/>
      </w:pPr>
      <w:r>
        <w:rPr>
          <w:bCs/>
          <w:lang w:val="fr-FR"/>
        </w:rPr>
        <w:tab/>
        <w:t>I.</w:t>
      </w:r>
      <w:r>
        <w:rPr>
          <w:lang w:val="fr-FR"/>
        </w:rPr>
        <w:tab/>
      </w:r>
      <w:r>
        <w:rPr>
          <w:bCs/>
          <w:lang w:val="fr-FR"/>
        </w:rPr>
        <w:t>Introduction</w:t>
      </w:r>
    </w:p>
    <w:p w14:paraId="29CE7238" w14:textId="7BDDEEE2" w:rsidR="000B1084" w:rsidRPr="00CA3617" w:rsidRDefault="000B1084" w:rsidP="008172C3">
      <w:pPr>
        <w:pStyle w:val="SingleTxtG"/>
        <w:rPr>
          <w:b/>
        </w:rPr>
      </w:pPr>
      <w:r>
        <w:rPr>
          <w:lang w:val="fr-FR"/>
        </w:rPr>
        <w:t>1.</w:t>
      </w:r>
      <w:r>
        <w:rPr>
          <w:lang w:val="fr-FR"/>
        </w:rPr>
        <w:tab/>
        <w:t>Le 6.1.4.0 du Règlement type dispose que « [l]a perméation de la matière contenue dans l’emballage ne doit en aucun cas constituer un danger dans des conditions normales de transport ». Par conséquent, les emballages pour marchandises dangereuses doivent empêcher les fuites (de l’intérieur vers l’extérieur) et protéger les marchandises dangereuses contre les environnements humides susceptibles de les endommager.</w:t>
      </w:r>
    </w:p>
    <w:p w14:paraId="70009440" w14:textId="6AA98046" w:rsidR="000B1084" w:rsidRPr="00CA3617" w:rsidRDefault="000B1084" w:rsidP="008172C3">
      <w:pPr>
        <w:pStyle w:val="SingleTxtG"/>
        <w:rPr>
          <w:b/>
        </w:rPr>
      </w:pPr>
      <w:r>
        <w:rPr>
          <w:lang w:val="fr-FR"/>
        </w:rPr>
        <w:t>2.</w:t>
      </w:r>
      <w:r>
        <w:rPr>
          <w:lang w:val="fr-FR"/>
        </w:rPr>
        <w:tab/>
        <w:t>Au 6.1.5.3.6.2 du Règlement type, il est indiqué ce qui suit</w:t>
      </w:r>
      <w:r>
        <w:rPr>
          <w:lang w:val="fr-FR"/>
        </w:rPr>
        <w:t> :</w:t>
      </w:r>
      <w:r>
        <w:rPr>
          <w:lang w:val="fr-FR"/>
        </w:rPr>
        <w:t xml:space="preserve"> « [s]i un emballage pour matières solides a été soumis à une épreuve de chute et qu’il a heurté l’aire d’impact sur sa face supérieure, on considère que l’échantillon a subi l’épreuve avec succès si le contenu a été retenu entièrement par un emballage ou récipient intérieur (sac en plastique par exemple), même si la fermeture, tout en continuant d’assurer sa fonction de retenue, n’est plus étanche aux pulvérulents</w:t>
      </w:r>
      <w:r w:rsidR="0008107F">
        <w:rPr>
          <w:lang w:val="fr-FR"/>
        </w:rPr>
        <w:t> </w:t>
      </w:r>
      <w:r>
        <w:rPr>
          <w:lang w:val="fr-FR"/>
        </w:rPr>
        <w:t>». Cela signifie que l’emballage doit être entièrement fermé.</w:t>
      </w:r>
    </w:p>
    <w:p w14:paraId="61444725" w14:textId="77777777" w:rsidR="000B1084" w:rsidRPr="00CA3617" w:rsidRDefault="000B1084" w:rsidP="000B1084">
      <w:pPr>
        <w:pStyle w:val="SingleTxtG"/>
        <w:rPr>
          <w:b/>
        </w:rPr>
      </w:pPr>
      <w:r>
        <w:rPr>
          <w:lang w:val="fr-FR"/>
        </w:rPr>
        <w:t>3.</w:t>
      </w:r>
      <w:r>
        <w:rPr>
          <w:lang w:val="fr-FR"/>
        </w:rPr>
        <w:tab/>
        <w:t>Dans les opérations de transport de tous les jours, on trouve souvent des emballages en carton 4G avec des trous et des cordes sur le côté (voir figures I et II) ou des emballages en carton 4G avec des trous servant de poignées (voir figure III).</w:t>
      </w:r>
    </w:p>
    <w:tbl>
      <w:tblPr>
        <w:tblpPr w:leftFromText="180" w:rightFromText="180" w:vertAnchor="text" w:horzAnchor="page" w:tblpXSpec="center" w:tblpY="293"/>
        <w:tblOverlap w:val="never"/>
        <w:tblW w:w="7369" w:type="dxa"/>
        <w:tblLayout w:type="fixed"/>
        <w:tblLook w:val="04A0" w:firstRow="1" w:lastRow="0" w:firstColumn="1" w:lastColumn="0" w:noHBand="0" w:noVBand="1"/>
      </w:tblPr>
      <w:tblGrid>
        <w:gridCol w:w="3213"/>
        <w:gridCol w:w="4156"/>
      </w:tblGrid>
      <w:tr w:rsidR="000B1084" w14:paraId="0E2AA77B" w14:textId="77777777" w:rsidTr="003A5529">
        <w:tc>
          <w:tcPr>
            <w:tcW w:w="7369" w:type="dxa"/>
            <w:gridSpan w:val="2"/>
          </w:tcPr>
          <w:p w14:paraId="136A45DD" w14:textId="77777777" w:rsidR="000B1084" w:rsidRDefault="000B1084" w:rsidP="003A5529">
            <w:pPr>
              <w:spacing w:line="360" w:lineRule="auto"/>
              <w:jc w:val="center"/>
            </w:pPr>
            <w:r>
              <w:rPr>
                <w:bCs/>
                <w:noProof/>
                <w:sz w:val="18"/>
                <w:szCs w:val="18"/>
              </w:rPr>
              <w:lastRenderedPageBreak/>
              <w:drawing>
                <wp:anchor distT="0" distB="0" distL="114300" distR="114300" simplePos="0" relativeHeight="251661312" behindDoc="0" locked="0" layoutInCell="1" allowOverlap="1" wp14:anchorId="1FF9F324" wp14:editId="16FA7BEA">
                  <wp:simplePos x="0" y="0"/>
                  <wp:positionH relativeFrom="column">
                    <wp:posOffset>2393950</wp:posOffset>
                  </wp:positionH>
                  <wp:positionV relativeFrom="paragraph">
                    <wp:posOffset>71120</wp:posOffset>
                  </wp:positionV>
                  <wp:extent cx="902335" cy="749935"/>
                  <wp:effectExtent l="0" t="0" r="0" b="0"/>
                  <wp:wrapNone/>
                  <wp:docPr id="373093724" name="图片 3" descr="Une image contenant cercle,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093724" name="图片 3" descr="Une image contenant cercle, Caractère coloré&#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02335" cy="749935"/>
                          </a:xfrm>
                          <a:prstGeom prst="rect">
                            <a:avLst/>
                          </a:prstGeom>
                          <a:noFill/>
                        </pic:spPr>
                      </pic:pic>
                    </a:graphicData>
                  </a:graphic>
                </wp:anchor>
              </w:drawing>
            </w:r>
            <w:r>
              <w:rPr>
                <w:noProof/>
              </w:rPr>
              <w:drawing>
                <wp:inline distT="0" distB="0" distL="114300" distR="114300" wp14:anchorId="143E75FB" wp14:editId="22708757">
                  <wp:extent cx="4488180" cy="1684655"/>
                  <wp:effectExtent l="0" t="0" r="7620" b="4445"/>
                  <wp:docPr id="5" name="图片 1" descr="Une image contenant texte, sachet de thé, boîte, 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Une image contenant texte, sachet de thé, boîte, art&#10;&#10;Description générée automatiquement"/>
                          <pic:cNvPicPr>
                            <a:picLocks noChangeAspect="1"/>
                          </pic:cNvPicPr>
                        </pic:nvPicPr>
                        <pic:blipFill>
                          <a:blip r:embed="rId9" cstate="print"/>
                          <a:stretch>
                            <a:fillRect/>
                          </a:stretch>
                        </pic:blipFill>
                        <pic:spPr>
                          <a:xfrm>
                            <a:off x="0" y="0"/>
                            <a:ext cx="4488180" cy="1684655"/>
                          </a:xfrm>
                          <a:prstGeom prst="rect">
                            <a:avLst/>
                          </a:prstGeom>
                          <a:noFill/>
                          <a:ln>
                            <a:noFill/>
                          </a:ln>
                        </pic:spPr>
                      </pic:pic>
                    </a:graphicData>
                  </a:graphic>
                </wp:inline>
              </w:drawing>
            </w:r>
          </w:p>
          <w:p w14:paraId="76C8BDEA" w14:textId="3F98DE49" w:rsidR="000B1084" w:rsidRPr="001F2A9E" w:rsidRDefault="000B1084" w:rsidP="008172C3">
            <w:pPr>
              <w:spacing w:line="360" w:lineRule="auto"/>
              <w:jc w:val="center"/>
              <w:rPr>
                <w:b/>
              </w:rPr>
            </w:pPr>
            <w:r>
              <w:rPr>
                <w:b/>
                <w:bCs/>
                <w:lang w:val="fr-FR"/>
              </w:rPr>
              <w:t>Figure I</w:t>
            </w:r>
          </w:p>
        </w:tc>
      </w:tr>
      <w:tr w:rsidR="000B1084" w14:paraId="752181C1" w14:textId="77777777" w:rsidTr="003A5529">
        <w:tc>
          <w:tcPr>
            <w:tcW w:w="3213" w:type="dxa"/>
          </w:tcPr>
          <w:p w14:paraId="4C64167A" w14:textId="01ACB738" w:rsidR="000B1084" w:rsidRPr="001F2A9E" w:rsidRDefault="000E54E8" w:rsidP="000E54E8">
            <w:pPr>
              <w:spacing w:before="120" w:line="360" w:lineRule="auto"/>
              <w:jc w:val="center"/>
              <w:rPr>
                <w:b/>
                <w:i/>
                <w:sz w:val="28"/>
                <w:szCs w:val="28"/>
              </w:rPr>
            </w:pPr>
            <w:r>
              <w:rPr>
                <w:i/>
                <w:noProof/>
                <w:sz w:val="28"/>
                <w:szCs w:val="28"/>
              </w:rPr>
              <w:drawing>
                <wp:anchor distT="0" distB="0" distL="114300" distR="114300" simplePos="0" relativeHeight="251662336" behindDoc="0" locked="0" layoutInCell="1" allowOverlap="1" wp14:anchorId="1FBF0FC6" wp14:editId="4E9777A2">
                  <wp:simplePos x="0" y="0"/>
                  <wp:positionH relativeFrom="column">
                    <wp:posOffset>32385</wp:posOffset>
                  </wp:positionH>
                  <wp:positionV relativeFrom="paragraph">
                    <wp:posOffset>0</wp:posOffset>
                  </wp:positionV>
                  <wp:extent cx="1835785" cy="2080895"/>
                  <wp:effectExtent l="0" t="0" r="0" b="0"/>
                  <wp:wrapSquare wrapText="bothSides"/>
                  <wp:docPr id="4" name="图片 4" descr="8082aaf3a12aa6c0515e9ea45e71c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082aaf3a12aa6c0515e9ea45e71cb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5785" cy="2080895"/>
                          </a:xfrm>
                          <a:prstGeom prst="rect">
                            <a:avLst/>
                          </a:prstGeom>
                        </pic:spPr>
                      </pic:pic>
                    </a:graphicData>
                  </a:graphic>
                  <wp14:sizeRelH relativeFrom="margin">
                    <wp14:pctWidth>0</wp14:pctWidth>
                  </wp14:sizeRelH>
                  <wp14:sizeRelV relativeFrom="margin">
                    <wp14:pctHeight>0</wp14:pctHeight>
                  </wp14:sizeRelV>
                </wp:anchor>
              </w:drawing>
            </w:r>
            <w:r w:rsidR="000B1084">
              <w:rPr>
                <w:bCs/>
                <w:noProof/>
                <w:sz w:val="18"/>
                <w:szCs w:val="18"/>
              </w:rPr>
              <w:drawing>
                <wp:anchor distT="0" distB="0" distL="114300" distR="114300" simplePos="0" relativeHeight="251660288" behindDoc="0" locked="0" layoutInCell="1" allowOverlap="1" wp14:anchorId="41D1C565" wp14:editId="0D6E7B5C">
                  <wp:simplePos x="0" y="0"/>
                  <wp:positionH relativeFrom="column">
                    <wp:posOffset>750570</wp:posOffset>
                  </wp:positionH>
                  <wp:positionV relativeFrom="paragraph">
                    <wp:posOffset>942975</wp:posOffset>
                  </wp:positionV>
                  <wp:extent cx="902335" cy="749935"/>
                  <wp:effectExtent l="0" t="0" r="0" b="0"/>
                  <wp:wrapNone/>
                  <wp:docPr id="548750643" name="图片 2" descr="Une image contenant cercle,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750643" name="图片 2" descr="Une image contenant cercle, Caractère coloré&#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02335" cy="749935"/>
                          </a:xfrm>
                          <a:prstGeom prst="rect">
                            <a:avLst/>
                          </a:prstGeom>
                          <a:noFill/>
                        </pic:spPr>
                      </pic:pic>
                    </a:graphicData>
                  </a:graphic>
                </wp:anchor>
              </w:drawing>
            </w:r>
            <w:r w:rsidR="000B1084">
              <w:rPr>
                <w:b/>
                <w:bCs/>
                <w:lang w:val="fr-FR"/>
              </w:rPr>
              <w:t>Figure II</w:t>
            </w:r>
          </w:p>
        </w:tc>
        <w:tc>
          <w:tcPr>
            <w:tcW w:w="4156" w:type="dxa"/>
          </w:tcPr>
          <w:p w14:paraId="5E1C0CBC" w14:textId="0B32C98B" w:rsidR="000B1084" w:rsidRPr="001F2A9E" w:rsidRDefault="000B1084" w:rsidP="000E54E8">
            <w:pPr>
              <w:spacing w:before="120" w:line="360" w:lineRule="auto"/>
              <w:jc w:val="center"/>
              <w:rPr>
                <w:b/>
              </w:rPr>
            </w:pPr>
            <w:r>
              <w:rPr>
                <w:b/>
                <w:bCs/>
                <w:noProof/>
                <w:sz w:val="18"/>
                <w:szCs w:val="18"/>
              </w:rPr>
              <w:drawing>
                <wp:anchor distT="0" distB="0" distL="114300" distR="114300" simplePos="0" relativeHeight="251659264" behindDoc="0" locked="0" layoutInCell="1" allowOverlap="1" wp14:anchorId="7359C74A" wp14:editId="21C96243">
                  <wp:simplePos x="0" y="0"/>
                  <wp:positionH relativeFrom="column">
                    <wp:posOffset>722630</wp:posOffset>
                  </wp:positionH>
                  <wp:positionV relativeFrom="paragraph">
                    <wp:posOffset>546735</wp:posOffset>
                  </wp:positionV>
                  <wp:extent cx="902335" cy="749935"/>
                  <wp:effectExtent l="0" t="0" r="0" b="0"/>
                  <wp:wrapNone/>
                  <wp:docPr id="833628047" name="图片 1" descr="Une image contenant cercle,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628047" name="图片 1" descr="Une image contenant cercle, Caractère coloré&#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02335" cy="749935"/>
                          </a:xfrm>
                          <a:prstGeom prst="rect">
                            <a:avLst/>
                          </a:prstGeom>
                          <a:noFill/>
                        </pic:spPr>
                      </pic:pic>
                    </a:graphicData>
                  </a:graphic>
                </wp:anchor>
              </w:drawing>
            </w:r>
            <w:r>
              <w:rPr>
                <w:noProof/>
              </w:rPr>
              <w:drawing>
                <wp:anchor distT="0" distB="0" distL="114300" distR="114300" simplePos="0" relativeHeight="251663360" behindDoc="0" locked="0" layoutInCell="1" allowOverlap="1" wp14:anchorId="5874B9CF" wp14:editId="033B0B72">
                  <wp:simplePos x="0" y="0"/>
                  <wp:positionH relativeFrom="column">
                    <wp:posOffset>220980</wp:posOffset>
                  </wp:positionH>
                  <wp:positionV relativeFrom="paragraph">
                    <wp:posOffset>0</wp:posOffset>
                  </wp:positionV>
                  <wp:extent cx="2045970" cy="2080895"/>
                  <wp:effectExtent l="0" t="0" r="0" b="0"/>
                  <wp:wrapSquare wrapText="bothSides"/>
                  <wp:docPr id="3" name="图片 1" descr="Une image contenant électroménager, appareil de cuisine, Électroménager, réfrigéra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Une image contenant électroménager, appareil de cuisine, Électroménager, réfrigérateur&#10;&#10;Description générée automatiquement"/>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5970" cy="2080895"/>
                          </a:xfrm>
                          <a:prstGeom prst="rect">
                            <a:avLst/>
                          </a:prstGeom>
                          <a:noFill/>
                          <a:ln>
                            <a:noFill/>
                          </a:ln>
                        </pic:spPr>
                      </pic:pic>
                    </a:graphicData>
                  </a:graphic>
                </wp:anchor>
              </w:drawing>
            </w:r>
            <w:r>
              <w:rPr>
                <w:b/>
                <w:bCs/>
                <w:lang w:val="fr-FR"/>
              </w:rPr>
              <w:t>Figure III</w:t>
            </w:r>
          </w:p>
        </w:tc>
      </w:tr>
    </w:tbl>
    <w:p w14:paraId="217BB3D0" w14:textId="77777777" w:rsidR="000B1084" w:rsidRDefault="000B1084" w:rsidP="000B1084">
      <w:pPr>
        <w:spacing w:line="360" w:lineRule="auto"/>
        <w:ind w:left="1134" w:right="1134"/>
        <w:rPr>
          <w:bCs/>
          <w:sz w:val="18"/>
          <w:szCs w:val="18"/>
        </w:rPr>
      </w:pPr>
    </w:p>
    <w:p w14:paraId="21ADFF37" w14:textId="72211B00" w:rsidR="000B1084" w:rsidRPr="00CA3617" w:rsidRDefault="000B1084" w:rsidP="000B1084">
      <w:pPr>
        <w:pStyle w:val="SingleTxtG"/>
        <w:spacing w:before="240"/>
        <w:rPr>
          <w:b/>
        </w:rPr>
      </w:pPr>
      <w:r>
        <w:rPr>
          <w:lang w:val="fr-FR"/>
        </w:rPr>
        <w:t>4.</w:t>
      </w:r>
      <w:r>
        <w:rPr>
          <w:lang w:val="fr-FR"/>
        </w:rPr>
        <w:tab/>
        <w:t>Sur des emballages en carton</w:t>
      </w:r>
      <w:r w:rsidR="000E54E8">
        <w:rPr>
          <w:lang w:val="fr-FR"/>
        </w:rPr>
        <w:t> </w:t>
      </w:r>
      <w:r>
        <w:rPr>
          <w:lang w:val="fr-FR"/>
        </w:rPr>
        <w:t>4G, le fait de percer des trous et d’y passer des cordes en guise de poignées ou d’ouvrir des trous pour en faire des poignées peut réduire la protection qu’offre l’emballage lui-même. Les marchandises dangereuses qu’il contient peuvent ainsi être facilement endommagées ou fuir. Le Sous-Comité est donc invité à préciser si les deux types de perforation susmentionnés sont autorisés.</w:t>
      </w:r>
    </w:p>
    <w:p w14:paraId="2B24B3DA" w14:textId="77777777" w:rsidR="000B1084" w:rsidRPr="00CA3617" w:rsidRDefault="000B1084" w:rsidP="000B1084">
      <w:pPr>
        <w:pStyle w:val="HChG"/>
      </w:pPr>
      <w:r>
        <w:rPr>
          <w:bCs/>
          <w:lang w:val="fr-FR"/>
        </w:rPr>
        <w:tab/>
        <w:t>II.</w:t>
      </w:r>
      <w:r>
        <w:rPr>
          <w:lang w:val="fr-FR"/>
        </w:rPr>
        <w:tab/>
      </w:r>
      <w:r>
        <w:rPr>
          <w:bCs/>
          <w:lang w:val="fr-FR"/>
        </w:rPr>
        <w:t>Proposition 1</w:t>
      </w:r>
    </w:p>
    <w:p w14:paraId="3A1487FD" w14:textId="4394D7E1" w:rsidR="000B1084" w:rsidRPr="00CA3617" w:rsidRDefault="000B1084" w:rsidP="000B1084">
      <w:pPr>
        <w:pStyle w:val="SingleTxtG"/>
        <w:rPr>
          <w:b/>
        </w:rPr>
      </w:pPr>
      <w:r>
        <w:rPr>
          <w:lang w:val="fr-FR"/>
        </w:rPr>
        <w:t>5.</w:t>
      </w:r>
      <w:r>
        <w:rPr>
          <w:lang w:val="fr-FR"/>
        </w:rPr>
        <w:tab/>
        <w:t xml:space="preserve">Si le Sous-Comité ne considère pas qu’un emballage en carton 4G est un emballage fermé, il est recommandé, par souci de clarté, d’ajouter une description au Règlement type de l’ONU, comme suit (les modifications qu’il est proposé d’apporter au texte actuel figurent en caractères </w:t>
      </w:r>
      <w:r>
        <w:rPr>
          <w:b/>
          <w:bCs/>
          <w:u w:val="single"/>
          <w:lang w:val="fr-FR"/>
        </w:rPr>
        <w:t>gras soulignés</w:t>
      </w:r>
      <w:r>
        <w:rPr>
          <w:lang w:val="fr-FR"/>
        </w:rPr>
        <w:t xml:space="preserve"> pour les ajouts et </w:t>
      </w:r>
      <w:r>
        <w:rPr>
          <w:strike/>
          <w:lang w:val="fr-FR"/>
        </w:rPr>
        <w:t xml:space="preserve">biffés </w:t>
      </w:r>
      <w:r>
        <w:rPr>
          <w:lang w:val="fr-FR"/>
        </w:rPr>
        <w:t>pour les suppressions)</w:t>
      </w:r>
      <w:r>
        <w:rPr>
          <w:lang w:val="fr-FR"/>
        </w:rPr>
        <w:t> :</w:t>
      </w:r>
    </w:p>
    <w:p w14:paraId="40B1CDED" w14:textId="03AAEAE7" w:rsidR="000B1084" w:rsidRPr="00CA3617" w:rsidRDefault="000B1084" w:rsidP="000B1084">
      <w:pPr>
        <w:spacing w:line="360" w:lineRule="auto"/>
        <w:ind w:left="1701" w:right="1134"/>
        <w:rPr>
          <w:b/>
          <w:bCs/>
          <w:u w:val="single"/>
        </w:rPr>
      </w:pPr>
      <w:r w:rsidRPr="0008107F">
        <w:rPr>
          <w:lang w:val="fr-FR"/>
        </w:rPr>
        <w:t>«</w:t>
      </w:r>
      <w:r w:rsidRPr="005D4082">
        <w:rPr>
          <w:b/>
          <w:bCs/>
          <w:lang w:val="fr-FR"/>
        </w:rPr>
        <w:t> </w:t>
      </w:r>
      <w:r>
        <w:rPr>
          <w:b/>
          <w:bCs/>
          <w:u w:val="single"/>
          <w:lang w:val="fr-FR"/>
        </w:rPr>
        <w:t>6.1.4.12.5</w:t>
      </w:r>
      <w:r w:rsidRPr="005D4082">
        <w:rPr>
          <w:u w:val="single"/>
          <w:lang w:val="fr-FR"/>
        </w:rPr>
        <w:tab/>
      </w:r>
      <w:r>
        <w:rPr>
          <w:b/>
          <w:bCs/>
          <w:u w:val="single"/>
          <w:lang w:val="fr-FR"/>
        </w:rPr>
        <w:t>La perforation de l’emballage n’est pas autorisée.</w:t>
      </w:r>
    </w:p>
    <w:p w14:paraId="0035CED9" w14:textId="4F0261DB" w:rsidR="000B1084" w:rsidRPr="00CA3617" w:rsidRDefault="000B1084" w:rsidP="000B1084">
      <w:pPr>
        <w:spacing w:line="360" w:lineRule="auto"/>
        <w:ind w:left="1701" w:right="1134"/>
      </w:pPr>
      <w:r>
        <w:rPr>
          <w:lang w:val="fr-FR"/>
        </w:rPr>
        <w:t>6.1.4.12.</w:t>
      </w:r>
      <w:r>
        <w:rPr>
          <w:strike/>
          <w:lang w:val="fr-FR"/>
        </w:rPr>
        <w:t>5</w:t>
      </w:r>
      <w:r>
        <w:rPr>
          <w:b/>
          <w:bCs/>
          <w:u w:val="single"/>
          <w:lang w:val="fr-FR"/>
        </w:rPr>
        <w:t>6</w:t>
      </w:r>
      <w:r>
        <w:rPr>
          <w:lang w:val="fr-FR"/>
        </w:rPr>
        <w:tab/>
        <w:t>Les dimensions de la caisse doivent être adaptées au contenu.</w:t>
      </w:r>
    </w:p>
    <w:p w14:paraId="2B4D14D4" w14:textId="2970E268" w:rsidR="000B1084" w:rsidRPr="00CA3617" w:rsidRDefault="000B1084" w:rsidP="000B1084">
      <w:pPr>
        <w:spacing w:line="360" w:lineRule="auto"/>
        <w:ind w:left="1701" w:right="1134"/>
      </w:pPr>
      <w:r>
        <w:rPr>
          <w:lang w:val="fr-FR"/>
        </w:rPr>
        <w:t>6.1.4.12.</w:t>
      </w:r>
      <w:r>
        <w:rPr>
          <w:strike/>
          <w:lang w:val="fr-FR"/>
        </w:rPr>
        <w:t>6</w:t>
      </w:r>
      <w:r>
        <w:rPr>
          <w:b/>
          <w:bCs/>
          <w:u w:val="single"/>
          <w:lang w:val="fr-FR"/>
        </w:rPr>
        <w:t>7</w:t>
      </w:r>
      <w:r>
        <w:rPr>
          <w:lang w:val="fr-FR"/>
        </w:rPr>
        <w:tab/>
        <w:t>Masse nette maximale</w:t>
      </w:r>
      <w:r>
        <w:rPr>
          <w:lang w:val="fr-FR"/>
        </w:rPr>
        <w:t> :</w:t>
      </w:r>
      <w:r>
        <w:rPr>
          <w:lang w:val="fr-FR"/>
        </w:rPr>
        <w:t xml:space="preserve"> 400 kg. ».</w:t>
      </w:r>
    </w:p>
    <w:p w14:paraId="4724D31F" w14:textId="77777777" w:rsidR="000B1084" w:rsidRPr="00CA3617" w:rsidRDefault="000B1084" w:rsidP="000E54E8">
      <w:pPr>
        <w:pStyle w:val="HChG"/>
      </w:pPr>
      <w:r>
        <w:rPr>
          <w:lang w:val="fr-FR"/>
        </w:rPr>
        <w:lastRenderedPageBreak/>
        <w:tab/>
        <w:t>III.</w:t>
      </w:r>
      <w:r>
        <w:rPr>
          <w:lang w:val="fr-FR"/>
        </w:rPr>
        <w:tab/>
        <w:t>Proposition 2</w:t>
      </w:r>
    </w:p>
    <w:p w14:paraId="6AC426C6" w14:textId="15399A17" w:rsidR="000B1084" w:rsidRPr="00CA3617" w:rsidRDefault="000B1084" w:rsidP="000E54E8">
      <w:pPr>
        <w:pStyle w:val="SingleTxtG"/>
        <w:keepNext/>
        <w:keepLines/>
        <w:rPr>
          <w:b/>
        </w:rPr>
      </w:pPr>
      <w:r>
        <w:rPr>
          <w:lang w:val="fr-FR"/>
        </w:rPr>
        <w:t>6.</w:t>
      </w:r>
      <w:r>
        <w:rPr>
          <w:lang w:val="fr-FR"/>
        </w:rPr>
        <w:tab/>
        <w:t xml:space="preserve">Si le Sous-Comité considère que les deux types de perforation susmentionnés sont acceptables, il est recommandé de préciser que les caisses en carton 4G percées de trous doivent satisfaire aux prescriptions en matière de performance qui leur sont applicables, comme suit (les modifications qu’il est proposé d’apporter au texte actuel figurent en caractères </w:t>
      </w:r>
      <w:r>
        <w:rPr>
          <w:b/>
          <w:bCs/>
          <w:u w:val="single"/>
          <w:lang w:val="fr-FR"/>
        </w:rPr>
        <w:t>gras soulignés</w:t>
      </w:r>
      <w:r>
        <w:rPr>
          <w:lang w:val="fr-FR"/>
        </w:rPr>
        <w:t xml:space="preserve"> pour les ajouts et </w:t>
      </w:r>
      <w:r>
        <w:rPr>
          <w:strike/>
          <w:lang w:val="fr-FR"/>
        </w:rPr>
        <w:t xml:space="preserve">biffés </w:t>
      </w:r>
      <w:r>
        <w:rPr>
          <w:lang w:val="fr-FR"/>
        </w:rPr>
        <w:t>pour les suppressions)</w:t>
      </w:r>
      <w:r>
        <w:rPr>
          <w:lang w:val="fr-FR"/>
        </w:rPr>
        <w:t> :</w:t>
      </w:r>
    </w:p>
    <w:p w14:paraId="021063F5" w14:textId="77777777" w:rsidR="000B1084" w:rsidRPr="00CA3617" w:rsidRDefault="000B1084" w:rsidP="000B1084">
      <w:pPr>
        <w:spacing w:after="240" w:line="240" w:lineRule="auto"/>
        <w:ind w:left="1701" w:right="1134"/>
        <w:rPr>
          <w:b/>
        </w:rPr>
      </w:pPr>
      <w:r w:rsidRPr="001154C1">
        <w:rPr>
          <w:lang w:val="fr-FR"/>
        </w:rPr>
        <w:t>«</w:t>
      </w:r>
      <w:r w:rsidRPr="00267A2B">
        <w:rPr>
          <w:b/>
          <w:bCs/>
          <w:lang w:val="fr-FR"/>
        </w:rPr>
        <w:t> </w:t>
      </w:r>
      <w:r>
        <w:rPr>
          <w:b/>
          <w:bCs/>
          <w:u w:val="single"/>
          <w:lang w:val="fr-FR"/>
        </w:rPr>
        <w:t>6.1.4.12.5</w:t>
      </w:r>
      <w:r w:rsidRPr="005D4082">
        <w:rPr>
          <w:u w:val="single"/>
          <w:lang w:val="fr-FR"/>
        </w:rPr>
        <w:t xml:space="preserve"> </w:t>
      </w:r>
      <w:r w:rsidRPr="005D4082">
        <w:rPr>
          <w:u w:val="single"/>
          <w:lang w:val="fr-FR"/>
        </w:rPr>
        <w:tab/>
      </w:r>
      <w:r w:rsidRPr="00267A2B">
        <w:rPr>
          <w:b/>
          <w:bCs/>
          <w:u w:val="single"/>
          <w:lang w:val="fr-FR"/>
        </w:rPr>
        <w:t>Les modèles d</w:t>
      </w:r>
      <w:r>
        <w:rPr>
          <w:b/>
          <w:bCs/>
          <w:u w:val="single"/>
          <w:lang w:val="fr-FR"/>
        </w:rPr>
        <w:t>’</w:t>
      </w:r>
      <w:r w:rsidRPr="00267A2B">
        <w:rPr>
          <w:b/>
          <w:bCs/>
          <w:u w:val="single"/>
          <w:lang w:val="fr-FR"/>
        </w:rPr>
        <w:t>emballages perforés pour faciliter le transport sont autorisés, à condition que toutes les prescriptions relatives aux épreuves pour le type de modèle soient satisfaites.</w:t>
      </w:r>
    </w:p>
    <w:p w14:paraId="49D76261" w14:textId="2E7FFA34" w:rsidR="000B1084" w:rsidRPr="00CA3617" w:rsidRDefault="000B1084" w:rsidP="000B1084">
      <w:pPr>
        <w:spacing w:after="240" w:line="240" w:lineRule="auto"/>
        <w:ind w:left="1701" w:right="1134"/>
      </w:pPr>
      <w:r>
        <w:rPr>
          <w:lang w:val="fr-FR"/>
        </w:rPr>
        <w:t>6.1.4.12.</w:t>
      </w:r>
      <w:r>
        <w:rPr>
          <w:strike/>
          <w:lang w:val="fr-FR"/>
        </w:rPr>
        <w:t>5</w:t>
      </w:r>
      <w:r>
        <w:rPr>
          <w:b/>
          <w:bCs/>
          <w:u w:val="single"/>
          <w:lang w:val="fr-FR"/>
        </w:rPr>
        <w:t>6</w:t>
      </w:r>
      <w:r>
        <w:rPr>
          <w:lang w:val="fr-FR"/>
        </w:rPr>
        <w:tab/>
        <w:t>Les dimensions de la caisse doivent être adaptées au contenu.</w:t>
      </w:r>
    </w:p>
    <w:p w14:paraId="66E5FBCE" w14:textId="79C24FE5" w:rsidR="000B1084" w:rsidRPr="00162DBC" w:rsidRDefault="000B1084" w:rsidP="000B1084">
      <w:pPr>
        <w:spacing w:after="240" w:line="240" w:lineRule="auto"/>
        <w:ind w:left="1701" w:right="1134"/>
      </w:pPr>
      <w:r>
        <w:rPr>
          <w:lang w:val="fr-FR"/>
        </w:rPr>
        <w:t>6.1.4.12.</w:t>
      </w:r>
      <w:r>
        <w:rPr>
          <w:strike/>
          <w:lang w:val="fr-FR"/>
        </w:rPr>
        <w:t>6</w:t>
      </w:r>
      <w:r>
        <w:rPr>
          <w:b/>
          <w:bCs/>
          <w:lang w:val="fr-FR"/>
        </w:rPr>
        <w:t>7</w:t>
      </w:r>
      <w:r>
        <w:rPr>
          <w:lang w:val="fr-FR"/>
        </w:rPr>
        <w:tab/>
        <w:t>Masse nette maximale</w:t>
      </w:r>
      <w:r>
        <w:rPr>
          <w:lang w:val="fr-FR"/>
        </w:rPr>
        <w:t> :</w:t>
      </w:r>
      <w:r>
        <w:rPr>
          <w:lang w:val="fr-FR"/>
        </w:rPr>
        <w:t xml:space="preserve"> 400</w:t>
      </w:r>
      <w:r>
        <w:rPr>
          <w:lang w:val="fr-FR"/>
        </w:rPr>
        <w:t> </w:t>
      </w:r>
      <w:r>
        <w:rPr>
          <w:lang w:val="fr-FR"/>
        </w:rPr>
        <w:t>kg. ».</w:t>
      </w:r>
    </w:p>
    <w:p w14:paraId="20BCF19B" w14:textId="5A79E5D5" w:rsidR="00446FE5" w:rsidRPr="000B1084" w:rsidRDefault="000B1084" w:rsidP="000B1084">
      <w:pPr>
        <w:pStyle w:val="SingleTxtG"/>
        <w:spacing w:before="240" w:after="0"/>
        <w:jc w:val="center"/>
        <w:rPr>
          <w:u w:val="single"/>
        </w:rPr>
      </w:pPr>
      <w:r>
        <w:rPr>
          <w:u w:val="single"/>
        </w:rPr>
        <w:tab/>
      </w:r>
      <w:r>
        <w:rPr>
          <w:u w:val="single"/>
        </w:rPr>
        <w:tab/>
      </w:r>
      <w:r>
        <w:rPr>
          <w:u w:val="single"/>
        </w:rPr>
        <w:tab/>
      </w:r>
    </w:p>
    <w:sectPr w:rsidR="00446FE5" w:rsidRPr="000B1084" w:rsidSect="000B1084">
      <w:headerReference w:type="even" r:id="rId12"/>
      <w:headerReference w:type="default" r:id="rId13"/>
      <w:footerReference w:type="even" r:id="rId14"/>
      <w:footerReference w:type="default" r:id="rId15"/>
      <w:footerReference w:type="first" r:id="rId16"/>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11C41" w14:textId="77777777" w:rsidR="00EB0B77" w:rsidRDefault="00EB0B77" w:rsidP="00F95C08">
      <w:pPr>
        <w:spacing w:line="240" w:lineRule="auto"/>
      </w:pPr>
    </w:p>
  </w:endnote>
  <w:endnote w:type="continuationSeparator" w:id="0">
    <w:p w14:paraId="6E07C018" w14:textId="77777777" w:rsidR="00EB0B77" w:rsidRPr="00AC3823" w:rsidRDefault="00EB0B77" w:rsidP="00AC3823">
      <w:pPr>
        <w:pStyle w:val="Pieddepage"/>
      </w:pPr>
    </w:p>
  </w:endnote>
  <w:endnote w:type="continuationNotice" w:id="1">
    <w:p w14:paraId="3F479967" w14:textId="77777777" w:rsidR="00EB0B77" w:rsidRDefault="00EB0B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B2E06" w14:textId="48240EF9" w:rsidR="000B1084" w:rsidRPr="000B1084" w:rsidRDefault="000B1084" w:rsidP="000B1084">
    <w:pPr>
      <w:pStyle w:val="Pieddepage"/>
      <w:tabs>
        <w:tab w:val="right" w:pos="9638"/>
      </w:tabs>
    </w:pPr>
    <w:r w:rsidRPr="000B1084">
      <w:rPr>
        <w:b/>
        <w:sz w:val="18"/>
      </w:rPr>
      <w:fldChar w:fldCharType="begin"/>
    </w:r>
    <w:r w:rsidRPr="000B1084">
      <w:rPr>
        <w:b/>
        <w:sz w:val="18"/>
      </w:rPr>
      <w:instrText xml:space="preserve"> PAGE  \* MERGEFORMAT </w:instrText>
    </w:r>
    <w:r w:rsidRPr="000B1084">
      <w:rPr>
        <w:b/>
        <w:sz w:val="18"/>
      </w:rPr>
      <w:fldChar w:fldCharType="separate"/>
    </w:r>
    <w:r w:rsidRPr="000B1084">
      <w:rPr>
        <w:b/>
        <w:noProof/>
        <w:sz w:val="18"/>
      </w:rPr>
      <w:t>2</w:t>
    </w:r>
    <w:r w:rsidRPr="000B1084">
      <w:rPr>
        <w:b/>
        <w:sz w:val="18"/>
      </w:rPr>
      <w:fldChar w:fldCharType="end"/>
    </w:r>
    <w:r>
      <w:rPr>
        <w:b/>
        <w:sz w:val="18"/>
      </w:rPr>
      <w:tab/>
    </w:r>
    <w:r>
      <w:t>GE.24-16459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DB113" w14:textId="2168D1D7" w:rsidR="000B1084" w:rsidRPr="000B1084" w:rsidRDefault="000B1084" w:rsidP="000B1084">
    <w:pPr>
      <w:pStyle w:val="Pieddepage"/>
      <w:tabs>
        <w:tab w:val="right" w:pos="9638"/>
      </w:tabs>
      <w:rPr>
        <w:b/>
        <w:sz w:val="18"/>
      </w:rPr>
    </w:pPr>
    <w:r>
      <w:t>GE.24-16459</w:t>
    </w:r>
    <w:r>
      <w:tab/>
    </w:r>
    <w:r w:rsidRPr="000B1084">
      <w:rPr>
        <w:b/>
        <w:sz w:val="18"/>
      </w:rPr>
      <w:fldChar w:fldCharType="begin"/>
    </w:r>
    <w:r w:rsidRPr="000B1084">
      <w:rPr>
        <w:b/>
        <w:sz w:val="18"/>
      </w:rPr>
      <w:instrText xml:space="preserve"> PAGE  \* MERGEFORMAT </w:instrText>
    </w:r>
    <w:r w:rsidRPr="000B1084">
      <w:rPr>
        <w:b/>
        <w:sz w:val="18"/>
      </w:rPr>
      <w:fldChar w:fldCharType="separate"/>
    </w:r>
    <w:r w:rsidRPr="000B1084">
      <w:rPr>
        <w:b/>
        <w:noProof/>
        <w:sz w:val="18"/>
      </w:rPr>
      <w:t>3</w:t>
    </w:r>
    <w:r w:rsidRPr="000B1084">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5D3D5" w14:textId="321847AE" w:rsidR="0068456F" w:rsidRPr="000B1084" w:rsidRDefault="000B1084" w:rsidP="000B1084">
    <w:pPr>
      <w:pStyle w:val="Pieddepage"/>
      <w:spacing w:before="120"/>
      <w:rPr>
        <w:sz w:val="20"/>
      </w:rPr>
    </w:pPr>
    <w:r>
      <w:rPr>
        <w:sz w:val="20"/>
      </w:rPr>
      <w:t>GE.</w:t>
    </w:r>
    <w:r w:rsidR="0068456F">
      <w:rPr>
        <w:noProof/>
        <w:lang w:eastAsia="fr-CH"/>
      </w:rPr>
      <w:drawing>
        <wp:anchor distT="0" distB="0" distL="114300" distR="114300" simplePos="0" relativeHeight="251659264" behindDoc="0" locked="0" layoutInCell="1" allowOverlap="0" wp14:anchorId="6D4CFE93" wp14:editId="6C6794D5">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24-16459  (F)</w:t>
    </w:r>
    <w:r>
      <w:rPr>
        <w:noProof/>
        <w:sz w:val="20"/>
      </w:rPr>
      <w:drawing>
        <wp:anchor distT="0" distB="0" distL="114300" distR="114300" simplePos="0" relativeHeight="251660288" behindDoc="0" locked="0" layoutInCell="1" allowOverlap="1" wp14:anchorId="20A6B2C9" wp14:editId="304A0A76">
          <wp:simplePos x="0" y="0"/>
          <wp:positionH relativeFrom="margin">
            <wp:posOffset>5489575</wp:posOffset>
          </wp:positionH>
          <wp:positionV relativeFrom="margin">
            <wp:posOffset>8891905</wp:posOffset>
          </wp:positionV>
          <wp:extent cx="628650" cy="628650"/>
          <wp:effectExtent l="0" t="0" r="0" b="0"/>
          <wp:wrapNone/>
          <wp:docPr id="124971955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72C3">
      <w:rPr>
        <w:sz w:val="20"/>
      </w:rPr>
      <w:t xml:space="preserve">    041024    041024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45693" w14:textId="77777777" w:rsidR="00EB0B77" w:rsidRPr="00AC3823" w:rsidRDefault="00EB0B77" w:rsidP="00AC3823">
      <w:pPr>
        <w:pStyle w:val="Pieddepage"/>
        <w:tabs>
          <w:tab w:val="right" w:pos="2155"/>
        </w:tabs>
        <w:spacing w:after="80" w:line="240" w:lineRule="atLeast"/>
        <w:ind w:left="680"/>
        <w:rPr>
          <w:u w:val="single"/>
        </w:rPr>
      </w:pPr>
      <w:r>
        <w:rPr>
          <w:u w:val="single"/>
        </w:rPr>
        <w:tab/>
      </w:r>
    </w:p>
  </w:footnote>
  <w:footnote w:type="continuationSeparator" w:id="0">
    <w:p w14:paraId="14344DAF" w14:textId="77777777" w:rsidR="00EB0B77" w:rsidRPr="00AC3823" w:rsidRDefault="00EB0B77" w:rsidP="00AC3823">
      <w:pPr>
        <w:pStyle w:val="Pieddepage"/>
        <w:tabs>
          <w:tab w:val="right" w:pos="2155"/>
        </w:tabs>
        <w:spacing w:after="80" w:line="240" w:lineRule="atLeast"/>
        <w:ind w:left="680"/>
        <w:rPr>
          <w:u w:val="single"/>
        </w:rPr>
      </w:pPr>
      <w:r>
        <w:rPr>
          <w:u w:val="single"/>
        </w:rPr>
        <w:tab/>
      </w:r>
    </w:p>
  </w:footnote>
  <w:footnote w:type="continuationNotice" w:id="1">
    <w:p w14:paraId="2F862D26" w14:textId="77777777" w:rsidR="00EB0B77" w:rsidRPr="00AC3823" w:rsidRDefault="00EB0B77">
      <w:pPr>
        <w:spacing w:line="240" w:lineRule="auto"/>
        <w:rPr>
          <w:sz w:val="2"/>
          <w:szCs w:val="2"/>
        </w:rPr>
      </w:pPr>
    </w:p>
  </w:footnote>
  <w:footnote w:id="2">
    <w:p w14:paraId="23AEBCAE" w14:textId="77777777" w:rsidR="000B1084" w:rsidRPr="00B27C30" w:rsidRDefault="000B1084" w:rsidP="000B1084">
      <w:pPr>
        <w:pStyle w:val="Notedebasdepage"/>
      </w:pPr>
      <w:r>
        <w:rPr>
          <w:lang w:val="fr-FR"/>
        </w:rPr>
        <w:tab/>
      </w:r>
      <w:r w:rsidRPr="008172C3">
        <w:rPr>
          <w:sz w:val="20"/>
          <w:lang w:val="fr-FR"/>
        </w:rPr>
        <w:t>*</w:t>
      </w:r>
      <w:r>
        <w:rPr>
          <w:lang w:val="fr-FR"/>
        </w:rPr>
        <w:tab/>
        <w:t>A/78/6 (Sect. 20), tableau 20.5.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BCDED" w14:textId="6B822BBC" w:rsidR="000B1084" w:rsidRPr="000B1084" w:rsidRDefault="000B1084">
    <w:pPr>
      <w:pStyle w:val="En-tte"/>
    </w:pPr>
    <w:fldSimple w:instr=" TITLE  \* MERGEFORMAT ">
      <w:r>
        <w:t>ST/SG/AC.10/C.3/2024/89</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040AE" w14:textId="592B2C57" w:rsidR="000B1084" w:rsidRPr="000B1084" w:rsidRDefault="000B1084" w:rsidP="000B1084">
    <w:pPr>
      <w:pStyle w:val="En-tte"/>
      <w:jc w:val="right"/>
    </w:pPr>
    <w:fldSimple w:instr=" TITLE  \* MERGEFORMAT ">
      <w:r>
        <w:t>ST/SG/AC.10/C.3/2024/89</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274CD73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981AAA34"/>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FE2C9A28"/>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1714117205">
    <w:abstractNumId w:val="12"/>
  </w:num>
  <w:num w:numId="2" w16cid:durableId="1306660089">
    <w:abstractNumId w:val="11"/>
  </w:num>
  <w:num w:numId="3" w16cid:durableId="506335915">
    <w:abstractNumId w:val="10"/>
  </w:num>
  <w:num w:numId="4" w16cid:durableId="1155220201">
    <w:abstractNumId w:val="8"/>
  </w:num>
  <w:num w:numId="5" w16cid:durableId="1130899883">
    <w:abstractNumId w:val="3"/>
  </w:num>
  <w:num w:numId="6" w16cid:durableId="886530660">
    <w:abstractNumId w:val="2"/>
  </w:num>
  <w:num w:numId="7" w16cid:durableId="1196583444">
    <w:abstractNumId w:val="1"/>
  </w:num>
  <w:num w:numId="8" w16cid:durableId="453522015">
    <w:abstractNumId w:val="0"/>
  </w:num>
  <w:num w:numId="9" w16cid:durableId="157355126">
    <w:abstractNumId w:val="9"/>
  </w:num>
  <w:num w:numId="10" w16cid:durableId="979773015">
    <w:abstractNumId w:val="7"/>
  </w:num>
  <w:num w:numId="11" w16cid:durableId="2146001175">
    <w:abstractNumId w:val="6"/>
  </w:num>
  <w:num w:numId="12" w16cid:durableId="1472559369">
    <w:abstractNumId w:val="5"/>
  </w:num>
  <w:num w:numId="13" w16cid:durableId="1109935656">
    <w:abstractNumId w:val="4"/>
  </w:num>
  <w:num w:numId="14" w16cid:durableId="848064385">
    <w:abstractNumId w:val="12"/>
  </w:num>
  <w:num w:numId="15" w16cid:durableId="1416635696">
    <w:abstractNumId w:val="11"/>
  </w:num>
  <w:num w:numId="16" w16cid:durableId="11434230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B77"/>
    <w:rsid w:val="00017F94"/>
    <w:rsid w:val="00023842"/>
    <w:rsid w:val="000305D3"/>
    <w:rsid w:val="000334F9"/>
    <w:rsid w:val="0007796D"/>
    <w:rsid w:val="0008107F"/>
    <w:rsid w:val="000B1084"/>
    <w:rsid w:val="000B7790"/>
    <w:rsid w:val="000E54E8"/>
    <w:rsid w:val="00111F2F"/>
    <w:rsid w:val="001154C1"/>
    <w:rsid w:val="00132EA9"/>
    <w:rsid w:val="0014365E"/>
    <w:rsid w:val="00172E49"/>
    <w:rsid w:val="00176178"/>
    <w:rsid w:val="001F525A"/>
    <w:rsid w:val="00223272"/>
    <w:rsid w:val="0024779E"/>
    <w:rsid w:val="00283190"/>
    <w:rsid w:val="002832AC"/>
    <w:rsid w:val="002D7C93"/>
    <w:rsid w:val="002E2C04"/>
    <w:rsid w:val="00441C3B"/>
    <w:rsid w:val="00446FE5"/>
    <w:rsid w:val="00452396"/>
    <w:rsid w:val="004E468C"/>
    <w:rsid w:val="005505B7"/>
    <w:rsid w:val="00573BE5"/>
    <w:rsid w:val="00584DC4"/>
    <w:rsid w:val="00586ED3"/>
    <w:rsid w:val="00596AA9"/>
    <w:rsid w:val="005F0280"/>
    <w:rsid w:val="0068456F"/>
    <w:rsid w:val="0071601D"/>
    <w:rsid w:val="007A62E6"/>
    <w:rsid w:val="007F60EC"/>
    <w:rsid w:val="0080684C"/>
    <w:rsid w:val="008123E0"/>
    <w:rsid w:val="008172C3"/>
    <w:rsid w:val="00871C75"/>
    <w:rsid w:val="008776DC"/>
    <w:rsid w:val="008B40CD"/>
    <w:rsid w:val="009705C8"/>
    <w:rsid w:val="009C1CF4"/>
    <w:rsid w:val="00A30353"/>
    <w:rsid w:val="00A365A7"/>
    <w:rsid w:val="00A81281"/>
    <w:rsid w:val="00AC3823"/>
    <w:rsid w:val="00AE323C"/>
    <w:rsid w:val="00B00181"/>
    <w:rsid w:val="00B00B0D"/>
    <w:rsid w:val="00B765F7"/>
    <w:rsid w:val="00BA0CA9"/>
    <w:rsid w:val="00C02897"/>
    <w:rsid w:val="00D3439C"/>
    <w:rsid w:val="00DB1831"/>
    <w:rsid w:val="00DD3BFD"/>
    <w:rsid w:val="00DF6678"/>
    <w:rsid w:val="00EB0B77"/>
    <w:rsid w:val="00EF2E22"/>
    <w:rsid w:val="00F01738"/>
    <w:rsid w:val="00F660DF"/>
    <w:rsid w:val="00F730C8"/>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C5613"/>
  <w15:docId w15:val="{B9603FEF-E133-451B-8C1B-0538B70A8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DC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584DC4"/>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584DC4"/>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584DC4"/>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584DC4"/>
    <w:pPr>
      <w:spacing w:line="240" w:lineRule="auto"/>
    </w:pPr>
    <w:rPr>
      <w:sz w:val="16"/>
    </w:rPr>
  </w:style>
  <w:style w:type="character" w:customStyle="1" w:styleId="PieddepageCar">
    <w:name w:val="Pied de page Car"/>
    <w:aliases w:val="3_G Car"/>
    <w:basedOn w:val="Policepardfaut"/>
    <w:link w:val="Pieddepage"/>
    <w:rsid w:val="00584DC4"/>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584DC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584DC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584DC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584DC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584DC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584DC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584DC4"/>
    <w:pPr>
      <w:tabs>
        <w:tab w:val="left" w:pos="1701"/>
        <w:tab w:val="left" w:pos="2268"/>
        <w:tab w:val="left" w:pos="2835"/>
      </w:tabs>
      <w:spacing w:after="120"/>
      <w:ind w:left="1134" w:right="1134"/>
      <w:jc w:val="both"/>
    </w:pPr>
  </w:style>
  <w:style w:type="paragraph" w:customStyle="1" w:styleId="SLG">
    <w:name w:val="__S_L_G"/>
    <w:basedOn w:val="Normal"/>
    <w:next w:val="Normal"/>
    <w:rsid w:val="00584DC4"/>
    <w:pPr>
      <w:keepNext/>
      <w:keepLines/>
      <w:spacing w:before="240" w:after="240" w:line="580" w:lineRule="exact"/>
      <w:ind w:left="1134" w:right="1134"/>
    </w:pPr>
    <w:rPr>
      <w:b/>
      <w:sz w:val="56"/>
    </w:rPr>
  </w:style>
  <w:style w:type="paragraph" w:customStyle="1" w:styleId="SMG">
    <w:name w:val="__S_M_G"/>
    <w:basedOn w:val="Normal"/>
    <w:next w:val="Normal"/>
    <w:rsid w:val="00584DC4"/>
    <w:pPr>
      <w:keepNext/>
      <w:keepLines/>
      <w:spacing w:before="240" w:after="240" w:line="420" w:lineRule="exact"/>
      <w:ind w:left="1134" w:right="1134"/>
    </w:pPr>
    <w:rPr>
      <w:b/>
      <w:sz w:val="40"/>
    </w:rPr>
  </w:style>
  <w:style w:type="paragraph" w:customStyle="1" w:styleId="SSG">
    <w:name w:val="__S_S_G"/>
    <w:basedOn w:val="Normal"/>
    <w:next w:val="Normal"/>
    <w:rsid w:val="00584DC4"/>
    <w:pPr>
      <w:keepNext/>
      <w:keepLines/>
      <w:spacing w:before="240" w:after="240" w:line="300" w:lineRule="exact"/>
      <w:ind w:left="1134" w:right="1134"/>
    </w:pPr>
    <w:rPr>
      <w:b/>
      <w:sz w:val="28"/>
    </w:rPr>
  </w:style>
  <w:style w:type="paragraph" w:customStyle="1" w:styleId="XLargeG">
    <w:name w:val="__XLarge_G"/>
    <w:basedOn w:val="Normal"/>
    <w:next w:val="Normal"/>
    <w:rsid w:val="00584DC4"/>
    <w:pPr>
      <w:keepNext/>
      <w:keepLines/>
      <w:spacing w:before="240" w:after="240" w:line="420" w:lineRule="exact"/>
      <w:ind w:left="1134" w:right="1134"/>
    </w:pPr>
    <w:rPr>
      <w:b/>
      <w:sz w:val="40"/>
    </w:rPr>
  </w:style>
  <w:style w:type="paragraph" w:customStyle="1" w:styleId="Bullet1G">
    <w:name w:val="_Bullet 1_G"/>
    <w:basedOn w:val="Normal"/>
    <w:qFormat/>
    <w:rsid w:val="00584DC4"/>
    <w:pPr>
      <w:numPr>
        <w:numId w:val="14"/>
      </w:numPr>
      <w:spacing w:after="120"/>
      <w:ind w:right="1134"/>
      <w:jc w:val="both"/>
    </w:pPr>
  </w:style>
  <w:style w:type="paragraph" w:customStyle="1" w:styleId="Bullet2G">
    <w:name w:val="_Bullet 2_G"/>
    <w:basedOn w:val="Normal"/>
    <w:qFormat/>
    <w:rsid w:val="00584DC4"/>
    <w:pPr>
      <w:numPr>
        <w:numId w:val="15"/>
      </w:numPr>
      <w:spacing w:after="120"/>
      <w:ind w:right="1134"/>
      <w:jc w:val="both"/>
    </w:pPr>
  </w:style>
  <w:style w:type="paragraph" w:customStyle="1" w:styleId="ParNoG">
    <w:name w:val="_ParNo_G"/>
    <w:basedOn w:val="Normal"/>
    <w:qFormat/>
    <w:rsid w:val="00584DC4"/>
    <w:pPr>
      <w:numPr>
        <w:numId w:val="16"/>
      </w:numPr>
      <w:tabs>
        <w:tab w:val="left" w:pos="1701"/>
        <w:tab w:val="left" w:pos="2268"/>
        <w:tab w:val="left" w:pos="2835"/>
      </w:tabs>
      <w:spacing w:after="120"/>
      <w:ind w:right="1134"/>
      <w:jc w:val="both"/>
    </w:pPr>
  </w:style>
  <w:style w:type="character" w:styleId="Appelnotedebasdep">
    <w:name w:val="footnote reference"/>
    <w:aliases w:val="4_G"/>
    <w:basedOn w:val="Policepardfaut"/>
    <w:qFormat/>
    <w:rsid w:val="00584DC4"/>
    <w:rPr>
      <w:rFonts w:ascii="Times New Roman" w:hAnsi="Times New Roman"/>
      <w:sz w:val="18"/>
      <w:vertAlign w:val="superscript"/>
      <w:lang w:val="fr-CH"/>
    </w:rPr>
  </w:style>
  <w:style w:type="character" w:styleId="Appeldenotedefin">
    <w:name w:val="endnote reference"/>
    <w:aliases w:val="1_G"/>
    <w:basedOn w:val="Appelnotedebasdep"/>
    <w:qFormat/>
    <w:rsid w:val="00584DC4"/>
    <w:rPr>
      <w:rFonts w:ascii="Times New Roman" w:hAnsi="Times New Roman"/>
      <w:sz w:val="18"/>
      <w:vertAlign w:val="superscript"/>
      <w:lang w:val="fr-CH"/>
    </w:rPr>
  </w:style>
  <w:style w:type="table" w:styleId="Grilledutableau">
    <w:name w:val="Table Grid"/>
    <w:basedOn w:val="TableauNormal"/>
    <w:rsid w:val="00584DC4"/>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584DC4"/>
    <w:rPr>
      <w:color w:val="0000FF"/>
      <w:u w:val="none"/>
    </w:rPr>
  </w:style>
  <w:style w:type="character" w:styleId="Lienhypertextesuivivisit">
    <w:name w:val="FollowedHyperlink"/>
    <w:basedOn w:val="Policepardfaut"/>
    <w:unhideWhenUsed/>
    <w:rsid w:val="00584DC4"/>
    <w:rPr>
      <w:color w:val="0000FF"/>
      <w:u w:val="none"/>
    </w:rPr>
  </w:style>
  <w:style w:type="paragraph" w:styleId="Notedebasdepage">
    <w:name w:val="footnote text"/>
    <w:aliases w:val="5_G"/>
    <w:basedOn w:val="Normal"/>
    <w:link w:val="NotedebasdepageCar"/>
    <w:qFormat/>
    <w:rsid w:val="00584DC4"/>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584DC4"/>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584DC4"/>
  </w:style>
  <w:style w:type="character" w:customStyle="1" w:styleId="NotedefinCar">
    <w:name w:val="Note de fin Car"/>
    <w:aliases w:val="2_G Car"/>
    <w:basedOn w:val="Policepardfaut"/>
    <w:link w:val="Notedefin"/>
    <w:rsid w:val="00584DC4"/>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584DC4"/>
    <w:rPr>
      <w:rFonts w:ascii="Times New Roman" w:hAnsi="Times New Roman"/>
      <w:b/>
      <w:sz w:val="18"/>
      <w:lang w:val="fr-CH"/>
    </w:rPr>
  </w:style>
  <w:style w:type="character" w:customStyle="1" w:styleId="Titre1Car">
    <w:name w:val="Titre 1 Car"/>
    <w:aliases w:val="Table_G Car"/>
    <w:basedOn w:val="Policepardfaut"/>
    <w:link w:val="Titre1"/>
    <w:rsid w:val="00584DC4"/>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132EA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2EA9"/>
    <w:rPr>
      <w:rFonts w:ascii="Tahoma" w:hAnsi="Tahoma" w:cs="Tahoma"/>
      <w:sz w:val="16"/>
      <w:szCs w:val="16"/>
      <w:lang w:eastAsia="en-US"/>
    </w:rPr>
  </w:style>
  <w:style w:type="character" w:customStyle="1" w:styleId="HChGChar">
    <w:name w:val="_ H _Ch_G Char"/>
    <w:link w:val="HChG"/>
    <w:qFormat/>
    <w:locked/>
    <w:rsid w:val="000B1084"/>
    <w:rPr>
      <w:rFonts w:ascii="Times New Roman" w:eastAsiaTheme="minorHAnsi" w:hAnsi="Times New Roman" w:cs="Times New Roman"/>
      <w:b/>
      <w:sz w:val="28"/>
      <w:szCs w:val="20"/>
      <w:lang w:eastAsia="en-US"/>
    </w:rPr>
  </w:style>
  <w:style w:type="character" w:customStyle="1" w:styleId="H1GChar">
    <w:name w:val="_ H_1_G Char"/>
    <w:link w:val="H1G"/>
    <w:locked/>
    <w:rsid w:val="000B1084"/>
    <w:rPr>
      <w:rFonts w:ascii="Times New Roman" w:eastAsiaTheme="minorHAnsi" w:hAnsi="Times New Roman" w:cs="Times New Roman"/>
      <w:b/>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S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e18bef637d0f1ddca225288e0d432ec3">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a115814b681581b4d823fe6aeb4d21e0"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A4047F-C415-45D5-A527-59092D71CFA4}"/>
</file>

<file path=customXml/itemProps2.xml><?xml version="1.0" encoding="utf-8"?>
<ds:datastoreItem xmlns:ds="http://schemas.openxmlformats.org/officeDocument/2006/customXml" ds:itemID="{8929A249-D227-46F5-AAD8-3F382AB83348}"/>
</file>

<file path=docProps/app.xml><?xml version="1.0" encoding="utf-8"?>
<Properties xmlns="http://schemas.openxmlformats.org/officeDocument/2006/extended-properties" xmlns:vt="http://schemas.openxmlformats.org/officeDocument/2006/docPropsVTypes">
  <Template>ST.dotm</Template>
  <TotalTime>5</TotalTime>
  <Pages>3</Pages>
  <Words>424</Words>
  <Characters>3249</Characters>
  <Application>Microsoft Office Word</Application>
  <DocSecurity>0</DocSecurity>
  <Lines>1083</Lines>
  <Paragraphs>306</Paragraphs>
  <ScaleCrop>false</ScaleCrop>
  <HeadingPairs>
    <vt:vector size="2" baseType="variant">
      <vt:variant>
        <vt:lpstr>Titre</vt:lpstr>
      </vt:variant>
      <vt:variant>
        <vt:i4>1</vt:i4>
      </vt:variant>
    </vt:vector>
  </HeadingPairs>
  <TitlesOfParts>
    <vt:vector size="1" baseType="lpstr">
      <vt:lpstr>ST/SG/AC.10/C.3/2024/89</vt:lpstr>
    </vt:vector>
  </TitlesOfParts>
  <Company>DCM</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ST/SG/AC.10/C.3/2024/89</dc:title>
  <dc:subject/>
  <dc:creator>Estelle-Delphine DITTA</dc:creator>
  <cp:keywords/>
  <cp:lastModifiedBy>Estelle Ditta</cp:lastModifiedBy>
  <cp:revision>2</cp:revision>
  <cp:lastPrinted>2014-05-14T10:59:00Z</cp:lastPrinted>
  <dcterms:created xsi:type="dcterms:W3CDTF">2024-10-04T12:01:00Z</dcterms:created>
  <dcterms:modified xsi:type="dcterms:W3CDTF">2024-10-04T12:01:00Z</dcterms:modified>
</cp:coreProperties>
</file>