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E52109" w14:paraId="57A4ECE6" w14:textId="77777777" w:rsidTr="006476E1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6B048" w14:textId="77777777" w:rsidR="00E52109" w:rsidRPr="002A32CB" w:rsidRDefault="00E52109" w:rsidP="004858F5"/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E5ACCC" w14:textId="77777777" w:rsidR="00E52109" w:rsidRDefault="00E52109" w:rsidP="006476E1">
            <w:pPr>
              <w:spacing w:after="80"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22E480" w14:textId="70A69018" w:rsidR="00E52109" w:rsidRDefault="00A7491A" w:rsidP="004F3685">
            <w:pPr>
              <w:jc w:val="right"/>
            </w:pPr>
            <w:r w:rsidRPr="00A7491A">
              <w:rPr>
                <w:sz w:val="40"/>
              </w:rPr>
              <w:t>ST</w:t>
            </w:r>
            <w:r>
              <w:t>/SG/AC.10/C.3/2024/87</w:t>
            </w:r>
          </w:p>
        </w:tc>
      </w:tr>
      <w:tr w:rsidR="00E52109" w14:paraId="19D2DF04" w14:textId="77777777" w:rsidTr="006476E1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D210AB2" w14:textId="77777777" w:rsidR="00E52109" w:rsidRDefault="00E52109" w:rsidP="006476E1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42A8BF48" wp14:editId="5EBF1049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7A43205" w14:textId="77777777" w:rsidR="00E52109" w:rsidRDefault="00D94B05" w:rsidP="006476E1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Secretariat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4A1EFC7" w14:textId="77777777" w:rsidR="00D94B05" w:rsidRDefault="004F3685" w:rsidP="004F3685">
            <w:pPr>
              <w:spacing w:before="240" w:line="240" w:lineRule="exact"/>
            </w:pPr>
            <w:r>
              <w:t>Distr.: General</w:t>
            </w:r>
          </w:p>
          <w:p w14:paraId="2FAE4B3C" w14:textId="77777777" w:rsidR="004F3685" w:rsidRDefault="004F3685" w:rsidP="004F3685">
            <w:pPr>
              <w:spacing w:line="240" w:lineRule="exact"/>
            </w:pPr>
            <w:r>
              <w:t>12 September 2024</w:t>
            </w:r>
          </w:p>
          <w:p w14:paraId="415BC6B7" w14:textId="77777777" w:rsidR="004F3685" w:rsidRDefault="004F3685" w:rsidP="004F3685">
            <w:pPr>
              <w:spacing w:line="240" w:lineRule="exact"/>
            </w:pPr>
          </w:p>
          <w:p w14:paraId="611FBE42" w14:textId="78E33A29" w:rsidR="004F3685" w:rsidRDefault="004F3685" w:rsidP="004F3685">
            <w:pPr>
              <w:spacing w:line="240" w:lineRule="exact"/>
            </w:pPr>
            <w:r>
              <w:t>Original: English</w:t>
            </w:r>
          </w:p>
        </w:tc>
      </w:tr>
    </w:tbl>
    <w:p w14:paraId="28C3BBB2" w14:textId="77777777" w:rsidR="005169FC" w:rsidRPr="006500BA" w:rsidRDefault="005169FC" w:rsidP="005169FC">
      <w:pPr>
        <w:spacing w:before="120"/>
        <w:rPr>
          <w:b/>
          <w:sz w:val="24"/>
          <w:szCs w:val="24"/>
        </w:rPr>
      </w:pPr>
      <w:r w:rsidRPr="006500BA">
        <w:rPr>
          <w:b/>
          <w:sz w:val="24"/>
          <w:szCs w:val="24"/>
        </w:rPr>
        <w:t>Committee of Experts on the Transport of Dangerous Goods</w:t>
      </w:r>
      <w:r w:rsidRPr="006500BA">
        <w:rPr>
          <w:b/>
          <w:sz w:val="24"/>
          <w:szCs w:val="24"/>
        </w:rPr>
        <w:br/>
        <w:t>and on the Globally Harmonized System of Classification</w:t>
      </w:r>
      <w:r w:rsidRPr="006500BA">
        <w:rPr>
          <w:b/>
          <w:sz w:val="24"/>
          <w:szCs w:val="24"/>
        </w:rPr>
        <w:br/>
        <w:t>and Labelling of Chemicals</w:t>
      </w:r>
    </w:p>
    <w:p w14:paraId="78047400" w14:textId="77777777" w:rsidR="005169FC" w:rsidRPr="006500BA" w:rsidRDefault="005169FC" w:rsidP="005169FC">
      <w:pPr>
        <w:spacing w:before="120"/>
        <w:rPr>
          <w:rFonts w:ascii="Helv" w:hAnsi="Helv" w:cs="Helv"/>
          <w:b/>
          <w:color w:val="000000"/>
        </w:rPr>
      </w:pPr>
      <w:r w:rsidRPr="006500BA">
        <w:rPr>
          <w:b/>
        </w:rPr>
        <w:t xml:space="preserve">Sub-Committee of Experts on the </w:t>
      </w:r>
      <w:r>
        <w:rPr>
          <w:b/>
        </w:rPr>
        <w:t>Transport of Dangerous Goods</w:t>
      </w:r>
    </w:p>
    <w:p w14:paraId="5DE32A1F" w14:textId="77777777" w:rsidR="005169FC" w:rsidRPr="006500BA" w:rsidRDefault="005169FC" w:rsidP="005169FC">
      <w:pPr>
        <w:spacing w:before="120"/>
        <w:rPr>
          <w:b/>
        </w:rPr>
      </w:pPr>
      <w:r>
        <w:rPr>
          <w:b/>
        </w:rPr>
        <w:t xml:space="preserve">Sixty-fifth </w:t>
      </w:r>
      <w:r w:rsidRPr="006500BA">
        <w:rPr>
          <w:b/>
        </w:rPr>
        <w:t>session</w:t>
      </w:r>
    </w:p>
    <w:p w14:paraId="6ED3C67E" w14:textId="77777777" w:rsidR="005169FC" w:rsidRPr="006500BA" w:rsidRDefault="005169FC" w:rsidP="005169FC">
      <w:r w:rsidRPr="006500BA">
        <w:t xml:space="preserve">Geneva, </w:t>
      </w:r>
      <w:r>
        <w:t xml:space="preserve">25 November-3 December 2024 </w:t>
      </w:r>
    </w:p>
    <w:p w14:paraId="4D72CACE" w14:textId="77777777" w:rsidR="005169FC" w:rsidRPr="00482A04" w:rsidRDefault="005169FC" w:rsidP="005169FC">
      <w:r w:rsidRPr="00482A04">
        <w:t>Item 3 of the provisional agenda</w:t>
      </w:r>
    </w:p>
    <w:p w14:paraId="47DB2491" w14:textId="77777777" w:rsidR="005169FC" w:rsidRPr="004F3685" w:rsidRDefault="005169FC" w:rsidP="005169FC">
      <w:pPr>
        <w:spacing w:line="240" w:lineRule="auto"/>
        <w:rPr>
          <w:b/>
          <w:bCs/>
          <w:highlight w:val="yellow"/>
        </w:rPr>
      </w:pPr>
      <w:r w:rsidRPr="00482A04">
        <w:rPr>
          <w:b/>
          <w:bCs/>
        </w:rPr>
        <w:t xml:space="preserve">Listing, </w:t>
      </w:r>
      <w:proofErr w:type="gramStart"/>
      <w:r w:rsidRPr="00482A04">
        <w:rPr>
          <w:b/>
          <w:bCs/>
        </w:rPr>
        <w:t>classification</w:t>
      </w:r>
      <w:proofErr w:type="gramEnd"/>
      <w:r w:rsidRPr="00482A04">
        <w:rPr>
          <w:b/>
          <w:bCs/>
        </w:rPr>
        <w:t xml:space="preserve"> and packing</w:t>
      </w:r>
    </w:p>
    <w:p w14:paraId="174B29BD" w14:textId="77777777" w:rsidR="007B2985" w:rsidRDefault="007B2985" w:rsidP="007B2985">
      <w:pPr>
        <w:pStyle w:val="HChG"/>
        <w:rPr>
          <w:lang w:eastAsia="ja-JP"/>
        </w:rPr>
      </w:pPr>
      <w:r>
        <w:tab/>
      </w:r>
      <w:r>
        <w:tab/>
      </w:r>
      <w:r>
        <w:rPr>
          <w:lang w:eastAsia="ja-JP"/>
        </w:rPr>
        <w:t>Listing of Artemisinin and derivatives in 2.5.3.2.4</w:t>
      </w:r>
    </w:p>
    <w:p w14:paraId="398D02E4" w14:textId="44C7B0A4" w:rsidR="007B2985" w:rsidRDefault="007B2985" w:rsidP="007B2985">
      <w:pPr>
        <w:pStyle w:val="H1G"/>
        <w:rPr>
          <w:lang w:val="en-US"/>
        </w:rPr>
      </w:pPr>
      <w:bookmarkStart w:id="0" w:name="_Hlk531350542"/>
      <w:r>
        <w:rPr>
          <w:lang w:val="en-US"/>
        </w:rPr>
        <w:tab/>
      </w:r>
      <w:r>
        <w:rPr>
          <w:lang w:val="en-US"/>
        </w:rPr>
        <w:tab/>
      </w:r>
      <w:bookmarkEnd w:id="0"/>
      <w:r>
        <w:rPr>
          <w:lang w:val="en-US"/>
        </w:rPr>
        <w:tab/>
        <w:t>Transmitted by the expert from China</w:t>
      </w:r>
      <w:r w:rsidR="001D1D1A">
        <w:rPr>
          <w:lang w:val="en-US"/>
        </w:rPr>
        <w:t>,</w:t>
      </w:r>
      <w:r>
        <w:rPr>
          <w:lang w:val="en-US"/>
        </w:rPr>
        <w:t xml:space="preserve"> and the European Chemical Industry Council (</w:t>
      </w:r>
      <w:proofErr w:type="spellStart"/>
      <w:r>
        <w:rPr>
          <w:lang w:val="en-US"/>
        </w:rPr>
        <w:t>Cefic</w:t>
      </w:r>
      <w:proofErr w:type="spellEnd"/>
      <w:r>
        <w:rPr>
          <w:lang w:val="en-US"/>
        </w:rPr>
        <w:t>)</w:t>
      </w:r>
      <w:r w:rsidR="002556CB" w:rsidRPr="00D31B46">
        <w:rPr>
          <w:rStyle w:val="FootnoteReference"/>
          <w:sz w:val="20"/>
          <w:vertAlign w:val="baseline"/>
          <w:lang w:val="en-US"/>
        </w:rPr>
        <w:footnoteReference w:customMarkFollows="1" w:id="2"/>
        <w:t>*</w:t>
      </w:r>
    </w:p>
    <w:p w14:paraId="71B4A663" w14:textId="77777777" w:rsidR="007B2985" w:rsidRDefault="007B2985" w:rsidP="007B2985">
      <w:pPr>
        <w:pStyle w:val="HChG"/>
        <w:rPr>
          <w:lang w:val="en-US"/>
        </w:rPr>
      </w:pPr>
      <w:r>
        <w:tab/>
        <w:t>I.</w:t>
      </w:r>
      <w:r>
        <w:tab/>
        <w:t>Introduction</w:t>
      </w:r>
    </w:p>
    <w:p w14:paraId="3A6021B2" w14:textId="25DC13E9" w:rsidR="007B2985" w:rsidRDefault="007B2985" w:rsidP="007B2985">
      <w:pPr>
        <w:pStyle w:val="SingleTxtG"/>
      </w:pPr>
      <w:r>
        <w:rPr>
          <w:lang w:val="en-CA"/>
        </w:rPr>
        <w:t>1.</w:t>
      </w:r>
      <w:r>
        <w:rPr>
          <w:lang w:val="en-CA"/>
        </w:rPr>
        <w:tab/>
      </w:r>
      <w:r>
        <w:t>At the sixty-fourth session of the Sub-Committee of Experts, the expert from China</w:t>
      </w:r>
      <w:r w:rsidR="00DD04FC">
        <w:t>,</w:t>
      </w:r>
      <w:r>
        <w:t xml:space="preserve"> and the European Chemical Industry Council (</w:t>
      </w:r>
      <w:proofErr w:type="spellStart"/>
      <w:r>
        <w:t>Cefic</w:t>
      </w:r>
      <w:proofErr w:type="spellEnd"/>
      <w:r>
        <w:t xml:space="preserve">) </w:t>
      </w:r>
      <w:r>
        <w:rPr>
          <w:lang w:val="en-CA"/>
        </w:rPr>
        <w:t>presented</w:t>
      </w:r>
      <w:r>
        <w:t xml:space="preserve"> an informal </w:t>
      </w:r>
      <w:r>
        <w:rPr>
          <w:rFonts w:hint="eastAsia"/>
        </w:rPr>
        <w:t>do</w:t>
      </w:r>
      <w:r>
        <w:t xml:space="preserve">cument that proposed to amend the entry "([3R-(3R, 5aS, 6S, 8aS, 9R, 10R, 12S, 12aR**)]-DECAHYDRO-10-METHOXY-3,6,9-TRIMETHYL-3,12-EPOXY-12H-PYRANO[4,3-j]-1,2-BENZODIOXEPIN)" </w:t>
      </w:r>
      <w:r>
        <w:rPr>
          <w:rFonts w:hint="eastAsia"/>
        </w:rPr>
        <w:t>t</w:t>
      </w:r>
      <w:r>
        <w:t xml:space="preserve">o "ARTEMISININ or ARTEMISININ DERIVATIVES" in the list </w:t>
      </w:r>
      <w:r>
        <w:rPr>
          <w:rFonts w:hint="eastAsia"/>
        </w:rPr>
        <w:t>in</w:t>
      </w:r>
      <w:r>
        <w:t xml:space="preserve"> </w:t>
      </w:r>
      <w:r w:rsidR="00DD04FC">
        <w:t xml:space="preserve">paragraph </w:t>
      </w:r>
      <w:r>
        <w:t xml:space="preserve">2.5.3.2.4 </w:t>
      </w:r>
      <w:r w:rsidR="00DD04FC">
        <w:t xml:space="preserve">of the </w:t>
      </w:r>
      <w:r w:rsidR="00DD04FC">
        <w:rPr>
          <w:i/>
          <w:iCs/>
        </w:rPr>
        <w:t>Model Regulations</w:t>
      </w:r>
      <w:r w:rsidR="00DD04FC">
        <w:t xml:space="preserve"> </w:t>
      </w:r>
      <w:r>
        <w:rPr>
          <w:rFonts w:hint="eastAsia"/>
        </w:rPr>
        <w:t>bas</w:t>
      </w:r>
      <w:r>
        <w:t xml:space="preserve">ed on the inaccuracy of the original entry name </w:t>
      </w:r>
      <w:r>
        <w:rPr>
          <w:lang w:val="en-CA"/>
        </w:rPr>
        <w:t>(</w:t>
      </w:r>
      <w:r w:rsidR="00DD04FC">
        <w:rPr>
          <w:lang w:val="en-CA"/>
        </w:rPr>
        <w:t xml:space="preserve">see </w:t>
      </w:r>
      <w:r>
        <w:rPr>
          <w:lang w:val="en-CA"/>
        </w:rPr>
        <w:t>INF.40</w:t>
      </w:r>
      <w:r w:rsidR="00DD04FC">
        <w:rPr>
          <w:lang w:val="en-CA"/>
        </w:rPr>
        <w:t xml:space="preserve">, </w:t>
      </w:r>
      <w:r>
        <w:rPr>
          <w:lang w:val="en-CA"/>
        </w:rPr>
        <w:t>sixty-</w:t>
      </w:r>
      <w:r>
        <w:rPr>
          <w:rFonts w:hint="eastAsia"/>
          <w:lang w:val="en-CA"/>
        </w:rPr>
        <w:t>fo</w:t>
      </w:r>
      <w:r>
        <w:rPr>
          <w:lang w:val="en-CA"/>
        </w:rPr>
        <w:t>urth session</w:t>
      </w:r>
      <w:r w:rsidR="00A47E2B">
        <w:rPr>
          <w:lang w:val="en-CA"/>
        </w:rPr>
        <w:t>).</w:t>
      </w:r>
      <w:r>
        <w:rPr>
          <w:rStyle w:val="FootnoteReference"/>
          <w:color w:val="000000" w:themeColor="text1"/>
          <w:lang w:val="en-CA"/>
        </w:rPr>
        <w:footnoteReference w:id="3"/>
      </w:r>
      <w:r>
        <w:t xml:space="preserve"> </w:t>
      </w:r>
      <w:r>
        <w:rPr>
          <w:rFonts w:hint="eastAsia"/>
          <w:lang w:val="en-US"/>
        </w:rPr>
        <w:t>During</w:t>
      </w:r>
      <w:r>
        <w:t xml:space="preserve"> the discussion of the </w:t>
      </w:r>
      <w:r w:rsidR="00BA4469">
        <w:t xml:space="preserve">document within the </w:t>
      </w:r>
      <w:r w:rsidRPr="00A669E0">
        <w:t>Explosives Working Group (EWG)</w:t>
      </w:r>
      <w:r>
        <w:t xml:space="preserve">, </w:t>
      </w:r>
      <w:r>
        <w:rPr>
          <w:lang w:val="en-CA"/>
        </w:rPr>
        <w:t xml:space="preserve">this </w:t>
      </w:r>
      <w:r w:rsidR="00FF6F45">
        <w:rPr>
          <w:lang w:val="en-US"/>
        </w:rPr>
        <w:t>proposal</w:t>
      </w:r>
      <w:r>
        <w:rPr>
          <w:rFonts w:hint="eastAsia"/>
          <w:lang w:val="en-US"/>
        </w:rPr>
        <w:t xml:space="preserve"> </w:t>
      </w:r>
      <w:r>
        <w:rPr>
          <w:lang w:val="en-CA"/>
        </w:rPr>
        <w:t xml:space="preserve">received </w:t>
      </w:r>
      <w:r w:rsidR="00FF6F45">
        <w:rPr>
          <w:lang w:val="en-CA"/>
        </w:rPr>
        <w:t xml:space="preserve">general </w:t>
      </w:r>
      <w:r>
        <w:rPr>
          <w:lang w:val="en-CA"/>
        </w:rPr>
        <w:t>support</w:t>
      </w:r>
      <w:r>
        <w:rPr>
          <w:rFonts w:hint="eastAsia"/>
          <w:lang w:val="en-CA"/>
        </w:rPr>
        <w:t>.</w:t>
      </w:r>
      <w:r>
        <w:rPr>
          <w:lang w:val="en-CA"/>
        </w:rPr>
        <w:t xml:space="preserve"> </w:t>
      </w:r>
      <w:r>
        <w:rPr>
          <w:rFonts w:hint="eastAsia"/>
          <w:lang w:val="en-CA"/>
        </w:rPr>
        <w:t>H</w:t>
      </w:r>
      <w:r>
        <w:rPr>
          <w:lang w:val="en-CA"/>
        </w:rPr>
        <w:t xml:space="preserve">owever, there was </w:t>
      </w:r>
      <w:r>
        <w:rPr>
          <w:rFonts w:hint="eastAsia"/>
          <w:lang w:val="en-CA"/>
        </w:rPr>
        <w:t xml:space="preserve">a </w:t>
      </w:r>
      <w:r>
        <w:rPr>
          <w:lang w:val="en-CA"/>
        </w:rPr>
        <w:t>concern about including all derivatives in the list</w:t>
      </w:r>
      <w:r w:rsidR="003D7090">
        <w:rPr>
          <w:lang w:val="en-CA"/>
        </w:rPr>
        <w:t xml:space="preserve"> </w:t>
      </w:r>
      <w:r>
        <w:rPr>
          <w:rFonts w:hint="eastAsia"/>
          <w:lang w:val="en-CA"/>
        </w:rPr>
        <w:t>a</w:t>
      </w:r>
      <w:r>
        <w:rPr>
          <w:lang w:val="en-CA"/>
        </w:rPr>
        <w:t>nd</w:t>
      </w:r>
      <w:r>
        <w:rPr>
          <w:rFonts w:hint="eastAsia"/>
          <w:lang w:val="en-US"/>
        </w:rPr>
        <w:t xml:space="preserve"> it </w:t>
      </w:r>
      <w:r w:rsidR="00F366D3">
        <w:rPr>
          <w:lang w:val="en-US"/>
        </w:rPr>
        <w:t xml:space="preserve">was suggested </w:t>
      </w:r>
      <w:r>
        <w:rPr>
          <w:rFonts w:hint="eastAsia"/>
          <w:lang w:val="en-US"/>
        </w:rPr>
        <w:t xml:space="preserve">to </w:t>
      </w:r>
      <w:r>
        <w:rPr>
          <w:lang w:val="en-CA"/>
        </w:rPr>
        <w:t xml:space="preserve">list </w:t>
      </w:r>
      <w:r w:rsidR="0017563E">
        <w:rPr>
          <w:lang w:val="en-CA"/>
        </w:rPr>
        <w:t xml:space="preserve">by name </w:t>
      </w:r>
      <w:r w:rsidR="00BF150E">
        <w:rPr>
          <w:lang w:val="en-CA"/>
        </w:rPr>
        <w:t xml:space="preserve">only </w:t>
      </w:r>
      <w:r w:rsidR="008A539B">
        <w:rPr>
          <w:lang w:val="en-CA"/>
        </w:rPr>
        <w:t xml:space="preserve">the relevant </w:t>
      </w:r>
      <w:r w:rsidR="00E17ED8">
        <w:rPr>
          <w:lang w:val="en-CA"/>
        </w:rPr>
        <w:t>ones</w:t>
      </w:r>
      <w:r w:rsidR="008A539B">
        <w:rPr>
          <w:lang w:val="en-CA"/>
        </w:rPr>
        <w:t xml:space="preserve"> </w:t>
      </w:r>
      <w:r>
        <w:rPr>
          <w:lang w:val="en-CA"/>
        </w:rPr>
        <w:t xml:space="preserve">instead of </w:t>
      </w:r>
      <w:r w:rsidR="000C6512">
        <w:rPr>
          <w:lang w:val="en-CA"/>
        </w:rPr>
        <w:t xml:space="preserve">having them </w:t>
      </w:r>
      <w:r>
        <w:rPr>
          <w:lang w:val="en-CA"/>
        </w:rPr>
        <w:t>referred to</w:t>
      </w:r>
      <w:r w:rsidR="001300F8">
        <w:rPr>
          <w:lang w:val="en-CA"/>
        </w:rPr>
        <w:t xml:space="preserve"> in a </w:t>
      </w:r>
      <w:r>
        <w:rPr>
          <w:lang w:val="en-CA"/>
        </w:rPr>
        <w:t>note.</w:t>
      </w:r>
    </w:p>
    <w:p w14:paraId="14F97BB7" w14:textId="6DE30516" w:rsidR="007B2985" w:rsidRDefault="007B2985" w:rsidP="007B2985">
      <w:pPr>
        <w:pStyle w:val="SingleTxtG"/>
      </w:pPr>
      <w:r>
        <w:rPr>
          <w:rFonts w:hint="eastAsia"/>
        </w:rPr>
        <w:t>2</w:t>
      </w:r>
      <w:r>
        <w:t>.</w:t>
      </w:r>
      <w:r>
        <w:tab/>
        <w:t>Artemisinin is a natural product with a peroxide bridge structure extracted from the plant</w:t>
      </w:r>
      <w:r>
        <w:rPr>
          <w:rFonts w:hint="eastAsia"/>
          <w:lang w:val="en-US"/>
        </w:rPr>
        <w:t xml:space="preserve"> of</w:t>
      </w:r>
      <w:r>
        <w:t xml:space="preserve"> </w:t>
      </w:r>
      <w:r w:rsidRPr="00D31B46">
        <w:rPr>
          <w:i/>
          <w:iCs/>
        </w:rPr>
        <w:t>artemisia annua</w:t>
      </w:r>
      <w:r>
        <w:t xml:space="preserve">, which is one of the most effective drugs for the treatment of malaria. A series of derivatives produced by deep processing of artemisinin are also often used in the treatment of malaria. Common artemisinin derivatives include </w:t>
      </w:r>
      <w:proofErr w:type="spellStart"/>
      <w:r>
        <w:t>arteether</w:t>
      </w:r>
      <w:proofErr w:type="spellEnd"/>
      <w:r>
        <w:t xml:space="preserve">, artemether, artesunate, </w:t>
      </w:r>
      <w:proofErr w:type="spellStart"/>
      <w:r>
        <w:t>dihydroartemisinin</w:t>
      </w:r>
      <w:proofErr w:type="spellEnd"/>
      <w:r w:rsidR="009215EB">
        <w:t>,</w:t>
      </w:r>
      <w:r>
        <w:t xml:space="preserve"> etc. with a subset of stereoisomers thereof (</w:t>
      </w:r>
      <w:r w:rsidR="00B9376D">
        <w:t xml:space="preserve">see </w:t>
      </w:r>
      <w:proofErr w:type="gramStart"/>
      <w:r w:rsidR="00B9376D">
        <w:t>f</w:t>
      </w:r>
      <w:r>
        <w:t>igure )</w:t>
      </w:r>
      <w:proofErr w:type="gramEnd"/>
      <w:r>
        <w:t>. The specific chemical structure can be determined through the generic names.</w:t>
      </w:r>
    </w:p>
    <w:p w14:paraId="10A09FC8" w14:textId="4D357086" w:rsidR="007B2985" w:rsidRPr="00C6270A" w:rsidRDefault="007B2985" w:rsidP="005A4A8F">
      <w:pPr>
        <w:pStyle w:val="Heading1"/>
        <w:keepNext/>
        <w:keepLines/>
        <w:tabs>
          <w:tab w:val="clear" w:pos="1701"/>
          <w:tab w:val="clear" w:pos="2268"/>
          <w:tab w:val="clear" w:pos="2835"/>
        </w:tabs>
        <w:jc w:val="center"/>
        <w:rPr>
          <w:b/>
          <w:bCs/>
        </w:rPr>
      </w:pPr>
      <w:r w:rsidRPr="00C6270A">
        <w:rPr>
          <w:b/>
          <w:bCs/>
        </w:rPr>
        <w:lastRenderedPageBreak/>
        <w:t>Artemisinin and common derivatives (</w:t>
      </w:r>
      <w:r w:rsidRPr="00C6270A">
        <w:rPr>
          <w:rFonts w:hint="eastAsia"/>
          <w:b/>
          <w:bCs/>
        </w:rPr>
        <w:t>including</w:t>
      </w:r>
      <w:r w:rsidRPr="00C6270A">
        <w:rPr>
          <w:b/>
          <w:bCs/>
        </w:rPr>
        <w:t xml:space="preserve"> stereoisomers)</w:t>
      </w:r>
    </w:p>
    <w:p w14:paraId="3BF75368" w14:textId="77777777" w:rsidR="00C6270A" w:rsidRDefault="007B2985" w:rsidP="00C6270A">
      <w:pPr>
        <w:pStyle w:val="SingleTxtG"/>
        <w:keepNext/>
        <w:keepLines/>
        <w:spacing w:before="240"/>
      </w:pPr>
      <w:r w:rsidRPr="00584F51">
        <w:rPr>
          <w:noProof/>
          <w:lang w:val="en-US"/>
        </w:rPr>
        <w:drawing>
          <wp:inline distT="0" distB="0" distL="0" distR="0" wp14:anchorId="14063E36" wp14:editId="4E8D6BEB">
            <wp:extent cx="4679652" cy="260252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48" cy="261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6F595" w14:textId="60A020AF" w:rsidR="007B2985" w:rsidRDefault="007B2985" w:rsidP="00C6270A">
      <w:pPr>
        <w:pStyle w:val="SingleTxtG"/>
        <w:keepNext/>
        <w:keepLines/>
        <w:spacing w:before="240"/>
      </w:pPr>
      <w:r>
        <w:t>3.</w:t>
      </w:r>
      <w:r>
        <w:tab/>
        <w:t xml:space="preserve">Artemisinin and artemisinin derivatives (including stereoisomers) have similar molecular structures, </w:t>
      </w:r>
      <w:r>
        <w:rPr>
          <w:rFonts w:hint="eastAsia"/>
        </w:rPr>
        <w:t>all</w:t>
      </w:r>
      <w:r>
        <w:t xml:space="preserve"> contain</w:t>
      </w:r>
      <w:r>
        <w:rPr>
          <w:rFonts w:hint="eastAsia"/>
        </w:rPr>
        <w:t>ing</w:t>
      </w:r>
      <w:r>
        <w:t xml:space="preserve"> a single peroxide bridge, and hav</w:t>
      </w:r>
      <w:r>
        <w:rPr>
          <w:rFonts w:hint="eastAsia"/>
        </w:rPr>
        <w:t>ing</w:t>
      </w:r>
      <w:r>
        <w:t xml:space="preserve"> the properties of organic peroxides. Some i</w:t>
      </w:r>
      <w:r w:rsidRPr="00166761">
        <w:t>nstitutions such as</w:t>
      </w:r>
      <w:r w:rsidR="000F3538">
        <w:t xml:space="preserve"> the</w:t>
      </w:r>
      <w:r w:rsidRPr="00166761">
        <w:t xml:space="preserve"> </w:t>
      </w:r>
      <w:r w:rsidR="000F3538">
        <w:t>“</w:t>
      </w:r>
      <w:r w:rsidRPr="00166761">
        <w:t>Nanjing University of Science &amp; Technology</w:t>
      </w:r>
      <w:r w:rsidR="000F3538">
        <w:t>”</w:t>
      </w:r>
      <w:r w:rsidRPr="00166761">
        <w:t xml:space="preserve"> (NJUST), </w:t>
      </w:r>
      <w:r w:rsidR="00A67A88">
        <w:t xml:space="preserve">the </w:t>
      </w:r>
      <w:r w:rsidR="000F3538">
        <w:t>“</w:t>
      </w:r>
      <w:r w:rsidR="00696C8E" w:rsidRPr="00696C8E">
        <w:t>Netherlands Organisation for Applied Scientific Research</w:t>
      </w:r>
      <w:r w:rsidR="000F3538">
        <w:t>”</w:t>
      </w:r>
      <w:r w:rsidR="00696C8E">
        <w:t xml:space="preserve"> (</w:t>
      </w:r>
      <w:r w:rsidRPr="00166761">
        <w:t>TNO</w:t>
      </w:r>
      <w:r w:rsidR="00696C8E">
        <w:t>)</w:t>
      </w:r>
      <w:r w:rsidRPr="00166761">
        <w:t xml:space="preserve"> and </w:t>
      </w:r>
      <w:r w:rsidR="002144EA">
        <w:t xml:space="preserve">the </w:t>
      </w:r>
      <w:r w:rsidR="000F3538">
        <w:t>“</w:t>
      </w:r>
      <w:r w:rsidR="000F3538" w:rsidRPr="000F3538">
        <w:t>Federal Institute for Materials Research and Testing</w:t>
      </w:r>
      <w:r w:rsidR="000F3538">
        <w:t>”</w:t>
      </w:r>
      <w:r w:rsidR="000F3538" w:rsidRPr="000F3538">
        <w:t xml:space="preserve"> </w:t>
      </w:r>
      <w:r w:rsidR="002144EA">
        <w:t>(</w:t>
      </w:r>
      <w:r w:rsidRPr="00166761">
        <w:t>BAM</w:t>
      </w:r>
      <w:r w:rsidR="002144EA">
        <w:t>)</w:t>
      </w:r>
      <w:r>
        <w:t xml:space="preserve"> have carried out classification tests on artemether</w:t>
      </w:r>
      <w:r>
        <w:rPr>
          <w:rFonts w:hint="eastAsia"/>
        </w:rPr>
        <w:t>,</w:t>
      </w:r>
      <w:r w:rsidRPr="00CC1FB5">
        <w:t xml:space="preserve"> </w:t>
      </w:r>
      <w:r>
        <w:t xml:space="preserve">artemisinin and </w:t>
      </w:r>
      <w:proofErr w:type="spellStart"/>
      <w:r>
        <w:rPr>
          <w:rFonts w:eastAsia="Microsoft YaHei UI"/>
          <w:color w:val="242424"/>
          <w:lang w:val="en-US"/>
        </w:rPr>
        <w:t>d</w:t>
      </w:r>
      <w:r w:rsidRPr="00787CA0">
        <w:rPr>
          <w:rFonts w:eastAsia="Microsoft YaHei UI"/>
          <w:color w:val="242424"/>
          <w:lang w:val="en-US"/>
        </w:rPr>
        <w:t>ihydroartemisinin</w:t>
      </w:r>
      <w:proofErr w:type="spellEnd"/>
      <w:r>
        <w:t xml:space="preserve">, and some competent authorities have also provided classification results for artemether. Artemether as currently given in 2.5.3.2.4 was classified as organic peroxide type D (UN 3106). </w:t>
      </w:r>
      <w:r w:rsidRPr="00CC1FB5">
        <w:t>Artemisinin was classified as either organic peroxide type D (UN 3106) or organic peroxide type</w:t>
      </w:r>
      <w:r w:rsidR="00FC3BC8">
        <w:t> </w:t>
      </w:r>
      <w:r w:rsidRPr="00CC1FB5">
        <w:t>E (UN</w:t>
      </w:r>
      <w:r w:rsidR="00FC3BC8">
        <w:t> </w:t>
      </w:r>
      <w:r w:rsidRPr="00CC1FB5">
        <w:t>3108)</w:t>
      </w:r>
      <w:r>
        <w:t>,</w:t>
      </w:r>
      <w:r w:rsidRPr="00CC1FB5">
        <w:t xml:space="preserve"> </w:t>
      </w:r>
      <w:r>
        <w:t>and a</w:t>
      </w:r>
      <w:r w:rsidRPr="00CC1FB5">
        <w:t>ccording to the conservative classification, organic peroxide type D (UN</w:t>
      </w:r>
      <w:r w:rsidR="00FC3BC8">
        <w:t> </w:t>
      </w:r>
      <w:r w:rsidRPr="00CC1FB5">
        <w:t xml:space="preserve">3106) is recommended. </w:t>
      </w:r>
      <w:proofErr w:type="spellStart"/>
      <w:r w:rsidRPr="00787CA0">
        <w:rPr>
          <w:rFonts w:eastAsia="Microsoft YaHei UI"/>
          <w:color w:val="242424"/>
          <w:lang w:val="en-US"/>
        </w:rPr>
        <w:t>Dihydroartemisinin</w:t>
      </w:r>
      <w:proofErr w:type="spellEnd"/>
      <w:r>
        <w:rPr>
          <w:rFonts w:eastAsia="Microsoft YaHei UI"/>
          <w:color w:val="242424"/>
          <w:lang w:val="en-US"/>
        </w:rPr>
        <w:t xml:space="preserve"> was classified as organic peroxide type D</w:t>
      </w:r>
      <w:r>
        <w:t xml:space="preserve"> (</w:t>
      </w:r>
      <w:r w:rsidR="00A67A88">
        <w:t xml:space="preserve">see </w:t>
      </w:r>
      <w:proofErr w:type="gramStart"/>
      <w:r w:rsidR="00A67A88">
        <w:t>t</w:t>
      </w:r>
      <w:r>
        <w:t>able</w:t>
      </w:r>
      <w:r w:rsidR="00A67A88">
        <w:t> </w:t>
      </w:r>
      <w:r>
        <w:t>)</w:t>
      </w:r>
      <w:proofErr w:type="gramEnd"/>
      <w:r>
        <w:t>.</w:t>
      </w:r>
    </w:p>
    <w:p w14:paraId="0108114D" w14:textId="162AA7E3" w:rsidR="007B2985" w:rsidRPr="00FE55A4" w:rsidRDefault="007B2985" w:rsidP="00896FA9">
      <w:pPr>
        <w:pStyle w:val="Heading1"/>
        <w:spacing w:after="200"/>
        <w:jc w:val="center"/>
        <w:rPr>
          <w:b/>
          <w:bCs/>
        </w:rPr>
      </w:pPr>
      <w:r w:rsidRPr="00FE55A4">
        <w:rPr>
          <w:b/>
          <w:bCs/>
        </w:rPr>
        <w:t>Classification result of artemether</w:t>
      </w:r>
      <w:r w:rsidRPr="00FE55A4">
        <w:rPr>
          <w:rFonts w:hint="eastAsia"/>
          <w:b/>
          <w:bCs/>
        </w:rPr>
        <w:t>,</w:t>
      </w:r>
      <w:r w:rsidRPr="00FE55A4">
        <w:rPr>
          <w:b/>
          <w:bCs/>
        </w:rPr>
        <w:t xml:space="preserve"> artemisinin and </w:t>
      </w:r>
      <w:proofErr w:type="spellStart"/>
      <w:r w:rsidRPr="00FE55A4">
        <w:rPr>
          <w:b/>
          <w:bCs/>
        </w:rPr>
        <w:t>dihydroartemisinin</w:t>
      </w:r>
      <w:proofErr w:type="spellEnd"/>
    </w:p>
    <w:tbl>
      <w:tblPr>
        <w:tblW w:w="7830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4058"/>
        <w:gridCol w:w="812"/>
        <w:gridCol w:w="1864"/>
      </w:tblGrid>
      <w:tr w:rsidR="007B2985" w:rsidRPr="006274A9" w14:paraId="5A07FFE0" w14:textId="77777777" w:rsidTr="00896FA9">
        <w:tc>
          <w:tcPr>
            <w:tcW w:w="11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C64FB" w14:textId="77777777" w:rsidR="007B2985" w:rsidRPr="00896FA9" w:rsidRDefault="007B2985" w:rsidP="00AD3227">
            <w:pPr>
              <w:spacing w:line="240" w:lineRule="auto"/>
              <w:jc w:val="center"/>
              <w:rPr>
                <w:rFonts w:eastAsia="Microsoft YaHei UI"/>
                <w:b/>
                <w:bCs/>
                <w:color w:val="242424"/>
                <w:sz w:val="16"/>
                <w:szCs w:val="16"/>
                <w:lang w:val="en-US"/>
              </w:rPr>
            </w:pPr>
            <w:bookmarkStart w:id="1" w:name="_Hlk174218834"/>
            <w:r w:rsidRPr="00896FA9">
              <w:rPr>
                <w:rFonts w:eastAsia="Microsoft YaHei UI"/>
                <w:b/>
                <w:bCs/>
                <w:color w:val="242424"/>
                <w:sz w:val="16"/>
                <w:szCs w:val="16"/>
                <w:lang w:val="en-US"/>
              </w:rPr>
              <w:t>Generic name</w:t>
            </w:r>
          </w:p>
        </w:tc>
        <w:tc>
          <w:tcPr>
            <w:tcW w:w="4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AB8E3" w14:textId="77777777" w:rsidR="007B2985" w:rsidRPr="00896FA9" w:rsidRDefault="007B2985" w:rsidP="00AD3227">
            <w:pPr>
              <w:spacing w:line="240" w:lineRule="auto"/>
              <w:jc w:val="center"/>
              <w:rPr>
                <w:rFonts w:eastAsia="Microsoft YaHei UI"/>
                <w:b/>
                <w:bCs/>
                <w:color w:val="242424"/>
                <w:sz w:val="16"/>
                <w:szCs w:val="16"/>
                <w:lang w:val="en-US"/>
              </w:rPr>
            </w:pPr>
            <w:r w:rsidRPr="00896FA9">
              <w:rPr>
                <w:rFonts w:eastAsia="Microsoft YaHei UI"/>
                <w:b/>
                <w:bCs/>
                <w:color w:val="242424"/>
                <w:sz w:val="16"/>
                <w:szCs w:val="16"/>
                <w:lang w:val="en-US"/>
              </w:rPr>
              <w:t>Chemical name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3E1A6" w14:textId="77777777" w:rsidR="007B2985" w:rsidRPr="00896FA9" w:rsidRDefault="007B2985" w:rsidP="00AD3227">
            <w:pPr>
              <w:spacing w:line="240" w:lineRule="auto"/>
              <w:jc w:val="center"/>
              <w:rPr>
                <w:rFonts w:eastAsia="Microsoft YaHei UI"/>
                <w:b/>
                <w:bCs/>
                <w:color w:val="242424"/>
                <w:sz w:val="16"/>
                <w:szCs w:val="16"/>
                <w:lang w:val="en-US"/>
              </w:rPr>
            </w:pPr>
            <w:r w:rsidRPr="00896FA9">
              <w:rPr>
                <w:rFonts w:eastAsia="Microsoft YaHei UI"/>
                <w:b/>
                <w:bCs/>
                <w:color w:val="242424"/>
                <w:sz w:val="16"/>
                <w:szCs w:val="16"/>
                <w:lang w:val="en-US"/>
              </w:rPr>
              <w:t>Organic peroxide type</w:t>
            </w:r>
          </w:p>
        </w:tc>
        <w:tc>
          <w:tcPr>
            <w:tcW w:w="1881" w:type="dxa"/>
            <w:shd w:val="clear" w:color="auto" w:fill="FFFFFF"/>
          </w:tcPr>
          <w:p w14:paraId="1ED4853C" w14:textId="77777777" w:rsidR="007B2985" w:rsidRPr="00896FA9" w:rsidRDefault="007B2985" w:rsidP="00AD3227">
            <w:pPr>
              <w:spacing w:line="240" w:lineRule="auto"/>
              <w:jc w:val="center"/>
              <w:rPr>
                <w:rFonts w:eastAsia="Microsoft YaHei UI"/>
                <w:b/>
                <w:bCs/>
                <w:color w:val="242424"/>
                <w:sz w:val="16"/>
                <w:szCs w:val="16"/>
                <w:lang w:val="en-US"/>
              </w:rPr>
            </w:pPr>
            <w:r w:rsidRPr="00896FA9">
              <w:rPr>
                <w:rFonts w:eastAsia="Microsoft YaHei UI"/>
                <w:b/>
                <w:bCs/>
                <w:color w:val="242424"/>
                <w:sz w:val="16"/>
                <w:szCs w:val="16"/>
                <w:lang w:val="en-US"/>
              </w:rPr>
              <w:t>Institution/Competent authority</w:t>
            </w:r>
          </w:p>
        </w:tc>
      </w:tr>
      <w:tr w:rsidR="007B2985" w:rsidRPr="006274A9" w14:paraId="4B8384B2" w14:textId="77777777" w:rsidTr="00896FA9">
        <w:tc>
          <w:tcPr>
            <w:tcW w:w="11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00D3D" w14:textId="77777777" w:rsidR="007B2985" w:rsidRPr="00896FA9" w:rsidRDefault="007B2985" w:rsidP="00AD3227">
            <w:pPr>
              <w:spacing w:line="240" w:lineRule="auto"/>
              <w:jc w:val="both"/>
              <w:rPr>
                <w:rFonts w:eastAsia="Microsoft YaHei UI"/>
                <w:color w:val="242424"/>
                <w:sz w:val="16"/>
                <w:szCs w:val="16"/>
                <w:lang w:val="en-US"/>
              </w:rPr>
            </w:pPr>
            <w:r w:rsidRPr="00896FA9">
              <w:rPr>
                <w:rFonts w:eastAsia="Microsoft YaHei UI"/>
                <w:color w:val="242424"/>
                <w:sz w:val="16"/>
                <w:szCs w:val="16"/>
                <w:lang w:val="en-US"/>
              </w:rPr>
              <w:t>artemether</w:t>
            </w:r>
          </w:p>
        </w:tc>
        <w:tc>
          <w:tcPr>
            <w:tcW w:w="4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8C756" w14:textId="77777777" w:rsidR="007B2985" w:rsidRPr="00896FA9" w:rsidRDefault="007B2985" w:rsidP="00896FA9">
            <w:pPr>
              <w:spacing w:line="240" w:lineRule="auto"/>
              <w:rPr>
                <w:rFonts w:eastAsia="Microsoft YaHei UI"/>
                <w:color w:val="242424"/>
                <w:sz w:val="16"/>
                <w:szCs w:val="16"/>
                <w:lang w:val="en-US"/>
              </w:rPr>
            </w:pPr>
            <w:r w:rsidRPr="00896FA9">
              <w:rPr>
                <w:rFonts w:eastAsia="Microsoft YaHei UI"/>
                <w:color w:val="242424"/>
                <w:sz w:val="16"/>
                <w:szCs w:val="16"/>
                <w:bdr w:val="none" w:sz="0" w:space="0" w:color="auto" w:frame="1"/>
                <w:lang w:val="en-US"/>
              </w:rPr>
              <w:t>(3R,5aS,6R,8aS,9R,10S,12R,12aR)-decahydro-10-methoxy-3,6,9-trimethyl-3,12-epoxy-12H-pyrano [4.3-j]-1,2-benzodioxepin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3F08E" w14:textId="77777777" w:rsidR="007B2985" w:rsidRPr="00896FA9" w:rsidRDefault="007B2985" w:rsidP="00896FA9">
            <w:pPr>
              <w:spacing w:line="240" w:lineRule="auto"/>
              <w:jc w:val="center"/>
              <w:rPr>
                <w:rFonts w:eastAsia="Microsoft YaHei UI"/>
                <w:color w:val="242424"/>
                <w:sz w:val="16"/>
                <w:szCs w:val="16"/>
                <w:lang w:val="en-US"/>
              </w:rPr>
            </w:pPr>
            <w:r w:rsidRPr="00896FA9">
              <w:rPr>
                <w:rFonts w:eastAsia="Microsoft YaHei UI"/>
                <w:color w:val="242424"/>
                <w:sz w:val="16"/>
                <w:szCs w:val="16"/>
                <w:lang w:val="en-US"/>
              </w:rPr>
              <w:t>type D</w:t>
            </w:r>
          </w:p>
        </w:tc>
        <w:tc>
          <w:tcPr>
            <w:tcW w:w="1881" w:type="dxa"/>
            <w:shd w:val="clear" w:color="auto" w:fill="FFFFFF"/>
            <w:vAlign w:val="center"/>
          </w:tcPr>
          <w:p w14:paraId="017047EA" w14:textId="77777777" w:rsidR="007B2985" w:rsidRPr="00896FA9" w:rsidRDefault="007B2985" w:rsidP="00896FA9">
            <w:pPr>
              <w:spacing w:line="240" w:lineRule="auto"/>
              <w:rPr>
                <w:rFonts w:eastAsia="Microsoft YaHei UI"/>
                <w:color w:val="242424"/>
                <w:sz w:val="16"/>
                <w:szCs w:val="16"/>
                <w:lang w:val="en-US"/>
              </w:rPr>
            </w:pPr>
            <w:r w:rsidRPr="00896FA9">
              <w:rPr>
                <w:rFonts w:eastAsia="Microsoft YaHei UI"/>
                <w:color w:val="242424"/>
                <w:sz w:val="16"/>
                <w:szCs w:val="16"/>
                <w:lang w:val="en-US"/>
              </w:rPr>
              <w:t>TNO</w:t>
            </w:r>
          </w:p>
        </w:tc>
      </w:tr>
      <w:tr w:rsidR="007B2985" w:rsidRPr="006274A9" w14:paraId="06216C93" w14:textId="77777777" w:rsidTr="00896FA9">
        <w:tc>
          <w:tcPr>
            <w:tcW w:w="11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66C59" w14:textId="77777777" w:rsidR="007B2985" w:rsidRPr="00896FA9" w:rsidRDefault="007B2985" w:rsidP="00AD3227">
            <w:pPr>
              <w:spacing w:line="240" w:lineRule="auto"/>
              <w:jc w:val="both"/>
              <w:rPr>
                <w:rFonts w:eastAsia="Microsoft YaHei UI"/>
                <w:color w:val="242424"/>
                <w:sz w:val="16"/>
                <w:szCs w:val="16"/>
                <w:lang w:val="en-US"/>
              </w:rPr>
            </w:pPr>
            <w:r w:rsidRPr="00896FA9">
              <w:rPr>
                <w:rFonts w:eastAsia="Microsoft YaHei UI"/>
                <w:color w:val="242424"/>
                <w:sz w:val="16"/>
                <w:szCs w:val="16"/>
                <w:lang w:val="en-US"/>
              </w:rPr>
              <w:t>artemether</w:t>
            </w:r>
          </w:p>
        </w:tc>
        <w:tc>
          <w:tcPr>
            <w:tcW w:w="4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73C71" w14:textId="77777777" w:rsidR="007B2985" w:rsidRPr="00896FA9" w:rsidRDefault="007B2985" w:rsidP="00896FA9">
            <w:pPr>
              <w:spacing w:line="240" w:lineRule="auto"/>
              <w:rPr>
                <w:rFonts w:eastAsia="Microsoft YaHei UI"/>
                <w:color w:val="242424"/>
                <w:sz w:val="16"/>
                <w:szCs w:val="16"/>
                <w:bdr w:val="none" w:sz="0" w:space="0" w:color="auto" w:frame="1"/>
                <w:lang w:val="en-US"/>
              </w:rPr>
            </w:pPr>
            <w:r w:rsidRPr="00896FA9">
              <w:rPr>
                <w:rFonts w:eastAsia="Microsoft YaHei UI"/>
                <w:color w:val="242424"/>
                <w:sz w:val="16"/>
                <w:szCs w:val="16"/>
                <w:bdr w:val="none" w:sz="0" w:space="0" w:color="auto" w:frame="1"/>
                <w:lang w:val="en-US"/>
              </w:rPr>
              <w:t>([3R-(3R, 5aS, 6S, 8aS, 9R, 10R, 12S, 12aR**)]-Decahydro-10-methoxy-3,6,9-trimethyl-3,12-epoxy-12H-pyrano[4,3-j]-1,2-benzodioxepin)</w:t>
            </w:r>
          </w:p>
          <w:p w14:paraId="51D69809" w14:textId="77777777" w:rsidR="007B2985" w:rsidRPr="00896FA9" w:rsidRDefault="007B2985" w:rsidP="00896FA9">
            <w:pPr>
              <w:spacing w:line="240" w:lineRule="auto"/>
              <w:rPr>
                <w:rFonts w:eastAsia="Microsoft YaHei UI"/>
                <w:color w:val="242424"/>
                <w:sz w:val="16"/>
                <w:szCs w:val="16"/>
                <w:bdr w:val="none" w:sz="0" w:space="0" w:color="auto" w:frame="1"/>
                <w:lang w:val="en-US"/>
              </w:rPr>
            </w:pPr>
            <w:r w:rsidRPr="00896FA9">
              <w:rPr>
                <w:rFonts w:eastAsia="Microsoft YaHei UI"/>
                <w:color w:val="242424"/>
                <w:sz w:val="16"/>
                <w:szCs w:val="16"/>
                <w:bdr w:val="none" w:sz="0" w:space="0" w:color="auto" w:frame="1"/>
                <w:lang w:val="en-US"/>
              </w:rPr>
              <w:t>(may be inaccurate)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37B12" w14:textId="77777777" w:rsidR="007B2985" w:rsidRPr="00896FA9" w:rsidRDefault="007B2985" w:rsidP="00896FA9">
            <w:pPr>
              <w:spacing w:line="240" w:lineRule="auto"/>
              <w:jc w:val="center"/>
              <w:rPr>
                <w:rFonts w:eastAsia="Microsoft YaHei UI"/>
                <w:color w:val="242424"/>
                <w:sz w:val="16"/>
                <w:szCs w:val="16"/>
                <w:lang w:val="en-US"/>
              </w:rPr>
            </w:pPr>
            <w:r w:rsidRPr="00896FA9">
              <w:rPr>
                <w:rFonts w:eastAsia="Microsoft YaHei UI"/>
                <w:color w:val="242424"/>
                <w:sz w:val="16"/>
                <w:szCs w:val="16"/>
                <w:lang w:val="en-US"/>
              </w:rPr>
              <w:t>type D</w:t>
            </w:r>
          </w:p>
        </w:tc>
        <w:tc>
          <w:tcPr>
            <w:tcW w:w="1881" w:type="dxa"/>
            <w:shd w:val="clear" w:color="auto" w:fill="FFFFFF"/>
            <w:vAlign w:val="center"/>
          </w:tcPr>
          <w:p w14:paraId="24E5274D" w14:textId="77777777" w:rsidR="007B2985" w:rsidRPr="00896FA9" w:rsidRDefault="007B2985" w:rsidP="00896FA9">
            <w:pPr>
              <w:spacing w:line="240" w:lineRule="auto"/>
              <w:rPr>
                <w:rFonts w:eastAsia="Microsoft YaHei UI"/>
                <w:color w:val="242424"/>
                <w:sz w:val="16"/>
                <w:szCs w:val="16"/>
                <w:lang w:val="en-US"/>
              </w:rPr>
            </w:pPr>
            <w:r w:rsidRPr="00896FA9">
              <w:rPr>
                <w:rFonts w:eastAsia="Microsoft YaHei UI"/>
                <w:color w:val="242424"/>
                <w:sz w:val="16"/>
                <w:szCs w:val="16"/>
                <w:lang w:val="en-US"/>
              </w:rPr>
              <w:t>Swiss Federal Inspectorate of Dangerous Goods, Cert. No. 4’205’570</w:t>
            </w:r>
          </w:p>
        </w:tc>
      </w:tr>
      <w:tr w:rsidR="007B2985" w:rsidRPr="006274A9" w14:paraId="52207B53" w14:textId="77777777" w:rsidTr="00896FA9">
        <w:tc>
          <w:tcPr>
            <w:tcW w:w="11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EEE56" w14:textId="77777777" w:rsidR="007B2985" w:rsidRPr="00896FA9" w:rsidRDefault="007B2985" w:rsidP="00AD3227">
            <w:pPr>
              <w:spacing w:line="240" w:lineRule="auto"/>
              <w:jc w:val="both"/>
              <w:rPr>
                <w:rFonts w:eastAsia="Microsoft YaHei UI"/>
                <w:color w:val="242424"/>
                <w:sz w:val="16"/>
                <w:szCs w:val="16"/>
                <w:lang w:val="en-US"/>
              </w:rPr>
            </w:pPr>
            <w:r w:rsidRPr="00896FA9">
              <w:rPr>
                <w:rFonts w:eastAsia="Microsoft YaHei UI"/>
                <w:color w:val="242424"/>
                <w:sz w:val="16"/>
                <w:szCs w:val="16"/>
                <w:lang w:val="en-US"/>
              </w:rPr>
              <w:t>artemether</w:t>
            </w:r>
          </w:p>
        </w:tc>
        <w:tc>
          <w:tcPr>
            <w:tcW w:w="4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A3628" w14:textId="77777777" w:rsidR="007B2985" w:rsidRPr="00896FA9" w:rsidRDefault="007B2985" w:rsidP="00896FA9">
            <w:pPr>
              <w:spacing w:line="240" w:lineRule="auto"/>
              <w:rPr>
                <w:rFonts w:eastAsia="Microsoft YaHei UI"/>
                <w:color w:val="242424"/>
                <w:sz w:val="16"/>
                <w:szCs w:val="16"/>
                <w:bdr w:val="none" w:sz="0" w:space="0" w:color="auto" w:frame="1"/>
                <w:lang w:val="en-US"/>
              </w:rPr>
            </w:pPr>
            <w:r w:rsidRPr="00896FA9">
              <w:rPr>
                <w:rFonts w:eastAsia="Microsoft YaHei UI"/>
                <w:color w:val="242424"/>
                <w:sz w:val="16"/>
                <w:szCs w:val="16"/>
                <w:bdr w:val="none" w:sz="0" w:space="0" w:color="auto" w:frame="1"/>
                <w:lang w:val="en-US"/>
              </w:rPr>
              <w:t>Not provided in the original document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C5900" w14:textId="77777777" w:rsidR="007B2985" w:rsidRPr="00896FA9" w:rsidRDefault="007B2985" w:rsidP="00896FA9">
            <w:pPr>
              <w:spacing w:line="240" w:lineRule="auto"/>
              <w:jc w:val="center"/>
              <w:rPr>
                <w:rFonts w:eastAsia="Microsoft YaHei UI"/>
                <w:color w:val="242424"/>
                <w:sz w:val="16"/>
                <w:szCs w:val="16"/>
                <w:lang w:val="en-US"/>
              </w:rPr>
            </w:pPr>
            <w:r w:rsidRPr="00896FA9">
              <w:rPr>
                <w:rFonts w:eastAsia="Microsoft YaHei UI"/>
                <w:color w:val="242424"/>
                <w:sz w:val="16"/>
                <w:szCs w:val="16"/>
                <w:lang w:val="en-US"/>
              </w:rPr>
              <w:t>type D</w:t>
            </w:r>
          </w:p>
        </w:tc>
        <w:tc>
          <w:tcPr>
            <w:tcW w:w="1881" w:type="dxa"/>
            <w:shd w:val="clear" w:color="auto" w:fill="FFFFFF"/>
            <w:vAlign w:val="center"/>
          </w:tcPr>
          <w:p w14:paraId="0F0F1EE2" w14:textId="77777777" w:rsidR="007B2985" w:rsidRPr="00896FA9" w:rsidRDefault="007B2985" w:rsidP="00896FA9">
            <w:pPr>
              <w:spacing w:line="240" w:lineRule="auto"/>
              <w:rPr>
                <w:rFonts w:eastAsia="Microsoft YaHei UI"/>
                <w:color w:val="242424"/>
                <w:sz w:val="16"/>
                <w:szCs w:val="16"/>
                <w:lang w:val="en-US"/>
              </w:rPr>
            </w:pPr>
            <w:r w:rsidRPr="00896FA9">
              <w:rPr>
                <w:sz w:val="16"/>
                <w:szCs w:val="16"/>
              </w:rPr>
              <w:t>U.S. Department of Transportation, CA2006080015 (3</w:t>
            </w:r>
            <w:r w:rsidRPr="00896FA9">
              <w:rPr>
                <w:sz w:val="16"/>
                <w:szCs w:val="16"/>
                <w:vertAlign w:val="superscript"/>
              </w:rPr>
              <w:t>rd</w:t>
            </w:r>
            <w:r w:rsidRPr="00896FA9">
              <w:rPr>
                <w:sz w:val="16"/>
                <w:szCs w:val="16"/>
              </w:rPr>
              <w:t xml:space="preserve"> Rev.)</w:t>
            </w:r>
          </w:p>
        </w:tc>
      </w:tr>
      <w:tr w:rsidR="007B2985" w:rsidRPr="006274A9" w14:paraId="3BD22A29" w14:textId="77777777" w:rsidTr="00896FA9">
        <w:tc>
          <w:tcPr>
            <w:tcW w:w="11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7F3F9" w14:textId="77777777" w:rsidR="007B2985" w:rsidRPr="00896FA9" w:rsidRDefault="007B2985" w:rsidP="00AD3227">
            <w:pPr>
              <w:spacing w:line="240" w:lineRule="auto"/>
              <w:jc w:val="both"/>
              <w:rPr>
                <w:rFonts w:eastAsia="Microsoft YaHei UI"/>
                <w:color w:val="242424"/>
                <w:sz w:val="16"/>
                <w:szCs w:val="16"/>
                <w:lang w:val="en-US"/>
              </w:rPr>
            </w:pPr>
            <w:r w:rsidRPr="00896FA9">
              <w:rPr>
                <w:rFonts w:eastAsia="Microsoft YaHei UI"/>
                <w:color w:val="242424"/>
                <w:sz w:val="16"/>
                <w:szCs w:val="16"/>
                <w:lang w:val="en-US"/>
              </w:rPr>
              <w:t>artemisinin</w:t>
            </w:r>
          </w:p>
        </w:tc>
        <w:tc>
          <w:tcPr>
            <w:tcW w:w="4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7629C" w14:textId="77777777" w:rsidR="007B2985" w:rsidRPr="00896FA9" w:rsidRDefault="007B2985" w:rsidP="00896FA9">
            <w:pPr>
              <w:spacing w:line="240" w:lineRule="auto"/>
              <w:rPr>
                <w:rFonts w:eastAsia="Microsoft YaHei UI"/>
                <w:color w:val="242424"/>
                <w:sz w:val="16"/>
                <w:szCs w:val="16"/>
                <w:bdr w:val="none" w:sz="0" w:space="0" w:color="auto" w:frame="1"/>
                <w:lang w:val="en-US"/>
              </w:rPr>
            </w:pPr>
            <w:r w:rsidRPr="00896FA9">
              <w:rPr>
                <w:rFonts w:eastAsia="Microsoft YaHei UI"/>
                <w:color w:val="242424"/>
                <w:sz w:val="16"/>
                <w:szCs w:val="16"/>
                <w:bdr w:val="none" w:sz="0" w:space="0" w:color="auto" w:frame="1"/>
                <w:lang w:val="en-US"/>
              </w:rPr>
              <w:t xml:space="preserve">molecular formula: </w:t>
            </w:r>
            <w:r w:rsidRPr="00896FA9">
              <w:rPr>
                <w:color w:val="242424"/>
                <w:sz w:val="16"/>
                <w:szCs w:val="16"/>
                <w:bdr w:val="none" w:sz="0" w:space="0" w:color="auto" w:frame="1"/>
                <w:lang w:val="en-US"/>
              </w:rPr>
              <w:t>C</w:t>
            </w:r>
            <w:r w:rsidRPr="00896FA9">
              <w:rPr>
                <w:color w:val="242424"/>
                <w:sz w:val="16"/>
                <w:szCs w:val="16"/>
                <w:bdr w:val="none" w:sz="0" w:space="0" w:color="auto" w:frame="1"/>
                <w:vertAlign w:val="subscript"/>
                <w:lang w:val="en-US"/>
              </w:rPr>
              <w:t>15</w:t>
            </w:r>
            <w:r w:rsidRPr="00896FA9">
              <w:rPr>
                <w:color w:val="242424"/>
                <w:sz w:val="16"/>
                <w:szCs w:val="16"/>
                <w:bdr w:val="none" w:sz="0" w:space="0" w:color="auto" w:frame="1"/>
                <w:lang w:val="en-US"/>
              </w:rPr>
              <w:t>H</w:t>
            </w:r>
            <w:r w:rsidRPr="00896FA9">
              <w:rPr>
                <w:color w:val="242424"/>
                <w:sz w:val="16"/>
                <w:szCs w:val="16"/>
                <w:bdr w:val="none" w:sz="0" w:space="0" w:color="auto" w:frame="1"/>
                <w:vertAlign w:val="subscript"/>
                <w:lang w:val="en-US"/>
              </w:rPr>
              <w:t>22</w:t>
            </w:r>
            <w:r w:rsidRPr="00896FA9">
              <w:rPr>
                <w:color w:val="242424"/>
                <w:sz w:val="16"/>
                <w:szCs w:val="16"/>
                <w:bdr w:val="none" w:sz="0" w:space="0" w:color="auto" w:frame="1"/>
                <w:lang w:val="en-US"/>
              </w:rPr>
              <w:t>O</w:t>
            </w:r>
            <w:r w:rsidRPr="00896FA9">
              <w:rPr>
                <w:color w:val="242424"/>
                <w:sz w:val="16"/>
                <w:szCs w:val="16"/>
                <w:bdr w:val="none" w:sz="0" w:space="0" w:color="auto" w:frame="1"/>
                <w:vertAlign w:val="subscript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EDBA0" w14:textId="77777777" w:rsidR="007B2985" w:rsidRPr="00896FA9" w:rsidRDefault="007B2985" w:rsidP="00896FA9">
            <w:pPr>
              <w:spacing w:line="240" w:lineRule="auto"/>
              <w:jc w:val="center"/>
              <w:rPr>
                <w:rFonts w:eastAsia="Microsoft YaHei UI"/>
                <w:color w:val="242424"/>
                <w:sz w:val="16"/>
                <w:szCs w:val="16"/>
                <w:lang w:val="en-US"/>
              </w:rPr>
            </w:pPr>
            <w:r w:rsidRPr="00896FA9">
              <w:rPr>
                <w:rFonts w:eastAsia="Microsoft YaHei UI"/>
                <w:color w:val="242424"/>
                <w:sz w:val="16"/>
                <w:szCs w:val="16"/>
                <w:lang w:val="en-US"/>
              </w:rPr>
              <w:t>type D</w:t>
            </w:r>
          </w:p>
        </w:tc>
        <w:tc>
          <w:tcPr>
            <w:tcW w:w="1881" w:type="dxa"/>
            <w:shd w:val="clear" w:color="auto" w:fill="FFFFFF"/>
            <w:vAlign w:val="center"/>
          </w:tcPr>
          <w:p w14:paraId="24DC8B21" w14:textId="77777777" w:rsidR="007B2985" w:rsidRPr="00896FA9" w:rsidRDefault="007B2985" w:rsidP="00896FA9">
            <w:pPr>
              <w:spacing w:line="240" w:lineRule="auto"/>
              <w:rPr>
                <w:rFonts w:eastAsia="Microsoft YaHei UI"/>
                <w:color w:val="242424"/>
                <w:sz w:val="16"/>
                <w:szCs w:val="16"/>
                <w:lang w:val="en-US"/>
              </w:rPr>
            </w:pPr>
            <w:r w:rsidRPr="00896FA9">
              <w:rPr>
                <w:rFonts w:eastAsia="Microsoft YaHei UI"/>
                <w:color w:val="242424"/>
                <w:sz w:val="16"/>
                <w:szCs w:val="16"/>
                <w:lang w:val="en-US"/>
              </w:rPr>
              <w:t>NJUST, 2011</w:t>
            </w:r>
          </w:p>
        </w:tc>
      </w:tr>
      <w:tr w:rsidR="007B2985" w:rsidRPr="006274A9" w14:paraId="0FECF811" w14:textId="77777777" w:rsidTr="00896FA9">
        <w:tc>
          <w:tcPr>
            <w:tcW w:w="11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83114" w14:textId="77777777" w:rsidR="007B2985" w:rsidRPr="00896FA9" w:rsidRDefault="007B2985" w:rsidP="00AD3227">
            <w:pPr>
              <w:spacing w:line="240" w:lineRule="auto"/>
              <w:jc w:val="both"/>
              <w:rPr>
                <w:rFonts w:eastAsia="Microsoft YaHei UI"/>
                <w:color w:val="242424"/>
                <w:sz w:val="16"/>
                <w:szCs w:val="16"/>
                <w:lang w:val="en-US"/>
              </w:rPr>
            </w:pPr>
            <w:r w:rsidRPr="00896FA9">
              <w:rPr>
                <w:rFonts w:eastAsia="Microsoft YaHei UI"/>
                <w:color w:val="242424"/>
                <w:sz w:val="16"/>
                <w:szCs w:val="16"/>
                <w:lang w:val="en-US"/>
              </w:rPr>
              <w:t>artemisinin</w:t>
            </w:r>
          </w:p>
        </w:tc>
        <w:tc>
          <w:tcPr>
            <w:tcW w:w="4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F7900" w14:textId="77777777" w:rsidR="007B2985" w:rsidRPr="00896FA9" w:rsidRDefault="007B2985" w:rsidP="00896FA9">
            <w:pPr>
              <w:spacing w:line="240" w:lineRule="auto"/>
              <w:rPr>
                <w:rFonts w:eastAsia="Microsoft YaHei UI"/>
                <w:color w:val="242424"/>
                <w:sz w:val="16"/>
                <w:szCs w:val="16"/>
                <w:bdr w:val="none" w:sz="0" w:space="0" w:color="auto" w:frame="1"/>
                <w:lang w:val="en-US"/>
              </w:rPr>
            </w:pPr>
            <w:r w:rsidRPr="00896FA9">
              <w:rPr>
                <w:rFonts w:eastAsia="Microsoft YaHei UI"/>
                <w:color w:val="242424"/>
                <w:sz w:val="16"/>
                <w:szCs w:val="16"/>
                <w:bdr w:val="none" w:sz="0" w:space="0" w:color="auto" w:frame="1"/>
                <w:lang w:val="en-US"/>
              </w:rPr>
              <w:t>(3R,5aS,6R,8aS,9R,12S,12aR)-Octahydro-3,6,9-trimethyl-3,12-epoxy-12H-pyrano[4,3-j]-1,2-benzodioxepin-10(3H)-one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1B956" w14:textId="77777777" w:rsidR="007B2985" w:rsidRPr="00896FA9" w:rsidRDefault="007B2985" w:rsidP="00896FA9">
            <w:pPr>
              <w:spacing w:line="240" w:lineRule="auto"/>
              <w:jc w:val="center"/>
              <w:rPr>
                <w:rFonts w:eastAsia="Microsoft YaHei UI"/>
                <w:color w:val="242424"/>
                <w:sz w:val="16"/>
                <w:szCs w:val="16"/>
                <w:lang w:val="en-US"/>
              </w:rPr>
            </w:pPr>
            <w:r w:rsidRPr="00896FA9">
              <w:rPr>
                <w:rFonts w:eastAsia="Microsoft YaHei UI"/>
                <w:color w:val="242424"/>
                <w:sz w:val="16"/>
                <w:szCs w:val="16"/>
                <w:lang w:val="en-US"/>
              </w:rPr>
              <w:t>type D</w:t>
            </w:r>
          </w:p>
        </w:tc>
        <w:tc>
          <w:tcPr>
            <w:tcW w:w="1881" w:type="dxa"/>
            <w:shd w:val="clear" w:color="auto" w:fill="FFFFFF"/>
            <w:vAlign w:val="center"/>
          </w:tcPr>
          <w:p w14:paraId="6DAFE4E4" w14:textId="77777777" w:rsidR="007B2985" w:rsidRPr="00896FA9" w:rsidRDefault="007B2985" w:rsidP="00896FA9">
            <w:pPr>
              <w:spacing w:line="240" w:lineRule="auto"/>
              <w:rPr>
                <w:rFonts w:eastAsia="Microsoft YaHei UI"/>
                <w:color w:val="242424"/>
                <w:sz w:val="16"/>
                <w:szCs w:val="16"/>
                <w:lang w:val="en-US"/>
              </w:rPr>
            </w:pPr>
            <w:r w:rsidRPr="00896FA9">
              <w:rPr>
                <w:rFonts w:eastAsia="Microsoft YaHei UI"/>
                <w:color w:val="242424"/>
                <w:sz w:val="16"/>
                <w:szCs w:val="16"/>
                <w:lang w:val="en-US"/>
              </w:rPr>
              <w:t>BAM</w:t>
            </w:r>
          </w:p>
        </w:tc>
      </w:tr>
      <w:tr w:rsidR="007B2985" w:rsidRPr="006274A9" w14:paraId="46994FDA" w14:textId="77777777" w:rsidTr="00896FA9">
        <w:tc>
          <w:tcPr>
            <w:tcW w:w="11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553C2" w14:textId="77777777" w:rsidR="007B2985" w:rsidRPr="00896FA9" w:rsidRDefault="007B2985" w:rsidP="00AD3227">
            <w:pPr>
              <w:spacing w:line="240" w:lineRule="auto"/>
              <w:jc w:val="both"/>
              <w:rPr>
                <w:rFonts w:eastAsia="Microsoft YaHei UI"/>
                <w:color w:val="242424"/>
                <w:sz w:val="16"/>
                <w:szCs w:val="16"/>
                <w:lang w:val="en-US"/>
              </w:rPr>
            </w:pPr>
            <w:r w:rsidRPr="00896FA9">
              <w:rPr>
                <w:rFonts w:eastAsia="Microsoft YaHei UI"/>
                <w:color w:val="242424"/>
                <w:sz w:val="16"/>
                <w:szCs w:val="16"/>
                <w:lang w:val="en-US"/>
              </w:rPr>
              <w:t>artemisinin</w:t>
            </w:r>
          </w:p>
        </w:tc>
        <w:tc>
          <w:tcPr>
            <w:tcW w:w="4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AFA11" w14:textId="77777777" w:rsidR="007B2985" w:rsidRPr="00896FA9" w:rsidRDefault="007B2985" w:rsidP="00896FA9">
            <w:pPr>
              <w:spacing w:line="240" w:lineRule="auto"/>
              <w:rPr>
                <w:rFonts w:eastAsia="Microsoft YaHei UI"/>
                <w:color w:val="242424"/>
                <w:sz w:val="16"/>
                <w:szCs w:val="16"/>
                <w:lang w:val="en-US"/>
              </w:rPr>
            </w:pPr>
            <w:r w:rsidRPr="00896FA9">
              <w:rPr>
                <w:rFonts w:eastAsia="Microsoft YaHei UI"/>
                <w:color w:val="242424"/>
                <w:sz w:val="16"/>
                <w:szCs w:val="16"/>
                <w:lang w:val="en-US"/>
              </w:rPr>
              <w:t>3,12-epoxy-12H-pyranol(4,3-j)-1,2-benzodioxepin-10(3H)-one, octahydro-3,6,9-trimethyl-, (3α,5aβ,6β,8aβ,9α,12β,12aR*)</w:t>
            </w:r>
            <w:proofErr w:type="gramStart"/>
            <w:r w:rsidRPr="00896FA9">
              <w:rPr>
                <w:rFonts w:eastAsia="Microsoft YaHei UI"/>
                <w:color w:val="242424"/>
                <w:sz w:val="16"/>
                <w:szCs w:val="16"/>
                <w:lang w:val="en-US"/>
              </w:rPr>
              <w:t>-(</w:t>
            </w:r>
            <w:proofErr w:type="gramEnd"/>
            <w:r w:rsidRPr="00896FA9">
              <w:rPr>
                <w:rFonts w:eastAsia="Microsoft YaHei UI"/>
                <w:color w:val="242424"/>
                <w:sz w:val="16"/>
                <w:szCs w:val="16"/>
                <w:lang w:val="en-US"/>
              </w:rPr>
              <w:t>+)-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827AF" w14:textId="77777777" w:rsidR="007B2985" w:rsidRPr="00896FA9" w:rsidRDefault="007B2985" w:rsidP="00896FA9">
            <w:pPr>
              <w:spacing w:line="240" w:lineRule="auto"/>
              <w:jc w:val="center"/>
              <w:rPr>
                <w:rFonts w:eastAsia="Microsoft YaHei UI"/>
                <w:color w:val="242424"/>
                <w:sz w:val="16"/>
                <w:szCs w:val="16"/>
                <w:lang w:val="en-US"/>
              </w:rPr>
            </w:pPr>
            <w:r w:rsidRPr="00896FA9">
              <w:rPr>
                <w:rFonts w:eastAsia="Microsoft YaHei UI"/>
                <w:color w:val="242424"/>
                <w:sz w:val="16"/>
                <w:szCs w:val="16"/>
                <w:lang w:val="en-US"/>
              </w:rPr>
              <w:t>type E</w:t>
            </w:r>
          </w:p>
        </w:tc>
        <w:tc>
          <w:tcPr>
            <w:tcW w:w="1881" w:type="dxa"/>
            <w:shd w:val="clear" w:color="auto" w:fill="FFFFFF"/>
            <w:vAlign w:val="center"/>
          </w:tcPr>
          <w:p w14:paraId="3E971F52" w14:textId="77777777" w:rsidR="007B2985" w:rsidRPr="00896FA9" w:rsidRDefault="007B2985" w:rsidP="00896FA9">
            <w:pPr>
              <w:spacing w:line="240" w:lineRule="auto"/>
              <w:rPr>
                <w:rFonts w:eastAsia="Microsoft YaHei UI"/>
                <w:color w:val="242424"/>
                <w:sz w:val="16"/>
                <w:szCs w:val="16"/>
                <w:lang w:val="en-US"/>
              </w:rPr>
            </w:pPr>
            <w:r w:rsidRPr="00896FA9">
              <w:rPr>
                <w:rFonts w:eastAsia="Microsoft YaHei UI"/>
                <w:color w:val="242424"/>
                <w:sz w:val="16"/>
                <w:szCs w:val="16"/>
                <w:lang w:val="en-US"/>
              </w:rPr>
              <w:t>TNO, 2012</w:t>
            </w:r>
          </w:p>
        </w:tc>
      </w:tr>
      <w:tr w:rsidR="007B2985" w:rsidRPr="006274A9" w14:paraId="0D2F38CC" w14:textId="77777777" w:rsidTr="00896FA9">
        <w:tc>
          <w:tcPr>
            <w:tcW w:w="11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9277B" w14:textId="77777777" w:rsidR="007B2985" w:rsidRPr="00896FA9" w:rsidRDefault="007B2985" w:rsidP="00AD3227">
            <w:pPr>
              <w:spacing w:line="240" w:lineRule="auto"/>
              <w:jc w:val="both"/>
              <w:rPr>
                <w:rFonts w:eastAsia="Microsoft YaHei UI"/>
                <w:color w:val="242424"/>
                <w:sz w:val="16"/>
                <w:szCs w:val="16"/>
                <w:lang w:val="en-US"/>
              </w:rPr>
            </w:pPr>
            <w:r w:rsidRPr="00896FA9">
              <w:rPr>
                <w:rFonts w:eastAsia="Microsoft YaHei UI"/>
                <w:color w:val="242424"/>
                <w:sz w:val="16"/>
                <w:szCs w:val="16"/>
                <w:lang w:val="en-US"/>
              </w:rPr>
              <w:t>dihydro-artemisinin</w:t>
            </w:r>
          </w:p>
        </w:tc>
        <w:tc>
          <w:tcPr>
            <w:tcW w:w="4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C3F86" w14:textId="77777777" w:rsidR="007B2985" w:rsidRPr="00896FA9" w:rsidRDefault="007B2985" w:rsidP="00896FA9">
            <w:pPr>
              <w:spacing w:line="240" w:lineRule="auto"/>
              <w:rPr>
                <w:rFonts w:eastAsia="Microsoft YaHei UI"/>
                <w:color w:val="242424"/>
                <w:sz w:val="16"/>
                <w:szCs w:val="16"/>
                <w:lang w:val="en-US"/>
              </w:rPr>
            </w:pPr>
            <w:r w:rsidRPr="00896FA9">
              <w:rPr>
                <w:rFonts w:eastAsia="Microsoft YaHei UI"/>
                <w:color w:val="242424"/>
                <w:sz w:val="16"/>
                <w:szCs w:val="16"/>
                <w:lang w:val="en-US"/>
              </w:rPr>
              <w:t>3,12-epoxy-12H-pyranol(4,3-j)-1,2-benzodioxepin-10-ol, decahydro-3,6,9-trimethyl-, (3R-(3α,5aβ,6β,8aβ,9α,10α,12β,12aR*))-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DC71B" w14:textId="77777777" w:rsidR="007B2985" w:rsidRPr="00896FA9" w:rsidRDefault="007B2985" w:rsidP="00896FA9">
            <w:pPr>
              <w:spacing w:line="240" w:lineRule="auto"/>
              <w:jc w:val="center"/>
              <w:rPr>
                <w:rFonts w:eastAsia="Microsoft YaHei UI"/>
                <w:color w:val="242424"/>
                <w:sz w:val="16"/>
                <w:szCs w:val="16"/>
                <w:lang w:val="en-US"/>
              </w:rPr>
            </w:pPr>
            <w:r w:rsidRPr="00896FA9">
              <w:rPr>
                <w:rFonts w:eastAsia="Microsoft YaHei UI"/>
                <w:color w:val="242424"/>
                <w:sz w:val="16"/>
                <w:szCs w:val="16"/>
                <w:lang w:val="en-US"/>
              </w:rPr>
              <w:t>type D</w:t>
            </w:r>
          </w:p>
        </w:tc>
        <w:tc>
          <w:tcPr>
            <w:tcW w:w="1881" w:type="dxa"/>
            <w:shd w:val="clear" w:color="auto" w:fill="FFFFFF"/>
            <w:vAlign w:val="center"/>
          </w:tcPr>
          <w:p w14:paraId="597C35F7" w14:textId="77777777" w:rsidR="007B2985" w:rsidRPr="00896FA9" w:rsidRDefault="007B2985" w:rsidP="00896FA9">
            <w:pPr>
              <w:spacing w:line="240" w:lineRule="auto"/>
              <w:rPr>
                <w:rFonts w:eastAsia="Microsoft YaHei UI"/>
                <w:color w:val="242424"/>
                <w:sz w:val="16"/>
                <w:szCs w:val="16"/>
                <w:lang w:val="en-US"/>
              </w:rPr>
            </w:pPr>
            <w:r w:rsidRPr="00896FA9">
              <w:rPr>
                <w:rFonts w:eastAsia="Microsoft YaHei UI"/>
                <w:color w:val="242424"/>
                <w:sz w:val="16"/>
                <w:szCs w:val="16"/>
                <w:lang w:val="en-US"/>
              </w:rPr>
              <w:t>TNO</w:t>
            </w:r>
          </w:p>
        </w:tc>
      </w:tr>
    </w:tbl>
    <w:bookmarkEnd w:id="1"/>
    <w:p w14:paraId="66981D3D" w14:textId="77777777" w:rsidR="007B2985" w:rsidRDefault="007B2985" w:rsidP="00E108DF">
      <w:pPr>
        <w:pStyle w:val="SingleTxtG"/>
        <w:spacing w:before="240"/>
      </w:pPr>
      <w:r>
        <w:t>4.</w:t>
      </w:r>
      <w:r>
        <w:tab/>
      </w:r>
      <w:r w:rsidRPr="00B608DA">
        <w:t xml:space="preserve">For stereoisomers of artemether or </w:t>
      </w:r>
      <w:proofErr w:type="spellStart"/>
      <w:r w:rsidRPr="00B608DA">
        <w:t>dihydroartemisinin</w:t>
      </w:r>
      <w:proofErr w:type="spellEnd"/>
      <w:r w:rsidRPr="00B608DA">
        <w:t xml:space="preserve">, </w:t>
      </w:r>
      <w:r w:rsidRPr="00734926">
        <w:t xml:space="preserve">the molecular structure is almost identical to that of artemether or </w:t>
      </w:r>
      <w:proofErr w:type="spellStart"/>
      <w:r w:rsidRPr="00734926">
        <w:t>dihydroartemisinin</w:t>
      </w:r>
      <w:proofErr w:type="spellEnd"/>
      <w:r w:rsidRPr="00734926">
        <w:t>, and it is inferred that the degre</w:t>
      </w:r>
      <w:r>
        <w:t>e of danger of organic peroxide</w:t>
      </w:r>
      <w:r w:rsidRPr="00734926">
        <w:t xml:space="preserve"> is the same as that of artemether or </w:t>
      </w:r>
      <w:proofErr w:type="spellStart"/>
      <w:r w:rsidRPr="00734926">
        <w:t>dihydroartemisinin</w:t>
      </w:r>
      <w:proofErr w:type="spellEnd"/>
      <w:r w:rsidRPr="00734926">
        <w:t>.</w:t>
      </w:r>
      <w:r>
        <w:t xml:space="preserve"> </w:t>
      </w:r>
      <w:r>
        <w:rPr>
          <w:rFonts w:hint="eastAsia"/>
          <w:lang w:val="en-US"/>
        </w:rPr>
        <w:t>For</w:t>
      </w:r>
      <w:r>
        <w:t xml:space="preserve"> </w:t>
      </w:r>
      <w:proofErr w:type="spellStart"/>
      <w:r>
        <w:t>arteether</w:t>
      </w:r>
      <w:proofErr w:type="spellEnd"/>
      <w:r>
        <w:rPr>
          <w:rFonts w:hint="eastAsia"/>
        </w:rPr>
        <w:t>,</w:t>
      </w:r>
      <w:r>
        <w:t xml:space="preserve"> arte</w:t>
      </w:r>
      <w:r>
        <w:rPr>
          <w:rFonts w:hint="eastAsia"/>
        </w:rPr>
        <w:t>s</w:t>
      </w:r>
      <w:r>
        <w:t>unate and the</w:t>
      </w:r>
      <w:r>
        <w:rPr>
          <w:rFonts w:hint="eastAsia"/>
        </w:rPr>
        <w:t>ir</w:t>
      </w:r>
      <w:r>
        <w:t xml:space="preserve"> stereoisomers, </w:t>
      </w:r>
      <w:r w:rsidRPr="00E87AD8">
        <w:t>they have similar molecular structure</w:t>
      </w:r>
      <w:r>
        <w:t>s</w:t>
      </w:r>
      <w:r w:rsidRPr="00E87AD8">
        <w:t xml:space="preserve"> to arte</w:t>
      </w:r>
      <w:r>
        <w:t>mether</w:t>
      </w:r>
      <w:r w:rsidRPr="00E87AD8">
        <w:t xml:space="preserve"> and </w:t>
      </w:r>
      <w:proofErr w:type="spellStart"/>
      <w:r w:rsidRPr="00E87AD8">
        <w:t>dihydroartemisinin</w:t>
      </w:r>
      <w:proofErr w:type="spellEnd"/>
      <w:r>
        <w:t xml:space="preserve">, </w:t>
      </w:r>
      <w:r w:rsidRPr="006E7A70">
        <w:t xml:space="preserve">while having a larger molecular weight and lower available oxygen content, and it is inferred that their </w:t>
      </w:r>
      <w:r>
        <w:t xml:space="preserve">degrees of </w:t>
      </w:r>
      <w:r>
        <w:rPr>
          <w:rFonts w:hint="eastAsia"/>
        </w:rPr>
        <w:t>da</w:t>
      </w:r>
      <w:r>
        <w:t xml:space="preserve">nger of </w:t>
      </w:r>
      <w:r w:rsidRPr="006E7A70">
        <w:t>organic peroxide</w:t>
      </w:r>
      <w:r>
        <w:rPr>
          <w:rFonts w:hint="eastAsia"/>
        </w:rPr>
        <w:t>s</w:t>
      </w:r>
      <w:r w:rsidRPr="006E7A70">
        <w:t xml:space="preserve"> </w:t>
      </w:r>
      <w:r w:rsidRPr="006E7A70">
        <w:lastRenderedPageBreak/>
        <w:t xml:space="preserve">do not exceed artemether and </w:t>
      </w:r>
      <w:proofErr w:type="spellStart"/>
      <w:r w:rsidRPr="006E7A70">
        <w:t>dihydroartemisinin</w:t>
      </w:r>
      <w:proofErr w:type="spellEnd"/>
      <w:r>
        <w:t xml:space="preserve">. </w:t>
      </w:r>
      <w:proofErr w:type="gramStart"/>
      <w:r>
        <w:rPr>
          <w:rFonts w:hint="eastAsia"/>
        </w:rPr>
        <w:t>I</w:t>
      </w:r>
      <w:r>
        <w:t>n order to</w:t>
      </w:r>
      <w:proofErr w:type="gramEnd"/>
      <w:r>
        <w:t xml:space="preserve"> facilitate the transport of these substances, it is recommended </w:t>
      </w:r>
      <w:r>
        <w:rPr>
          <w:rFonts w:hint="eastAsia"/>
          <w:lang w:val="en-US"/>
        </w:rPr>
        <w:t xml:space="preserve">to </w:t>
      </w:r>
      <w:r>
        <w:t xml:space="preserve">refer to </w:t>
      </w:r>
      <w:r w:rsidRPr="00E87AD8">
        <w:t>arte</w:t>
      </w:r>
      <w:r>
        <w:t>mether</w:t>
      </w:r>
      <w:r w:rsidRPr="00E87AD8">
        <w:t xml:space="preserve"> and </w:t>
      </w:r>
      <w:proofErr w:type="spellStart"/>
      <w:r w:rsidRPr="00E87AD8">
        <w:t>dihydroartemisinin</w:t>
      </w:r>
      <w:proofErr w:type="spellEnd"/>
      <w:r>
        <w:rPr>
          <w:rFonts w:hint="eastAsia"/>
          <w:lang w:val="en-US"/>
        </w:rPr>
        <w:t xml:space="preserve">, classifying them </w:t>
      </w:r>
      <w:r>
        <w:rPr>
          <w:lang w:val="en-US"/>
        </w:rPr>
        <w:t>as</w:t>
      </w:r>
      <w:r>
        <w:rPr>
          <w:rFonts w:hint="eastAsia"/>
          <w:lang w:val="en-US"/>
        </w:rPr>
        <w:t xml:space="preserve"> </w:t>
      </w:r>
      <w:r>
        <w:t>organic peroxide type D (UN 3106)</w:t>
      </w:r>
      <w:r>
        <w:rPr>
          <w:rFonts w:hint="eastAsia"/>
          <w:lang w:val="en-US"/>
        </w:rPr>
        <w:t xml:space="preserve"> in accordance with the</w:t>
      </w:r>
      <w:r>
        <w:t xml:space="preserve"> conservative estimates, </w:t>
      </w:r>
      <w:r>
        <w:rPr>
          <w:rFonts w:hint="eastAsia"/>
          <w:lang w:val="en-US"/>
        </w:rPr>
        <w:t xml:space="preserve">with the </w:t>
      </w:r>
      <w:r>
        <w:t>packaging method OP7 assigned.</w:t>
      </w:r>
    </w:p>
    <w:p w14:paraId="74A68B6B" w14:textId="77A6624C" w:rsidR="007B2985" w:rsidRDefault="007B2985" w:rsidP="007B2985">
      <w:pPr>
        <w:pStyle w:val="HChG"/>
        <w:rPr>
          <w:lang w:val="en-CA"/>
        </w:rPr>
      </w:pPr>
      <w:r>
        <w:rPr>
          <w:lang w:val="en-CA"/>
        </w:rPr>
        <w:tab/>
        <w:t>II.</w:t>
      </w:r>
      <w:r>
        <w:rPr>
          <w:lang w:val="en-CA"/>
        </w:rPr>
        <w:tab/>
      </w:r>
      <w:r>
        <w:t>Proposal</w:t>
      </w:r>
    </w:p>
    <w:p w14:paraId="343F750B" w14:textId="451DF361" w:rsidR="007B2985" w:rsidRDefault="00E108DF" w:rsidP="007B2985">
      <w:pPr>
        <w:pStyle w:val="SingleTxtG"/>
        <w:rPr>
          <w:lang w:val="en-CA"/>
        </w:rPr>
      </w:pPr>
      <w:r>
        <w:rPr>
          <w:lang w:val="en-CA"/>
        </w:rPr>
        <w:t>5</w:t>
      </w:r>
      <w:r w:rsidR="007B2985">
        <w:rPr>
          <w:lang w:val="en-CA"/>
        </w:rPr>
        <w:t>.</w:t>
      </w:r>
      <w:r w:rsidR="007B2985">
        <w:rPr>
          <w:lang w:val="en-CA"/>
        </w:rPr>
        <w:tab/>
      </w:r>
      <w:r w:rsidR="00997B57">
        <w:rPr>
          <w:lang w:val="en-US"/>
        </w:rPr>
        <w:t>Amend the list</w:t>
      </w:r>
      <w:r w:rsidR="007B2985">
        <w:rPr>
          <w:lang w:val="en-CA"/>
        </w:rPr>
        <w:t xml:space="preserve"> in 2.5.3.2.4</w:t>
      </w:r>
      <w:r w:rsidR="00997B57">
        <w:rPr>
          <w:lang w:val="en-CA"/>
        </w:rPr>
        <w:t xml:space="preserve"> as follows</w:t>
      </w:r>
      <w:r w:rsidR="007B2985">
        <w:rPr>
          <w:lang w:val="en-CA"/>
        </w:rPr>
        <w:t>:</w:t>
      </w:r>
    </w:p>
    <w:p w14:paraId="0179F381" w14:textId="0FA7384E" w:rsidR="007B2985" w:rsidRDefault="007B2985" w:rsidP="00E108DF">
      <w:pPr>
        <w:pStyle w:val="SingleTxtG"/>
        <w:rPr>
          <w:lang w:val="en-CA"/>
        </w:rPr>
      </w:pPr>
      <w:r>
        <w:rPr>
          <w:lang w:val="en-CA"/>
        </w:rPr>
        <w:t>Delete</w:t>
      </w:r>
      <w:r w:rsidR="000E61B2">
        <w:rPr>
          <w:lang w:val="en-CA"/>
        </w:rPr>
        <w:t xml:space="preserve"> the following entry</w:t>
      </w:r>
      <w:r>
        <w:rPr>
          <w:rFonts w:hint="eastAsia"/>
          <w:lang w:val="en-CA"/>
        </w:rPr>
        <w:t>:</w:t>
      </w:r>
    </w:p>
    <w:tbl>
      <w:tblPr>
        <w:tblStyle w:val="TableGrid"/>
        <w:tblW w:w="8642" w:type="dxa"/>
        <w:tblInd w:w="1134" w:type="dxa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809"/>
        <w:gridCol w:w="602"/>
        <w:gridCol w:w="573"/>
        <w:gridCol w:w="479"/>
        <w:gridCol w:w="514"/>
        <w:gridCol w:w="708"/>
        <w:gridCol w:w="615"/>
        <w:gridCol w:w="945"/>
        <w:gridCol w:w="708"/>
        <w:gridCol w:w="709"/>
      </w:tblGrid>
      <w:tr w:rsidR="007B2985" w:rsidRPr="00ED24F6" w14:paraId="13312526" w14:textId="77777777" w:rsidTr="00896FA9">
        <w:tc>
          <w:tcPr>
            <w:tcW w:w="1980" w:type="dxa"/>
            <w:shd w:val="clear" w:color="auto" w:fill="auto"/>
          </w:tcPr>
          <w:p w14:paraId="3E7F3A6F" w14:textId="77777777" w:rsidR="007B2985" w:rsidRPr="00ED24F6" w:rsidRDefault="007B2985" w:rsidP="00D4462B">
            <w:pPr>
              <w:spacing w:before="80" w:after="80" w:line="200" w:lineRule="exact"/>
              <w:jc w:val="center"/>
              <w:rPr>
                <w:b/>
                <w:iCs/>
                <w:sz w:val="16"/>
                <w:szCs w:val="16"/>
              </w:rPr>
            </w:pPr>
            <w:r w:rsidRPr="00ED24F6">
              <w:rPr>
                <w:b/>
                <w:iCs/>
                <w:sz w:val="16"/>
                <w:szCs w:val="16"/>
              </w:rPr>
              <w:t>ORGANIC PEROXIDE</w:t>
            </w:r>
          </w:p>
        </w:tc>
        <w:tc>
          <w:tcPr>
            <w:tcW w:w="809" w:type="dxa"/>
            <w:shd w:val="clear" w:color="auto" w:fill="auto"/>
          </w:tcPr>
          <w:p w14:paraId="31F1925D" w14:textId="4872ABE7" w:rsidR="007B2985" w:rsidRPr="00ED24F6" w:rsidRDefault="007B2985" w:rsidP="00D4462B">
            <w:pPr>
              <w:spacing w:before="80" w:after="80" w:line="200" w:lineRule="exact"/>
              <w:jc w:val="center"/>
              <w:rPr>
                <w:b/>
                <w:iCs/>
                <w:sz w:val="16"/>
                <w:szCs w:val="16"/>
              </w:rPr>
            </w:pPr>
            <w:proofErr w:type="spellStart"/>
            <w:r w:rsidRPr="00ED24F6">
              <w:rPr>
                <w:rFonts w:hint="eastAsia"/>
                <w:b/>
                <w:iCs/>
                <w:sz w:val="16"/>
                <w:szCs w:val="16"/>
              </w:rPr>
              <w:t>Concen</w:t>
            </w:r>
            <w:r w:rsidR="00ED24F6">
              <w:rPr>
                <w:b/>
                <w:iCs/>
                <w:sz w:val="16"/>
                <w:szCs w:val="16"/>
              </w:rPr>
              <w:t>-</w:t>
            </w:r>
            <w:r w:rsidRPr="00ED24F6">
              <w:rPr>
                <w:rFonts w:hint="eastAsia"/>
                <w:b/>
                <w:iCs/>
                <w:sz w:val="16"/>
                <w:szCs w:val="16"/>
              </w:rPr>
              <w:t>tration</w:t>
            </w:r>
            <w:proofErr w:type="spellEnd"/>
            <w:r w:rsidRPr="00ED24F6">
              <w:rPr>
                <w:b/>
                <w:iCs/>
                <w:sz w:val="16"/>
                <w:szCs w:val="16"/>
              </w:rPr>
              <w:t xml:space="preserve"> (%)</w:t>
            </w:r>
          </w:p>
        </w:tc>
        <w:tc>
          <w:tcPr>
            <w:tcW w:w="602" w:type="dxa"/>
            <w:shd w:val="clear" w:color="auto" w:fill="auto"/>
          </w:tcPr>
          <w:p w14:paraId="1B88B727" w14:textId="77777777" w:rsidR="007B2985" w:rsidRPr="00ED24F6" w:rsidRDefault="007B2985" w:rsidP="00D4462B">
            <w:pPr>
              <w:spacing w:before="80" w:after="80" w:line="200" w:lineRule="exact"/>
              <w:jc w:val="center"/>
              <w:rPr>
                <w:b/>
                <w:iCs/>
                <w:sz w:val="16"/>
                <w:szCs w:val="16"/>
              </w:rPr>
            </w:pPr>
            <w:r w:rsidRPr="00ED24F6">
              <w:rPr>
                <w:rFonts w:hint="eastAsia"/>
                <w:b/>
                <w:iCs/>
                <w:sz w:val="16"/>
                <w:szCs w:val="16"/>
              </w:rPr>
              <w:t xml:space="preserve">Diluent </w:t>
            </w:r>
            <w:r w:rsidRPr="00ED24F6">
              <w:rPr>
                <w:b/>
                <w:iCs/>
                <w:sz w:val="16"/>
                <w:szCs w:val="16"/>
              </w:rPr>
              <w:t xml:space="preserve">type </w:t>
            </w:r>
            <w:r w:rsidRPr="00ED24F6">
              <w:rPr>
                <w:rFonts w:hint="eastAsia"/>
                <w:b/>
                <w:iCs/>
                <w:sz w:val="16"/>
                <w:szCs w:val="16"/>
              </w:rPr>
              <w:t>A</w:t>
            </w:r>
            <w:r w:rsidRPr="00ED24F6">
              <w:rPr>
                <w:b/>
                <w:iCs/>
                <w:sz w:val="16"/>
                <w:szCs w:val="16"/>
              </w:rPr>
              <w:t xml:space="preserve"> (%)</w:t>
            </w:r>
          </w:p>
        </w:tc>
        <w:tc>
          <w:tcPr>
            <w:tcW w:w="573" w:type="dxa"/>
            <w:shd w:val="clear" w:color="auto" w:fill="auto"/>
          </w:tcPr>
          <w:p w14:paraId="66E723F0" w14:textId="77777777" w:rsidR="007B2985" w:rsidRPr="00ED24F6" w:rsidRDefault="007B2985" w:rsidP="00D4462B">
            <w:pPr>
              <w:spacing w:before="80" w:after="80" w:line="200" w:lineRule="exact"/>
              <w:jc w:val="center"/>
              <w:rPr>
                <w:b/>
                <w:iCs/>
                <w:sz w:val="16"/>
                <w:szCs w:val="16"/>
              </w:rPr>
            </w:pPr>
            <w:r w:rsidRPr="00ED24F6">
              <w:rPr>
                <w:rFonts w:hint="eastAsia"/>
                <w:b/>
                <w:iCs/>
                <w:sz w:val="16"/>
                <w:szCs w:val="16"/>
              </w:rPr>
              <w:t xml:space="preserve">Diluent </w:t>
            </w:r>
            <w:r w:rsidRPr="00ED24F6">
              <w:rPr>
                <w:b/>
                <w:iCs/>
                <w:sz w:val="16"/>
                <w:szCs w:val="16"/>
              </w:rPr>
              <w:t xml:space="preserve">type </w:t>
            </w:r>
            <w:proofErr w:type="gramStart"/>
            <w:r w:rsidRPr="00ED24F6">
              <w:rPr>
                <w:b/>
                <w:iCs/>
                <w:sz w:val="16"/>
                <w:szCs w:val="16"/>
              </w:rPr>
              <w:t>B  (</w:t>
            </w:r>
            <w:proofErr w:type="gramEnd"/>
            <w:r w:rsidRPr="00ED24F6">
              <w:rPr>
                <w:b/>
                <w:iCs/>
                <w:sz w:val="16"/>
                <w:szCs w:val="16"/>
              </w:rPr>
              <w:t>%)</w:t>
            </w:r>
          </w:p>
        </w:tc>
        <w:tc>
          <w:tcPr>
            <w:tcW w:w="479" w:type="dxa"/>
            <w:shd w:val="clear" w:color="auto" w:fill="auto"/>
          </w:tcPr>
          <w:p w14:paraId="4C5AA70C" w14:textId="77777777" w:rsidR="007B2985" w:rsidRPr="00ED24F6" w:rsidRDefault="007B2985" w:rsidP="00D4462B">
            <w:pPr>
              <w:spacing w:before="80" w:after="80" w:line="200" w:lineRule="exact"/>
              <w:jc w:val="center"/>
              <w:rPr>
                <w:b/>
                <w:iCs/>
                <w:sz w:val="16"/>
                <w:szCs w:val="16"/>
              </w:rPr>
            </w:pPr>
            <w:r w:rsidRPr="00ED24F6">
              <w:rPr>
                <w:rFonts w:hint="eastAsia"/>
                <w:b/>
                <w:iCs/>
                <w:sz w:val="16"/>
                <w:szCs w:val="16"/>
              </w:rPr>
              <w:t>Inert solid</w:t>
            </w:r>
            <w:r w:rsidRPr="00ED24F6">
              <w:rPr>
                <w:b/>
                <w:iCs/>
                <w:sz w:val="16"/>
                <w:szCs w:val="16"/>
              </w:rPr>
              <w:t xml:space="preserve"> (%)</w:t>
            </w:r>
          </w:p>
        </w:tc>
        <w:tc>
          <w:tcPr>
            <w:tcW w:w="514" w:type="dxa"/>
            <w:shd w:val="clear" w:color="auto" w:fill="auto"/>
          </w:tcPr>
          <w:p w14:paraId="4CC750AC" w14:textId="77777777" w:rsidR="007B2985" w:rsidRPr="00ED24F6" w:rsidRDefault="007B2985" w:rsidP="00D4462B">
            <w:pPr>
              <w:spacing w:before="80" w:after="80" w:line="200" w:lineRule="exact"/>
              <w:jc w:val="center"/>
              <w:rPr>
                <w:b/>
                <w:iCs/>
                <w:sz w:val="16"/>
                <w:szCs w:val="16"/>
              </w:rPr>
            </w:pPr>
            <w:r w:rsidRPr="00ED24F6">
              <w:rPr>
                <w:rFonts w:hint="eastAsia"/>
                <w:b/>
                <w:iCs/>
                <w:sz w:val="16"/>
                <w:szCs w:val="16"/>
              </w:rPr>
              <w:t>Water</w:t>
            </w:r>
          </w:p>
        </w:tc>
        <w:tc>
          <w:tcPr>
            <w:tcW w:w="708" w:type="dxa"/>
            <w:shd w:val="clear" w:color="auto" w:fill="auto"/>
          </w:tcPr>
          <w:p w14:paraId="156EC41B" w14:textId="77777777" w:rsidR="007B2985" w:rsidRPr="00ED24F6" w:rsidRDefault="007B2985" w:rsidP="00D4462B">
            <w:pPr>
              <w:spacing w:before="80" w:after="80" w:line="200" w:lineRule="exact"/>
              <w:jc w:val="center"/>
              <w:rPr>
                <w:b/>
                <w:iCs/>
                <w:sz w:val="16"/>
                <w:szCs w:val="16"/>
              </w:rPr>
            </w:pPr>
            <w:r w:rsidRPr="00ED24F6">
              <w:rPr>
                <w:rFonts w:hint="eastAsia"/>
                <w:b/>
                <w:iCs/>
                <w:sz w:val="16"/>
                <w:szCs w:val="16"/>
              </w:rPr>
              <w:t>Packing Method</w:t>
            </w:r>
          </w:p>
        </w:tc>
        <w:tc>
          <w:tcPr>
            <w:tcW w:w="615" w:type="dxa"/>
            <w:shd w:val="clear" w:color="auto" w:fill="auto"/>
          </w:tcPr>
          <w:p w14:paraId="55660FAE" w14:textId="70B340ED" w:rsidR="007B2985" w:rsidRPr="00ED24F6" w:rsidRDefault="007B2985" w:rsidP="00D4462B">
            <w:pPr>
              <w:spacing w:before="80" w:after="80" w:line="200" w:lineRule="exact"/>
              <w:jc w:val="center"/>
              <w:rPr>
                <w:b/>
                <w:iCs/>
                <w:sz w:val="16"/>
                <w:szCs w:val="16"/>
              </w:rPr>
            </w:pPr>
            <w:r w:rsidRPr="00ED24F6">
              <w:rPr>
                <w:rFonts w:hint="eastAsia"/>
                <w:b/>
                <w:iCs/>
                <w:sz w:val="16"/>
                <w:szCs w:val="16"/>
              </w:rPr>
              <w:t xml:space="preserve">Control </w:t>
            </w:r>
            <w:proofErr w:type="spellStart"/>
            <w:r w:rsidRPr="00ED24F6">
              <w:rPr>
                <w:rFonts w:hint="eastAsia"/>
                <w:b/>
                <w:iCs/>
                <w:sz w:val="16"/>
                <w:szCs w:val="16"/>
              </w:rPr>
              <w:t>tempe</w:t>
            </w:r>
            <w:r w:rsidR="00D4462B">
              <w:rPr>
                <w:b/>
                <w:iCs/>
                <w:sz w:val="16"/>
                <w:szCs w:val="16"/>
              </w:rPr>
              <w:t>-</w:t>
            </w:r>
            <w:r w:rsidRPr="00ED24F6">
              <w:rPr>
                <w:rFonts w:hint="eastAsia"/>
                <w:b/>
                <w:iCs/>
                <w:sz w:val="16"/>
                <w:szCs w:val="16"/>
              </w:rPr>
              <w:t>rature</w:t>
            </w:r>
            <w:proofErr w:type="spellEnd"/>
            <w:r w:rsidRPr="00ED24F6">
              <w:rPr>
                <w:b/>
                <w:iCs/>
                <w:sz w:val="16"/>
                <w:szCs w:val="16"/>
              </w:rPr>
              <w:t xml:space="preserve"> (°C)</w:t>
            </w:r>
          </w:p>
        </w:tc>
        <w:tc>
          <w:tcPr>
            <w:tcW w:w="945" w:type="dxa"/>
            <w:shd w:val="clear" w:color="auto" w:fill="auto"/>
          </w:tcPr>
          <w:p w14:paraId="4774782D" w14:textId="77777777" w:rsidR="007B2985" w:rsidRPr="00ED24F6" w:rsidRDefault="007B2985" w:rsidP="00D4462B">
            <w:pPr>
              <w:spacing w:before="80" w:after="80" w:line="200" w:lineRule="exact"/>
              <w:jc w:val="center"/>
              <w:rPr>
                <w:b/>
                <w:iCs/>
                <w:sz w:val="16"/>
                <w:szCs w:val="16"/>
              </w:rPr>
            </w:pPr>
            <w:r w:rsidRPr="00ED24F6">
              <w:rPr>
                <w:rFonts w:hint="eastAsia"/>
                <w:b/>
                <w:iCs/>
                <w:sz w:val="16"/>
                <w:szCs w:val="16"/>
              </w:rPr>
              <w:t>Emergency temperature</w:t>
            </w:r>
            <w:r w:rsidRPr="00ED24F6">
              <w:rPr>
                <w:b/>
                <w:iCs/>
                <w:sz w:val="16"/>
                <w:szCs w:val="16"/>
              </w:rPr>
              <w:t xml:space="preserve"> (°C)</w:t>
            </w:r>
          </w:p>
        </w:tc>
        <w:tc>
          <w:tcPr>
            <w:tcW w:w="708" w:type="dxa"/>
            <w:shd w:val="clear" w:color="auto" w:fill="auto"/>
          </w:tcPr>
          <w:p w14:paraId="5A333AC0" w14:textId="77777777" w:rsidR="007B2985" w:rsidRPr="00ED24F6" w:rsidRDefault="007B2985" w:rsidP="00D4462B">
            <w:pPr>
              <w:spacing w:before="80" w:after="80" w:line="200" w:lineRule="exact"/>
              <w:jc w:val="center"/>
              <w:rPr>
                <w:b/>
                <w:iCs/>
                <w:sz w:val="16"/>
                <w:szCs w:val="16"/>
              </w:rPr>
            </w:pPr>
            <w:r w:rsidRPr="00ED24F6">
              <w:rPr>
                <w:rFonts w:hint="eastAsia"/>
                <w:b/>
                <w:iCs/>
                <w:sz w:val="16"/>
                <w:szCs w:val="16"/>
              </w:rPr>
              <w:t>Numb</w:t>
            </w:r>
            <w:r w:rsidRPr="00ED24F6">
              <w:rPr>
                <w:b/>
                <w:iCs/>
                <w:sz w:val="16"/>
                <w:szCs w:val="16"/>
              </w:rPr>
              <w:t>e</w:t>
            </w:r>
            <w:r w:rsidRPr="00ED24F6">
              <w:rPr>
                <w:rFonts w:hint="eastAsia"/>
                <w:b/>
                <w:iCs/>
                <w:sz w:val="16"/>
                <w:szCs w:val="16"/>
              </w:rPr>
              <w:t>r</w:t>
            </w:r>
            <w:r w:rsidRPr="00ED24F6">
              <w:rPr>
                <w:b/>
                <w:iCs/>
                <w:sz w:val="16"/>
                <w:szCs w:val="16"/>
              </w:rPr>
              <w:t xml:space="preserve"> </w:t>
            </w:r>
            <w:r w:rsidRPr="00ED24F6">
              <w:rPr>
                <w:rFonts w:hint="eastAsia"/>
                <w:b/>
                <w:iCs/>
                <w:sz w:val="16"/>
                <w:szCs w:val="16"/>
              </w:rPr>
              <w:t>(Generic entry)</w:t>
            </w:r>
          </w:p>
        </w:tc>
        <w:tc>
          <w:tcPr>
            <w:tcW w:w="709" w:type="dxa"/>
            <w:shd w:val="clear" w:color="auto" w:fill="auto"/>
          </w:tcPr>
          <w:p w14:paraId="7A61C0DF" w14:textId="1E89090B" w:rsidR="007B2985" w:rsidRPr="00ED24F6" w:rsidRDefault="007B2985" w:rsidP="00D4462B">
            <w:pPr>
              <w:spacing w:before="80" w:after="80" w:line="200" w:lineRule="exact"/>
              <w:jc w:val="center"/>
              <w:rPr>
                <w:b/>
                <w:iCs/>
                <w:sz w:val="16"/>
                <w:szCs w:val="16"/>
              </w:rPr>
            </w:pPr>
            <w:r w:rsidRPr="00ED24F6">
              <w:rPr>
                <w:rFonts w:hint="eastAsia"/>
                <w:b/>
                <w:iCs/>
                <w:sz w:val="16"/>
                <w:szCs w:val="16"/>
              </w:rPr>
              <w:t>Sub</w:t>
            </w:r>
            <w:r w:rsidR="00D4462B">
              <w:rPr>
                <w:b/>
                <w:iCs/>
                <w:sz w:val="16"/>
                <w:szCs w:val="16"/>
              </w:rPr>
              <w:t>-</w:t>
            </w:r>
            <w:proofErr w:type="spellStart"/>
            <w:r w:rsidRPr="00ED24F6">
              <w:rPr>
                <w:rFonts w:hint="eastAsia"/>
                <w:b/>
                <w:iCs/>
                <w:sz w:val="16"/>
                <w:szCs w:val="16"/>
              </w:rPr>
              <w:t>sidiary</w:t>
            </w:r>
            <w:proofErr w:type="spellEnd"/>
            <w:r w:rsidRPr="00ED24F6">
              <w:rPr>
                <w:rFonts w:hint="eastAsia"/>
                <w:b/>
                <w:iCs/>
                <w:sz w:val="16"/>
                <w:szCs w:val="16"/>
              </w:rPr>
              <w:t xml:space="preserve"> </w:t>
            </w:r>
            <w:r w:rsidRPr="00ED24F6">
              <w:rPr>
                <w:b/>
                <w:iCs/>
                <w:sz w:val="16"/>
                <w:szCs w:val="16"/>
              </w:rPr>
              <w:t>hazard</w:t>
            </w:r>
            <w:r w:rsidRPr="00ED24F6">
              <w:rPr>
                <w:rFonts w:hint="eastAsia"/>
                <w:b/>
                <w:iCs/>
                <w:sz w:val="16"/>
                <w:szCs w:val="16"/>
              </w:rPr>
              <w:t>s and remarks</w:t>
            </w:r>
          </w:p>
        </w:tc>
      </w:tr>
      <w:tr w:rsidR="007B2985" w:rsidRPr="00ED24F6" w14:paraId="3B1D5873" w14:textId="77777777" w:rsidTr="00896FA9">
        <w:tc>
          <w:tcPr>
            <w:tcW w:w="1980" w:type="dxa"/>
            <w:shd w:val="clear" w:color="auto" w:fill="auto"/>
            <w:vAlign w:val="center"/>
          </w:tcPr>
          <w:p w14:paraId="5F6AD947" w14:textId="77777777" w:rsidR="007B2985" w:rsidRPr="00896FA9" w:rsidRDefault="007B2985" w:rsidP="00896FA9">
            <w:pPr>
              <w:spacing w:before="40" w:after="120"/>
              <w:rPr>
                <w:sz w:val="16"/>
                <w:szCs w:val="16"/>
              </w:rPr>
            </w:pPr>
            <w:r w:rsidRPr="00896FA9">
              <w:rPr>
                <w:sz w:val="16"/>
                <w:szCs w:val="16"/>
              </w:rPr>
              <w:t>([3R-(3R, 5aS, 6S, 8aS, 9R, 10R, 12S, 12aR**)]-DECAHYDRO-10-METHOXY-3,6,9-TRIMETHYL-3,12-EPOXY-12H-PYRANO[4,3-j]-1,2-BENZODIOXEPIN)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11E54A8" w14:textId="2F35D514" w:rsidR="007B2985" w:rsidRPr="00896FA9" w:rsidRDefault="00FC3BC8" w:rsidP="00AD3227">
            <w:pPr>
              <w:spacing w:before="40" w:after="12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≤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 </w:t>
            </w:r>
            <w:r w:rsidR="00D4462B">
              <w:rPr>
                <w:sz w:val="16"/>
                <w:szCs w:val="16"/>
              </w:rPr>
              <w:t> </w:t>
            </w:r>
            <w:r w:rsidR="007B2985" w:rsidRPr="00896FA9">
              <w:rPr>
                <w:sz w:val="16"/>
                <w:szCs w:val="16"/>
              </w:rPr>
              <w:t>100</w:t>
            </w:r>
            <w:proofErr w:type="gramEnd"/>
          </w:p>
        </w:tc>
        <w:tc>
          <w:tcPr>
            <w:tcW w:w="602" w:type="dxa"/>
            <w:shd w:val="clear" w:color="auto" w:fill="auto"/>
            <w:vAlign w:val="center"/>
          </w:tcPr>
          <w:p w14:paraId="23A27F09" w14:textId="77777777" w:rsidR="007B2985" w:rsidRPr="00896FA9" w:rsidRDefault="007B2985" w:rsidP="00AD3227">
            <w:pPr>
              <w:spacing w:before="4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2BF0331E" w14:textId="77777777" w:rsidR="007B2985" w:rsidRPr="00896FA9" w:rsidRDefault="007B2985" w:rsidP="00AD3227">
            <w:pPr>
              <w:spacing w:before="4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38E5DE3D" w14:textId="77777777" w:rsidR="007B2985" w:rsidRPr="00896FA9" w:rsidRDefault="007B2985" w:rsidP="00AD3227">
            <w:pPr>
              <w:spacing w:before="4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658BA9EB" w14:textId="77777777" w:rsidR="007B2985" w:rsidRPr="00896FA9" w:rsidRDefault="007B2985" w:rsidP="00AD3227">
            <w:pPr>
              <w:spacing w:before="4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027B75" w14:textId="77777777" w:rsidR="007B2985" w:rsidRPr="00896FA9" w:rsidRDefault="007B2985" w:rsidP="00AD3227">
            <w:pPr>
              <w:spacing w:before="40" w:after="120"/>
              <w:jc w:val="center"/>
              <w:rPr>
                <w:sz w:val="16"/>
                <w:szCs w:val="16"/>
              </w:rPr>
            </w:pPr>
            <w:r w:rsidRPr="00896FA9">
              <w:rPr>
                <w:sz w:val="16"/>
                <w:szCs w:val="16"/>
              </w:rPr>
              <w:t>OP7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0C46FE3D" w14:textId="77777777" w:rsidR="007B2985" w:rsidRPr="00896FA9" w:rsidRDefault="007B2985" w:rsidP="00AD3227">
            <w:pPr>
              <w:spacing w:before="4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1A942F9F" w14:textId="77777777" w:rsidR="007B2985" w:rsidRPr="00896FA9" w:rsidRDefault="007B2985" w:rsidP="00AD3227">
            <w:pPr>
              <w:spacing w:before="4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1F3A8D9" w14:textId="77777777" w:rsidR="007B2985" w:rsidRPr="00896FA9" w:rsidRDefault="007B2985" w:rsidP="00AD3227">
            <w:pPr>
              <w:spacing w:before="40" w:after="120"/>
              <w:jc w:val="center"/>
              <w:rPr>
                <w:sz w:val="16"/>
                <w:szCs w:val="16"/>
              </w:rPr>
            </w:pPr>
            <w:r w:rsidRPr="00896FA9">
              <w:rPr>
                <w:sz w:val="16"/>
                <w:szCs w:val="16"/>
              </w:rPr>
              <w:t>3106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A16E9D" w14:textId="77777777" w:rsidR="007B2985" w:rsidRPr="00896FA9" w:rsidRDefault="007B2985" w:rsidP="00AD3227">
            <w:pPr>
              <w:spacing w:before="40" w:after="120"/>
              <w:jc w:val="center"/>
              <w:rPr>
                <w:sz w:val="16"/>
                <w:szCs w:val="16"/>
              </w:rPr>
            </w:pPr>
          </w:p>
        </w:tc>
      </w:tr>
    </w:tbl>
    <w:p w14:paraId="25E7D274" w14:textId="290EB3D2" w:rsidR="007B2985" w:rsidRDefault="00111B4B" w:rsidP="00E108DF">
      <w:pPr>
        <w:pStyle w:val="SingleTxtG"/>
        <w:spacing w:before="240"/>
        <w:rPr>
          <w:lang w:val="en-CA"/>
        </w:rPr>
      </w:pPr>
      <w:r>
        <w:rPr>
          <w:lang w:val="en-US"/>
        </w:rPr>
        <w:t>A</w:t>
      </w:r>
      <w:r w:rsidR="007B2985">
        <w:rPr>
          <w:lang w:val="en-CA"/>
        </w:rPr>
        <w:t>dd</w:t>
      </w:r>
      <w:r w:rsidR="000E61B2">
        <w:rPr>
          <w:lang w:val="en-CA"/>
        </w:rPr>
        <w:t xml:space="preserve"> the following entries</w:t>
      </w:r>
      <w:r w:rsidR="007B2985">
        <w:rPr>
          <w:lang w:val="en-CA"/>
        </w:rPr>
        <w:t>:</w:t>
      </w:r>
    </w:p>
    <w:tbl>
      <w:tblPr>
        <w:tblStyle w:val="TableGrid"/>
        <w:tblW w:w="8642" w:type="dxa"/>
        <w:tblInd w:w="1134" w:type="dxa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809"/>
        <w:gridCol w:w="602"/>
        <w:gridCol w:w="573"/>
        <w:gridCol w:w="479"/>
        <w:gridCol w:w="514"/>
        <w:gridCol w:w="708"/>
        <w:gridCol w:w="615"/>
        <w:gridCol w:w="945"/>
        <w:gridCol w:w="708"/>
        <w:gridCol w:w="709"/>
      </w:tblGrid>
      <w:tr w:rsidR="00D4462B" w:rsidRPr="00D4462B" w14:paraId="53064C4A" w14:textId="77777777" w:rsidTr="00896FA9">
        <w:tc>
          <w:tcPr>
            <w:tcW w:w="1980" w:type="dxa"/>
            <w:shd w:val="clear" w:color="auto" w:fill="auto"/>
          </w:tcPr>
          <w:p w14:paraId="49818262" w14:textId="77777777" w:rsidR="007B2985" w:rsidRPr="00896FA9" w:rsidRDefault="007B2985" w:rsidP="00D4462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 w:rsidRPr="00896FA9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>ORGANIC PEROXIDE</w:t>
            </w:r>
          </w:p>
        </w:tc>
        <w:tc>
          <w:tcPr>
            <w:tcW w:w="809" w:type="dxa"/>
            <w:shd w:val="clear" w:color="auto" w:fill="auto"/>
          </w:tcPr>
          <w:p w14:paraId="0873C611" w14:textId="20E04FF5" w:rsidR="007B2985" w:rsidRPr="00896FA9" w:rsidRDefault="007B2985" w:rsidP="00D4462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proofErr w:type="spellStart"/>
            <w:r w:rsidRPr="00896FA9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>Concen</w:t>
            </w:r>
            <w:r w:rsidR="00D4462B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>-</w:t>
            </w:r>
            <w:r w:rsidRPr="00896FA9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>tration</w:t>
            </w:r>
            <w:proofErr w:type="spellEnd"/>
            <w:r w:rsidRPr="00896FA9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 xml:space="preserve"> (%)</w:t>
            </w:r>
          </w:p>
        </w:tc>
        <w:tc>
          <w:tcPr>
            <w:tcW w:w="602" w:type="dxa"/>
            <w:shd w:val="clear" w:color="auto" w:fill="auto"/>
          </w:tcPr>
          <w:p w14:paraId="5C823332" w14:textId="77777777" w:rsidR="007B2985" w:rsidRPr="00896FA9" w:rsidRDefault="007B2985" w:rsidP="00D4462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 w:rsidRPr="00896FA9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>Diluent type A (%)</w:t>
            </w:r>
          </w:p>
        </w:tc>
        <w:tc>
          <w:tcPr>
            <w:tcW w:w="573" w:type="dxa"/>
            <w:shd w:val="clear" w:color="auto" w:fill="auto"/>
          </w:tcPr>
          <w:p w14:paraId="09F2E7C6" w14:textId="77777777" w:rsidR="007B2985" w:rsidRPr="00896FA9" w:rsidRDefault="007B2985" w:rsidP="00D4462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 w:rsidRPr="00896FA9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>Diluent type B (%)</w:t>
            </w:r>
          </w:p>
        </w:tc>
        <w:tc>
          <w:tcPr>
            <w:tcW w:w="479" w:type="dxa"/>
            <w:shd w:val="clear" w:color="auto" w:fill="auto"/>
          </w:tcPr>
          <w:p w14:paraId="46B24BE7" w14:textId="77777777" w:rsidR="007B2985" w:rsidRPr="00896FA9" w:rsidRDefault="007B2985" w:rsidP="00D4462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 w:rsidRPr="00896FA9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>Inert solid (%)</w:t>
            </w:r>
          </w:p>
        </w:tc>
        <w:tc>
          <w:tcPr>
            <w:tcW w:w="514" w:type="dxa"/>
            <w:shd w:val="clear" w:color="auto" w:fill="auto"/>
          </w:tcPr>
          <w:p w14:paraId="4116C6DE" w14:textId="77777777" w:rsidR="007B2985" w:rsidRPr="00896FA9" w:rsidRDefault="007B2985" w:rsidP="00D4462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 w:rsidRPr="00896FA9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>Water</w:t>
            </w:r>
          </w:p>
        </w:tc>
        <w:tc>
          <w:tcPr>
            <w:tcW w:w="708" w:type="dxa"/>
            <w:shd w:val="clear" w:color="auto" w:fill="auto"/>
          </w:tcPr>
          <w:p w14:paraId="21D80658" w14:textId="77777777" w:rsidR="007B2985" w:rsidRPr="00896FA9" w:rsidRDefault="007B2985" w:rsidP="00D4462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 w:rsidRPr="00896FA9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>Packing Method</w:t>
            </w:r>
          </w:p>
        </w:tc>
        <w:tc>
          <w:tcPr>
            <w:tcW w:w="615" w:type="dxa"/>
            <w:shd w:val="clear" w:color="auto" w:fill="auto"/>
          </w:tcPr>
          <w:p w14:paraId="777833AF" w14:textId="697F878F" w:rsidR="007B2985" w:rsidRPr="00896FA9" w:rsidRDefault="007B2985" w:rsidP="00D4462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 w:rsidRPr="00896FA9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 xml:space="preserve">Control </w:t>
            </w:r>
            <w:proofErr w:type="spellStart"/>
            <w:r w:rsidRPr="00896FA9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>tempe</w:t>
            </w:r>
            <w:r w:rsidR="00D4462B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>-</w:t>
            </w:r>
            <w:r w:rsidRPr="00896FA9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>rature</w:t>
            </w:r>
            <w:proofErr w:type="spellEnd"/>
            <w:r w:rsidRPr="00896FA9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 xml:space="preserve"> (°C)</w:t>
            </w:r>
          </w:p>
        </w:tc>
        <w:tc>
          <w:tcPr>
            <w:tcW w:w="945" w:type="dxa"/>
            <w:shd w:val="clear" w:color="auto" w:fill="auto"/>
          </w:tcPr>
          <w:p w14:paraId="5963B8FC" w14:textId="77777777" w:rsidR="007B2985" w:rsidRPr="00896FA9" w:rsidRDefault="007B2985" w:rsidP="00D4462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 w:rsidRPr="00896FA9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>Emergency temperature (°C)</w:t>
            </w:r>
          </w:p>
        </w:tc>
        <w:tc>
          <w:tcPr>
            <w:tcW w:w="708" w:type="dxa"/>
            <w:shd w:val="clear" w:color="auto" w:fill="auto"/>
          </w:tcPr>
          <w:p w14:paraId="61BC717D" w14:textId="77777777" w:rsidR="007B2985" w:rsidRPr="00896FA9" w:rsidRDefault="007B2985" w:rsidP="00D4462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 w:rsidRPr="00896FA9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>Number (Generic entry)</w:t>
            </w:r>
          </w:p>
        </w:tc>
        <w:tc>
          <w:tcPr>
            <w:tcW w:w="709" w:type="dxa"/>
            <w:shd w:val="clear" w:color="auto" w:fill="auto"/>
          </w:tcPr>
          <w:p w14:paraId="155AAF5D" w14:textId="516C7DAF" w:rsidR="007B2985" w:rsidRPr="00896FA9" w:rsidRDefault="007B2985" w:rsidP="00D4462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 w:rsidRPr="00896FA9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>Sub</w:t>
            </w:r>
            <w:r w:rsidR="00D4462B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>-</w:t>
            </w:r>
            <w:proofErr w:type="spellStart"/>
            <w:r w:rsidRPr="00896FA9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>sidiary</w:t>
            </w:r>
            <w:proofErr w:type="spellEnd"/>
            <w:r w:rsidRPr="00896FA9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 xml:space="preserve"> hazards and remarks</w:t>
            </w:r>
          </w:p>
        </w:tc>
      </w:tr>
      <w:tr w:rsidR="007B2985" w:rsidRPr="00D4462B" w14:paraId="7D4811C9" w14:textId="77777777" w:rsidTr="00FC3BC8">
        <w:trPr>
          <w:trHeight w:val="352"/>
        </w:trPr>
        <w:tc>
          <w:tcPr>
            <w:tcW w:w="1980" w:type="dxa"/>
            <w:shd w:val="clear" w:color="auto" w:fill="auto"/>
            <w:vAlign w:val="center"/>
          </w:tcPr>
          <w:p w14:paraId="33A993FE" w14:textId="77777777" w:rsidR="007B2985" w:rsidRPr="00896FA9" w:rsidRDefault="007B2985" w:rsidP="00896FA9">
            <w:pPr>
              <w:spacing w:before="40" w:after="4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96FA9">
              <w:rPr>
                <w:rFonts w:asciiTheme="majorBidi" w:hAnsiTheme="majorBidi" w:cstheme="majorBidi"/>
                <w:sz w:val="16"/>
                <w:szCs w:val="16"/>
              </w:rPr>
              <w:t>ARTEETHER (Including stereoisomers)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B9F3A56" w14:textId="1C3135BA" w:rsidR="007B2985" w:rsidRPr="00896FA9" w:rsidRDefault="00FC3BC8" w:rsidP="00FC3BC8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≤</w:t>
            </w:r>
            <w:r w:rsidR="00D4462B">
              <w:rPr>
                <w:rFonts w:asciiTheme="majorBidi" w:hAnsiTheme="majorBidi" w:cstheme="majorBidi"/>
                <w:sz w:val="16"/>
                <w:szCs w:val="16"/>
              </w:rPr>
              <w:t> </w:t>
            </w:r>
            <w:r w:rsidR="007B2985" w:rsidRPr="00896FA9">
              <w:rPr>
                <w:rFonts w:asciiTheme="majorBidi" w:hAnsiTheme="majorBidi" w:cstheme="majorBidi"/>
                <w:sz w:val="16"/>
                <w:szCs w:val="16"/>
              </w:rPr>
              <w:t>100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768DBE85" w14:textId="77777777" w:rsidR="007B2985" w:rsidRPr="00896FA9" w:rsidRDefault="007B2985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36D2E6E2" w14:textId="77777777" w:rsidR="007B2985" w:rsidRPr="00896FA9" w:rsidRDefault="007B2985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53F03B99" w14:textId="77777777" w:rsidR="007B2985" w:rsidRPr="00896FA9" w:rsidRDefault="007B2985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422B5212" w14:textId="77777777" w:rsidR="007B2985" w:rsidRPr="00896FA9" w:rsidRDefault="007B2985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F84F30" w14:textId="77777777" w:rsidR="007B2985" w:rsidRPr="00896FA9" w:rsidRDefault="007B2985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6FA9">
              <w:rPr>
                <w:rFonts w:asciiTheme="majorBidi" w:hAnsiTheme="majorBidi" w:cstheme="majorBidi"/>
                <w:sz w:val="16"/>
                <w:szCs w:val="16"/>
              </w:rPr>
              <w:t>OP7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5B02A553" w14:textId="77777777" w:rsidR="007B2985" w:rsidRPr="00896FA9" w:rsidRDefault="007B2985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0F8D4689" w14:textId="77777777" w:rsidR="007B2985" w:rsidRPr="00896FA9" w:rsidRDefault="007B2985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9D7A008" w14:textId="77777777" w:rsidR="007B2985" w:rsidRPr="00896FA9" w:rsidRDefault="007B2985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6FA9">
              <w:rPr>
                <w:rFonts w:asciiTheme="majorBidi" w:hAnsiTheme="majorBidi" w:cstheme="majorBidi"/>
                <w:sz w:val="16"/>
                <w:szCs w:val="16"/>
              </w:rPr>
              <w:t>3106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231778" w14:textId="77777777" w:rsidR="007B2985" w:rsidRPr="00896FA9" w:rsidRDefault="007B2985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B2985" w:rsidRPr="00D4462B" w14:paraId="0957E80D" w14:textId="77777777" w:rsidTr="00896FA9">
        <w:trPr>
          <w:trHeight w:val="316"/>
        </w:trPr>
        <w:tc>
          <w:tcPr>
            <w:tcW w:w="1980" w:type="dxa"/>
            <w:shd w:val="clear" w:color="auto" w:fill="auto"/>
            <w:vAlign w:val="center"/>
          </w:tcPr>
          <w:p w14:paraId="50DF38E4" w14:textId="77777777" w:rsidR="007B2985" w:rsidRPr="00896FA9" w:rsidRDefault="007B2985" w:rsidP="00896FA9">
            <w:pPr>
              <w:spacing w:before="40" w:after="4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96FA9">
              <w:rPr>
                <w:rFonts w:asciiTheme="majorBidi" w:hAnsiTheme="majorBidi" w:cstheme="majorBidi"/>
                <w:sz w:val="16"/>
                <w:szCs w:val="16"/>
              </w:rPr>
              <w:t>ARTEMETHER (Including stereoisomers)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E9659D2" w14:textId="13172975" w:rsidR="007B2985" w:rsidRPr="00896FA9" w:rsidRDefault="00FC3BC8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≤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 </w:t>
            </w:r>
            <w:r w:rsidR="00D4462B">
              <w:rPr>
                <w:rFonts w:asciiTheme="majorBidi" w:hAnsiTheme="majorBidi" w:cstheme="majorBidi"/>
                <w:sz w:val="16"/>
                <w:szCs w:val="16"/>
              </w:rPr>
              <w:t> </w:t>
            </w:r>
            <w:r w:rsidR="007B2985" w:rsidRPr="00896FA9">
              <w:rPr>
                <w:rFonts w:asciiTheme="majorBidi" w:hAnsiTheme="majorBidi" w:cstheme="majorBidi"/>
                <w:sz w:val="16"/>
                <w:szCs w:val="16"/>
              </w:rPr>
              <w:t>100</w:t>
            </w:r>
            <w:proofErr w:type="gramEnd"/>
          </w:p>
        </w:tc>
        <w:tc>
          <w:tcPr>
            <w:tcW w:w="602" w:type="dxa"/>
            <w:shd w:val="clear" w:color="auto" w:fill="auto"/>
            <w:vAlign w:val="center"/>
          </w:tcPr>
          <w:p w14:paraId="0900A2B6" w14:textId="77777777" w:rsidR="007B2985" w:rsidRPr="00896FA9" w:rsidRDefault="007B2985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786ED64A" w14:textId="77777777" w:rsidR="007B2985" w:rsidRPr="00896FA9" w:rsidRDefault="007B2985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4F1FBB3C" w14:textId="77777777" w:rsidR="007B2985" w:rsidRPr="00896FA9" w:rsidRDefault="007B2985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0F5ECB6F" w14:textId="77777777" w:rsidR="007B2985" w:rsidRPr="00896FA9" w:rsidRDefault="007B2985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2AF249C" w14:textId="77777777" w:rsidR="007B2985" w:rsidRPr="00896FA9" w:rsidRDefault="007B2985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6FA9">
              <w:rPr>
                <w:rFonts w:asciiTheme="majorBidi" w:hAnsiTheme="majorBidi" w:cstheme="majorBidi"/>
                <w:sz w:val="16"/>
                <w:szCs w:val="16"/>
              </w:rPr>
              <w:t>OP7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541C52DB" w14:textId="77777777" w:rsidR="007B2985" w:rsidRPr="00896FA9" w:rsidRDefault="007B2985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5DA381C2" w14:textId="77777777" w:rsidR="007B2985" w:rsidRPr="00896FA9" w:rsidRDefault="007B2985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4B5E663" w14:textId="77777777" w:rsidR="007B2985" w:rsidRPr="00896FA9" w:rsidRDefault="007B2985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6FA9">
              <w:rPr>
                <w:rFonts w:asciiTheme="majorBidi" w:hAnsiTheme="majorBidi" w:cstheme="majorBidi"/>
                <w:sz w:val="16"/>
                <w:szCs w:val="16"/>
              </w:rPr>
              <w:t>3106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5447EC" w14:textId="77777777" w:rsidR="007B2985" w:rsidRPr="00896FA9" w:rsidRDefault="007B2985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B2985" w:rsidRPr="00D4462B" w14:paraId="0ADAFD52" w14:textId="77777777" w:rsidTr="00896FA9">
        <w:trPr>
          <w:trHeight w:val="294"/>
        </w:trPr>
        <w:tc>
          <w:tcPr>
            <w:tcW w:w="1980" w:type="dxa"/>
            <w:shd w:val="clear" w:color="auto" w:fill="auto"/>
            <w:vAlign w:val="center"/>
          </w:tcPr>
          <w:p w14:paraId="0C6E00DC" w14:textId="77777777" w:rsidR="007B2985" w:rsidRPr="00896FA9" w:rsidRDefault="007B2985" w:rsidP="00896FA9">
            <w:pPr>
              <w:spacing w:before="40" w:after="4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96FA9">
              <w:rPr>
                <w:rFonts w:asciiTheme="majorBidi" w:hAnsiTheme="majorBidi" w:cstheme="majorBidi"/>
                <w:sz w:val="16"/>
                <w:szCs w:val="16"/>
              </w:rPr>
              <w:t>ARTEMISININ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7323ABFF" w14:textId="2BDE3796" w:rsidR="007B2985" w:rsidRPr="00896FA9" w:rsidRDefault="00FC3BC8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≤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 </w:t>
            </w:r>
            <w:r w:rsidR="00D4462B">
              <w:rPr>
                <w:rFonts w:asciiTheme="majorBidi" w:hAnsiTheme="majorBidi" w:cstheme="majorBidi"/>
                <w:sz w:val="16"/>
                <w:szCs w:val="16"/>
              </w:rPr>
              <w:t> </w:t>
            </w:r>
            <w:r w:rsidR="007B2985" w:rsidRPr="00896FA9">
              <w:rPr>
                <w:rFonts w:asciiTheme="majorBidi" w:hAnsiTheme="majorBidi" w:cstheme="majorBidi"/>
                <w:sz w:val="16"/>
                <w:szCs w:val="16"/>
              </w:rPr>
              <w:t>100</w:t>
            </w:r>
            <w:proofErr w:type="gramEnd"/>
          </w:p>
        </w:tc>
        <w:tc>
          <w:tcPr>
            <w:tcW w:w="602" w:type="dxa"/>
            <w:shd w:val="clear" w:color="auto" w:fill="auto"/>
            <w:vAlign w:val="center"/>
          </w:tcPr>
          <w:p w14:paraId="3A8A38B1" w14:textId="77777777" w:rsidR="007B2985" w:rsidRPr="00896FA9" w:rsidRDefault="007B2985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63ADBD3C" w14:textId="77777777" w:rsidR="007B2985" w:rsidRPr="00896FA9" w:rsidRDefault="007B2985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1B4185F5" w14:textId="77777777" w:rsidR="007B2985" w:rsidRPr="00896FA9" w:rsidRDefault="007B2985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3BBCD5B5" w14:textId="77777777" w:rsidR="007B2985" w:rsidRPr="00896FA9" w:rsidRDefault="007B2985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65F4217" w14:textId="77777777" w:rsidR="007B2985" w:rsidRPr="00896FA9" w:rsidRDefault="007B2985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6FA9">
              <w:rPr>
                <w:rFonts w:asciiTheme="majorBidi" w:hAnsiTheme="majorBidi" w:cstheme="majorBidi"/>
                <w:sz w:val="16"/>
                <w:szCs w:val="16"/>
              </w:rPr>
              <w:t>OP7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1F77552F" w14:textId="77777777" w:rsidR="007B2985" w:rsidRPr="00896FA9" w:rsidRDefault="007B2985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00BA3F9" w14:textId="77777777" w:rsidR="007B2985" w:rsidRPr="00896FA9" w:rsidRDefault="007B2985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99E4E44" w14:textId="77777777" w:rsidR="007B2985" w:rsidRPr="00896FA9" w:rsidRDefault="007B2985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6FA9">
              <w:rPr>
                <w:rFonts w:asciiTheme="majorBidi" w:hAnsiTheme="majorBidi" w:cstheme="majorBidi"/>
                <w:sz w:val="16"/>
                <w:szCs w:val="16"/>
              </w:rPr>
              <w:t>3106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2D5321" w14:textId="77777777" w:rsidR="007B2985" w:rsidRPr="00896FA9" w:rsidRDefault="007B2985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B2985" w:rsidRPr="00D4462B" w14:paraId="5C830035" w14:textId="77777777" w:rsidTr="00896FA9">
        <w:trPr>
          <w:trHeight w:val="114"/>
        </w:trPr>
        <w:tc>
          <w:tcPr>
            <w:tcW w:w="1980" w:type="dxa"/>
            <w:shd w:val="clear" w:color="auto" w:fill="auto"/>
            <w:vAlign w:val="center"/>
          </w:tcPr>
          <w:p w14:paraId="0E34EE96" w14:textId="77777777" w:rsidR="007B2985" w:rsidRPr="00896FA9" w:rsidRDefault="007B2985" w:rsidP="00896FA9">
            <w:pPr>
              <w:spacing w:before="40" w:after="4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96FA9">
              <w:rPr>
                <w:rFonts w:asciiTheme="majorBidi" w:hAnsiTheme="majorBidi" w:cstheme="majorBidi"/>
                <w:sz w:val="16"/>
                <w:szCs w:val="16"/>
              </w:rPr>
              <w:t>ARTESUNATE (Including stereoisomers)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FB1A206" w14:textId="67EA36C4" w:rsidR="007B2985" w:rsidRPr="00896FA9" w:rsidRDefault="00FC3BC8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≤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 </w:t>
            </w:r>
            <w:r w:rsidR="00D4462B">
              <w:rPr>
                <w:rFonts w:asciiTheme="majorBidi" w:hAnsiTheme="majorBidi" w:cstheme="majorBidi"/>
                <w:sz w:val="16"/>
                <w:szCs w:val="16"/>
              </w:rPr>
              <w:t> </w:t>
            </w:r>
            <w:r w:rsidR="007B2985" w:rsidRPr="00896FA9">
              <w:rPr>
                <w:rFonts w:asciiTheme="majorBidi" w:hAnsiTheme="majorBidi" w:cstheme="majorBidi"/>
                <w:sz w:val="16"/>
                <w:szCs w:val="16"/>
              </w:rPr>
              <w:t>100</w:t>
            </w:r>
            <w:proofErr w:type="gramEnd"/>
          </w:p>
        </w:tc>
        <w:tc>
          <w:tcPr>
            <w:tcW w:w="602" w:type="dxa"/>
            <w:shd w:val="clear" w:color="auto" w:fill="auto"/>
            <w:vAlign w:val="center"/>
          </w:tcPr>
          <w:p w14:paraId="7CA17620" w14:textId="77777777" w:rsidR="007B2985" w:rsidRPr="00896FA9" w:rsidRDefault="007B2985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593DA16F" w14:textId="77777777" w:rsidR="007B2985" w:rsidRPr="00896FA9" w:rsidRDefault="007B2985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2C670A40" w14:textId="77777777" w:rsidR="007B2985" w:rsidRPr="00896FA9" w:rsidRDefault="007B2985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0800F472" w14:textId="77777777" w:rsidR="007B2985" w:rsidRPr="00896FA9" w:rsidRDefault="007B2985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AE7FEC" w14:textId="77777777" w:rsidR="007B2985" w:rsidRPr="00896FA9" w:rsidRDefault="007B2985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6FA9">
              <w:rPr>
                <w:rFonts w:asciiTheme="majorBidi" w:hAnsiTheme="majorBidi" w:cstheme="majorBidi"/>
                <w:sz w:val="16"/>
                <w:szCs w:val="16"/>
              </w:rPr>
              <w:t>OP7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6C6E57A6" w14:textId="77777777" w:rsidR="007B2985" w:rsidRPr="00896FA9" w:rsidRDefault="007B2985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6025701E" w14:textId="77777777" w:rsidR="007B2985" w:rsidRPr="00896FA9" w:rsidRDefault="007B2985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74B0FA2" w14:textId="77777777" w:rsidR="007B2985" w:rsidRPr="00896FA9" w:rsidRDefault="007B2985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6FA9">
              <w:rPr>
                <w:rFonts w:asciiTheme="majorBidi" w:hAnsiTheme="majorBidi" w:cstheme="majorBidi"/>
                <w:sz w:val="16"/>
                <w:szCs w:val="16"/>
              </w:rPr>
              <w:t>3106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A3806F" w14:textId="77777777" w:rsidR="007B2985" w:rsidRPr="00896FA9" w:rsidRDefault="007B2985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B2985" w:rsidRPr="00D4462B" w14:paraId="2002E4FE" w14:textId="77777777" w:rsidTr="00896FA9">
        <w:trPr>
          <w:trHeight w:val="234"/>
        </w:trPr>
        <w:tc>
          <w:tcPr>
            <w:tcW w:w="1980" w:type="dxa"/>
            <w:shd w:val="clear" w:color="auto" w:fill="auto"/>
            <w:vAlign w:val="center"/>
          </w:tcPr>
          <w:p w14:paraId="28ABE1F3" w14:textId="77777777" w:rsidR="007B2985" w:rsidRPr="00896FA9" w:rsidRDefault="007B2985" w:rsidP="00896FA9">
            <w:pPr>
              <w:spacing w:before="40" w:after="4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96FA9">
              <w:rPr>
                <w:rFonts w:asciiTheme="majorBidi" w:hAnsiTheme="majorBidi" w:cstheme="majorBidi"/>
                <w:sz w:val="16"/>
                <w:szCs w:val="16"/>
              </w:rPr>
              <w:t>DIHYDROARTEMISININ (Including stereoisomers)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6507E1F2" w14:textId="66E216BB" w:rsidR="007B2985" w:rsidRPr="00896FA9" w:rsidRDefault="00FC3BC8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≤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 </w:t>
            </w:r>
            <w:r w:rsidR="00D4462B">
              <w:rPr>
                <w:rFonts w:asciiTheme="majorBidi" w:hAnsiTheme="majorBidi" w:cstheme="majorBidi"/>
                <w:sz w:val="16"/>
                <w:szCs w:val="16"/>
              </w:rPr>
              <w:t> </w:t>
            </w:r>
            <w:r w:rsidR="007B2985" w:rsidRPr="00896FA9">
              <w:rPr>
                <w:rFonts w:asciiTheme="majorBidi" w:hAnsiTheme="majorBidi" w:cstheme="majorBidi"/>
                <w:sz w:val="16"/>
                <w:szCs w:val="16"/>
              </w:rPr>
              <w:t>100</w:t>
            </w:r>
            <w:proofErr w:type="gramEnd"/>
          </w:p>
        </w:tc>
        <w:tc>
          <w:tcPr>
            <w:tcW w:w="602" w:type="dxa"/>
            <w:shd w:val="clear" w:color="auto" w:fill="auto"/>
            <w:vAlign w:val="center"/>
          </w:tcPr>
          <w:p w14:paraId="7A73E35E" w14:textId="77777777" w:rsidR="007B2985" w:rsidRPr="00896FA9" w:rsidRDefault="007B2985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4AE680EA" w14:textId="77777777" w:rsidR="007B2985" w:rsidRPr="00896FA9" w:rsidRDefault="007B2985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07EC5CEA" w14:textId="77777777" w:rsidR="007B2985" w:rsidRPr="00896FA9" w:rsidRDefault="007B2985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11B53090" w14:textId="77777777" w:rsidR="007B2985" w:rsidRPr="00896FA9" w:rsidRDefault="007B2985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F14B696" w14:textId="77777777" w:rsidR="007B2985" w:rsidRPr="00896FA9" w:rsidRDefault="007B2985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6FA9">
              <w:rPr>
                <w:rFonts w:asciiTheme="majorBidi" w:hAnsiTheme="majorBidi" w:cstheme="majorBidi"/>
                <w:sz w:val="16"/>
                <w:szCs w:val="16"/>
              </w:rPr>
              <w:t>OP7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08AD9421" w14:textId="77777777" w:rsidR="007B2985" w:rsidRPr="00896FA9" w:rsidRDefault="007B2985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06185E61" w14:textId="77777777" w:rsidR="007B2985" w:rsidRPr="00896FA9" w:rsidRDefault="007B2985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FE95F0A" w14:textId="77777777" w:rsidR="007B2985" w:rsidRPr="00896FA9" w:rsidRDefault="007B2985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6FA9">
              <w:rPr>
                <w:rFonts w:asciiTheme="majorBidi" w:hAnsiTheme="majorBidi" w:cstheme="majorBidi"/>
                <w:sz w:val="16"/>
                <w:szCs w:val="16"/>
              </w:rPr>
              <w:t>3106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EFFE7D" w14:textId="77777777" w:rsidR="007B2985" w:rsidRPr="00896FA9" w:rsidRDefault="007B2985" w:rsidP="00896FA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14:paraId="2A17A71C" w14:textId="42396C99" w:rsidR="007B2985" w:rsidRPr="00E108DF" w:rsidRDefault="00E108DF" w:rsidP="00E108DF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7B2985" w:rsidRPr="00E108DF" w:rsidSect="004F3685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8A3D3" w14:textId="77777777" w:rsidR="000A6DC9" w:rsidRPr="00C47B2E" w:rsidRDefault="000A6DC9" w:rsidP="00C47B2E">
      <w:pPr>
        <w:pStyle w:val="Footer"/>
      </w:pPr>
    </w:p>
  </w:endnote>
  <w:endnote w:type="continuationSeparator" w:id="0">
    <w:p w14:paraId="0095CA12" w14:textId="77777777" w:rsidR="000A6DC9" w:rsidRPr="00C47B2E" w:rsidRDefault="000A6DC9" w:rsidP="00C47B2E">
      <w:pPr>
        <w:pStyle w:val="Footer"/>
      </w:pPr>
    </w:p>
  </w:endnote>
  <w:endnote w:type="continuationNotice" w:id="1">
    <w:p w14:paraId="7A815362" w14:textId="77777777" w:rsidR="000A6DC9" w:rsidRPr="00C47B2E" w:rsidRDefault="000A6DC9" w:rsidP="00C47B2E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C470" w14:textId="34CE970D" w:rsidR="00D94B05" w:rsidRPr="004F3685" w:rsidRDefault="004F3685" w:rsidP="00D85308">
    <w:pPr>
      <w:pStyle w:val="Footer"/>
      <w:tabs>
        <w:tab w:val="right" w:pos="9639"/>
      </w:tabs>
      <w:rPr>
        <w:sz w:val="18"/>
      </w:rPr>
    </w:pPr>
    <w:r w:rsidRPr="004F3685">
      <w:rPr>
        <w:b/>
        <w:sz w:val="18"/>
      </w:rPr>
      <w:fldChar w:fldCharType="begin"/>
    </w:r>
    <w:r w:rsidRPr="004F3685">
      <w:rPr>
        <w:b/>
        <w:sz w:val="18"/>
      </w:rPr>
      <w:instrText xml:space="preserve"> PAGE  \* MERGEFORMAT </w:instrText>
    </w:r>
    <w:r w:rsidRPr="004F3685">
      <w:rPr>
        <w:b/>
        <w:sz w:val="18"/>
      </w:rPr>
      <w:fldChar w:fldCharType="separate"/>
    </w:r>
    <w:r w:rsidRPr="004F3685">
      <w:rPr>
        <w:b/>
        <w:noProof/>
        <w:sz w:val="18"/>
      </w:rPr>
      <w:t>2</w:t>
    </w:r>
    <w:r w:rsidRPr="004F3685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9D34" w14:textId="532A4EA7" w:rsidR="00D94B05" w:rsidRPr="004F3685" w:rsidRDefault="004F3685" w:rsidP="00D85308">
    <w:pPr>
      <w:pStyle w:val="Footer"/>
      <w:tabs>
        <w:tab w:val="right" w:pos="9639"/>
      </w:tabs>
      <w:rPr>
        <w:b/>
        <w:bCs/>
        <w:sz w:val="18"/>
      </w:rPr>
    </w:pPr>
    <w:r>
      <w:rPr>
        <w:bCs/>
        <w:sz w:val="18"/>
      </w:rPr>
      <w:tab/>
    </w:r>
    <w:r w:rsidRPr="004F3685">
      <w:rPr>
        <w:b/>
        <w:bCs/>
        <w:sz w:val="18"/>
      </w:rPr>
      <w:fldChar w:fldCharType="begin"/>
    </w:r>
    <w:r w:rsidRPr="004F3685">
      <w:rPr>
        <w:b/>
        <w:bCs/>
        <w:sz w:val="18"/>
      </w:rPr>
      <w:instrText xml:space="preserve"> PAGE  \* MERGEFORMAT </w:instrText>
    </w:r>
    <w:r w:rsidRPr="004F3685">
      <w:rPr>
        <w:b/>
        <w:bCs/>
        <w:sz w:val="18"/>
      </w:rPr>
      <w:fldChar w:fldCharType="separate"/>
    </w:r>
    <w:r w:rsidRPr="004F3685">
      <w:rPr>
        <w:b/>
        <w:bCs/>
        <w:noProof/>
        <w:sz w:val="18"/>
      </w:rPr>
      <w:t>3</w:t>
    </w:r>
    <w:r w:rsidRPr="004F3685">
      <w:rPr>
        <w:b/>
        <w:bCs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F883" w14:textId="590147F3" w:rsidR="002554AA" w:rsidRDefault="002554AA" w:rsidP="002554AA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213221ED" wp14:editId="1B4C431D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839A15" w14:textId="7A3EB8FD" w:rsidR="002554AA" w:rsidRPr="002554AA" w:rsidRDefault="002554AA" w:rsidP="002554AA">
    <w:pPr>
      <w:pStyle w:val="Footer"/>
      <w:ind w:right="1134"/>
      <w:rPr>
        <w:sz w:val="20"/>
      </w:rPr>
    </w:pPr>
    <w:r>
      <w:rPr>
        <w:sz w:val="20"/>
      </w:rPr>
      <w:t>GE.24-</w:t>
    </w:r>
    <w:proofErr w:type="gramStart"/>
    <w:r>
      <w:rPr>
        <w:sz w:val="20"/>
      </w:rPr>
      <w:t>16458  (</w:t>
    </w:r>
    <w:proofErr w:type="gramEnd"/>
    <w:r>
      <w:rPr>
        <w:sz w:val="20"/>
      </w:rPr>
      <w:t>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6FD501CD" wp14:editId="6035A018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571500" cy="571500"/>
          <wp:effectExtent l="0" t="0" r="0" b="0"/>
          <wp:wrapNone/>
          <wp:docPr id="10046817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6B18E" w14:textId="77777777" w:rsidR="000A6DC9" w:rsidRPr="00C47B2E" w:rsidRDefault="000A6DC9" w:rsidP="00C47B2E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14:paraId="0ED2EF86" w14:textId="77777777" w:rsidR="000A6DC9" w:rsidRPr="00C47B2E" w:rsidRDefault="000A6DC9" w:rsidP="005E716E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Notice" w:id="1">
    <w:p w14:paraId="04880A84" w14:textId="77777777" w:rsidR="000A6DC9" w:rsidRPr="00C47B2E" w:rsidRDefault="000A6DC9" w:rsidP="00C47B2E">
      <w:pPr>
        <w:pStyle w:val="Footer"/>
      </w:pPr>
    </w:p>
  </w:footnote>
  <w:footnote w:id="2">
    <w:p w14:paraId="745C4AB4" w14:textId="196754D5" w:rsidR="002556CB" w:rsidRPr="00D31B46" w:rsidRDefault="002556CB">
      <w:pPr>
        <w:pStyle w:val="FootnoteText"/>
        <w:rPr>
          <w:lang w:val="fr-CH"/>
        </w:rPr>
      </w:pPr>
      <w:r>
        <w:rPr>
          <w:rStyle w:val="FootnoteReference"/>
        </w:rPr>
        <w:tab/>
      </w:r>
      <w:r w:rsidRPr="00D31B46">
        <w:rPr>
          <w:rStyle w:val="FootnoteReference"/>
          <w:sz w:val="20"/>
          <w:vertAlign w:val="baseline"/>
        </w:rPr>
        <w:t>*</w:t>
      </w:r>
      <w:r>
        <w:rPr>
          <w:rStyle w:val="FootnoteReference"/>
          <w:sz w:val="20"/>
          <w:vertAlign w:val="baseline"/>
        </w:rPr>
        <w:tab/>
      </w:r>
      <w:r w:rsidR="00780F83" w:rsidRPr="00FF76DE">
        <w:rPr>
          <w:szCs w:val="18"/>
        </w:rPr>
        <w:t>A/78/6 (Sect. 20), table 20.5</w:t>
      </w:r>
      <w:r w:rsidR="00780F83">
        <w:rPr>
          <w:szCs w:val="18"/>
        </w:rPr>
        <w:t>.</w:t>
      </w:r>
    </w:p>
  </w:footnote>
  <w:footnote w:id="3">
    <w:p w14:paraId="2271E918" w14:textId="77777777" w:rsidR="007B2985" w:rsidRDefault="007B2985" w:rsidP="007B2985">
      <w:pPr>
        <w:pStyle w:val="FootnoteText"/>
        <w:widowControl w:val="0"/>
        <w:tabs>
          <w:tab w:val="clear" w:pos="1021"/>
          <w:tab w:val="right" w:pos="1020"/>
        </w:tabs>
        <w:suppressAutoHyphens/>
        <w:rPr>
          <w:lang w:val="fr-CH"/>
        </w:rPr>
      </w:pPr>
      <w:r>
        <w:tab/>
      </w:r>
      <w:r>
        <w:rPr>
          <w:rStyle w:val="FootnoteReference"/>
        </w:rPr>
        <w:footnoteRef/>
      </w:r>
      <w:r>
        <w:tab/>
      </w:r>
      <w:hyperlink r:id="rId1" w:history="1">
        <w:r>
          <w:rPr>
            <w:rStyle w:val="Hyperlink"/>
          </w:rPr>
          <w:t>https://unece.org/sites/default/files/2024-06/UN-SCETDG-64-INF40e.pdf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ADF4" w14:textId="427C9071" w:rsidR="004F3685" w:rsidRPr="004F3685" w:rsidRDefault="00380B4F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A7491A">
      <w:t>ST/SG/AC.10/C.3/2024/87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7931" w14:textId="7D5A3724" w:rsidR="00D94B05" w:rsidRPr="004F3685" w:rsidRDefault="00380B4F" w:rsidP="004F3685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A7491A">
      <w:t>ST/SG/AC.10/C.3/2024/87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16172172">
    <w:abstractNumId w:val="5"/>
  </w:num>
  <w:num w:numId="2" w16cid:durableId="1073159890">
    <w:abstractNumId w:val="4"/>
  </w:num>
  <w:num w:numId="3" w16cid:durableId="551188904">
    <w:abstractNumId w:val="0"/>
  </w:num>
  <w:num w:numId="4" w16cid:durableId="44254624">
    <w:abstractNumId w:val="6"/>
  </w:num>
  <w:num w:numId="5" w16cid:durableId="1816027029">
    <w:abstractNumId w:val="7"/>
  </w:num>
  <w:num w:numId="6" w16cid:durableId="1836190579">
    <w:abstractNumId w:val="9"/>
  </w:num>
  <w:num w:numId="7" w16cid:durableId="634676252">
    <w:abstractNumId w:val="3"/>
  </w:num>
  <w:num w:numId="8" w16cid:durableId="1039166836">
    <w:abstractNumId w:val="1"/>
  </w:num>
  <w:num w:numId="9" w16cid:durableId="644969981">
    <w:abstractNumId w:val="8"/>
  </w:num>
  <w:num w:numId="10" w16cid:durableId="525103391">
    <w:abstractNumId w:val="1"/>
  </w:num>
  <w:num w:numId="11" w16cid:durableId="297342166">
    <w:abstractNumId w:val="8"/>
  </w:num>
  <w:num w:numId="12" w16cid:durableId="1280380300">
    <w:abstractNumId w:val="2"/>
  </w:num>
  <w:num w:numId="13" w16cid:durableId="1988699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85"/>
    <w:rsid w:val="00046E92"/>
    <w:rsid w:val="00063C90"/>
    <w:rsid w:val="00070000"/>
    <w:rsid w:val="000A6DC9"/>
    <w:rsid w:val="000C6512"/>
    <w:rsid w:val="000E61B2"/>
    <w:rsid w:val="000E7D65"/>
    <w:rsid w:val="000F3538"/>
    <w:rsid w:val="00101B98"/>
    <w:rsid w:val="00111B4B"/>
    <w:rsid w:val="001300F8"/>
    <w:rsid w:val="001514D1"/>
    <w:rsid w:val="0017563E"/>
    <w:rsid w:val="00177E38"/>
    <w:rsid w:val="00197ADE"/>
    <w:rsid w:val="001D1D1A"/>
    <w:rsid w:val="002144EA"/>
    <w:rsid w:val="00247E2C"/>
    <w:rsid w:val="002554AA"/>
    <w:rsid w:val="002556CB"/>
    <w:rsid w:val="00286DC8"/>
    <w:rsid w:val="002A32CB"/>
    <w:rsid w:val="002D5B2C"/>
    <w:rsid w:val="002D6C53"/>
    <w:rsid w:val="002F5595"/>
    <w:rsid w:val="003108B6"/>
    <w:rsid w:val="00334F6A"/>
    <w:rsid w:val="00342AC8"/>
    <w:rsid w:val="00343302"/>
    <w:rsid w:val="00380B4F"/>
    <w:rsid w:val="003979DE"/>
    <w:rsid w:val="003B0F71"/>
    <w:rsid w:val="003B1248"/>
    <w:rsid w:val="003B4550"/>
    <w:rsid w:val="003C40C3"/>
    <w:rsid w:val="003C4943"/>
    <w:rsid w:val="003D2A18"/>
    <w:rsid w:val="003D3736"/>
    <w:rsid w:val="003D7090"/>
    <w:rsid w:val="003D786B"/>
    <w:rsid w:val="004126C3"/>
    <w:rsid w:val="00413386"/>
    <w:rsid w:val="00461253"/>
    <w:rsid w:val="004858F5"/>
    <w:rsid w:val="004A2814"/>
    <w:rsid w:val="004C0622"/>
    <w:rsid w:val="004F3685"/>
    <w:rsid w:val="004F73D0"/>
    <w:rsid w:val="005042C2"/>
    <w:rsid w:val="005169FC"/>
    <w:rsid w:val="00570BF0"/>
    <w:rsid w:val="005A4A8F"/>
    <w:rsid w:val="005E716E"/>
    <w:rsid w:val="006274A9"/>
    <w:rsid w:val="006476E1"/>
    <w:rsid w:val="006604DF"/>
    <w:rsid w:val="00671529"/>
    <w:rsid w:val="00696C8E"/>
    <w:rsid w:val="006F1EF5"/>
    <w:rsid w:val="0070489D"/>
    <w:rsid w:val="00704DC8"/>
    <w:rsid w:val="007200A1"/>
    <w:rsid w:val="007268F9"/>
    <w:rsid w:val="00750282"/>
    <w:rsid w:val="00764440"/>
    <w:rsid w:val="0077101B"/>
    <w:rsid w:val="00780F83"/>
    <w:rsid w:val="007B2985"/>
    <w:rsid w:val="007C52B0"/>
    <w:rsid w:val="007C6033"/>
    <w:rsid w:val="007C6CA0"/>
    <w:rsid w:val="007E0D02"/>
    <w:rsid w:val="008147C8"/>
    <w:rsid w:val="0081753A"/>
    <w:rsid w:val="00857D23"/>
    <w:rsid w:val="00876418"/>
    <w:rsid w:val="00881999"/>
    <w:rsid w:val="00896FA9"/>
    <w:rsid w:val="008A539B"/>
    <w:rsid w:val="008B6011"/>
    <w:rsid w:val="008D71B9"/>
    <w:rsid w:val="009215EB"/>
    <w:rsid w:val="00927708"/>
    <w:rsid w:val="009411B4"/>
    <w:rsid w:val="00946F1D"/>
    <w:rsid w:val="00990EF2"/>
    <w:rsid w:val="00997B57"/>
    <w:rsid w:val="009A06B2"/>
    <w:rsid w:val="009A0A7F"/>
    <w:rsid w:val="009D0139"/>
    <w:rsid w:val="009D1E22"/>
    <w:rsid w:val="009D717D"/>
    <w:rsid w:val="009F5CDC"/>
    <w:rsid w:val="00A03F84"/>
    <w:rsid w:val="00A072D7"/>
    <w:rsid w:val="00A47E2B"/>
    <w:rsid w:val="00A55A54"/>
    <w:rsid w:val="00A67A88"/>
    <w:rsid w:val="00A7491A"/>
    <w:rsid w:val="00A775CF"/>
    <w:rsid w:val="00A85DEC"/>
    <w:rsid w:val="00AD1A9C"/>
    <w:rsid w:val="00AF5DE1"/>
    <w:rsid w:val="00B06045"/>
    <w:rsid w:val="00B206DD"/>
    <w:rsid w:val="00B52EF4"/>
    <w:rsid w:val="00B777AD"/>
    <w:rsid w:val="00B9376D"/>
    <w:rsid w:val="00BA4469"/>
    <w:rsid w:val="00BF150E"/>
    <w:rsid w:val="00C03015"/>
    <w:rsid w:val="00C0358D"/>
    <w:rsid w:val="00C35A27"/>
    <w:rsid w:val="00C47B2E"/>
    <w:rsid w:val="00C6270A"/>
    <w:rsid w:val="00D14210"/>
    <w:rsid w:val="00D31B46"/>
    <w:rsid w:val="00D4462B"/>
    <w:rsid w:val="00D63CD2"/>
    <w:rsid w:val="00D84E23"/>
    <w:rsid w:val="00D85308"/>
    <w:rsid w:val="00D87DC2"/>
    <w:rsid w:val="00D93887"/>
    <w:rsid w:val="00D94B05"/>
    <w:rsid w:val="00DC7379"/>
    <w:rsid w:val="00DD04FC"/>
    <w:rsid w:val="00DD7B2D"/>
    <w:rsid w:val="00E02C2B"/>
    <w:rsid w:val="00E108DF"/>
    <w:rsid w:val="00E17ED8"/>
    <w:rsid w:val="00E21C27"/>
    <w:rsid w:val="00E26BCF"/>
    <w:rsid w:val="00E52109"/>
    <w:rsid w:val="00E67DE1"/>
    <w:rsid w:val="00E75317"/>
    <w:rsid w:val="00EC0CE6"/>
    <w:rsid w:val="00EC7C1D"/>
    <w:rsid w:val="00ED24F6"/>
    <w:rsid w:val="00ED6C48"/>
    <w:rsid w:val="00EE3045"/>
    <w:rsid w:val="00F26186"/>
    <w:rsid w:val="00F366D3"/>
    <w:rsid w:val="00F65F5D"/>
    <w:rsid w:val="00F86A3A"/>
    <w:rsid w:val="00FA42DA"/>
    <w:rsid w:val="00FB3823"/>
    <w:rsid w:val="00FC3BC8"/>
    <w:rsid w:val="00FE2AC5"/>
    <w:rsid w:val="00FE55A4"/>
    <w:rsid w:val="00FF6F45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6FF15"/>
  <w15:docId w15:val="{50870E4E-5544-4B50-8930-1B63FBEC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379"/>
  </w:style>
  <w:style w:type="paragraph" w:styleId="Heading1">
    <w:name w:val="heading 1"/>
    <w:aliases w:val="Table_G"/>
    <w:basedOn w:val="SingleTxtG"/>
    <w:next w:val="SingleTxtG"/>
    <w:link w:val="Heading1Char"/>
    <w:qFormat/>
    <w:rsid w:val="004A28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4A2814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semiHidden/>
    <w:rsid w:val="004A2814"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semiHidden/>
    <w:rsid w:val="004A2814"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semiHidden/>
    <w:rsid w:val="004A2814"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semiHidden/>
    <w:rsid w:val="004A2814"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4A2814"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4A2814"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4A281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qFormat/>
    <w:rsid w:val="004A281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3B4550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link w:val="FooterChar"/>
    <w:qFormat/>
    <w:rsid w:val="004A2814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247E2C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4A2814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4A2814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uiPriority w:val="99"/>
    <w:qFormat/>
    <w:rsid w:val="004A281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4A28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4A28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4A28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4A28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4A2814"/>
    <w:pPr>
      <w:numPr>
        <w:numId w:val="10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4A2814"/>
    <w:pPr>
      <w:numPr>
        <w:numId w:val="11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FA42DA"/>
    <w:pPr>
      <w:numPr>
        <w:numId w:val="13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  <w:rPr>
      <w:rFonts w:eastAsia="Times New Roman"/>
    </w:rPr>
  </w:style>
  <w:style w:type="numbering" w:styleId="111111">
    <w:name w:val="Outline List 2"/>
    <w:basedOn w:val="NoList"/>
    <w:semiHidden/>
    <w:rsid w:val="007268F9"/>
    <w:pPr>
      <w:numPr>
        <w:numId w:val="5"/>
      </w:numPr>
    </w:pPr>
  </w:style>
  <w:style w:type="numbering" w:styleId="1ai">
    <w:name w:val="Outline List 1"/>
    <w:basedOn w:val="NoList"/>
    <w:semiHidden/>
    <w:rsid w:val="007268F9"/>
    <w:pPr>
      <w:numPr>
        <w:numId w:val="6"/>
      </w:numPr>
    </w:pPr>
  </w:style>
  <w:style w:type="character" w:styleId="EndnoteReference">
    <w:name w:val="endnote reference"/>
    <w:aliases w:val="1_G"/>
    <w:qFormat/>
    <w:rsid w:val="004A281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qFormat/>
    <w:rsid w:val="004A28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qFormat/>
    <w:rsid w:val="00DC7379"/>
    <w:rPr>
      <w:sz w:val="18"/>
    </w:rPr>
  </w:style>
  <w:style w:type="paragraph" w:styleId="EndnoteText">
    <w:name w:val="endnote text"/>
    <w:aliases w:val="2_G"/>
    <w:basedOn w:val="FootnoteText"/>
    <w:link w:val="EndnoteTextChar"/>
    <w:qFormat/>
    <w:rsid w:val="004A2814"/>
  </w:style>
  <w:style w:type="character" w:customStyle="1" w:styleId="EndnoteTextChar">
    <w:name w:val="Endnote Text Char"/>
    <w:aliases w:val="2_G Char"/>
    <w:basedOn w:val="DefaultParagraphFont"/>
    <w:link w:val="EndnoteText"/>
    <w:rsid w:val="007268F9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FootnoteReference">
    <w:name w:val="footnote reference"/>
    <w:aliases w:val="4_G"/>
    <w:qFormat/>
    <w:rsid w:val="004A2814"/>
    <w:rPr>
      <w:rFonts w:ascii="Times New Roman" w:hAnsi="Times New Roman"/>
      <w:sz w:val="18"/>
      <w:vertAlign w:val="superscript"/>
    </w:rPr>
  </w:style>
  <w:style w:type="character" w:customStyle="1" w:styleId="Heading1Char">
    <w:name w:val="Heading 1 Char"/>
    <w:aliases w:val="Table_G Char"/>
    <w:basedOn w:val="DefaultParagraphFont"/>
    <w:link w:val="Heading1"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PageNumber">
    <w:name w:val="page number"/>
    <w:aliases w:val="7_G"/>
    <w:rsid w:val="004A2814"/>
    <w:rPr>
      <w:rFonts w:ascii="Times New Roman" w:hAnsi="Times New Roman"/>
      <w:b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1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109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qFormat/>
    <w:rsid w:val="00EC0CE6"/>
    <w:rPr>
      <w:color w:val="0000FF"/>
      <w:u w:val="none"/>
    </w:rPr>
  </w:style>
  <w:style w:type="character" w:styleId="FollowedHyperlink">
    <w:name w:val="FollowedHyperlink"/>
    <w:basedOn w:val="DefaultParagraphFont"/>
    <w:rsid w:val="00EC0CE6"/>
    <w:rPr>
      <w:color w:val="0000FF"/>
      <w:u w:val="none"/>
    </w:rPr>
  </w:style>
  <w:style w:type="table" w:styleId="TableGrid">
    <w:name w:val="Table Grid"/>
    <w:basedOn w:val="TableNormal"/>
    <w:qFormat/>
    <w:rsid w:val="004A2814"/>
    <w:pPr>
      <w:suppressAutoHyphens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HChGChar">
    <w:name w:val="_ H _Ch_G Char"/>
    <w:link w:val="HChG"/>
    <w:qFormat/>
    <w:locked/>
    <w:rsid w:val="004F3685"/>
    <w:rPr>
      <w:b/>
      <w:sz w:val="28"/>
    </w:rPr>
  </w:style>
  <w:style w:type="character" w:customStyle="1" w:styleId="H1GChar">
    <w:name w:val="_ H_1_G Char"/>
    <w:link w:val="H1G"/>
    <w:qFormat/>
    <w:locked/>
    <w:rsid w:val="004F3685"/>
    <w:rPr>
      <w:b/>
      <w:sz w:val="24"/>
    </w:rPr>
  </w:style>
  <w:style w:type="character" w:customStyle="1" w:styleId="SingleTxtGChar">
    <w:name w:val="_ Single Txt_G Char"/>
    <w:basedOn w:val="DefaultParagraphFont"/>
    <w:link w:val="SingleTxtG"/>
    <w:uiPriority w:val="99"/>
    <w:qFormat/>
    <w:rsid w:val="007B2985"/>
  </w:style>
  <w:style w:type="paragraph" w:styleId="Revision">
    <w:name w:val="Revision"/>
    <w:hidden/>
    <w:uiPriority w:val="99"/>
    <w:semiHidden/>
    <w:rsid w:val="001D1D1A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67D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DE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67D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D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D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nece.org/sites/default/files/2024-06/UN-SCETDG-64-INF40e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inova\United%20Nations\UNOG_DCM-Macros%20-%20UNECE\Templates\ST\SGAC10_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ée un document." ma:contentTypeScope="" ma:versionID="e18bef637d0f1ddca225288e0d432ec3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a115814b681581b4d823fe6aeb4d21e0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96D6C7-A69F-4CC1-9C48-E5514C6CF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0C699A-3081-464D-8175-18FB791049CF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63518F60-7DA2-420D-843C-E28B2BAD87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88B25C-2A11-40B6-A862-2AA5A0C72EA0}"/>
</file>

<file path=docProps/app.xml><?xml version="1.0" encoding="utf-8"?>
<Properties xmlns="http://schemas.openxmlformats.org/officeDocument/2006/extended-properties" xmlns:vt="http://schemas.openxmlformats.org/officeDocument/2006/docPropsVTypes">
  <Template>SGAC10_E.dotm</Template>
  <TotalTime>0</TotalTime>
  <Pages>3</Pages>
  <Words>752</Words>
  <Characters>5162</Characters>
  <Application>Microsoft Office Word</Application>
  <DocSecurity>0</DocSecurity>
  <Lines>257</Lines>
  <Paragraphs>104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ST/SG/AC.10/C.3/2024/87</vt:lpstr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ST/SG/AC.10/C.3/2024/87</dc:title>
  <dc:subject>2416458</dc:subject>
  <dc:creator>Anastasia Barinova</dc:creator>
  <cp:keywords/>
  <dc:description/>
  <cp:lastModifiedBy>Pauline Anne Escalante</cp:lastModifiedBy>
  <cp:revision>2</cp:revision>
  <dcterms:created xsi:type="dcterms:W3CDTF">2024-09-12T12:19:00Z</dcterms:created>
  <dcterms:modified xsi:type="dcterms:W3CDTF">2024-09-12T12:19:00Z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