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75D19" w14:paraId="0562FDC4" w14:textId="77777777" w:rsidTr="00F01738">
        <w:trPr>
          <w:trHeight w:hRule="exact" w:val="851"/>
        </w:trPr>
        <w:tc>
          <w:tcPr>
            <w:tcW w:w="1276" w:type="dxa"/>
            <w:tcBorders>
              <w:bottom w:val="single" w:sz="4" w:space="0" w:color="auto"/>
            </w:tcBorders>
          </w:tcPr>
          <w:p w14:paraId="220A5D5E" w14:textId="77777777" w:rsidR="00132EA9" w:rsidRPr="00D75D19" w:rsidRDefault="00132EA9" w:rsidP="00530EA8">
            <w:pPr>
              <w:rPr>
                <w:lang w:val="fr-FR"/>
              </w:rPr>
            </w:pPr>
          </w:p>
        </w:tc>
        <w:tc>
          <w:tcPr>
            <w:tcW w:w="2268" w:type="dxa"/>
            <w:tcBorders>
              <w:bottom w:val="single" w:sz="4" w:space="0" w:color="auto"/>
            </w:tcBorders>
            <w:vAlign w:val="bottom"/>
          </w:tcPr>
          <w:p w14:paraId="02ACA3CA" w14:textId="77777777" w:rsidR="00132EA9" w:rsidRPr="00D75D19" w:rsidRDefault="00132EA9" w:rsidP="00F01738">
            <w:pPr>
              <w:spacing w:after="80" w:line="300" w:lineRule="exact"/>
              <w:rPr>
                <w:sz w:val="28"/>
                <w:lang w:val="fr-FR"/>
              </w:rPr>
            </w:pPr>
            <w:r w:rsidRPr="00D75D19">
              <w:rPr>
                <w:sz w:val="28"/>
                <w:lang w:val="fr-FR"/>
              </w:rPr>
              <w:t>Nations Unies</w:t>
            </w:r>
          </w:p>
        </w:tc>
        <w:tc>
          <w:tcPr>
            <w:tcW w:w="6095" w:type="dxa"/>
            <w:gridSpan w:val="2"/>
            <w:tcBorders>
              <w:bottom w:val="single" w:sz="4" w:space="0" w:color="auto"/>
            </w:tcBorders>
            <w:vAlign w:val="bottom"/>
          </w:tcPr>
          <w:p w14:paraId="34142F2F" w14:textId="6A59961C" w:rsidR="00530EA8" w:rsidRPr="00D75D19" w:rsidRDefault="00530EA8" w:rsidP="00530EA8">
            <w:pPr>
              <w:jc w:val="right"/>
              <w:rPr>
                <w:lang w:val="fr-FR"/>
              </w:rPr>
            </w:pPr>
            <w:r w:rsidRPr="00D75D19">
              <w:rPr>
                <w:sz w:val="40"/>
                <w:lang w:val="fr-FR"/>
              </w:rPr>
              <w:t>ST</w:t>
            </w:r>
            <w:r w:rsidRPr="00D75D19">
              <w:rPr>
                <w:lang w:val="fr-FR"/>
              </w:rPr>
              <w:t>/SG/AC</w:t>
            </w:r>
            <w:r w:rsidR="00E2610D" w:rsidRPr="00D75D19">
              <w:rPr>
                <w:lang w:val="fr-FR"/>
              </w:rPr>
              <w:t>.</w:t>
            </w:r>
            <w:r w:rsidRPr="00D75D19">
              <w:rPr>
                <w:lang w:val="fr-FR"/>
              </w:rPr>
              <w:t>10/C</w:t>
            </w:r>
            <w:r w:rsidR="00E2610D" w:rsidRPr="00D75D19">
              <w:rPr>
                <w:lang w:val="fr-FR"/>
              </w:rPr>
              <w:t>.</w:t>
            </w:r>
            <w:r w:rsidRPr="00D75D19">
              <w:rPr>
                <w:lang w:val="fr-FR"/>
              </w:rPr>
              <w:t>3/2024/69−</w:t>
            </w:r>
            <w:r w:rsidRPr="00D75D19">
              <w:rPr>
                <w:sz w:val="40"/>
                <w:lang w:val="fr-FR"/>
              </w:rPr>
              <w:t>ST</w:t>
            </w:r>
            <w:r w:rsidRPr="00D75D19">
              <w:rPr>
                <w:lang w:val="fr-FR"/>
              </w:rPr>
              <w:t>/SG/AC</w:t>
            </w:r>
            <w:r w:rsidR="00E2610D" w:rsidRPr="00D75D19">
              <w:rPr>
                <w:lang w:val="fr-FR"/>
              </w:rPr>
              <w:t>.</w:t>
            </w:r>
            <w:r w:rsidRPr="00D75D19">
              <w:rPr>
                <w:lang w:val="fr-FR"/>
              </w:rPr>
              <w:t>10/C</w:t>
            </w:r>
            <w:r w:rsidR="00E2610D" w:rsidRPr="00D75D19">
              <w:rPr>
                <w:lang w:val="fr-FR"/>
              </w:rPr>
              <w:t>.</w:t>
            </w:r>
            <w:r w:rsidRPr="00D75D19">
              <w:rPr>
                <w:lang w:val="fr-FR"/>
              </w:rPr>
              <w:t>4/2024/12</w:t>
            </w:r>
          </w:p>
        </w:tc>
      </w:tr>
      <w:tr w:rsidR="00132EA9" w:rsidRPr="00D75D19" w14:paraId="3D38D92C" w14:textId="77777777" w:rsidTr="00F01738">
        <w:trPr>
          <w:trHeight w:hRule="exact" w:val="2835"/>
        </w:trPr>
        <w:tc>
          <w:tcPr>
            <w:tcW w:w="1276" w:type="dxa"/>
            <w:tcBorders>
              <w:top w:val="single" w:sz="4" w:space="0" w:color="auto"/>
              <w:bottom w:val="single" w:sz="12" w:space="0" w:color="auto"/>
            </w:tcBorders>
          </w:tcPr>
          <w:p w14:paraId="41ADEA98" w14:textId="77777777" w:rsidR="00132EA9" w:rsidRPr="00D75D19" w:rsidRDefault="00132EA9" w:rsidP="00F01738">
            <w:pPr>
              <w:spacing w:before="120"/>
              <w:jc w:val="center"/>
              <w:rPr>
                <w:lang w:val="fr-FR"/>
              </w:rPr>
            </w:pPr>
            <w:r w:rsidRPr="00D75D19">
              <w:rPr>
                <w:noProof/>
                <w:lang w:val="fr-FR" w:eastAsia="fr-CH"/>
              </w:rPr>
              <w:drawing>
                <wp:inline distT="0" distB="0" distL="0" distR="0" wp14:anchorId="75520CA5" wp14:editId="67BC18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80DB15E" w14:textId="77777777" w:rsidR="00132EA9" w:rsidRPr="00D75D19" w:rsidRDefault="00132EA9" w:rsidP="00F01738">
            <w:pPr>
              <w:spacing w:before="120" w:line="420" w:lineRule="exact"/>
              <w:rPr>
                <w:b/>
                <w:sz w:val="40"/>
                <w:szCs w:val="40"/>
                <w:lang w:val="fr-FR"/>
              </w:rPr>
            </w:pPr>
            <w:r w:rsidRPr="00D75D19">
              <w:rPr>
                <w:b/>
                <w:sz w:val="40"/>
                <w:szCs w:val="40"/>
                <w:lang w:val="fr-FR"/>
              </w:rPr>
              <w:t>Secrétariat</w:t>
            </w:r>
          </w:p>
        </w:tc>
        <w:tc>
          <w:tcPr>
            <w:tcW w:w="2835" w:type="dxa"/>
            <w:tcBorders>
              <w:top w:val="single" w:sz="4" w:space="0" w:color="auto"/>
              <w:bottom w:val="single" w:sz="12" w:space="0" w:color="auto"/>
            </w:tcBorders>
          </w:tcPr>
          <w:p w14:paraId="505A4F6B" w14:textId="0B9BE765" w:rsidR="00132EA9" w:rsidRPr="00D75D19" w:rsidRDefault="00530EA8" w:rsidP="00F01738">
            <w:pPr>
              <w:spacing w:before="240"/>
              <w:rPr>
                <w:lang w:val="fr-FR"/>
              </w:rPr>
            </w:pPr>
            <w:r w:rsidRPr="00D75D19">
              <w:rPr>
                <w:lang w:val="fr-FR"/>
              </w:rPr>
              <w:t>Distr</w:t>
            </w:r>
            <w:r w:rsidR="00E2610D" w:rsidRPr="00D75D19">
              <w:rPr>
                <w:lang w:val="fr-FR"/>
              </w:rPr>
              <w:t>.</w:t>
            </w:r>
            <w:r w:rsidRPr="00D75D19">
              <w:rPr>
                <w:lang w:val="fr-FR"/>
              </w:rPr>
              <w:t xml:space="preserve"> générale</w:t>
            </w:r>
          </w:p>
          <w:p w14:paraId="33A5A7C5" w14:textId="77777777" w:rsidR="00530EA8" w:rsidRPr="00D75D19" w:rsidRDefault="00530EA8" w:rsidP="00530EA8">
            <w:pPr>
              <w:spacing w:line="240" w:lineRule="exact"/>
              <w:rPr>
                <w:lang w:val="fr-FR"/>
              </w:rPr>
            </w:pPr>
            <w:r w:rsidRPr="00D75D19">
              <w:rPr>
                <w:lang w:val="fr-FR"/>
              </w:rPr>
              <w:t>5 septembre 2024</w:t>
            </w:r>
          </w:p>
          <w:p w14:paraId="7521F99E" w14:textId="77777777" w:rsidR="00530EA8" w:rsidRPr="00D75D19" w:rsidRDefault="00530EA8" w:rsidP="00530EA8">
            <w:pPr>
              <w:spacing w:line="240" w:lineRule="exact"/>
              <w:rPr>
                <w:lang w:val="fr-FR"/>
              </w:rPr>
            </w:pPr>
            <w:r w:rsidRPr="00D75D19">
              <w:rPr>
                <w:lang w:val="fr-FR"/>
              </w:rPr>
              <w:t>Français</w:t>
            </w:r>
          </w:p>
          <w:p w14:paraId="3372266C" w14:textId="4E3C1AFE" w:rsidR="00530EA8" w:rsidRPr="00D75D19" w:rsidRDefault="00530EA8" w:rsidP="00530EA8">
            <w:pPr>
              <w:spacing w:line="240" w:lineRule="exact"/>
              <w:rPr>
                <w:lang w:val="fr-FR"/>
              </w:rPr>
            </w:pPr>
            <w:r w:rsidRPr="00D75D19">
              <w:rPr>
                <w:lang w:val="fr-FR"/>
              </w:rPr>
              <w:t>Original</w:t>
            </w:r>
            <w:r w:rsidR="00BD62BD" w:rsidRPr="00D75D19">
              <w:rPr>
                <w:lang w:val="fr-FR"/>
              </w:rPr>
              <w:t> :</w:t>
            </w:r>
            <w:r w:rsidRPr="00D75D19">
              <w:rPr>
                <w:lang w:val="fr-FR"/>
              </w:rPr>
              <w:t xml:space="preserve"> anglais</w:t>
            </w:r>
          </w:p>
        </w:tc>
      </w:tr>
    </w:tbl>
    <w:p w14:paraId="48F041F4" w14:textId="03EA62BC" w:rsidR="00530EA8" w:rsidRPr="00D75D19" w:rsidRDefault="000F5E17" w:rsidP="00FF62BE">
      <w:pPr>
        <w:spacing w:before="120" w:after="120"/>
        <w:ind w:right="2975"/>
        <w:rPr>
          <w:sz w:val="24"/>
          <w:szCs w:val="24"/>
          <w:lang w:val="fr-FR"/>
        </w:rPr>
      </w:pPr>
      <w:r w:rsidRPr="00D75D19">
        <w:rPr>
          <w:b/>
          <w:bCs/>
          <w:sz w:val="24"/>
          <w:szCs w:val="24"/>
          <w:lang w:val="fr-FR"/>
        </w:rPr>
        <w:t>Comité d</w:t>
      </w:r>
      <w:r w:rsidR="00BD62BD" w:rsidRPr="00D75D19">
        <w:rPr>
          <w:b/>
          <w:bCs/>
          <w:sz w:val="24"/>
          <w:szCs w:val="24"/>
          <w:lang w:val="fr-FR"/>
        </w:rPr>
        <w:t>’</w:t>
      </w:r>
      <w:r w:rsidRPr="00D75D19">
        <w:rPr>
          <w:b/>
          <w:bCs/>
          <w:sz w:val="24"/>
          <w:szCs w:val="24"/>
          <w:lang w:val="fr-FR"/>
        </w:rPr>
        <w:t>experts du transport des marchandises dangereuses et</w:t>
      </w:r>
      <w:r w:rsidR="00FF62BE" w:rsidRPr="00D75D19">
        <w:rPr>
          <w:b/>
          <w:bCs/>
          <w:sz w:val="24"/>
          <w:szCs w:val="24"/>
          <w:lang w:val="fr-FR"/>
        </w:rPr>
        <w:t> </w:t>
      </w:r>
      <w:r w:rsidRPr="00D75D19">
        <w:rPr>
          <w:b/>
          <w:bCs/>
          <w:sz w:val="24"/>
          <w:szCs w:val="24"/>
          <w:lang w:val="fr-FR"/>
        </w:rPr>
        <w:t xml:space="preserve">du Système général harmonisé de classification </w:t>
      </w:r>
      <w:r w:rsidR="00FF62BE" w:rsidRPr="00D75D19">
        <w:rPr>
          <w:b/>
          <w:bCs/>
          <w:sz w:val="24"/>
          <w:szCs w:val="24"/>
          <w:lang w:val="fr-FR"/>
        </w:rPr>
        <w:br/>
      </w:r>
      <w:r w:rsidRPr="00D75D19">
        <w:rPr>
          <w:b/>
          <w:bCs/>
          <w:sz w:val="24"/>
          <w:szCs w:val="24"/>
          <w:lang w:val="fr-FR"/>
        </w:rPr>
        <w:t>et d</w:t>
      </w:r>
      <w:r w:rsidR="00BD62BD" w:rsidRPr="00D75D19">
        <w:rPr>
          <w:b/>
          <w:bCs/>
          <w:sz w:val="24"/>
          <w:szCs w:val="24"/>
          <w:lang w:val="fr-FR"/>
        </w:rPr>
        <w:t>’</w:t>
      </w:r>
      <w:r w:rsidRPr="00D75D19">
        <w:rPr>
          <w:b/>
          <w:bCs/>
          <w:sz w:val="24"/>
          <w:szCs w:val="24"/>
          <w:lang w:val="fr-FR"/>
        </w:rPr>
        <w:t>étiquetage des produits chimiques</w:t>
      </w:r>
    </w:p>
    <w:tbl>
      <w:tblPr>
        <w:tblW w:w="9639" w:type="dxa"/>
        <w:tblLayout w:type="fixed"/>
        <w:tblCellMar>
          <w:left w:w="0" w:type="dxa"/>
          <w:right w:w="0" w:type="dxa"/>
        </w:tblCellMar>
        <w:tblLook w:val="01E0" w:firstRow="1" w:lastRow="1" w:firstColumn="1" w:lastColumn="1" w:noHBand="0" w:noVBand="0"/>
      </w:tblPr>
      <w:tblGrid>
        <w:gridCol w:w="4593"/>
        <w:gridCol w:w="5046"/>
      </w:tblGrid>
      <w:tr w:rsidR="00EC1CE6" w:rsidRPr="00D75D19" w14:paraId="1F6DE97A" w14:textId="77777777" w:rsidTr="009B4C90">
        <w:tc>
          <w:tcPr>
            <w:tcW w:w="4593" w:type="dxa"/>
            <w:shd w:val="clear" w:color="auto" w:fill="auto"/>
          </w:tcPr>
          <w:p w14:paraId="2F70C488" w14:textId="456493C4" w:rsidR="00EC1CE6" w:rsidRPr="00D75D19" w:rsidRDefault="00EC1CE6" w:rsidP="00C9035C">
            <w:pPr>
              <w:spacing w:after="120"/>
              <w:rPr>
                <w:b/>
                <w:lang w:val="fr-FR"/>
              </w:rPr>
            </w:pPr>
            <w:r w:rsidRPr="00D75D19">
              <w:rPr>
                <w:b/>
                <w:bCs/>
                <w:lang w:val="fr-FR"/>
              </w:rPr>
              <w:t>Sous-Comité d</w:t>
            </w:r>
            <w:r w:rsidR="00BD62BD" w:rsidRPr="00D75D19">
              <w:rPr>
                <w:b/>
                <w:bCs/>
                <w:lang w:val="fr-FR"/>
              </w:rPr>
              <w:t>’</w:t>
            </w:r>
            <w:r w:rsidRPr="00D75D19">
              <w:rPr>
                <w:b/>
                <w:bCs/>
                <w:lang w:val="fr-FR"/>
              </w:rPr>
              <w:t>experts du transport des</w:t>
            </w:r>
            <w:r w:rsidR="00FF62BE" w:rsidRPr="00D75D19">
              <w:rPr>
                <w:b/>
                <w:bCs/>
                <w:lang w:val="fr-FR"/>
              </w:rPr>
              <w:t> </w:t>
            </w:r>
            <w:r w:rsidRPr="00D75D19">
              <w:rPr>
                <w:b/>
                <w:bCs/>
                <w:lang w:val="fr-FR"/>
              </w:rPr>
              <w:t>marchandises dangereuses</w:t>
            </w:r>
          </w:p>
        </w:tc>
        <w:tc>
          <w:tcPr>
            <w:tcW w:w="5046" w:type="dxa"/>
            <w:shd w:val="clear" w:color="auto" w:fill="auto"/>
          </w:tcPr>
          <w:p w14:paraId="143063B6" w14:textId="1507BF28" w:rsidR="00EC1CE6" w:rsidRPr="00D75D19" w:rsidRDefault="00EC1CE6" w:rsidP="00077FB7">
            <w:pPr>
              <w:rPr>
                <w:b/>
                <w:lang w:val="fr-FR"/>
              </w:rPr>
            </w:pPr>
            <w:r w:rsidRPr="00D75D19">
              <w:rPr>
                <w:b/>
                <w:bCs/>
                <w:lang w:val="fr-FR"/>
              </w:rPr>
              <w:t>Sous-Comité d</w:t>
            </w:r>
            <w:r w:rsidR="00BD62BD" w:rsidRPr="00D75D19">
              <w:rPr>
                <w:b/>
                <w:bCs/>
                <w:lang w:val="fr-FR"/>
              </w:rPr>
              <w:t>’</w:t>
            </w:r>
            <w:r w:rsidRPr="00D75D19">
              <w:rPr>
                <w:b/>
                <w:bCs/>
                <w:lang w:val="fr-FR"/>
              </w:rPr>
              <w:t>experts du Système général harmonisé de</w:t>
            </w:r>
            <w:r w:rsidR="00FF62BE" w:rsidRPr="00D75D19">
              <w:rPr>
                <w:b/>
                <w:bCs/>
                <w:lang w:val="fr-FR"/>
              </w:rPr>
              <w:t> </w:t>
            </w:r>
            <w:r w:rsidRPr="00D75D19">
              <w:rPr>
                <w:b/>
                <w:bCs/>
                <w:lang w:val="fr-FR"/>
              </w:rPr>
              <w:t>classification et d</w:t>
            </w:r>
            <w:r w:rsidR="00BD62BD" w:rsidRPr="00D75D19">
              <w:rPr>
                <w:b/>
                <w:bCs/>
                <w:lang w:val="fr-FR"/>
              </w:rPr>
              <w:t>’</w:t>
            </w:r>
            <w:r w:rsidRPr="00D75D19">
              <w:rPr>
                <w:b/>
                <w:bCs/>
                <w:lang w:val="fr-FR"/>
              </w:rPr>
              <w:t>étiquetage des produits chimiques</w:t>
            </w:r>
          </w:p>
        </w:tc>
      </w:tr>
      <w:tr w:rsidR="00EC1CE6" w:rsidRPr="00D75D19" w14:paraId="0B3FEB4F" w14:textId="77777777" w:rsidTr="009B4C90">
        <w:tc>
          <w:tcPr>
            <w:tcW w:w="4593" w:type="dxa"/>
            <w:shd w:val="clear" w:color="auto" w:fill="auto"/>
          </w:tcPr>
          <w:p w14:paraId="56A2B52D" w14:textId="77777777" w:rsidR="00EC1CE6" w:rsidRPr="00D75D19" w:rsidRDefault="00EC1CE6" w:rsidP="00077FB7">
            <w:pPr>
              <w:rPr>
                <w:b/>
                <w:lang w:val="fr-FR"/>
              </w:rPr>
            </w:pPr>
            <w:r w:rsidRPr="00D75D19">
              <w:rPr>
                <w:b/>
                <w:bCs/>
                <w:lang w:val="fr-FR"/>
              </w:rPr>
              <w:t>Soixante-cinquième session</w:t>
            </w:r>
          </w:p>
        </w:tc>
        <w:tc>
          <w:tcPr>
            <w:tcW w:w="5046" w:type="dxa"/>
            <w:shd w:val="clear" w:color="auto" w:fill="auto"/>
          </w:tcPr>
          <w:p w14:paraId="3B0D609B" w14:textId="77777777" w:rsidR="00EC1CE6" w:rsidRPr="00D75D19" w:rsidRDefault="00EC1CE6" w:rsidP="00077FB7">
            <w:pPr>
              <w:rPr>
                <w:b/>
                <w:lang w:val="fr-FR"/>
              </w:rPr>
            </w:pPr>
            <w:r w:rsidRPr="00D75D19">
              <w:rPr>
                <w:b/>
                <w:bCs/>
                <w:lang w:val="fr-FR"/>
              </w:rPr>
              <w:t>Quarante-septième session</w:t>
            </w:r>
          </w:p>
        </w:tc>
      </w:tr>
      <w:tr w:rsidR="00EC1CE6" w:rsidRPr="00D75D19" w14:paraId="034FB86C" w14:textId="77777777" w:rsidTr="009B4C90">
        <w:tc>
          <w:tcPr>
            <w:tcW w:w="4593" w:type="dxa"/>
            <w:shd w:val="clear" w:color="auto" w:fill="auto"/>
          </w:tcPr>
          <w:p w14:paraId="2E32F6BD" w14:textId="60A8B679" w:rsidR="00EC1CE6" w:rsidRPr="00D75D19" w:rsidRDefault="00EC1CE6" w:rsidP="00077FB7">
            <w:pPr>
              <w:rPr>
                <w:b/>
                <w:lang w:val="fr-FR"/>
              </w:rPr>
            </w:pPr>
            <w:r w:rsidRPr="00D75D19">
              <w:rPr>
                <w:lang w:val="fr-FR"/>
              </w:rPr>
              <w:t>Genève, 25 novembre-3 décembre 2024</w:t>
            </w:r>
          </w:p>
        </w:tc>
        <w:tc>
          <w:tcPr>
            <w:tcW w:w="5046" w:type="dxa"/>
            <w:shd w:val="clear" w:color="auto" w:fill="auto"/>
          </w:tcPr>
          <w:p w14:paraId="74307D9C" w14:textId="77777777" w:rsidR="00EC1CE6" w:rsidRPr="00D75D19" w:rsidRDefault="00EC1CE6" w:rsidP="00077FB7">
            <w:pPr>
              <w:rPr>
                <w:b/>
                <w:lang w:val="fr-FR"/>
              </w:rPr>
            </w:pPr>
            <w:r w:rsidRPr="00D75D19">
              <w:rPr>
                <w:lang w:val="fr-FR"/>
              </w:rPr>
              <w:t>Genève, 4-6 décembre 2024</w:t>
            </w:r>
          </w:p>
        </w:tc>
      </w:tr>
      <w:tr w:rsidR="00EC1CE6" w:rsidRPr="00D75D19" w14:paraId="7C2B1883" w14:textId="77777777" w:rsidTr="009B4C90">
        <w:tc>
          <w:tcPr>
            <w:tcW w:w="4593" w:type="dxa"/>
            <w:shd w:val="clear" w:color="auto" w:fill="auto"/>
          </w:tcPr>
          <w:p w14:paraId="2462A655" w14:textId="71E33056" w:rsidR="00EC1CE6" w:rsidRPr="00D75D19" w:rsidRDefault="00EC1CE6" w:rsidP="00077FB7">
            <w:pPr>
              <w:rPr>
                <w:lang w:val="fr-FR"/>
              </w:rPr>
            </w:pPr>
            <w:r w:rsidRPr="00D75D19">
              <w:rPr>
                <w:lang w:val="fr-FR"/>
              </w:rPr>
              <w:t>Point 10 c) de l</w:t>
            </w:r>
            <w:r w:rsidR="00BD62BD" w:rsidRPr="00D75D19">
              <w:rPr>
                <w:lang w:val="fr-FR"/>
              </w:rPr>
              <w:t>’</w:t>
            </w:r>
            <w:r w:rsidRPr="00D75D19">
              <w:rPr>
                <w:lang w:val="fr-FR"/>
              </w:rPr>
              <w:t>ordre du jour provisoire</w:t>
            </w:r>
          </w:p>
        </w:tc>
        <w:tc>
          <w:tcPr>
            <w:tcW w:w="5046" w:type="dxa"/>
            <w:shd w:val="clear" w:color="auto" w:fill="auto"/>
          </w:tcPr>
          <w:p w14:paraId="7793CCF7" w14:textId="41612A3A" w:rsidR="00EC1CE6" w:rsidRPr="00D75D19" w:rsidRDefault="00EC1CE6" w:rsidP="00077FB7">
            <w:pPr>
              <w:rPr>
                <w:lang w:val="fr-FR"/>
              </w:rPr>
            </w:pPr>
            <w:r w:rsidRPr="00D75D19">
              <w:rPr>
                <w:lang w:val="fr-FR"/>
              </w:rPr>
              <w:t>Point 2 b) de l</w:t>
            </w:r>
            <w:r w:rsidR="00BD62BD" w:rsidRPr="00D75D19">
              <w:rPr>
                <w:lang w:val="fr-FR"/>
              </w:rPr>
              <w:t>’</w:t>
            </w:r>
            <w:r w:rsidRPr="00D75D19">
              <w:rPr>
                <w:lang w:val="fr-FR"/>
              </w:rPr>
              <w:t>ordre du jour provisoire</w:t>
            </w:r>
          </w:p>
        </w:tc>
      </w:tr>
      <w:tr w:rsidR="00EC1CE6" w:rsidRPr="00D75D19" w14:paraId="33746F11" w14:textId="77777777" w:rsidTr="009B4C90">
        <w:tc>
          <w:tcPr>
            <w:tcW w:w="4593" w:type="dxa"/>
            <w:shd w:val="clear" w:color="auto" w:fill="auto"/>
          </w:tcPr>
          <w:p w14:paraId="1C58524D" w14:textId="0BEA76E6" w:rsidR="00EC1CE6" w:rsidRPr="00D75D19" w:rsidRDefault="00EC1CE6" w:rsidP="00077FB7">
            <w:pPr>
              <w:rPr>
                <w:b/>
                <w:lang w:val="fr-FR"/>
              </w:rPr>
            </w:pPr>
            <w:r w:rsidRPr="00D75D19">
              <w:rPr>
                <w:b/>
                <w:bCs/>
                <w:lang w:val="fr-FR"/>
              </w:rPr>
              <w:t>Questions relatives au Système général harmonisé de</w:t>
            </w:r>
            <w:r w:rsidR="00FF62BE" w:rsidRPr="00D75D19">
              <w:rPr>
                <w:b/>
                <w:bCs/>
                <w:lang w:val="fr-FR"/>
              </w:rPr>
              <w:t> </w:t>
            </w:r>
            <w:r w:rsidRPr="00D75D19">
              <w:rPr>
                <w:b/>
                <w:bCs/>
                <w:lang w:val="fr-FR"/>
              </w:rPr>
              <w:t>classification et d</w:t>
            </w:r>
            <w:r w:rsidR="00BD62BD" w:rsidRPr="00D75D19">
              <w:rPr>
                <w:b/>
                <w:bCs/>
                <w:lang w:val="fr-FR"/>
              </w:rPr>
              <w:t>’</w:t>
            </w:r>
            <w:r w:rsidRPr="00D75D19">
              <w:rPr>
                <w:b/>
                <w:bCs/>
                <w:lang w:val="fr-FR"/>
              </w:rPr>
              <w:t xml:space="preserve">étiquetage </w:t>
            </w:r>
            <w:r w:rsidR="00FF62BE" w:rsidRPr="00D75D19">
              <w:rPr>
                <w:b/>
                <w:bCs/>
                <w:lang w:val="fr-FR"/>
              </w:rPr>
              <w:br/>
            </w:r>
            <w:r w:rsidRPr="00D75D19">
              <w:rPr>
                <w:b/>
                <w:bCs/>
                <w:lang w:val="fr-FR"/>
              </w:rPr>
              <w:t>des produits chimiques</w:t>
            </w:r>
          </w:p>
        </w:tc>
        <w:tc>
          <w:tcPr>
            <w:tcW w:w="5046" w:type="dxa"/>
            <w:shd w:val="clear" w:color="auto" w:fill="auto"/>
          </w:tcPr>
          <w:p w14:paraId="035A1F6E" w14:textId="4060772B" w:rsidR="00EC1CE6" w:rsidRPr="00D75D19" w:rsidRDefault="00EC1CE6" w:rsidP="00077FB7">
            <w:pPr>
              <w:rPr>
                <w:b/>
                <w:lang w:val="fr-FR"/>
              </w:rPr>
            </w:pPr>
            <w:r w:rsidRPr="00D75D19">
              <w:rPr>
                <w:b/>
                <w:bCs/>
                <w:lang w:val="fr-FR"/>
              </w:rPr>
              <w:t>Travaux relatifs au Système général harmonisé de</w:t>
            </w:r>
            <w:r w:rsidR="00FF62BE" w:rsidRPr="00D75D19">
              <w:rPr>
                <w:b/>
                <w:bCs/>
                <w:lang w:val="fr-FR"/>
              </w:rPr>
              <w:t> </w:t>
            </w:r>
            <w:r w:rsidRPr="00D75D19">
              <w:rPr>
                <w:b/>
                <w:bCs/>
                <w:lang w:val="fr-FR"/>
              </w:rPr>
              <w:t>classification et d</w:t>
            </w:r>
            <w:r w:rsidR="00BD62BD" w:rsidRPr="00D75D19">
              <w:rPr>
                <w:b/>
                <w:bCs/>
                <w:lang w:val="fr-FR"/>
              </w:rPr>
              <w:t>’</w:t>
            </w:r>
            <w:r w:rsidRPr="00D75D19">
              <w:rPr>
                <w:b/>
                <w:bCs/>
                <w:lang w:val="fr-FR"/>
              </w:rPr>
              <w:t>étiquetage des produits chimiques</w:t>
            </w:r>
            <w:r w:rsidR="00BD62BD" w:rsidRPr="00D75D19">
              <w:rPr>
                <w:b/>
                <w:bCs/>
                <w:lang w:val="fr-FR"/>
              </w:rPr>
              <w:t> :</w:t>
            </w:r>
            <w:r w:rsidRPr="00D75D19">
              <w:rPr>
                <w:b/>
                <w:bCs/>
                <w:lang w:val="fr-FR"/>
              </w:rPr>
              <w:t xml:space="preserve"> Travaux du Sous-Comité d</w:t>
            </w:r>
            <w:r w:rsidR="00BD62BD" w:rsidRPr="00D75D19">
              <w:rPr>
                <w:b/>
                <w:bCs/>
                <w:lang w:val="fr-FR"/>
              </w:rPr>
              <w:t>’</w:t>
            </w:r>
            <w:r w:rsidRPr="00D75D19">
              <w:rPr>
                <w:b/>
                <w:bCs/>
                <w:lang w:val="fr-FR"/>
              </w:rPr>
              <w:t>experts du transport des</w:t>
            </w:r>
            <w:r w:rsidR="00FF62BE" w:rsidRPr="00D75D19">
              <w:rPr>
                <w:b/>
                <w:bCs/>
                <w:lang w:val="fr-FR"/>
              </w:rPr>
              <w:t> </w:t>
            </w:r>
            <w:r w:rsidRPr="00D75D19">
              <w:rPr>
                <w:b/>
                <w:bCs/>
                <w:lang w:val="fr-FR"/>
              </w:rPr>
              <w:t>marchandises dangereuses sur des questions intéressant le Sous-Comité d</w:t>
            </w:r>
            <w:r w:rsidR="00BD62BD" w:rsidRPr="00D75D19">
              <w:rPr>
                <w:b/>
                <w:bCs/>
                <w:lang w:val="fr-FR"/>
              </w:rPr>
              <w:t>’</w:t>
            </w:r>
            <w:r w:rsidRPr="00D75D19">
              <w:rPr>
                <w:b/>
                <w:bCs/>
                <w:lang w:val="fr-FR"/>
              </w:rPr>
              <w:t xml:space="preserve">experts du Système </w:t>
            </w:r>
            <w:r w:rsidR="003C57D1" w:rsidRPr="00D75D19">
              <w:rPr>
                <w:b/>
                <w:bCs/>
                <w:lang w:val="fr-FR"/>
              </w:rPr>
              <w:br/>
            </w:r>
            <w:r w:rsidRPr="00D75D19">
              <w:rPr>
                <w:rFonts w:ascii="Times New Roman Bold" w:hAnsi="Times New Roman Bold"/>
                <w:b/>
                <w:bCs/>
                <w:spacing w:val="-2"/>
                <w:lang w:val="fr-FR"/>
              </w:rPr>
              <w:t>général harmonisé de classification et d</w:t>
            </w:r>
            <w:r w:rsidR="00BD62BD" w:rsidRPr="00D75D19">
              <w:rPr>
                <w:rFonts w:ascii="Times New Roman Bold" w:hAnsi="Times New Roman Bold"/>
                <w:b/>
                <w:bCs/>
                <w:spacing w:val="-2"/>
                <w:lang w:val="fr-FR"/>
              </w:rPr>
              <w:t>’</w:t>
            </w:r>
            <w:r w:rsidRPr="00D75D19">
              <w:rPr>
                <w:rFonts w:ascii="Times New Roman Bold" w:hAnsi="Times New Roman Bold"/>
                <w:b/>
                <w:bCs/>
                <w:spacing w:val="-2"/>
                <w:lang w:val="fr-FR"/>
              </w:rPr>
              <w:t>étiquetage</w:t>
            </w:r>
            <w:r w:rsidRPr="00D75D19">
              <w:rPr>
                <w:b/>
                <w:bCs/>
                <w:lang w:val="fr-FR"/>
              </w:rPr>
              <w:t xml:space="preserve"> </w:t>
            </w:r>
            <w:r w:rsidR="00906E66" w:rsidRPr="00D75D19">
              <w:rPr>
                <w:b/>
                <w:bCs/>
                <w:lang w:val="fr-FR"/>
              </w:rPr>
              <w:br/>
            </w:r>
            <w:r w:rsidRPr="00D75D19">
              <w:rPr>
                <w:b/>
                <w:bCs/>
                <w:lang w:val="fr-FR"/>
              </w:rPr>
              <w:t>des produits chimiques</w:t>
            </w:r>
          </w:p>
        </w:tc>
      </w:tr>
    </w:tbl>
    <w:p w14:paraId="36C689A8" w14:textId="27ECC904" w:rsidR="009B4C90" w:rsidRPr="00D75D19" w:rsidRDefault="009B4C90" w:rsidP="004A7F2A">
      <w:pPr>
        <w:pStyle w:val="HChG"/>
        <w:rPr>
          <w:lang w:val="fr-FR"/>
        </w:rPr>
      </w:pPr>
      <w:r w:rsidRPr="00D75D19">
        <w:rPr>
          <w:lang w:val="fr-FR"/>
        </w:rPr>
        <w:tab/>
      </w:r>
      <w:r w:rsidRPr="00D75D19">
        <w:rPr>
          <w:lang w:val="fr-FR"/>
        </w:rPr>
        <w:tab/>
        <w:t>Prescriptions d</w:t>
      </w:r>
      <w:r w:rsidR="00BD62BD" w:rsidRPr="00D75D19">
        <w:rPr>
          <w:lang w:val="fr-FR"/>
        </w:rPr>
        <w:t>’</w:t>
      </w:r>
      <w:r w:rsidRPr="00D75D19">
        <w:rPr>
          <w:lang w:val="fr-FR"/>
        </w:rPr>
        <w:t>épreuves pour les matières explosibles énoncées au chapitre 2</w:t>
      </w:r>
      <w:r w:rsidR="00E2610D" w:rsidRPr="00D75D19">
        <w:rPr>
          <w:lang w:val="fr-FR"/>
        </w:rPr>
        <w:t>.</w:t>
      </w:r>
      <w:r w:rsidRPr="00D75D19">
        <w:rPr>
          <w:lang w:val="fr-FR"/>
        </w:rPr>
        <w:t>17 du SGH</w:t>
      </w:r>
      <w:r w:rsidR="00BD62BD" w:rsidRPr="00D75D19">
        <w:rPr>
          <w:lang w:val="fr-FR"/>
        </w:rPr>
        <w:t> :</w:t>
      </w:r>
      <w:r w:rsidRPr="00D75D19">
        <w:rPr>
          <w:lang w:val="fr-FR"/>
        </w:rPr>
        <w:t xml:space="preserve"> </w:t>
      </w:r>
      <w:r w:rsidR="00D3682B" w:rsidRPr="00D75D19">
        <w:rPr>
          <w:lang w:val="fr-FR"/>
        </w:rPr>
        <w:br/>
      </w:r>
      <w:r w:rsidRPr="00D75D19">
        <w:rPr>
          <w:lang w:val="fr-FR"/>
        </w:rPr>
        <w:t>obtention d</w:t>
      </w:r>
      <w:r w:rsidR="00BD62BD" w:rsidRPr="00D75D19">
        <w:rPr>
          <w:lang w:val="fr-FR"/>
        </w:rPr>
        <w:t>’</w:t>
      </w:r>
      <w:r w:rsidRPr="00D75D19">
        <w:rPr>
          <w:lang w:val="fr-FR"/>
        </w:rPr>
        <w:t>un avis d</w:t>
      </w:r>
      <w:r w:rsidR="00BD62BD" w:rsidRPr="00D75D19">
        <w:rPr>
          <w:lang w:val="fr-FR"/>
        </w:rPr>
        <w:t>’</w:t>
      </w:r>
      <w:r w:rsidRPr="00D75D19">
        <w:rPr>
          <w:lang w:val="fr-FR"/>
        </w:rPr>
        <w:t>expert</w:t>
      </w:r>
    </w:p>
    <w:p w14:paraId="20767B70" w14:textId="457E3391" w:rsidR="00EF00FF" w:rsidRPr="00D75D19" w:rsidRDefault="009B4C90" w:rsidP="00EF00FF">
      <w:pPr>
        <w:pStyle w:val="H1G"/>
        <w:rPr>
          <w:b w:val="0"/>
          <w:bCs/>
          <w:sz w:val="20"/>
          <w:lang w:val="fr-FR" w:eastAsia="ja-JP"/>
        </w:rPr>
      </w:pPr>
      <w:r w:rsidRPr="00D75D19">
        <w:rPr>
          <w:lang w:val="fr-FR"/>
        </w:rPr>
        <w:tab/>
      </w:r>
      <w:r w:rsidRPr="00D75D19">
        <w:rPr>
          <w:lang w:val="fr-FR"/>
        </w:rPr>
        <w:tab/>
        <w:t xml:space="preserve">Communication du </w:t>
      </w:r>
      <w:proofErr w:type="spellStart"/>
      <w:r w:rsidRPr="00D75D19">
        <w:rPr>
          <w:lang w:val="fr-FR"/>
        </w:rPr>
        <w:t>Sporting</w:t>
      </w:r>
      <w:proofErr w:type="spellEnd"/>
      <w:r w:rsidRPr="00D75D19">
        <w:rPr>
          <w:lang w:val="fr-FR"/>
        </w:rPr>
        <w:t xml:space="preserve"> Arms and Ammunition </w:t>
      </w:r>
      <w:proofErr w:type="spellStart"/>
      <w:r w:rsidRPr="00D75D19">
        <w:rPr>
          <w:lang w:val="fr-FR"/>
        </w:rPr>
        <w:t>Manufacturers</w:t>
      </w:r>
      <w:proofErr w:type="spellEnd"/>
      <w:r w:rsidR="00BD62BD" w:rsidRPr="00D75D19">
        <w:rPr>
          <w:lang w:val="fr-FR"/>
        </w:rPr>
        <w:t>’</w:t>
      </w:r>
      <w:r w:rsidRPr="00D75D19">
        <w:rPr>
          <w:lang w:val="fr-FR"/>
        </w:rPr>
        <w:t xml:space="preserve"> Institute (SAAMI)</w:t>
      </w:r>
      <w:r w:rsidRPr="00D75D19">
        <w:rPr>
          <w:rStyle w:val="H23G"/>
          <w:b w:val="0"/>
          <w:bCs/>
          <w:sz w:val="20"/>
          <w:lang w:val="fr-FR" w:eastAsia="ja-JP"/>
        </w:rPr>
        <w:footnoteReference w:customMarkFollows="1" w:id="2"/>
        <w:t>*</w:t>
      </w:r>
      <w:bookmarkStart w:id="0" w:name="_Hlk156568801"/>
      <w:bookmarkStart w:id="1" w:name="_Hlk156568812"/>
      <w:bookmarkEnd w:id="0"/>
      <w:bookmarkEnd w:id="1"/>
    </w:p>
    <w:p w14:paraId="6A224D96" w14:textId="0C61BDAF" w:rsidR="009B4C90" w:rsidRPr="00D75D19" w:rsidRDefault="00EF00FF" w:rsidP="00EF00FF">
      <w:pPr>
        <w:pStyle w:val="HChG"/>
        <w:rPr>
          <w:lang w:val="fr-FR"/>
        </w:rPr>
      </w:pPr>
      <w:r w:rsidRPr="00D75D19">
        <w:rPr>
          <w:lang w:val="fr-FR"/>
        </w:rPr>
        <w:tab/>
      </w:r>
      <w:r w:rsidR="009B4C90" w:rsidRPr="00D75D19">
        <w:rPr>
          <w:lang w:val="fr-FR"/>
        </w:rPr>
        <w:t>I</w:t>
      </w:r>
      <w:r w:rsidR="00E2610D" w:rsidRPr="00D75D19">
        <w:rPr>
          <w:lang w:val="fr-FR"/>
        </w:rPr>
        <w:t>.</w:t>
      </w:r>
      <w:r w:rsidR="009B4C90" w:rsidRPr="00D75D19">
        <w:rPr>
          <w:lang w:val="fr-FR"/>
        </w:rPr>
        <w:tab/>
        <w:t>Introduction</w:t>
      </w:r>
    </w:p>
    <w:p w14:paraId="4107581F" w14:textId="536A05A0" w:rsidR="009B4C90" w:rsidRPr="00D75D19" w:rsidRDefault="009B4C90" w:rsidP="00EF00FF">
      <w:pPr>
        <w:pStyle w:val="SingleTxtG"/>
        <w:rPr>
          <w:lang w:val="fr-FR"/>
        </w:rPr>
      </w:pPr>
      <w:r w:rsidRPr="00D75D19">
        <w:rPr>
          <w:lang w:val="fr-FR"/>
        </w:rPr>
        <w:t>1</w:t>
      </w:r>
      <w:r w:rsidR="00E2610D" w:rsidRPr="00D75D19">
        <w:rPr>
          <w:lang w:val="fr-FR"/>
        </w:rPr>
        <w:t>.</w:t>
      </w:r>
      <w:r w:rsidRPr="00D75D19">
        <w:rPr>
          <w:lang w:val="fr-FR"/>
        </w:rPr>
        <w:tab/>
        <w:t>L</w:t>
      </w:r>
      <w:r w:rsidR="00BD62BD" w:rsidRPr="00D75D19">
        <w:rPr>
          <w:lang w:val="fr-FR"/>
        </w:rPr>
        <w:t>’</w:t>
      </w:r>
      <w:r w:rsidRPr="00D75D19">
        <w:rPr>
          <w:lang w:val="fr-FR"/>
        </w:rPr>
        <w:t>élaboration du chapitre 2</w:t>
      </w:r>
      <w:r w:rsidR="00E2610D" w:rsidRPr="00D75D19">
        <w:rPr>
          <w:lang w:val="fr-FR"/>
        </w:rPr>
        <w:t>.</w:t>
      </w:r>
      <w:r w:rsidRPr="00D75D19">
        <w:rPr>
          <w:lang w:val="fr-FR"/>
        </w:rPr>
        <w:t>17 du Système général harmonisé de classification et d</w:t>
      </w:r>
      <w:r w:rsidR="00BD62BD" w:rsidRPr="00D75D19">
        <w:rPr>
          <w:lang w:val="fr-FR"/>
        </w:rPr>
        <w:t>’</w:t>
      </w:r>
      <w:r w:rsidRPr="00D75D19">
        <w:rPr>
          <w:lang w:val="fr-FR"/>
        </w:rPr>
        <w:t>étiquetage des produits chimiques (SGH) s</w:t>
      </w:r>
      <w:r w:rsidR="00BD62BD" w:rsidRPr="00D75D19">
        <w:rPr>
          <w:lang w:val="fr-FR"/>
        </w:rPr>
        <w:t>’</w:t>
      </w:r>
      <w:r w:rsidRPr="00D75D19">
        <w:rPr>
          <w:lang w:val="fr-FR"/>
        </w:rPr>
        <w:t>est achevée en 2014, après six ans de travail</w:t>
      </w:r>
      <w:r w:rsidR="00E2610D" w:rsidRPr="00D75D19">
        <w:rPr>
          <w:lang w:val="fr-FR"/>
        </w:rPr>
        <w:t>.</w:t>
      </w:r>
      <w:r w:rsidRPr="00D75D19">
        <w:rPr>
          <w:lang w:val="fr-FR"/>
        </w:rPr>
        <w:t xml:space="preserve"> Ces dernières années, une série de modifications ont été approuvées ou proposées, que ce soit, par exemple, pour clarifier les dispositions ou établir de nouvelles épreuves</w:t>
      </w:r>
      <w:r w:rsidR="00E2610D" w:rsidRPr="00D75D19">
        <w:rPr>
          <w:lang w:val="fr-FR"/>
        </w:rPr>
        <w:t>.</w:t>
      </w:r>
    </w:p>
    <w:p w14:paraId="51CC74ED" w14:textId="2C93B393" w:rsidR="009B4C90" w:rsidRPr="00D75D19" w:rsidRDefault="009B4C90" w:rsidP="00EF00FF">
      <w:pPr>
        <w:pStyle w:val="SingleTxtG"/>
        <w:rPr>
          <w:lang w:val="fr-FR"/>
        </w:rPr>
      </w:pPr>
      <w:r w:rsidRPr="00D75D19">
        <w:rPr>
          <w:lang w:val="fr-FR"/>
        </w:rPr>
        <w:t>2</w:t>
      </w:r>
      <w:r w:rsidR="00E2610D" w:rsidRPr="00D75D19">
        <w:rPr>
          <w:lang w:val="fr-FR"/>
        </w:rPr>
        <w:t>.</w:t>
      </w:r>
      <w:r w:rsidRPr="00D75D19">
        <w:rPr>
          <w:lang w:val="fr-FR"/>
        </w:rPr>
        <w:tab/>
        <w:t>Le présent document porte sur les prescriptions d</w:t>
      </w:r>
      <w:r w:rsidR="00BD62BD" w:rsidRPr="00D75D19">
        <w:rPr>
          <w:lang w:val="fr-FR"/>
        </w:rPr>
        <w:t>’</w:t>
      </w:r>
      <w:r w:rsidRPr="00D75D19">
        <w:rPr>
          <w:lang w:val="fr-FR"/>
        </w:rPr>
        <w:t>épreuves</w:t>
      </w:r>
      <w:r w:rsidRPr="00D75D19">
        <w:rPr>
          <w:rStyle w:val="FootnoteReference"/>
          <w:lang w:val="fr-FR"/>
        </w:rPr>
        <w:footnoteReference w:id="3"/>
      </w:r>
      <w:r w:rsidRPr="00D75D19">
        <w:rPr>
          <w:lang w:val="fr-FR"/>
        </w:rPr>
        <w:t xml:space="preserve"> pour les mélanges de matières explosibles désensibilisées qui relèvent du chapitre 2</w:t>
      </w:r>
      <w:r w:rsidR="00E2610D" w:rsidRPr="00D75D19">
        <w:rPr>
          <w:lang w:val="fr-FR"/>
        </w:rPr>
        <w:t>.</w:t>
      </w:r>
      <w:r w:rsidRPr="00D75D19">
        <w:rPr>
          <w:lang w:val="fr-FR"/>
        </w:rPr>
        <w:t>17 et qui ont été bien définis à l</w:t>
      </w:r>
      <w:r w:rsidR="00BD62BD" w:rsidRPr="00D75D19">
        <w:rPr>
          <w:lang w:val="fr-FR"/>
        </w:rPr>
        <w:t>’</w:t>
      </w:r>
      <w:r w:rsidRPr="00D75D19">
        <w:rPr>
          <w:lang w:val="fr-FR"/>
        </w:rPr>
        <w:t>aide de rubriques ONU spécifiques</w:t>
      </w:r>
      <w:r w:rsidRPr="00D75D19">
        <w:rPr>
          <w:rStyle w:val="FootnoteReference"/>
          <w:lang w:val="fr-FR"/>
        </w:rPr>
        <w:footnoteReference w:id="4"/>
      </w:r>
      <w:r w:rsidR="00E2610D" w:rsidRPr="00D75D19">
        <w:rPr>
          <w:lang w:val="fr-FR"/>
        </w:rPr>
        <w:t>.</w:t>
      </w:r>
      <w:r w:rsidRPr="00D75D19">
        <w:rPr>
          <w:lang w:val="fr-FR"/>
        </w:rPr>
        <w:t xml:space="preserve"> Ces rubriques ne devraient pas nécessiter d</w:t>
      </w:r>
      <w:r w:rsidR="00BD62BD" w:rsidRPr="00D75D19">
        <w:rPr>
          <w:lang w:val="fr-FR"/>
        </w:rPr>
        <w:t>’</w:t>
      </w:r>
      <w:r w:rsidRPr="00D75D19">
        <w:rPr>
          <w:lang w:val="fr-FR"/>
        </w:rPr>
        <w:t>épreuves ou d</w:t>
      </w:r>
      <w:r w:rsidR="00BD62BD" w:rsidRPr="00D75D19">
        <w:rPr>
          <w:lang w:val="fr-FR"/>
        </w:rPr>
        <w:t>’</w:t>
      </w:r>
      <w:r w:rsidRPr="00D75D19">
        <w:rPr>
          <w:lang w:val="fr-FR"/>
        </w:rPr>
        <w:t>approbation de l</w:t>
      </w:r>
      <w:r w:rsidR="00BD62BD" w:rsidRPr="00D75D19">
        <w:rPr>
          <w:lang w:val="fr-FR"/>
        </w:rPr>
        <w:t>’</w:t>
      </w:r>
      <w:r w:rsidRPr="00D75D19">
        <w:rPr>
          <w:lang w:val="fr-FR"/>
        </w:rPr>
        <w:t>autorité compétente pour être retirées de la classe des matières explosibles du SGH, et le Règlement type n</w:t>
      </w:r>
      <w:r w:rsidR="00BD62BD" w:rsidRPr="00D75D19">
        <w:rPr>
          <w:lang w:val="fr-FR"/>
        </w:rPr>
        <w:t>’</w:t>
      </w:r>
      <w:r w:rsidRPr="00D75D19">
        <w:rPr>
          <w:lang w:val="fr-FR"/>
        </w:rPr>
        <w:t>impose pas d</w:t>
      </w:r>
      <w:r w:rsidR="00BD62BD" w:rsidRPr="00D75D19">
        <w:rPr>
          <w:lang w:val="fr-FR"/>
        </w:rPr>
        <w:t>’</w:t>
      </w:r>
      <w:r w:rsidRPr="00D75D19">
        <w:rPr>
          <w:lang w:val="fr-FR"/>
        </w:rPr>
        <w:t>épreuves pour ces produits chimiques</w:t>
      </w:r>
      <w:r w:rsidR="00E2610D" w:rsidRPr="00D75D19">
        <w:rPr>
          <w:lang w:val="fr-FR"/>
        </w:rPr>
        <w:t>.</w:t>
      </w:r>
    </w:p>
    <w:p w14:paraId="2BAE95DF" w14:textId="559CE3B8" w:rsidR="009B4C90" w:rsidRPr="00D75D19" w:rsidRDefault="009B4C90" w:rsidP="00EF00FF">
      <w:pPr>
        <w:pStyle w:val="SingleTxtG"/>
        <w:rPr>
          <w:lang w:val="fr-FR"/>
        </w:rPr>
      </w:pPr>
      <w:r w:rsidRPr="00D75D19">
        <w:rPr>
          <w:lang w:val="fr-FR"/>
        </w:rPr>
        <w:lastRenderedPageBreak/>
        <w:t>3</w:t>
      </w:r>
      <w:r w:rsidR="00E2610D" w:rsidRPr="00D75D19">
        <w:rPr>
          <w:lang w:val="fr-FR"/>
        </w:rPr>
        <w:t>.</w:t>
      </w:r>
      <w:r w:rsidRPr="00D75D19">
        <w:rPr>
          <w:lang w:val="fr-FR"/>
        </w:rPr>
        <w:tab/>
        <w:t>Dans ces conditions, les produits à base de nitrocellulose qui satisfont aux critères exposés plus haut ne devraient pas être soumis aux prescriptions du chapitre 2</w:t>
      </w:r>
      <w:r w:rsidR="00E2610D" w:rsidRPr="00D75D19">
        <w:rPr>
          <w:lang w:val="fr-FR"/>
        </w:rPr>
        <w:t>.</w:t>
      </w:r>
      <w:r w:rsidRPr="00D75D19">
        <w:rPr>
          <w:lang w:val="fr-FR"/>
        </w:rPr>
        <w:t>17 relatives aux épreuves pour les matières explosibles</w:t>
      </w:r>
      <w:r w:rsidR="00E2610D" w:rsidRPr="00D75D19">
        <w:rPr>
          <w:lang w:val="fr-FR"/>
        </w:rPr>
        <w:t>.</w:t>
      </w:r>
      <w:r w:rsidRPr="00D75D19">
        <w:rPr>
          <w:lang w:val="fr-FR"/>
        </w:rPr>
        <w:t xml:space="preserve"> De la même manière, les produits qui ne sont pas à base de nitrocellulose mais qui satisfont aux mêmes critères ne devraient pas être soumis aux prescriptions du chapitre 2</w:t>
      </w:r>
      <w:r w:rsidR="00E2610D" w:rsidRPr="00D75D19">
        <w:rPr>
          <w:lang w:val="fr-FR"/>
        </w:rPr>
        <w:t>.</w:t>
      </w:r>
      <w:r w:rsidRPr="00D75D19">
        <w:rPr>
          <w:lang w:val="fr-FR"/>
        </w:rPr>
        <w:t>17 relatives aux épreuves pour les matières explosibles</w:t>
      </w:r>
      <w:r w:rsidR="00E2610D" w:rsidRPr="00D75D19">
        <w:rPr>
          <w:lang w:val="fr-FR"/>
        </w:rPr>
        <w:t>.</w:t>
      </w:r>
    </w:p>
    <w:p w14:paraId="63B84375" w14:textId="65B4136E" w:rsidR="009B4C90" w:rsidRPr="00D75D19" w:rsidRDefault="00EF00FF" w:rsidP="00EF00FF">
      <w:pPr>
        <w:pStyle w:val="HChG"/>
        <w:rPr>
          <w:lang w:val="fr-FR"/>
        </w:rPr>
      </w:pPr>
      <w:r w:rsidRPr="00D75D19">
        <w:rPr>
          <w:lang w:val="fr-FR"/>
        </w:rPr>
        <w:tab/>
      </w:r>
      <w:r w:rsidR="009B4C90" w:rsidRPr="00D75D19">
        <w:rPr>
          <w:lang w:val="fr-FR"/>
        </w:rPr>
        <w:t>II</w:t>
      </w:r>
      <w:r w:rsidR="00E2610D" w:rsidRPr="00D75D19">
        <w:rPr>
          <w:lang w:val="fr-FR"/>
        </w:rPr>
        <w:t>.</w:t>
      </w:r>
      <w:r w:rsidR="009B4C90" w:rsidRPr="00D75D19">
        <w:rPr>
          <w:lang w:val="fr-FR"/>
        </w:rPr>
        <w:tab/>
        <w:t>Contexte</w:t>
      </w:r>
    </w:p>
    <w:p w14:paraId="2F00C93B" w14:textId="3A7C50FF" w:rsidR="009B4C90" w:rsidRPr="00D75D19" w:rsidRDefault="009B4C90" w:rsidP="00EF00FF">
      <w:pPr>
        <w:pStyle w:val="SingleTxtG"/>
        <w:rPr>
          <w:lang w:val="fr-FR"/>
        </w:rPr>
      </w:pPr>
      <w:r w:rsidRPr="00D75D19">
        <w:rPr>
          <w:lang w:val="fr-FR"/>
        </w:rPr>
        <w:t>4</w:t>
      </w:r>
      <w:r w:rsidR="00E2610D" w:rsidRPr="00D75D19">
        <w:rPr>
          <w:lang w:val="fr-FR"/>
        </w:rPr>
        <w:t>.</w:t>
      </w:r>
      <w:r w:rsidRPr="00D75D19">
        <w:rPr>
          <w:lang w:val="fr-FR"/>
        </w:rPr>
        <w:tab/>
        <w:t>La nitrocellulose est une matière explosible lorsqu</w:t>
      </w:r>
      <w:r w:rsidR="00BD62BD" w:rsidRPr="00D75D19">
        <w:rPr>
          <w:lang w:val="fr-FR"/>
        </w:rPr>
        <w:t>’</w:t>
      </w:r>
      <w:r w:rsidRPr="00D75D19">
        <w:rPr>
          <w:lang w:val="fr-FR"/>
        </w:rPr>
        <w:t>elle n</w:t>
      </w:r>
      <w:r w:rsidR="00BD62BD" w:rsidRPr="00D75D19">
        <w:rPr>
          <w:lang w:val="fr-FR"/>
        </w:rPr>
        <w:t>’</w:t>
      </w:r>
      <w:r w:rsidRPr="00D75D19">
        <w:rPr>
          <w:lang w:val="fr-FR"/>
        </w:rPr>
        <w:t>est pas suffisamment flegmatisée</w:t>
      </w:r>
      <w:r w:rsidR="00BD62BD" w:rsidRPr="00D75D19">
        <w:rPr>
          <w:lang w:val="fr-FR"/>
        </w:rPr>
        <w:t> ;</w:t>
      </w:r>
      <w:r w:rsidRPr="00D75D19">
        <w:rPr>
          <w:lang w:val="fr-FR"/>
        </w:rPr>
        <w:t xml:space="preserve"> les rubriques des divisions 1</w:t>
      </w:r>
      <w:r w:rsidR="00E2610D" w:rsidRPr="00D75D19">
        <w:rPr>
          <w:lang w:val="fr-FR"/>
        </w:rPr>
        <w:t>.</w:t>
      </w:r>
      <w:r w:rsidRPr="00D75D19">
        <w:rPr>
          <w:lang w:val="fr-FR"/>
        </w:rPr>
        <w:t>1 et 1</w:t>
      </w:r>
      <w:r w:rsidR="00E2610D" w:rsidRPr="00D75D19">
        <w:rPr>
          <w:lang w:val="fr-FR"/>
        </w:rPr>
        <w:t>.</w:t>
      </w:r>
      <w:r w:rsidRPr="00D75D19">
        <w:rPr>
          <w:lang w:val="fr-FR"/>
        </w:rPr>
        <w:t>3 qui lui sont applicables, à savoir les Nos</w:t>
      </w:r>
      <w:r w:rsidR="00E97B27" w:rsidRPr="00D75D19">
        <w:rPr>
          <w:lang w:val="fr-FR"/>
        </w:rPr>
        <w:t> </w:t>
      </w:r>
      <w:r w:rsidRPr="00D75D19">
        <w:rPr>
          <w:lang w:val="fr-FR"/>
        </w:rPr>
        <w:t>ONU 0340, 0341, 0342 et 0343, en sont un bon exemple</w:t>
      </w:r>
      <w:r w:rsidR="00E2610D" w:rsidRPr="00D75D19">
        <w:rPr>
          <w:lang w:val="fr-FR"/>
        </w:rPr>
        <w:t>.</w:t>
      </w:r>
      <w:r w:rsidRPr="00D75D19">
        <w:rPr>
          <w:lang w:val="fr-FR"/>
        </w:rPr>
        <w:t xml:space="preserve"> Il convient de noter que le degré de nitration et la teneur en azote n</w:t>
      </w:r>
      <w:r w:rsidR="00BD62BD" w:rsidRPr="00D75D19">
        <w:rPr>
          <w:lang w:val="fr-FR"/>
        </w:rPr>
        <w:t>’</w:t>
      </w:r>
      <w:r w:rsidRPr="00D75D19">
        <w:rPr>
          <w:lang w:val="fr-FR"/>
        </w:rPr>
        <w:t xml:space="preserve">entrent pas en ligne de compte, sauf pour le </w:t>
      </w:r>
      <w:r w:rsidR="00BD62BD" w:rsidRPr="00D75D19">
        <w:rPr>
          <w:lang w:val="fr-FR"/>
        </w:rPr>
        <w:t>No </w:t>
      </w:r>
      <w:r w:rsidRPr="00D75D19">
        <w:rPr>
          <w:lang w:val="fr-FR"/>
        </w:rPr>
        <w:t>ONU</w:t>
      </w:r>
      <w:r w:rsidR="00F77D5E" w:rsidRPr="00D75D19">
        <w:rPr>
          <w:lang w:val="fr-FR"/>
        </w:rPr>
        <w:t> </w:t>
      </w:r>
      <w:r w:rsidRPr="00D75D19">
        <w:rPr>
          <w:lang w:val="fr-FR"/>
        </w:rPr>
        <w:t>0342</w:t>
      </w:r>
      <w:r w:rsidR="00E2610D" w:rsidRPr="00D75D19">
        <w:rPr>
          <w:lang w:val="fr-FR"/>
        </w:rPr>
        <w:t>.</w:t>
      </w:r>
    </w:p>
    <w:p w14:paraId="4C349B39" w14:textId="740176A0" w:rsidR="009B4C90" w:rsidRPr="00D75D19" w:rsidRDefault="009B4C90" w:rsidP="00EF00FF">
      <w:pPr>
        <w:pStyle w:val="SingleTxtG"/>
        <w:rPr>
          <w:lang w:val="fr-FR"/>
        </w:rPr>
      </w:pPr>
      <w:r w:rsidRPr="00D75D19">
        <w:rPr>
          <w:lang w:val="fr-FR"/>
        </w:rPr>
        <w:t>5</w:t>
      </w:r>
      <w:r w:rsidR="00E2610D" w:rsidRPr="00D75D19">
        <w:rPr>
          <w:lang w:val="fr-FR"/>
        </w:rPr>
        <w:t>.</w:t>
      </w:r>
      <w:r w:rsidRPr="00D75D19">
        <w:rPr>
          <w:lang w:val="fr-FR"/>
        </w:rPr>
        <w:tab/>
        <w:t>Lorsqu</w:t>
      </w:r>
      <w:r w:rsidR="00BD62BD" w:rsidRPr="00D75D19">
        <w:rPr>
          <w:lang w:val="fr-FR"/>
        </w:rPr>
        <w:t>’</w:t>
      </w:r>
      <w:r w:rsidRPr="00D75D19">
        <w:rPr>
          <w:lang w:val="fr-FR"/>
        </w:rPr>
        <w:t>elle est correctement flegmatisée ou diluée, de nombreuses rubriques de matières explosibles désensibilisées s</w:t>
      </w:r>
      <w:r w:rsidR="00BD62BD" w:rsidRPr="00D75D19">
        <w:rPr>
          <w:lang w:val="fr-FR"/>
        </w:rPr>
        <w:t>’</w:t>
      </w:r>
      <w:r w:rsidRPr="00D75D19">
        <w:rPr>
          <w:lang w:val="fr-FR"/>
        </w:rPr>
        <w:t>appliquent à la nitrocellulose, notamment</w:t>
      </w:r>
      <w:r w:rsidR="00BD62BD" w:rsidRPr="00D75D19">
        <w:rPr>
          <w:lang w:val="fr-FR"/>
        </w:rPr>
        <w:t> :</w:t>
      </w:r>
    </w:p>
    <w:p w14:paraId="343D4C31" w14:textId="55F6B28E" w:rsidR="00FF62BE" w:rsidRPr="00D75D19" w:rsidRDefault="009B4C90" w:rsidP="0048010E">
      <w:pPr>
        <w:pStyle w:val="SingleTxtG"/>
        <w:ind w:firstLine="567"/>
        <w:rPr>
          <w:lang w:val="fr-FR"/>
        </w:rPr>
      </w:pPr>
      <w:r w:rsidRPr="00D75D19">
        <w:rPr>
          <w:lang w:val="fr-FR"/>
        </w:rPr>
        <w:t>a)</w:t>
      </w:r>
      <w:r w:rsidRPr="00D75D19">
        <w:rPr>
          <w:lang w:val="fr-FR"/>
        </w:rPr>
        <w:tab/>
        <w:t>les Nos ONU 2555, 2556 et 2557 pour la nitrocellulose en tant que précurseur de fabrication avec seulement un flegmatisant ajouté, tel que de l</w:t>
      </w:r>
      <w:r w:rsidR="00BD62BD" w:rsidRPr="00D75D19">
        <w:rPr>
          <w:lang w:val="fr-FR"/>
        </w:rPr>
        <w:t>’</w:t>
      </w:r>
      <w:r w:rsidRPr="00D75D19">
        <w:rPr>
          <w:lang w:val="fr-FR"/>
        </w:rPr>
        <w:t>eau ou de l</w:t>
      </w:r>
      <w:r w:rsidR="00BD62BD" w:rsidRPr="00D75D19">
        <w:rPr>
          <w:lang w:val="fr-FR"/>
        </w:rPr>
        <w:t>’</w:t>
      </w:r>
      <w:r w:rsidRPr="00D75D19">
        <w:rPr>
          <w:lang w:val="fr-FR"/>
        </w:rPr>
        <w:t>alcool, ou un plastifiant</w:t>
      </w:r>
      <w:r w:rsidR="00BD62BD" w:rsidRPr="00D75D19">
        <w:rPr>
          <w:lang w:val="fr-FR"/>
        </w:rPr>
        <w:t> ;</w:t>
      </w:r>
      <w:r w:rsidRPr="00D75D19">
        <w:rPr>
          <w:lang w:val="fr-FR"/>
        </w:rPr>
        <w:t xml:space="preserve"> et</w:t>
      </w:r>
    </w:p>
    <w:p w14:paraId="70B8054D" w14:textId="4877B347" w:rsidR="009B4C90" w:rsidRPr="00D75D19" w:rsidRDefault="009B4C90" w:rsidP="0048010E">
      <w:pPr>
        <w:pStyle w:val="SingleTxtG"/>
        <w:ind w:firstLine="567"/>
        <w:rPr>
          <w:lang w:val="fr-FR"/>
        </w:rPr>
      </w:pPr>
      <w:r w:rsidRPr="00D75D19">
        <w:rPr>
          <w:lang w:val="fr-FR"/>
        </w:rPr>
        <w:t>b)</w:t>
      </w:r>
      <w:r w:rsidRPr="00D75D19">
        <w:rPr>
          <w:lang w:val="fr-FR"/>
        </w:rPr>
        <w:tab/>
        <w:t>les Nos ONU 1210, 1263, 1266, 3066, 3469 et 3470 pour les produits finis contenant jusqu</w:t>
      </w:r>
      <w:r w:rsidR="00BD62BD" w:rsidRPr="00D75D19">
        <w:rPr>
          <w:lang w:val="fr-FR"/>
        </w:rPr>
        <w:t>’</w:t>
      </w:r>
      <w:r w:rsidRPr="00D75D19">
        <w:rPr>
          <w:lang w:val="fr-FR"/>
        </w:rPr>
        <w:t>à 20</w:t>
      </w:r>
      <w:r w:rsidR="00BD62BD" w:rsidRPr="00D75D19">
        <w:rPr>
          <w:lang w:val="fr-FR"/>
        </w:rPr>
        <w:t> %</w:t>
      </w:r>
      <w:r w:rsidRPr="00D75D19">
        <w:rPr>
          <w:lang w:val="fr-FR"/>
        </w:rPr>
        <w:t xml:space="preserve"> de nitrocellulose dans des mélanges plus complexes, tels que les peintures, les produits pour parfumerie ou les encres d</w:t>
      </w:r>
      <w:r w:rsidR="00BD62BD" w:rsidRPr="00D75D19">
        <w:rPr>
          <w:lang w:val="fr-FR"/>
        </w:rPr>
        <w:t>’</w:t>
      </w:r>
      <w:r w:rsidRPr="00D75D19">
        <w:rPr>
          <w:lang w:val="fr-FR"/>
        </w:rPr>
        <w:t>imprimerie</w:t>
      </w:r>
      <w:r w:rsidRPr="00D75D19">
        <w:rPr>
          <w:rStyle w:val="FootnoteReference"/>
          <w:lang w:val="fr-FR"/>
        </w:rPr>
        <w:footnoteReference w:id="5"/>
      </w:r>
      <w:r w:rsidR="00E2610D" w:rsidRPr="00D75D19">
        <w:rPr>
          <w:lang w:val="fr-FR"/>
        </w:rPr>
        <w:t>.</w:t>
      </w:r>
      <w:r w:rsidRPr="00D75D19">
        <w:rPr>
          <w:lang w:val="fr-FR"/>
        </w:rPr>
        <w:t xml:space="preserve"> Bon nombre de ces produits peuvent être totalement exclus des classes de liquides ou solides inflammables sur la base d</w:t>
      </w:r>
      <w:r w:rsidR="00BD62BD" w:rsidRPr="00D75D19">
        <w:rPr>
          <w:lang w:val="fr-FR"/>
        </w:rPr>
        <w:t>’</w:t>
      </w:r>
      <w:r w:rsidRPr="00D75D19">
        <w:rPr>
          <w:lang w:val="fr-FR"/>
        </w:rPr>
        <w:t>épreuves</w:t>
      </w:r>
      <w:r w:rsidRPr="00D75D19">
        <w:rPr>
          <w:rStyle w:val="FootnoteReference"/>
          <w:lang w:val="fr-FR"/>
        </w:rPr>
        <w:footnoteReference w:id="6"/>
      </w:r>
      <w:r w:rsidRPr="00D75D19">
        <w:rPr>
          <w:lang w:val="fr-FR"/>
        </w:rPr>
        <w:t>, mais il n</w:t>
      </w:r>
      <w:r w:rsidR="00BD62BD" w:rsidRPr="00D75D19">
        <w:rPr>
          <w:lang w:val="fr-FR"/>
        </w:rPr>
        <w:t>’</w:t>
      </w:r>
      <w:r w:rsidRPr="00D75D19">
        <w:rPr>
          <w:lang w:val="fr-FR"/>
        </w:rPr>
        <w:t>est pas nécessaire de subir les épreuves applicables aux matières explosibles pour être classé en tant que liquide ou solide inflammable</w:t>
      </w:r>
      <w:r w:rsidR="00E2610D" w:rsidRPr="00D75D19">
        <w:rPr>
          <w:lang w:val="fr-FR"/>
        </w:rPr>
        <w:t>.</w:t>
      </w:r>
    </w:p>
    <w:p w14:paraId="5EB061C4" w14:textId="054E47F5" w:rsidR="009B4C90" w:rsidRPr="00D75D19" w:rsidRDefault="009B4C90" w:rsidP="00EF00FF">
      <w:pPr>
        <w:pStyle w:val="SingleTxtG"/>
        <w:rPr>
          <w:lang w:val="fr-FR"/>
        </w:rPr>
      </w:pPr>
      <w:r w:rsidRPr="00D75D19">
        <w:rPr>
          <w:lang w:val="fr-FR"/>
        </w:rPr>
        <w:t>6</w:t>
      </w:r>
      <w:r w:rsidR="00E2610D" w:rsidRPr="00D75D19">
        <w:rPr>
          <w:lang w:val="fr-FR"/>
        </w:rPr>
        <w:t>.</w:t>
      </w:r>
      <w:r w:rsidRPr="00D75D19">
        <w:rPr>
          <w:lang w:val="fr-FR"/>
        </w:rPr>
        <w:tab/>
        <w:t>D</w:t>
      </w:r>
      <w:r w:rsidR="00BD62BD" w:rsidRPr="00D75D19">
        <w:rPr>
          <w:lang w:val="fr-FR"/>
        </w:rPr>
        <w:t>’</w:t>
      </w:r>
      <w:r w:rsidRPr="00D75D19">
        <w:rPr>
          <w:lang w:val="fr-FR"/>
        </w:rPr>
        <w:t>après l</w:t>
      </w:r>
      <w:r w:rsidR="00BD62BD" w:rsidRPr="00D75D19">
        <w:rPr>
          <w:lang w:val="fr-FR"/>
        </w:rPr>
        <w:t>’</w:t>
      </w:r>
      <w:r w:rsidRPr="00D75D19">
        <w:rPr>
          <w:lang w:val="fr-FR"/>
        </w:rPr>
        <w:t>examen fait par le SAAMI, d</w:t>
      </w:r>
      <w:r w:rsidR="00BD62BD" w:rsidRPr="00D75D19">
        <w:rPr>
          <w:lang w:val="fr-FR"/>
        </w:rPr>
        <w:t>’</w:t>
      </w:r>
      <w:r w:rsidRPr="00D75D19">
        <w:rPr>
          <w:lang w:val="fr-FR"/>
        </w:rPr>
        <w:t>autres produits chimiques sont concernés, en</w:t>
      </w:r>
      <w:r w:rsidR="00B77307" w:rsidRPr="00D75D19">
        <w:rPr>
          <w:lang w:val="fr-FR"/>
        </w:rPr>
        <w:t> </w:t>
      </w:r>
      <w:r w:rsidRPr="00D75D19">
        <w:rPr>
          <w:lang w:val="fr-FR"/>
        </w:rPr>
        <w:t>l</w:t>
      </w:r>
      <w:r w:rsidR="00BD62BD" w:rsidRPr="00D75D19">
        <w:rPr>
          <w:lang w:val="fr-FR"/>
        </w:rPr>
        <w:t>’</w:t>
      </w:r>
      <w:r w:rsidRPr="00D75D19">
        <w:rPr>
          <w:lang w:val="fr-FR"/>
        </w:rPr>
        <w:t>occurrence, les matières explosibles désensibilisées ne contenant pas de nitrocellulose et étant classées sous des rubriques bien définies qui ne devraient pas nécessiter d</w:t>
      </w:r>
      <w:r w:rsidR="00BD62BD" w:rsidRPr="00D75D19">
        <w:rPr>
          <w:lang w:val="fr-FR"/>
        </w:rPr>
        <w:t>’</w:t>
      </w:r>
      <w:r w:rsidRPr="00D75D19">
        <w:rPr>
          <w:lang w:val="fr-FR"/>
        </w:rPr>
        <w:t>épreuves</w:t>
      </w:r>
      <w:r w:rsidR="00E2610D" w:rsidRPr="00D75D19">
        <w:rPr>
          <w:lang w:val="fr-FR"/>
        </w:rPr>
        <w:t>.</w:t>
      </w:r>
      <w:r w:rsidRPr="00D75D19">
        <w:rPr>
          <w:lang w:val="fr-FR"/>
        </w:rPr>
        <w:t xml:space="preserve"> Il</w:t>
      </w:r>
      <w:r w:rsidR="002E1925" w:rsidRPr="00D75D19">
        <w:rPr>
          <w:lang w:val="fr-FR"/>
        </w:rPr>
        <w:t> </w:t>
      </w:r>
      <w:r w:rsidRPr="00D75D19">
        <w:rPr>
          <w:lang w:val="fr-FR"/>
        </w:rPr>
        <w:t>s</w:t>
      </w:r>
      <w:r w:rsidR="00BD62BD" w:rsidRPr="00D75D19">
        <w:rPr>
          <w:lang w:val="fr-FR"/>
        </w:rPr>
        <w:t>’</w:t>
      </w:r>
      <w:r w:rsidRPr="00D75D19">
        <w:rPr>
          <w:lang w:val="fr-FR"/>
        </w:rPr>
        <w:t>agit notamment des Nos ONU 1204, 1310, 1320, 1321, 1322, 1324, 1336, 1337, 1344, 1347, 1348, 1349, 1354, 1355, 1356, 1357, 1517, 2852, 2907, 3064, 3317, 3343, 3364, 3365, 3366, 3367, 3368, 3369, 3370, 3376, 3474 et 3555</w:t>
      </w:r>
      <w:r w:rsidR="00E2610D" w:rsidRPr="00D75D19">
        <w:rPr>
          <w:lang w:val="fr-FR"/>
        </w:rPr>
        <w:t>.</w:t>
      </w:r>
    </w:p>
    <w:p w14:paraId="2FA393B7" w14:textId="1E9E3483" w:rsidR="009B4C90" w:rsidRPr="00D75D19" w:rsidRDefault="009B4C90" w:rsidP="00EF00FF">
      <w:pPr>
        <w:pStyle w:val="SingleTxtG"/>
        <w:rPr>
          <w:lang w:val="fr-FR"/>
        </w:rPr>
      </w:pPr>
      <w:r w:rsidRPr="00D75D19">
        <w:rPr>
          <w:lang w:val="fr-FR"/>
        </w:rPr>
        <w:t>7</w:t>
      </w:r>
      <w:r w:rsidR="00E2610D" w:rsidRPr="00D75D19">
        <w:rPr>
          <w:lang w:val="fr-FR"/>
        </w:rPr>
        <w:t>.</w:t>
      </w:r>
      <w:r w:rsidRPr="00D75D19">
        <w:rPr>
          <w:lang w:val="fr-FR"/>
        </w:rPr>
        <w:tab/>
        <w:t>Par conséquent, il semble que les mélanges de matières explosibles désensibilisées qui sont bien définis et auxquels une rubrique ONU spécifique a été affectée soient soumis aux prescriptions d</w:t>
      </w:r>
      <w:r w:rsidR="00BD62BD" w:rsidRPr="00D75D19">
        <w:rPr>
          <w:lang w:val="fr-FR"/>
        </w:rPr>
        <w:t>’</w:t>
      </w:r>
      <w:r w:rsidRPr="00D75D19">
        <w:rPr>
          <w:lang w:val="fr-FR"/>
        </w:rPr>
        <w:t>épreuves applicables aux matières explosibles selon le libellé actuel du chapitre 2</w:t>
      </w:r>
      <w:r w:rsidR="00E2610D" w:rsidRPr="00D75D19">
        <w:rPr>
          <w:lang w:val="fr-FR"/>
        </w:rPr>
        <w:t>.</w:t>
      </w:r>
      <w:r w:rsidRPr="00D75D19">
        <w:rPr>
          <w:lang w:val="fr-FR"/>
        </w:rPr>
        <w:t>17 du SGH, mais pas selon le Règlement type</w:t>
      </w:r>
      <w:r w:rsidR="00E2610D" w:rsidRPr="00D75D19">
        <w:rPr>
          <w:lang w:val="fr-FR"/>
        </w:rPr>
        <w:t>.</w:t>
      </w:r>
    </w:p>
    <w:p w14:paraId="72ADA707" w14:textId="4275436B" w:rsidR="00FF62BE" w:rsidRPr="00D75D19" w:rsidRDefault="009B4C90" w:rsidP="00EF00FF">
      <w:pPr>
        <w:pStyle w:val="SingleTxtG"/>
        <w:rPr>
          <w:lang w:val="fr-FR"/>
        </w:rPr>
      </w:pPr>
      <w:r w:rsidRPr="00D75D19">
        <w:rPr>
          <w:lang w:val="fr-FR"/>
        </w:rPr>
        <w:t>8</w:t>
      </w:r>
      <w:r w:rsidR="00E2610D" w:rsidRPr="00D75D19">
        <w:rPr>
          <w:lang w:val="fr-FR"/>
        </w:rPr>
        <w:t>.</w:t>
      </w:r>
      <w:r w:rsidRPr="00D75D19">
        <w:rPr>
          <w:lang w:val="fr-FR"/>
        </w:rPr>
        <w:tab/>
        <w:t>Généralement, dans le domaine des transports, les rubriques ONU pour les matières explosibles désensibilisées qui s</w:t>
      </w:r>
      <w:r w:rsidR="00BD62BD" w:rsidRPr="00D75D19">
        <w:rPr>
          <w:lang w:val="fr-FR"/>
        </w:rPr>
        <w:t>’</w:t>
      </w:r>
      <w:r w:rsidRPr="00D75D19">
        <w:rPr>
          <w:lang w:val="fr-FR"/>
        </w:rPr>
        <w:t>appliquent à des mélanges bien définis ne requièrent</w:t>
      </w:r>
      <w:r w:rsidR="00E832CA" w:rsidRPr="00D75D19">
        <w:rPr>
          <w:lang w:val="fr-FR"/>
        </w:rPr>
        <w:t xml:space="preserve"> </w:t>
      </w:r>
      <w:r w:rsidRPr="00D75D19">
        <w:rPr>
          <w:lang w:val="fr-FR"/>
        </w:rPr>
        <w:t>pas d</w:t>
      </w:r>
      <w:r w:rsidR="00BD62BD" w:rsidRPr="00D75D19">
        <w:rPr>
          <w:lang w:val="fr-FR"/>
        </w:rPr>
        <w:t>’</w:t>
      </w:r>
      <w:r w:rsidRPr="00D75D19">
        <w:rPr>
          <w:lang w:val="fr-FR"/>
        </w:rPr>
        <w:t>épreuves</w:t>
      </w:r>
      <w:r w:rsidR="00E2610D" w:rsidRPr="00D75D19">
        <w:rPr>
          <w:lang w:val="fr-FR"/>
        </w:rPr>
        <w:t>.</w:t>
      </w:r>
      <w:r w:rsidRPr="00D75D19">
        <w:rPr>
          <w:lang w:val="fr-FR"/>
        </w:rPr>
        <w:t xml:space="preserve"> Elles peuvent être classées par les parties prenantes sans l</w:t>
      </w:r>
      <w:r w:rsidR="00BD62BD" w:rsidRPr="00D75D19">
        <w:rPr>
          <w:lang w:val="fr-FR"/>
        </w:rPr>
        <w:t>’</w:t>
      </w:r>
      <w:r w:rsidRPr="00D75D19">
        <w:rPr>
          <w:lang w:val="fr-FR"/>
        </w:rPr>
        <w:t>approbation d</w:t>
      </w:r>
      <w:r w:rsidR="00BD62BD" w:rsidRPr="00D75D19">
        <w:rPr>
          <w:lang w:val="fr-FR"/>
        </w:rPr>
        <w:t>’</w:t>
      </w:r>
      <w:r w:rsidRPr="00D75D19">
        <w:rPr>
          <w:lang w:val="fr-FR"/>
        </w:rPr>
        <w:t>une autorité compétente</w:t>
      </w:r>
      <w:r w:rsidR="00E2610D" w:rsidRPr="00D75D19">
        <w:rPr>
          <w:lang w:val="fr-FR"/>
        </w:rPr>
        <w:t>.</w:t>
      </w:r>
      <w:r w:rsidRPr="00D75D19">
        <w:rPr>
          <w:lang w:val="fr-FR"/>
        </w:rPr>
        <w:t xml:space="preserve"> En revanche, les matières explosibles désensibilisées qui n</w:t>
      </w:r>
      <w:r w:rsidR="00BD62BD" w:rsidRPr="00D75D19">
        <w:rPr>
          <w:lang w:val="fr-FR"/>
        </w:rPr>
        <w:t>’</w:t>
      </w:r>
      <w:r w:rsidRPr="00D75D19">
        <w:rPr>
          <w:lang w:val="fr-FR"/>
        </w:rPr>
        <w:t>ont pas été bien définies sont classées sous les Nos ONU 3379 ou 3380, qui requièrent quant à eux des épreuves</w:t>
      </w:r>
      <w:r w:rsidRPr="00D75D19">
        <w:rPr>
          <w:rStyle w:val="FootnoteReference"/>
          <w:lang w:val="fr-FR"/>
        </w:rPr>
        <w:footnoteReference w:id="7"/>
      </w:r>
      <w:r w:rsidR="00E2610D" w:rsidRPr="00D75D19">
        <w:rPr>
          <w:lang w:val="fr-FR"/>
        </w:rPr>
        <w:t>.</w:t>
      </w:r>
      <w:r w:rsidRPr="00D75D19">
        <w:rPr>
          <w:lang w:val="fr-FR"/>
        </w:rPr>
        <w:t xml:space="preserve"> En d</w:t>
      </w:r>
      <w:r w:rsidR="00BD62BD" w:rsidRPr="00D75D19">
        <w:rPr>
          <w:lang w:val="fr-FR"/>
        </w:rPr>
        <w:t>’</w:t>
      </w:r>
      <w:r w:rsidRPr="00D75D19">
        <w:rPr>
          <w:lang w:val="fr-FR"/>
        </w:rPr>
        <w:t>autres termes, le système établi dans le Règlement type évalue correctement tous les mélanges de matières explosibles désensibilisées et garantit des résultats précis</w:t>
      </w:r>
      <w:r w:rsidR="00BD62BD" w:rsidRPr="00D75D19">
        <w:rPr>
          <w:lang w:val="fr-FR"/>
        </w:rPr>
        <w:t> ;</w:t>
      </w:r>
      <w:r w:rsidRPr="00D75D19">
        <w:rPr>
          <w:lang w:val="fr-FR"/>
        </w:rPr>
        <w:t xml:space="preserve"> de</w:t>
      </w:r>
      <w:r w:rsidR="00975252" w:rsidRPr="00D75D19">
        <w:rPr>
          <w:lang w:val="fr-FR"/>
        </w:rPr>
        <w:t> </w:t>
      </w:r>
      <w:r w:rsidRPr="00D75D19">
        <w:rPr>
          <w:lang w:val="fr-FR"/>
        </w:rPr>
        <w:t>plus, il n</w:t>
      </w:r>
      <w:r w:rsidR="00BD62BD" w:rsidRPr="00D75D19">
        <w:rPr>
          <w:lang w:val="fr-FR"/>
        </w:rPr>
        <w:t>’</w:t>
      </w:r>
      <w:r w:rsidRPr="00D75D19">
        <w:rPr>
          <w:lang w:val="fr-FR"/>
        </w:rPr>
        <w:t>impose d</w:t>
      </w:r>
      <w:r w:rsidR="00BD62BD" w:rsidRPr="00D75D19">
        <w:rPr>
          <w:lang w:val="fr-FR"/>
        </w:rPr>
        <w:t>’</w:t>
      </w:r>
      <w:r w:rsidRPr="00D75D19">
        <w:rPr>
          <w:lang w:val="fr-FR"/>
        </w:rPr>
        <w:t>épreuves que dans la mesure nécessaire</w:t>
      </w:r>
      <w:r w:rsidR="00E2610D" w:rsidRPr="00D75D19">
        <w:rPr>
          <w:lang w:val="fr-FR"/>
        </w:rPr>
        <w:t>.</w:t>
      </w:r>
    </w:p>
    <w:p w14:paraId="37B7EF48" w14:textId="45D0CC8F" w:rsidR="00FF62BE" w:rsidRPr="00D75D19" w:rsidRDefault="009B4C90" w:rsidP="00EF00FF">
      <w:pPr>
        <w:pStyle w:val="SingleTxtG"/>
        <w:rPr>
          <w:lang w:val="fr-FR"/>
        </w:rPr>
      </w:pPr>
      <w:r w:rsidRPr="00D75D19">
        <w:rPr>
          <w:lang w:val="fr-FR"/>
        </w:rPr>
        <w:t>9</w:t>
      </w:r>
      <w:r w:rsidR="00E2610D" w:rsidRPr="00D75D19">
        <w:rPr>
          <w:lang w:val="fr-FR"/>
        </w:rPr>
        <w:t>.</w:t>
      </w:r>
      <w:r w:rsidRPr="00D75D19">
        <w:rPr>
          <w:lang w:val="fr-FR"/>
        </w:rPr>
        <w:tab/>
        <w:t>En résumé, le chapitre 2</w:t>
      </w:r>
      <w:r w:rsidR="00E2610D" w:rsidRPr="00D75D19">
        <w:rPr>
          <w:lang w:val="fr-FR"/>
        </w:rPr>
        <w:t>.</w:t>
      </w:r>
      <w:r w:rsidRPr="00D75D19">
        <w:rPr>
          <w:lang w:val="fr-FR"/>
        </w:rPr>
        <w:t>17 du SGH concorde déjà avec la logique des Nos ONU 3379 et 3380, qui rend nécessaire les épreuves pour les matières explosibles</w:t>
      </w:r>
      <w:r w:rsidR="00E2610D" w:rsidRPr="00D75D19">
        <w:rPr>
          <w:lang w:val="fr-FR"/>
        </w:rPr>
        <w:t>.</w:t>
      </w:r>
      <w:r w:rsidRPr="00D75D19">
        <w:rPr>
          <w:lang w:val="fr-FR"/>
        </w:rPr>
        <w:t xml:space="preserve"> Afin d</w:t>
      </w:r>
      <w:r w:rsidR="00BD62BD" w:rsidRPr="00D75D19">
        <w:rPr>
          <w:lang w:val="fr-FR"/>
        </w:rPr>
        <w:t>’</w:t>
      </w:r>
      <w:r w:rsidRPr="00D75D19">
        <w:rPr>
          <w:lang w:val="fr-FR"/>
        </w:rPr>
        <w:t>éviter toute dissonance avec les autres rubriques, le chapitre 2</w:t>
      </w:r>
      <w:r w:rsidR="00E2610D" w:rsidRPr="00D75D19">
        <w:rPr>
          <w:lang w:val="fr-FR"/>
        </w:rPr>
        <w:t>.</w:t>
      </w:r>
      <w:r w:rsidRPr="00D75D19">
        <w:rPr>
          <w:lang w:val="fr-FR"/>
        </w:rPr>
        <w:t>17 du SGH devrait permettre de ne pas imposer d</w:t>
      </w:r>
      <w:r w:rsidR="00BD62BD" w:rsidRPr="00D75D19">
        <w:rPr>
          <w:lang w:val="fr-FR"/>
        </w:rPr>
        <w:t>’</w:t>
      </w:r>
      <w:r w:rsidRPr="00D75D19">
        <w:rPr>
          <w:lang w:val="fr-FR"/>
        </w:rPr>
        <w:t>épreuves</w:t>
      </w:r>
      <w:r w:rsidR="00E832CA" w:rsidRPr="00D75D19">
        <w:rPr>
          <w:lang w:val="fr-FR"/>
        </w:rPr>
        <w:t xml:space="preserve"> </w:t>
      </w:r>
      <w:r w:rsidRPr="00D75D19">
        <w:rPr>
          <w:lang w:val="fr-FR"/>
        </w:rPr>
        <w:t>pour les matières explosibles à condition d</w:t>
      </w:r>
      <w:r w:rsidR="00BD62BD" w:rsidRPr="00D75D19">
        <w:rPr>
          <w:lang w:val="fr-FR"/>
        </w:rPr>
        <w:t>’</w:t>
      </w:r>
      <w:r w:rsidRPr="00D75D19">
        <w:rPr>
          <w:lang w:val="fr-FR"/>
        </w:rPr>
        <w:t>obtenir un avis d</w:t>
      </w:r>
      <w:r w:rsidR="00BD62BD" w:rsidRPr="00D75D19">
        <w:rPr>
          <w:lang w:val="fr-FR"/>
        </w:rPr>
        <w:t>’</w:t>
      </w:r>
      <w:r w:rsidRPr="00D75D19">
        <w:rPr>
          <w:lang w:val="fr-FR"/>
        </w:rPr>
        <w:t>expert, pour</w:t>
      </w:r>
      <w:r w:rsidR="00013ACE" w:rsidRPr="00D75D19">
        <w:rPr>
          <w:lang w:val="fr-FR"/>
        </w:rPr>
        <w:t> </w:t>
      </w:r>
      <w:r w:rsidRPr="00D75D19">
        <w:rPr>
          <w:lang w:val="fr-FR"/>
        </w:rPr>
        <w:t>les mélanges bien définis classés sous une rubrique ONU ne requérant pas d</w:t>
      </w:r>
      <w:r w:rsidR="00BD62BD" w:rsidRPr="00D75D19">
        <w:rPr>
          <w:lang w:val="fr-FR"/>
        </w:rPr>
        <w:t>’</w:t>
      </w:r>
      <w:r w:rsidRPr="00D75D19">
        <w:rPr>
          <w:lang w:val="fr-FR"/>
        </w:rPr>
        <w:t>épreuve</w:t>
      </w:r>
      <w:r w:rsidR="00E2610D" w:rsidRPr="00D75D19">
        <w:rPr>
          <w:lang w:val="fr-FR"/>
        </w:rPr>
        <w:t>.</w:t>
      </w:r>
    </w:p>
    <w:p w14:paraId="61B4321C" w14:textId="181582E6" w:rsidR="009B4C90" w:rsidRPr="00D75D19" w:rsidRDefault="00EF00FF" w:rsidP="00EF00FF">
      <w:pPr>
        <w:pStyle w:val="HChG"/>
        <w:rPr>
          <w:lang w:val="fr-FR"/>
        </w:rPr>
      </w:pPr>
      <w:r w:rsidRPr="00D75D19">
        <w:rPr>
          <w:lang w:val="fr-FR"/>
        </w:rPr>
        <w:lastRenderedPageBreak/>
        <w:tab/>
      </w:r>
      <w:r w:rsidR="009B4C90" w:rsidRPr="00D75D19">
        <w:rPr>
          <w:lang w:val="fr-FR"/>
        </w:rPr>
        <w:t>III</w:t>
      </w:r>
      <w:r w:rsidR="00E2610D" w:rsidRPr="00D75D19">
        <w:rPr>
          <w:lang w:val="fr-FR"/>
        </w:rPr>
        <w:t>.</w:t>
      </w:r>
      <w:r w:rsidR="009B4C90" w:rsidRPr="00D75D19">
        <w:rPr>
          <w:lang w:val="fr-FR"/>
        </w:rPr>
        <w:tab/>
        <w:t>Modifications proposées pour le chapitre 2</w:t>
      </w:r>
      <w:r w:rsidR="00E2610D" w:rsidRPr="00D75D19">
        <w:rPr>
          <w:lang w:val="fr-FR"/>
        </w:rPr>
        <w:t>.</w:t>
      </w:r>
      <w:r w:rsidR="009B4C90" w:rsidRPr="00D75D19">
        <w:rPr>
          <w:lang w:val="fr-FR"/>
        </w:rPr>
        <w:t>17 du SGH</w:t>
      </w:r>
    </w:p>
    <w:p w14:paraId="58F340CD" w14:textId="473BF128" w:rsidR="009B4C90" w:rsidRPr="00D75D19" w:rsidRDefault="009B4C90" w:rsidP="00EF00FF">
      <w:pPr>
        <w:pStyle w:val="SingleTxtG"/>
        <w:rPr>
          <w:lang w:val="fr-FR"/>
        </w:rPr>
      </w:pPr>
      <w:r w:rsidRPr="00D75D19">
        <w:rPr>
          <w:lang w:val="fr-FR"/>
        </w:rPr>
        <w:t>10</w:t>
      </w:r>
      <w:r w:rsidR="00E2610D" w:rsidRPr="00D75D19">
        <w:rPr>
          <w:lang w:val="fr-FR"/>
        </w:rPr>
        <w:t>.</w:t>
      </w:r>
      <w:r w:rsidRPr="00D75D19">
        <w:rPr>
          <w:lang w:val="fr-FR"/>
        </w:rPr>
        <w:tab/>
        <w:t>Les critères de classement énoncés au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Pr="00D75D19">
        <w:rPr>
          <w:lang w:val="fr-FR"/>
        </w:rPr>
        <w:t>2 du SGH reposent sur les épreuves définies par le Manuel d</w:t>
      </w:r>
      <w:r w:rsidR="00BD62BD" w:rsidRPr="00D75D19">
        <w:rPr>
          <w:lang w:val="fr-FR"/>
        </w:rPr>
        <w:t>’</w:t>
      </w:r>
      <w:r w:rsidRPr="00D75D19">
        <w:rPr>
          <w:lang w:val="fr-FR"/>
        </w:rPr>
        <w:t>épreuves et de critères pour les matières explosibles</w:t>
      </w:r>
      <w:r w:rsidR="00E2610D" w:rsidRPr="00D75D19">
        <w:rPr>
          <w:lang w:val="fr-FR"/>
        </w:rPr>
        <w:t>.</w:t>
      </w:r>
      <w:r w:rsidRPr="00D75D19">
        <w:rPr>
          <w:lang w:val="fr-FR"/>
        </w:rPr>
        <w:t xml:space="preserve"> Plus</w:t>
      </w:r>
      <w:r w:rsidR="00CA45B2" w:rsidRPr="00D75D19">
        <w:rPr>
          <w:lang w:val="fr-FR"/>
        </w:rPr>
        <w:t> </w:t>
      </w:r>
      <w:r w:rsidRPr="00D75D19">
        <w:rPr>
          <w:lang w:val="fr-FR"/>
        </w:rPr>
        <w:t>précisément, toute matière explosible désensibilisée doit</w:t>
      </w:r>
      <w:r w:rsidR="00BD62BD" w:rsidRPr="00D75D19">
        <w:rPr>
          <w:lang w:val="fr-FR"/>
        </w:rPr>
        <w:t> :</w:t>
      </w:r>
      <w:r w:rsidRPr="00D75D19">
        <w:rPr>
          <w:lang w:val="fr-FR"/>
        </w:rPr>
        <w:t xml:space="preserve"> ne pas présenter de danger d</w:t>
      </w:r>
      <w:r w:rsidR="00BD62BD" w:rsidRPr="00D75D19">
        <w:rPr>
          <w:lang w:val="fr-FR"/>
        </w:rPr>
        <w:t>’</w:t>
      </w:r>
      <w:r w:rsidRPr="00D75D19">
        <w:rPr>
          <w:lang w:val="fr-FR"/>
        </w:rPr>
        <w:t>explosion en masse tel que défini par les épreuves 6 a) ou 6 b)</w:t>
      </w:r>
      <w:r w:rsidR="00BD62BD" w:rsidRPr="00D75D19">
        <w:rPr>
          <w:lang w:val="fr-FR"/>
        </w:rPr>
        <w:t> ;</w:t>
      </w:r>
      <w:r w:rsidRPr="00D75D19">
        <w:rPr>
          <w:lang w:val="fr-FR"/>
        </w:rPr>
        <w:t xml:space="preserve"> ne pas être trop sensible ou thermiquement instable selon les résultats de la série 3 d</w:t>
      </w:r>
      <w:r w:rsidR="00BD62BD" w:rsidRPr="00D75D19">
        <w:rPr>
          <w:lang w:val="fr-FR"/>
        </w:rPr>
        <w:t>’</w:t>
      </w:r>
      <w:r w:rsidRPr="00D75D19">
        <w:rPr>
          <w:lang w:val="fr-FR"/>
        </w:rPr>
        <w:t>épreuves du Manuel d</w:t>
      </w:r>
      <w:r w:rsidR="00BD62BD" w:rsidRPr="00D75D19">
        <w:rPr>
          <w:lang w:val="fr-FR"/>
        </w:rPr>
        <w:t>’</w:t>
      </w:r>
      <w:r w:rsidRPr="00D75D19">
        <w:rPr>
          <w:lang w:val="fr-FR"/>
        </w:rPr>
        <w:t>épreuves et de critères</w:t>
      </w:r>
      <w:r w:rsidR="00BD62BD" w:rsidRPr="00D75D19">
        <w:rPr>
          <w:lang w:val="fr-FR"/>
        </w:rPr>
        <w:t> ;</w:t>
      </w:r>
      <w:r w:rsidRPr="00D75D19">
        <w:rPr>
          <w:lang w:val="fr-FR"/>
        </w:rPr>
        <w:t xml:space="preserve"> être trop insensible pour être incluse dans la classe des matières explosibles conformément à la série 2 d</w:t>
      </w:r>
      <w:r w:rsidR="00BD62BD" w:rsidRPr="00D75D19">
        <w:rPr>
          <w:lang w:val="fr-FR"/>
        </w:rPr>
        <w:t>’</w:t>
      </w:r>
      <w:r w:rsidRPr="00D75D19">
        <w:rPr>
          <w:lang w:val="fr-FR"/>
        </w:rPr>
        <w:t>épreuves</w:t>
      </w:r>
      <w:r w:rsidR="00E2610D" w:rsidRPr="00D75D19">
        <w:rPr>
          <w:lang w:val="fr-FR"/>
        </w:rPr>
        <w:t>.</w:t>
      </w:r>
    </w:p>
    <w:p w14:paraId="0709D024" w14:textId="7F1027FD" w:rsidR="009B4C90" w:rsidRPr="00D75D19" w:rsidRDefault="009B4C90" w:rsidP="00EF00FF">
      <w:pPr>
        <w:pStyle w:val="SingleTxtG"/>
        <w:rPr>
          <w:lang w:val="fr-FR"/>
        </w:rPr>
      </w:pPr>
      <w:r w:rsidRPr="00D75D19">
        <w:rPr>
          <w:lang w:val="fr-FR"/>
        </w:rPr>
        <w:t>11</w:t>
      </w:r>
      <w:r w:rsidR="00E2610D" w:rsidRPr="00D75D19">
        <w:rPr>
          <w:lang w:val="fr-FR"/>
        </w:rPr>
        <w:t>.</w:t>
      </w:r>
      <w:r w:rsidRPr="00D75D19">
        <w:rPr>
          <w:lang w:val="fr-FR"/>
        </w:rPr>
        <w:tab/>
        <w:t>Dans la version actuelle du SGH, un nota associé au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00F83360" w:rsidRPr="00D75D19">
        <w:rPr>
          <w:lang w:val="fr-FR"/>
        </w:rPr>
        <w:t>2</w:t>
      </w:r>
      <w:r w:rsidRPr="00D75D19">
        <w:rPr>
          <w:lang w:val="fr-FR"/>
        </w:rPr>
        <w:t xml:space="preserve"> indique que les mélanges de nitrocellulose ne contenant pas d</w:t>
      </w:r>
      <w:r w:rsidR="00BD62BD" w:rsidRPr="00D75D19">
        <w:rPr>
          <w:lang w:val="fr-FR"/>
        </w:rPr>
        <w:t>’</w:t>
      </w:r>
      <w:r w:rsidRPr="00D75D19">
        <w:rPr>
          <w:lang w:val="fr-FR"/>
        </w:rPr>
        <w:t>autres matières explosibles que la nitrocellulose ne doivent pas satisfaire aux critères de résultats de la série 3 d</w:t>
      </w:r>
      <w:r w:rsidR="00BD62BD" w:rsidRPr="00D75D19">
        <w:rPr>
          <w:lang w:val="fr-FR"/>
        </w:rPr>
        <w:t>’</w:t>
      </w:r>
      <w:r w:rsidRPr="00D75D19">
        <w:rPr>
          <w:lang w:val="fr-FR"/>
        </w:rPr>
        <w:t>épreuves</w:t>
      </w:r>
      <w:r w:rsidR="00E2610D" w:rsidRPr="00D75D19">
        <w:rPr>
          <w:lang w:val="fr-FR"/>
        </w:rPr>
        <w:t>.</w:t>
      </w:r>
      <w:r w:rsidRPr="00D75D19">
        <w:rPr>
          <w:lang w:val="fr-FR"/>
        </w:rPr>
        <w:t xml:space="preserve"> À sa quarante-sixième session, le Sous-Comité SGH a examiné une proposition qui visait à supprimer ce nota</w:t>
      </w:r>
      <w:r w:rsidRPr="00D75D19">
        <w:rPr>
          <w:rStyle w:val="FootnoteReference"/>
          <w:lang w:val="fr-FR"/>
        </w:rPr>
        <w:footnoteReference w:id="8"/>
      </w:r>
      <w:r w:rsidR="00E2610D" w:rsidRPr="00D75D19">
        <w:rPr>
          <w:lang w:val="fr-FR"/>
        </w:rPr>
        <w:t>.</w:t>
      </w:r>
      <w:r w:rsidRPr="00D75D19">
        <w:rPr>
          <w:lang w:val="fr-FR"/>
        </w:rPr>
        <w:t xml:space="preserve"> L</w:t>
      </w:r>
      <w:r w:rsidR="00BD62BD" w:rsidRPr="00D75D19">
        <w:rPr>
          <w:lang w:val="fr-FR"/>
        </w:rPr>
        <w:t>’</w:t>
      </w:r>
      <w:r w:rsidRPr="00D75D19">
        <w:rPr>
          <w:lang w:val="fr-FR"/>
        </w:rPr>
        <w:t>un</w:t>
      </w:r>
      <w:r w:rsidR="00064A5B" w:rsidRPr="00D75D19">
        <w:rPr>
          <w:lang w:val="fr-FR"/>
        </w:rPr>
        <w:t> </w:t>
      </w:r>
      <w:r w:rsidRPr="00D75D19">
        <w:rPr>
          <w:lang w:val="fr-FR"/>
        </w:rPr>
        <w:t>des arguments qui avaient été avancés au moment du débat était que la nitrocellulose avec seulement un flegmatisant ne serait pas concernée</w:t>
      </w:r>
      <w:r w:rsidR="00E2610D" w:rsidRPr="00D75D19">
        <w:rPr>
          <w:lang w:val="fr-FR"/>
        </w:rPr>
        <w:t>.</w:t>
      </w:r>
      <w:r w:rsidRPr="00D75D19">
        <w:rPr>
          <w:lang w:val="fr-FR"/>
        </w:rPr>
        <w:t xml:space="preserve"> Or, le SAAMI est d</w:t>
      </w:r>
      <w:r w:rsidR="00BD62BD" w:rsidRPr="00D75D19">
        <w:rPr>
          <w:lang w:val="fr-FR"/>
        </w:rPr>
        <w:t>’</w:t>
      </w:r>
      <w:r w:rsidRPr="00D75D19">
        <w:rPr>
          <w:lang w:val="fr-FR"/>
        </w:rPr>
        <w:t>avis qu</w:t>
      </w:r>
      <w:r w:rsidR="00BD62BD" w:rsidRPr="00D75D19">
        <w:rPr>
          <w:lang w:val="fr-FR"/>
        </w:rPr>
        <w:t>’</w:t>
      </w:r>
      <w:r w:rsidRPr="00D75D19">
        <w:rPr>
          <w:lang w:val="fr-FR"/>
        </w:rPr>
        <w:t>elle le sera</w:t>
      </w:r>
      <w:r w:rsidR="00E2610D" w:rsidRPr="00D75D19">
        <w:rPr>
          <w:lang w:val="fr-FR"/>
        </w:rPr>
        <w:t>.</w:t>
      </w:r>
      <w:r w:rsidRPr="00D75D19">
        <w:rPr>
          <w:lang w:val="fr-FR"/>
        </w:rPr>
        <w:t xml:space="preserve"> Les matières explosibles désensibilisées sont des </w:t>
      </w:r>
      <w:r w:rsidR="00C320AF" w:rsidRPr="00D75D19">
        <w:rPr>
          <w:lang w:val="fr-FR"/>
        </w:rPr>
        <w:t>« </w:t>
      </w:r>
      <w:r w:rsidRPr="00D75D19">
        <w:rPr>
          <w:lang w:val="fr-FR"/>
        </w:rPr>
        <w:t>mélanges SGH</w:t>
      </w:r>
      <w:r w:rsidR="00C320AF" w:rsidRPr="00D75D19">
        <w:rPr>
          <w:lang w:val="fr-FR"/>
        </w:rPr>
        <w:t> »</w:t>
      </w:r>
      <w:r w:rsidRPr="00D75D19">
        <w:rPr>
          <w:lang w:val="fr-FR"/>
        </w:rPr>
        <w:t>, même si le seul additif est un flegmatisant, et la suppression du nota assujettirait la nitrocellulose désensibilisée à la série 3 d</w:t>
      </w:r>
      <w:r w:rsidR="00BD62BD" w:rsidRPr="00D75D19">
        <w:rPr>
          <w:lang w:val="fr-FR"/>
        </w:rPr>
        <w:t>’</w:t>
      </w:r>
      <w:r w:rsidRPr="00D75D19">
        <w:rPr>
          <w:lang w:val="fr-FR"/>
        </w:rPr>
        <w:t>épreuves</w:t>
      </w:r>
      <w:r w:rsidR="00E2610D" w:rsidRPr="00D75D19">
        <w:rPr>
          <w:lang w:val="fr-FR"/>
        </w:rPr>
        <w:t>.</w:t>
      </w:r>
    </w:p>
    <w:p w14:paraId="1E82BC7D" w14:textId="2A4E700D" w:rsidR="009B4C90" w:rsidRPr="00D75D19" w:rsidRDefault="009B4C90" w:rsidP="00EF00FF">
      <w:pPr>
        <w:pStyle w:val="SingleTxtG"/>
        <w:rPr>
          <w:lang w:val="fr-FR"/>
        </w:rPr>
      </w:pPr>
      <w:r w:rsidRPr="00D75D19">
        <w:rPr>
          <w:lang w:val="fr-FR"/>
        </w:rPr>
        <w:t>12</w:t>
      </w:r>
      <w:r w:rsidR="00E2610D" w:rsidRPr="00D75D19">
        <w:rPr>
          <w:lang w:val="fr-FR"/>
        </w:rPr>
        <w:t>.</w:t>
      </w:r>
      <w:r w:rsidRPr="00D75D19">
        <w:rPr>
          <w:lang w:val="fr-FR"/>
        </w:rPr>
        <w:tab/>
        <w:t>Même si ce nota est maintenu, les matières explosibles désensibilisées bien définies auxquelles des numéros ONU spécifiques sont affectés restent actuellement soumises aux prescriptions du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Pr="00D75D19">
        <w:rPr>
          <w:lang w:val="fr-FR"/>
        </w:rPr>
        <w:t>2 du SGH relatives aux épreuves 6 a) ou 6 b)</w:t>
      </w:r>
      <w:r w:rsidR="00E2610D" w:rsidRPr="00D75D19">
        <w:rPr>
          <w:lang w:val="fr-FR"/>
        </w:rPr>
        <w:t>.</w:t>
      </w:r>
    </w:p>
    <w:p w14:paraId="1885BEDC" w14:textId="5CD7B576" w:rsidR="009B4C90" w:rsidRPr="00D75D19" w:rsidRDefault="009B4C90" w:rsidP="00EF00FF">
      <w:pPr>
        <w:pStyle w:val="SingleTxtG"/>
        <w:rPr>
          <w:lang w:val="fr-FR"/>
        </w:rPr>
      </w:pPr>
      <w:r w:rsidRPr="00D75D19">
        <w:rPr>
          <w:lang w:val="fr-FR"/>
        </w:rPr>
        <w:t>13</w:t>
      </w:r>
      <w:r w:rsidR="00E2610D" w:rsidRPr="00D75D19">
        <w:rPr>
          <w:lang w:val="fr-FR"/>
        </w:rPr>
        <w:t>.</w:t>
      </w:r>
      <w:r w:rsidRPr="00D75D19">
        <w:rPr>
          <w:lang w:val="fr-FR"/>
        </w:rPr>
        <w:tab/>
        <w:t>Le SAAMI propose d</w:t>
      </w:r>
      <w:r w:rsidR="00BD62BD" w:rsidRPr="00D75D19">
        <w:rPr>
          <w:lang w:val="fr-FR"/>
        </w:rPr>
        <w:t>’</w:t>
      </w:r>
      <w:r w:rsidRPr="00D75D19">
        <w:rPr>
          <w:lang w:val="fr-FR"/>
        </w:rPr>
        <w:t>insérer un nouveau nota qui autorise le recours à un jugement d</w:t>
      </w:r>
      <w:r w:rsidR="00BD62BD" w:rsidRPr="00D75D19">
        <w:rPr>
          <w:lang w:val="fr-FR"/>
        </w:rPr>
        <w:t>’</w:t>
      </w:r>
      <w:r w:rsidRPr="00D75D19">
        <w:rPr>
          <w:lang w:val="fr-FR"/>
        </w:rPr>
        <w:t>expert pour l</w:t>
      </w:r>
      <w:r w:rsidR="00BD62BD" w:rsidRPr="00D75D19">
        <w:rPr>
          <w:lang w:val="fr-FR"/>
        </w:rPr>
        <w:t>’</w:t>
      </w:r>
      <w:r w:rsidRPr="00D75D19">
        <w:rPr>
          <w:lang w:val="fr-FR"/>
        </w:rPr>
        <w:t>exemption des prescriptions d</w:t>
      </w:r>
      <w:r w:rsidR="00BD62BD" w:rsidRPr="00D75D19">
        <w:rPr>
          <w:lang w:val="fr-FR"/>
        </w:rPr>
        <w:t>’</w:t>
      </w:r>
      <w:r w:rsidRPr="00D75D19">
        <w:rPr>
          <w:lang w:val="fr-FR"/>
        </w:rPr>
        <w:t>épreuves énoncées dans le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Pr="00D75D19">
        <w:rPr>
          <w:lang w:val="fr-FR"/>
        </w:rPr>
        <w:t>2 du SGH</w:t>
      </w:r>
      <w:r w:rsidR="00E2610D" w:rsidRPr="00D75D19">
        <w:rPr>
          <w:lang w:val="fr-FR"/>
        </w:rPr>
        <w:t>.</w:t>
      </w:r>
      <w:r w:rsidRPr="00D75D19">
        <w:rPr>
          <w:lang w:val="fr-FR"/>
        </w:rPr>
        <w:t xml:space="preserve"> Seuls les mélanges de matières explosibles désensibilisées qui ont été bien définis et classés sous une rubrique ONU spécifique ne requérant pas d</w:t>
      </w:r>
      <w:r w:rsidR="00BD62BD" w:rsidRPr="00D75D19">
        <w:rPr>
          <w:lang w:val="fr-FR"/>
        </w:rPr>
        <w:t>’</w:t>
      </w:r>
      <w:r w:rsidRPr="00D75D19">
        <w:rPr>
          <w:lang w:val="fr-FR"/>
        </w:rPr>
        <w:t>épreuve sont concernés</w:t>
      </w:r>
      <w:r w:rsidR="00E2610D" w:rsidRPr="00D75D19">
        <w:rPr>
          <w:lang w:val="fr-FR"/>
        </w:rPr>
        <w:t>.</w:t>
      </w:r>
    </w:p>
    <w:p w14:paraId="5DF7C148" w14:textId="2858EF57" w:rsidR="009B4C90" w:rsidRPr="00D75D19" w:rsidRDefault="009B4C90" w:rsidP="00C320AF">
      <w:pPr>
        <w:pStyle w:val="SingleTxtG"/>
        <w:rPr>
          <w:lang w:val="fr-FR"/>
        </w:rPr>
      </w:pPr>
      <w:r w:rsidRPr="00D75D19">
        <w:rPr>
          <w:lang w:val="fr-FR"/>
        </w:rPr>
        <w:t>14</w:t>
      </w:r>
      <w:r w:rsidR="00E2610D" w:rsidRPr="00D75D19">
        <w:rPr>
          <w:lang w:val="fr-FR"/>
        </w:rPr>
        <w:t>.</w:t>
      </w:r>
      <w:r w:rsidRPr="00D75D19">
        <w:rPr>
          <w:lang w:val="fr-FR"/>
        </w:rPr>
        <w:tab/>
        <w:t>Sous réserve de l</w:t>
      </w:r>
      <w:r w:rsidR="00BD62BD" w:rsidRPr="00D75D19">
        <w:rPr>
          <w:lang w:val="fr-FR"/>
        </w:rPr>
        <w:t>’</w:t>
      </w:r>
      <w:r w:rsidRPr="00D75D19">
        <w:rPr>
          <w:lang w:val="fr-FR"/>
        </w:rPr>
        <w:t>adoption de la proposition susmentionnée, le SAAMI propose également de supprimer le nota qui exempte les mélanges de nitrocellulose de la série</w:t>
      </w:r>
      <w:r w:rsidR="00683372" w:rsidRPr="00D75D19">
        <w:rPr>
          <w:lang w:val="fr-FR"/>
        </w:rPr>
        <w:t> </w:t>
      </w:r>
      <w:r w:rsidRPr="00D75D19">
        <w:rPr>
          <w:lang w:val="fr-FR"/>
        </w:rPr>
        <w:t>3 d</w:t>
      </w:r>
      <w:r w:rsidR="00BD62BD" w:rsidRPr="00D75D19">
        <w:rPr>
          <w:lang w:val="fr-FR"/>
        </w:rPr>
        <w:t>’</w:t>
      </w:r>
      <w:r w:rsidRPr="00D75D19">
        <w:rPr>
          <w:lang w:val="fr-FR"/>
        </w:rPr>
        <w:t>épreuves</w:t>
      </w:r>
      <w:r w:rsidR="00E2610D" w:rsidRPr="00D75D19">
        <w:rPr>
          <w:lang w:val="fr-FR"/>
        </w:rPr>
        <w:t>.</w:t>
      </w:r>
      <w:r w:rsidRPr="00D75D19">
        <w:rPr>
          <w:lang w:val="fr-FR"/>
        </w:rPr>
        <w:t xml:space="preserve"> En effet, les mélanges de nitrocellulose qui n</w:t>
      </w:r>
      <w:r w:rsidR="00BD62BD" w:rsidRPr="00D75D19">
        <w:rPr>
          <w:lang w:val="fr-FR"/>
        </w:rPr>
        <w:t>’</w:t>
      </w:r>
      <w:r w:rsidRPr="00D75D19">
        <w:rPr>
          <w:lang w:val="fr-FR"/>
        </w:rPr>
        <w:t>ont pas été bien définis ni classés sous des rubriques ONU spécifiques ne requérant pas d</w:t>
      </w:r>
      <w:r w:rsidR="00BD62BD" w:rsidRPr="00D75D19">
        <w:rPr>
          <w:lang w:val="fr-FR"/>
        </w:rPr>
        <w:t>’</w:t>
      </w:r>
      <w:r w:rsidRPr="00D75D19">
        <w:rPr>
          <w:lang w:val="fr-FR"/>
        </w:rPr>
        <w:t>épreuves, devraient être soumis à des épreuves et être classés sous les Nos ONU 3379 ou 3380 lorsqu</w:t>
      </w:r>
      <w:r w:rsidR="00BD62BD" w:rsidRPr="00D75D19">
        <w:rPr>
          <w:lang w:val="fr-FR"/>
        </w:rPr>
        <w:t>’</w:t>
      </w:r>
      <w:r w:rsidRPr="00D75D19">
        <w:rPr>
          <w:lang w:val="fr-FR"/>
        </w:rPr>
        <w:t>ils sont suffisamment flegmatisés</w:t>
      </w:r>
      <w:r w:rsidR="00E2610D" w:rsidRPr="00D75D19">
        <w:rPr>
          <w:lang w:val="fr-FR"/>
        </w:rPr>
        <w:t>.</w:t>
      </w:r>
      <w:r w:rsidRPr="00D75D19">
        <w:rPr>
          <w:lang w:val="fr-FR"/>
        </w:rPr>
        <w:t xml:space="preserve"> La nitrocellulose avec adjonction de matières comburantes en est un exemple</w:t>
      </w:r>
      <w:r w:rsidR="00E2610D" w:rsidRPr="00D75D19">
        <w:rPr>
          <w:lang w:val="fr-FR"/>
        </w:rPr>
        <w:t>.</w:t>
      </w:r>
    </w:p>
    <w:p w14:paraId="04BECC50" w14:textId="71309416" w:rsidR="009B4C90" w:rsidRPr="00D75D19" w:rsidRDefault="00C320AF" w:rsidP="00C320AF">
      <w:pPr>
        <w:pStyle w:val="HChG"/>
        <w:rPr>
          <w:lang w:val="fr-FR"/>
        </w:rPr>
      </w:pPr>
      <w:r w:rsidRPr="00D75D19">
        <w:rPr>
          <w:lang w:val="fr-FR"/>
        </w:rPr>
        <w:tab/>
      </w:r>
      <w:r w:rsidR="009B4C90" w:rsidRPr="00D75D19">
        <w:rPr>
          <w:lang w:val="fr-FR"/>
        </w:rPr>
        <w:t>IV</w:t>
      </w:r>
      <w:r w:rsidR="00E2610D" w:rsidRPr="00D75D19">
        <w:rPr>
          <w:lang w:val="fr-FR"/>
        </w:rPr>
        <w:t>.</w:t>
      </w:r>
      <w:r w:rsidR="009B4C90" w:rsidRPr="00D75D19">
        <w:rPr>
          <w:lang w:val="fr-FR"/>
        </w:rPr>
        <w:tab/>
        <w:t>Amendements de conséquence au Manuel d</w:t>
      </w:r>
      <w:r w:rsidR="00BD62BD" w:rsidRPr="00D75D19">
        <w:rPr>
          <w:lang w:val="fr-FR"/>
        </w:rPr>
        <w:t>’</w:t>
      </w:r>
      <w:r w:rsidR="009B4C90" w:rsidRPr="00D75D19">
        <w:rPr>
          <w:lang w:val="fr-FR"/>
        </w:rPr>
        <w:t xml:space="preserve">épreuves </w:t>
      </w:r>
      <w:r w:rsidRPr="00D75D19">
        <w:rPr>
          <w:lang w:val="fr-FR"/>
        </w:rPr>
        <w:br/>
      </w:r>
      <w:r w:rsidR="009B4C90" w:rsidRPr="00D75D19">
        <w:rPr>
          <w:lang w:val="fr-FR"/>
        </w:rPr>
        <w:t>et de critères</w:t>
      </w:r>
    </w:p>
    <w:p w14:paraId="26B0D4C8" w14:textId="7B750F52" w:rsidR="009B4C90" w:rsidRPr="00D75D19" w:rsidRDefault="009B4C90" w:rsidP="00C320AF">
      <w:pPr>
        <w:pStyle w:val="SingleTxtG"/>
        <w:rPr>
          <w:lang w:val="fr-FR"/>
        </w:rPr>
      </w:pPr>
      <w:r w:rsidRPr="00D75D19">
        <w:rPr>
          <w:lang w:val="fr-FR"/>
        </w:rPr>
        <w:t>15</w:t>
      </w:r>
      <w:r w:rsidR="00E2610D" w:rsidRPr="00D75D19">
        <w:rPr>
          <w:lang w:val="fr-FR"/>
        </w:rPr>
        <w:t>.</w:t>
      </w:r>
      <w:r w:rsidRPr="00D75D19">
        <w:rPr>
          <w:lang w:val="fr-FR"/>
        </w:rPr>
        <w:tab/>
        <w:t>En pratique, les références aux numéros ONU n</w:t>
      </w:r>
      <w:r w:rsidR="00BD62BD" w:rsidRPr="00D75D19">
        <w:rPr>
          <w:lang w:val="fr-FR"/>
        </w:rPr>
        <w:t>’</w:t>
      </w:r>
      <w:r w:rsidRPr="00D75D19">
        <w:rPr>
          <w:lang w:val="fr-FR"/>
        </w:rPr>
        <w:t>apparaîtront que dans le Manuel d</w:t>
      </w:r>
      <w:r w:rsidR="00BD62BD" w:rsidRPr="00D75D19">
        <w:rPr>
          <w:lang w:val="fr-FR"/>
        </w:rPr>
        <w:t>’</w:t>
      </w:r>
      <w:r w:rsidRPr="00D75D19">
        <w:rPr>
          <w:lang w:val="fr-FR"/>
        </w:rPr>
        <w:t>épreuves et de critères</w:t>
      </w:r>
      <w:r w:rsidR="00BD62BD" w:rsidRPr="00D75D19">
        <w:rPr>
          <w:lang w:val="fr-FR"/>
        </w:rPr>
        <w:t> ;</w:t>
      </w:r>
      <w:r w:rsidRPr="00D75D19">
        <w:rPr>
          <w:lang w:val="fr-FR"/>
        </w:rPr>
        <w:t xml:space="preserve"> on évitera ainsi de devoir les inclure dans le SGH</w:t>
      </w:r>
      <w:r w:rsidR="00E2610D" w:rsidRPr="00D75D19">
        <w:rPr>
          <w:lang w:val="fr-FR"/>
        </w:rPr>
        <w:t>.</w:t>
      </w:r>
      <w:r w:rsidRPr="00D75D19">
        <w:rPr>
          <w:lang w:val="fr-FR"/>
        </w:rPr>
        <w:t xml:space="preserve"> Un nota mentionnant le jugement d</w:t>
      </w:r>
      <w:r w:rsidR="00BD62BD" w:rsidRPr="00D75D19">
        <w:rPr>
          <w:lang w:val="fr-FR"/>
        </w:rPr>
        <w:t>’</w:t>
      </w:r>
      <w:r w:rsidRPr="00D75D19">
        <w:rPr>
          <w:lang w:val="fr-FR"/>
        </w:rPr>
        <w:t>experts et les dispositions pertinentes du Manuel d</w:t>
      </w:r>
      <w:r w:rsidR="00BD62BD" w:rsidRPr="00D75D19">
        <w:rPr>
          <w:lang w:val="fr-FR"/>
        </w:rPr>
        <w:t>’</w:t>
      </w:r>
      <w:r w:rsidRPr="00D75D19">
        <w:rPr>
          <w:lang w:val="fr-FR"/>
        </w:rPr>
        <w:t>épreuves et de critères sera inséré dans le chapitre 2</w:t>
      </w:r>
      <w:r w:rsidR="00E2610D" w:rsidRPr="00D75D19">
        <w:rPr>
          <w:lang w:val="fr-FR"/>
        </w:rPr>
        <w:t>.</w:t>
      </w:r>
      <w:r w:rsidRPr="00D75D19">
        <w:rPr>
          <w:lang w:val="fr-FR"/>
        </w:rPr>
        <w:t>17 du SGH</w:t>
      </w:r>
      <w:r w:rsidR="00E2610D" w:rsidRPr="00D75D19">
        <w:rPr>
          <w:lang w:val="fr-FR"/>
        </w:rPr>
        <w:t>.</w:t>
      </w:r>
    </w:p>
    <w:p w14:paraId="68DFCD94" w14:textId="5D1A72BF" w:rsidR="009B4C90" w:rsidRPr="00D75D19" w:rsidRDefault="009B4C90" w:rsidP="00C320AF">
      <w:pPr>
        <w:pStyle w:val="SingleTxtG"/>
        <w:rPr>
          <w:lang w:val="fr-FR"/>
        </w:rPr>
      </w:pPr>
      <w:r w:rsidRPr="00D75D19">
        <w:rPr>
          <w:lang w:val="fr-FR"/>
        </w:rPr>
        <w:t>16</w:t>
      </w:r>
      <w:r w:rsidR="00E2610D" w:rsidRPr="00D75D19">
        <w:rPr>
          <w:lang w:val="fr-FR"/>
        </w:rPr>
        <w:t>.</w:t>
      </w:r>
      <w:r w:rsidRPr="00D75D19">
        <w:rPr>
          <w:lang w:val="fr-FR"/>
        </w:rPr>
        <w:tab/>
        <w:t>La section 51 du Manuel d</w:t>
      </w:r>
      <w:r w:rsidR="00BD62BD" w:rsidRPr="00D75D19">
        <w:rPr>
          <w:lang w:val="fr-FR"/>
        </w:rPr>
        <w:t>’</w:t>
      </w:r>
      <w:r w:rsidRPr="00D75D19">
        <w:rPr>
          <w:lang w:val="fr-FR"/>
        </w:rPr>
        <w:t>épreuves et de critères reflète les prescriptions applicables aux matières explosibles énoncées dans le chapitre 2</w:t>
      </w:r>
      <w:r w:rsidR="00E2610D" w:rsidRPr="00D75D19">
        <w:rPr>
          <w:lang w:val="fr-FR"/>
        </w:rPr>
        <w:t>.</w:t>
      </w:r>
      <w:r w:rsidRPr="00D75D19">
        <w:rPr>
          <w:lang w:val="fr-FR"/>
        </w:rPr>
        <w:t>17 du SGH et les développe</w:t>
      </w:r>
      <w:r w:rsidR="00E2610D" w:rsidRPr="00D75D19">
        <w:rPr>
          <w:lang w:val="fr-FR"/>
        </w:rPr>
        <w:t>.</w:t>
      </w:r>
      <w:r w:rsidRPr="00D75D19">
        <w:rPr>
          <w:lang w:val="fr-FR"/>
        </w:rPr>
        <w:t xml:space="preserve"> Un</w:t>
      </w:r>
      <w:r w:rsidR="00696B10" w:rsidRPr="00D75D19">
        <w:rPr>
          <w:lang w:val="fr-FR"/>
        </w:rPr>
        <w:t> </w:t>
      </w:r>
      <w:r w:rsidRPr="00D75D19">
        <w:rPr>
          <w:lang w:val="fr-FR"/>
        </w:rPr>
        <w:t>nouveau paragraphe peut y être ajouté pour tenir compte de certains produits chimiques, comme évoqué</w:t>
      </w:r>
      <w:r w:rsidR="00E2610D" w:rsidRPr="00D75D19">
        <w:rPr>
          <w:lang w:val="fr-FR"/>
        </w:rPr>
        <w:t>.</w:t>
      </w:r>
      <w:r w:rsidRPr="00D75D19">
        <w:rPr>
          <w:lang w:val="fr-FR"/>
        </w:rPr>
        <w:t xml:space="preserve"> Une exemption de la série 3 d</w:t>
      </w:r>
      <w:r w:rsidR="00BD62BD" w:rsidRPr="00D75D19">
        <w:rPr>
          <w:lang w:val="fr-FR"/>
        </w:rPr>
        <w:t>’</w:t>
      </w:r>
      <w:r w:rsidRPr="00D75D19">
        <w:rPr>
          <w:lang w:val="fr-FR"/>
        </w:rPr>
        <w:t>épreuves pour les mélanges de nitrocellulose figure aussi au 51</w:t>
      </w:r>
      <w:r w:rsidR="00E2610D" w:rsidRPr="00D75D19">
        <w:rPr>
          <w:lang w:val="fr-FR"/>
        </w:rPr>
        <w:t>.</w:t>
      </w:r>
      <w:r w:rsidRPr="00D75D19">
        <w:rPr>
          <w:lang w:val="fr-FR"/>
        </w:rPr>
        <w:t>3</w:t>
      </w:r>
      <w:r w:rsidR="00E2610D" w:rsidRPr="00D75D19">
        <w:rPr>
          <w:lang w:val="fr-FR"/>
        </w:rPr>
        <w:t>.</w:t>
      </w:r>
      <w:r w:rsidRPr="00D75D19">
        <w:rPr>
          <w:lang w:val="fr-FR"/>
        </w:rPr>
        <w:t>2 c) du Manuel d</w:t>
      </w:r>
      <w:r w:rsidR="00BD62BD" w:rsidRPr="00D75D19">
        <w:rPr>
          <w:lang w:val="fr-FR"/>
        </w:rPr>
        <w:t>’</w:t>
      </w:r>
      <w:r w:rsidRPr="00D75D19">
        <w:rPr>
          <w:lang w:val="fr-FR"/>
        </w:rPr>
        <w:t>épreuves et de critères</w:t>
      </w:r>
      <w:r w:rsidR="00E2610D" w:rsidRPr="00D75D19">
        <w:rPr>
          <w:lang w:val="fr-FR"/>
        </w:rPr>
        <w:t>.</w:t>
      </w:r>
      <w:r w:rsidRPr="00D75D19">
        <w:rPr>
          <w:lang w:val="fr-FR"/>
        </w:rPr>
        <w:t xml:space="preserve"> Il faudra peut-être la supprimer si les propositions ci-dessous sont acceptées</w:t>
      </w:r>
      <w:r w:rsidR="00E2610D" w:rsidRPr="00D75D19">
        <w:rPr>
          <w:lang w:val="fr-FR"/>
        </w:rPr>
        <w:t>.</w:t>
      </w:r>
    </w:p>
    <w:p w14:paraId="6CDE8732" w14:textId="525CD376" w:rsidR="009B4C90" w:rsidRPr="00D75D19" w:rsidRDefault="00C320AF" w:rsidP="00C320AF">
      <w:pPr>
        <w:pStyle w:val="HChG"/>
        <w:rPr>
          <w:lang w:val="fr-FR"/>
        </w:rPr>
      </w:pPr>
      <w:r w:rsidRPr="00D75D19">
        <w:rPr>
          <w:lang w:val="fr-FR"/>
        </w:rPr>
        <w:tab/>
      </w:r>
      <w:r w:rsidR="009B4C90" w:rsidRPr="00D75D19">
        <w:rPr>
          <w:lang w:val="fr-FR"/>
        </w:rPr>
        <w:t>V</w:t>
      </w:r>
      <w:r w:rsidR="00E2610D" w:rsidRPr="00D75D19">
        <w:rPr>
          <w:lang w:val="fr-FR"/>
        </w:rPr>
        <w:t>.</w:t>
      </w:r>
      <w:r w:rsidR="009B4C90" w:rsidRPr="00D75D19">
        <w:rPr>
          <w:lang w:val="fr-FR"/>
        </w:rPr>
        <w:tab/>
        <w:t>Propositions</w:t>
      </w:r>
    </w:p>
    <w:p w14:paraId="2FF5809A" w14:textId="3905E475" w:rsidR="009B4C90" w:rsidRPr="00D75D19" w:rsidRDefault="009B4C90" w:rsidP="00C320AF">
      <w:pPr>
        <w:pStyle w:val="SingleTxtG"/>
        <w:rPr>
          <w:lang w:val="fr-FR"/>
        </w:rPr>
      </w:pPr>
      <w:r w:rsidRPr="00D75D19">
        <w:rPr>
          <w:lang w:val="fr-FR"/>
        </w:rPr>
        <w:t>17</w:t>
      </w:r>
      <w:r w:rsidR="00E2610D" w:rsidRPr="00D75D19">
        <w:rPr>
          <w:lang w:val="fr-FR"/>
        </w:rPr>
        <w:t>.</w:t>
      </w:r>
      <w:r w:rsidRPr="00D75D19">
        <w:rPr>
          <w:lang w:val="fr-FR"/>
        </w:rPr>
        <w:tab/>
        <w:t>Au chapitre 2</w:t>
      </w:r>
      <w:r w:rsidR="00E2610D" w:rsidRPr="00D75D19">
        <w:rPr>
          <w:lang w:val="fr-FR"/>
        </w:rPr>
        <w:t>.</w:t>
      </w:r>
      <w:r w:rsidRPr="00D75D19">
        <w:rPr>
          <w:lang w:val="fr-FR"/>
        </w:rPr>
        <w:t>17 du SGH, ajouter le nota 2 suivant à la fin du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Pr="00D75D19">
        <w:rPr>
          <w:lang w:val="fr-FR"/>
        </w:rPr>
        <w:t xml:space="preserve">2, après le nota actuel concernant les matières explosibles désensibilisées, et numéroter le nota existant </w:t>
      </w:r>
      <w:r w:rsidR="00C320AF" w:rsidRPr="00D75D19">
        <w:rPr>
          <w:lang w:val="fr-FR"/>
        </w:rPr>
        <w:t>« </w:t>
      </w:r>
      <w:r w:rsidRPr="00D75D19">
        <w:rPr>
          <w:lang w:val="fr-FR"/>
        </w:rPr>
        <w:t>nota 1</w:t>
      </w:r>
      <w:r w:rsidR="00C320AF" w:rsidRPr="00D75D19">
        <w:rPr>
          <w:lang w:val="fr-FR"/>
        </w:rPr>
        <w:t> »</w:t>
      </w:r>
      <w:r w:rsidR="00BD62BD" w:rsidRPr="00D75D19">
        <w:rPr>
          <w:lang w:val="fr-FR"/>
        </w:rPr>
        <w:t> :</w:t>
      </w:r>
    </w:p>
    <w:p w14:paraId="78535C19" w14:textId="63529443" w:rsidR="009B4C90" w:rsidRPr="00D75D19" w:rsidRDefault="00C320AF" w:rsidP="007A4DC8">
      <w:pPr>
        <w:pStyle w:val="SingleTxtG"/>
        <w:suppressAutoHyphens w:val="0"/>
        <w:kinsoku/>
        <w:overflowPunct/>
        <w:autoSpaceDE/>
        <w:autoSpaceDN/>
        <w:adjustRightInd/>
        <w:snapToGrid/>
        <w:ind w:left="1701"/>
        <w:rPr>
          <w:lang w:val="fr-FR"/>
        </w:rPr>
      </w:pPr>
      <w:r w:rsidRPr="00D75D19">
        <w:rPr>
          <w:lang w:val="fr-FR"/>
        </w:rPr>
        <w:lastRenderedPageBreak/>
        <w:t>« </w:t>
      </w:r>
      <w:r w:rsidR="009B4C90" w:rsidRPr="00DC09E7">
        <w:rPr>
          <w:b/>
          <w:bCs/>
          <w:i/>
          <w:iCs/>
          <w:u w:val="single"/>
          <w:lang w:val="fr-FR"/>
        </w:rPr>
        <w:t>NOTA 2</w:t>
      </w:r>
      <w:r w:rsidR="00BD62BD" w:rsidRPr="00D75D19">
        <w:rPr>
          <w:i/>
          <w:iCs/>
          <w:u w:val="single"/>
          <w:lang w:val="fr-FR"/>
        </w:rPr>
        <w:t> :</w:t>
      </w:r>
      <w:r w:rsidR="009B4C90" w:rsidRPr="00D75D19">
        <w:rPr>
          <w:i/>
          <w:iCs/>
          <w:u w:val="single"/>
          <w:lang w:val="fr-FR"/>
        </w:rPr>
        <w:t xml:space="preserve"> Il est possible de solliciter l</w:t>
      </w:r>
      <w:r w:rsidR="00BD62BD" w:rsidRPr="00D75D19">
        <w:rPr>
          <w:i/>
          <w:iCs/>
          <w:u w:val="single"/>
          <w:lang w:val="fr-FR"/>
        </w:rPr>
        <w:t>’</w:t>
      </w:r>
      <w:r w:rsidR="009B4C90" w:rsidRPr="00D75D19">
        <w:rPr>
          <w:i/>
          <w:iCs/>
          <w:u w:val="single"/>
          <w:lang w:val="fr-FR"/>
        </w:rPr>
        <w:t>avis d</w:t>
      </w:r>
      <w:r w:rsidR="00BD62BD" w:rsidRPr="00D75D19">
        <w:rPr>
          <w:i/>
          <w:iCs/>
          <w:u w:val="single"/>
          <w:lang w:val="fr-FR"/>
        </w:rPr>
        <w:t>’</w:t>
      </w:r>
      <w:r w:rsidR="009B4C90" w:rsidRPr="00D75D19">
        <w:rPr>
          <w:i/>
          <w:iCs/>
          <w:u w:val="single"/>
          <w:lang w:val="fr-FR"/>
        </w:rPr>
        <w:t>un expert pour déroger aux critères du 2</w:t>
      </w:r>
      <w:r w:rsidR="00E2610D" w:rsidRPr="00D75D19">
        <w:rPr>
          <w:i/>
          <w:iCs/>
          <w:u w:val="single"/>
          <w:lang w:val="fr-FR"/>
        </w:rPr>
        <w:t>.</w:t>
      </w:r>
      <w:r w:rsidR="009B4C90" w:rsidRPr="00D75D19">
        <w:rPr>
          <w:i/>
          <w:iCs/>
          <w:u w:val="single"/>
          <w:lang w:val="fr-FR"/>
        </w:rPr>
        <w:t>17</w:t>
      </w:r>
      <w:r w:rsidR="00E2610D" w:rsidRPr="00D75D19">
        <w:rPr>
          <w:i/>
          <w:iCs/>
          <w:u w:val="single"/>
          <w:lang w:val="fr-FR"/>
        </w:rPr>
        <w:t>.</w:t>
      </w:r>
      <w:r w:rsidR="009B4C90" w:rsidRPr="00D75D19">
        <w:rPr>
          <w:i/>
          <w:iCs/>
          <w:u w:val="single"/>
          <w:lang w:val="fr-FR"/>
        </w:rPr>
        <w:t>2</w:t>
      </w:r>
      <w:r w:rsidR="00E2610D" w:rsidRPr="00D75D19">
        <w:rPr>
          <w:i/>
          <w:iCs/>
          <w:u w:val="single"/>
          <w:lang w:val="fr-FR"/>
        </w:rPr>
        <w:t>.</w:t>
      </w:r>
      <w:r w:rsidR="009B4C90" w:rsidRPr="00D75D19">
        <w:rPr>
          <w:i/>
          <w:iCs/>
          <w:u w:val="single"/>
          <w:lang w:val="fr-FR"/>
        </w:rPr>
        <w:t>2 b)</w:t>
      </w:r>
      <w:r w:rsidR="00E2610D" w:rsidRPr="00D75D19">
        <w:rPr>
          <w:i/>
          <w:iCs/>
          <w:u w:val="single"/>
          <w:lang w:val="fr-FR"/>
        </w:rPr>
        <w:t>.</w:t>
      </w:r>
      <w:r w:rsidR="009B4C90" w:rsidRPr="00D75D19">
        <w:rPr>
          <w:i/>
          <w:iCs/>
          <w:u w:val="single"/>
          <w:lang w:val="fr-FR"/>
        </w:rPr>
        <w:t xml:space="preserve"> Voir le Manuel d</w:t>
      </w:r>
      <w:r w:rsidR="00BD62BD" w:rsidRPr="00D75D19">
        <w:rPr>
          <w:i/>
          <w:iCs/>
          <w:u w:val="single"/>
          <w:lang w:val="fr-FR"/>
        </w:rPr>
        <w:t>’</w:t>
      </w:r>
      <w:r w:rsidR="009B4C90" w:rsidRPr="00D75D19">
        <w:rPr>
          <w:i/>
          <w:iCs/>
          <w:u w:val="single"/>
          <w:lang w:val="fr-FR"/>
        </w:rPr>
        <w:t>épreuves et de critères, 51</w:t>
      </w:r>
      <w:r w:rsidR="00E2610D" w:rsidRPr="00D75D19">
        <w:rPr>
          <w:i/>
          <w:iCs/>
          <w:u w:val="single"/>
          <w:lang w:val="fr-FR"/>
        </w:rPr>
        <w:t>.</w:t>
      </w:r>
      <w:r w:rsidR="009B4C90" w:rsidRPr="00D75D19">
        <w:rPr>
          <w:i/>
          <w:iCs/>
          <w:u w:val="single"/>
          <w:lang w:val="fr-FR"/>
        </w:rPr>
        <w:t>3</w:t>
      </w:r>
      <w:r w:rsidR="00E2610D" w:rsidRPr="00D75D19">
        <w:rPr>
          <w:i/>
          <w:iCs/>
          <w:u w:val="single"/>
          <w:lang w:val="fr-FR"/>
        </w:rPr>
        <w:t>.</w:t>
      </w:r>
      <w:r w:rsidR="009B4C90" w:rsidRPr="00D75D19">
        <w:rPr>
          <w:i/>
          <w:iCs/>
          <w:u w:val="single"/>
          <w:lang w:val="fr-FR"/>
        </w:rPr>
        <w:t>5</w:t>
      </w:r>
      <w:r w:rsidRPr="00D75D19">
        <w:rPr>
          <w:lang w:val="fr-FR"/>
        </w:rPr>
        <w:t> »</w:t>
      </w:r>
      <w:r w:rsidR="00E2610D" w:rsidRPr="00D75D19">
        <w:rPr>
          <w:lang w:val="fr-FR"/>
        </w:rPr>
        <w:t>.</w:t>
      </w:r>
    </w:p>
    <w:p w14:paraId="31012837" w14:textId="5A9CD566" w:rsidR="009B4C90" w:rsidRPr="00D75D19" w:rsidRDefault="009B4C90" w:rsidP="00C320AF">
      <w:pPr>
        <w:pStyle w:val="SingleTxtG"/>
        <w:rPr>
          <w:lang w:val="fr-FR"/>
        </w:rPr>
      </w:pPr>
      <w:r w:rsidRPr="00D75D19">
        <w:rPr>
          <w:lang w:val="fr-FR"/>
        </w:rPr>
        <w:t>18</w:t>
      </w:r>
      <w:r w:rsidR="00E2610D" w:rsidRPr="00D75D19">
        <w:rPr>
          <w:lang w:val="fr-FR"/>
        </w:rPr>
        <w:t>.</w:t>
      </w:r>
      <w:r w:rsidRPr="00D75D19">
        <w:rPr>
          <w:lang w:val="fr-FR"/>
        </w:rPr>
        <w:tab/>
        <w:t>Dans la section 51 du Manuel d</w:t>
      </w:r>
      <w:r w:rsidR="00BD62BD" w:rsidRPr="00D75D19">
        <w:rPr>
          <w:lang w:val="fr-FR"/>
        </w:rPr>
        <w:t>’</w:t>
      </w:r>
      <w:r w:rsidRPr="00D75D19">
        <w:rPr>
          <w:lang w:val="fr-FR"/>
        </w:rPr>
        <w:t>épreuves et de critères, ajouter le nouveau paragraphe 51</w:t>
      </w:r>
      <w:r w:rsidR="00E2610D" w:rsidRPr="00D75D19">
        <w:rPr>
          <w:lang w:val="fr-FR"/>
        </w:rPr>
        <w:t>.</w:t>
      </w:r>
      <w:r w:rsidRPr="00D75D19">
        <w:rPr>
          <w:lang w:val="fr-FR"/>
        </w:rPr>
        <w:t>3</w:t>
      </w:r>
      <w:r w:rsidR="00E2610D" w:rsidRPr="00D75D19">
        <w:rPr>
          <w:lang w:val="fr-FR"/>
        </w:rPr>
        <w:t>.</w:t>
      </w:r>
      <w:r w:rsidRPr="00D75D19">
        <w:rPr>
          <w:lang w:val="fr-FR"/>
        </w:rPr>
        <w:t>5 suivant</w:t>
      </w:r>
      <w:r w:rsidR="00BD62BD" w:rsidRPr="00D75D19">
        <w:rPr>
          <w:lang w:val="fr-FR"/>
        </w:rPr>
        <w:t> :</w:t>
      </w:r>
    </w:p>
    <w:p w14:paraId="147086A6" w14:textId="6CD7F542" w:rsidR="009B4C90" w:rsidRPr="00D75D19" w:rsidRDefault="00C320AF" w:rsidP="00716D4B">
      <w:pPr>
        <w:pStyle w:val="SingleTxtG"/>
        <w:tabs>
          <w:tab w:val="clear" w:pos="2835"/>
          <w:tab w:val="left" w:pos="2688"/>
        </w:tabs>
        <w:suppressAutoHyphens w:val="0"/>
        <w:kinsoku/>
        <w:overflowPunct/>
        <w:autoSpaceDE/>
        <w:autoSpaceDN/>
        <w:adjustRightInd/>
        <w:snapToGrid/>
        <w:ind w:left="2688" w:hanging="987"/>
        <w:rPr>
          <w:lang w:val="fr-FR"/>
        </w:rPr>
      </w:pPr>
      <w:r w:rsidRPr="00D75D19">
        <w:rPr>
          <w:lang w:val="fr-FR"/>
        </w:rPr>
        <w:t>« </w:t>
      </w:r>
      <w:r w:rsidR="009B4C90" w:rsidRPr="00D75D19">
        <w:rPr>
          <w:u w:val="single"/>
          <w:lang w:val="fr-FR"/>
        </w:rPr>
        <w:t>51</w:t>
      </w:r>
      <w:r w:rsidR="00E2610D" w:rsidRPr="00D75D19">
        <w:rPr>
          <w:u w:val="single"/>
          <w:lang w:val="fr-FR"/>
        </w:rPr>
        <w:t>.</w:t>
      </w:r>
      <w:r w:rsidR="009B4C90" w:rsidRPr="00D75D19">
        <w:rPr>
          <w:u w:val="single"/>
          <w:lang w:val="fr-FR"/>
        </w:rPr>
        <w:t>3</w:t>
      </w:r>
      <w:r w:rsidR="00E2610D" w:rsidRPr="00D75D19">
        <w:rPr>
          <w:u w:val="single"/>
          <w:lang w:val="fr-FR"/>
        </w:rPr>
        <w:t>.</w:t>
      </w:r>
      <w:r w:rsidR="009B4C90" w:rsidRPr="00D75D19">
        <w:rPr>
          <w:u w:val="single"/>
          <w:lang w:val="fr-FR"/>
        </w:rPr>
        <w:t>5</w:t>
      </w:r>
      <w:r w:rsidR="009B4C90" w:rsidRPr="00D75D19">
        <w:rPr>
          <w:u w:val="single"/>
          <w:lang w:val="fr-FR"/>
        </w:rPr>
        <w:tab/>
        <w:t>Les mélanges bien définis affectés à une rubrique ONU spécifique ne nécessitant pas d</w:t>
      </w:r>
      <w:r w:rsidR="00BD62BD" w:rsidRPr="00D75D19">
        <w:rPr>
          <w:u w:val="single"/>
          <w:lang w:val="fr-FR"/>
        </w:rPr>
        <w:t>’</w:t>
      </w:r>
      <w:r w:rsidR="009B4C90" w:rsidRPr="00D75D19">
        <w:rPr>
          <w:u w:val="single"/>
          <w:lang w:val="fr-FR"/>
        </w:rPr>
        <w:t>épreuves ne sont pas soumis aux épreuves de la Première partie</w:t>
      </w:r>
      <w:r w:rsidR="00E2610D" w:rsidRPr="00D75D19">
        <w:rPr>
          <w:u w:val="single"/>
          <w:lang w:val="fr-FR"/>
        </w:rPr>
        <w:t>.</w:t>
      </w:r>
      <w:r w:rsidR="009B4C90" w:rsidRPr="00D75D19">
        <w:rPr>
          <w:u w:val="single"/>
          <w:lang w:val="fr-FR"/>
        </w:rPr>
        <w:t xml:space="preserve"> Il s</w:t>
      </w:r>
      <w:r w:rsidR="00BD62BD" w:rsidRPr="00D75D19">
        <w:rPr>
          <w:u w:val="single"/>
          <w:lang w:val="fr-FR"/>
        </w:rPr>
        <w:t>’</w:t>
      </w:r>
      <w:r w:rsidR="009B4C90" w:rsidRPr="00D75D19">
        <w:rPr>
          <w:u w:val="single"/>
          <w:lang w:val="fr-FR"/>
        </w:rPr>
        <w:t>agit par exemple des Nos ONU 1204, 1210, 1263, 1266, 1310, 1320, 1321, 1322, 1324, 1336, 1337, 1344, 1347, 1348, 1349, 1353, 1354, 1355, 1356, 1357, 1517, 2006, 2059,</w:t>
      </w:r>
      <w:r w:rsidR="00E832CA" w:rsidRPr="00D75D19">
        <w:rPr>
          <w:u w:val="single"/>
          <w:lang w:val="fr-FR"/>
        </w:rPr>
        <w:t xml:space="preserve"> </w:t>
      </w:r>
      <w:r w:rsidR="009B4C90" w:rsidRPr="00D75D19">
        <w:rPr>
          <w:u w:val="single"/>
          <w:lang w:val="fr-FR"/>
        </w:rPr>
        <w:t>2555, 2556, 2557, 2852, 2907, 3064, 3066, 3270, 3317, 3343, 3364, 3365, 3366, 3367, 3368, 3369, 3370, 3376, 3469, 3470, 3474 et 3555</w:t>
      </w:r>
      <w:r w:rsidR="00E2610D" w:rsidRPr="00D75D19">
        <w:rPr>
          <w:u w:val="single"/>
          <w:lang w:val="fr-FR"/>
        </w:rPr>
        <w:t>.</w:t>
      </w:r>
      <w:r w:rsidRPr="00D75D19">
        <w:rPr>
          <w:lang w:val="fr-FR"/>
        </w:rPr>
        <w:t> »</w:t>
      </w:r>
    </w:p>
    <w:p w14:paraId="3BEA386A" w14:textId="0711D9E1" w:rsidR="009B4C90" w:rsidRPr="00D75D19" w:rsidRDefault="009B4C90" w:rsidP="00C320AF">
      <w:pPr>
        <w:pStyle w:val="SingleTxtG"/>
        <w:rPr>
          <w:lang w:val="fr-FR"/>
        </w:rPr>
      </w:pPr>
      <w:r w:rsidRPr="00D75D19">
        <w:rPr>
          <w:lang w:val="fr-FR"/>
        </w:rPr>
        <w:t>19</w:t>
      </w:r>
      <w:r w:rsidR="00E2610D" w:rsidRPr="00D75D19">
        <w:rPr>
          <w:lang w:val="fr-FR"/>
        </w:rPr>
        <w:t>.</w:t>
      </w:r>
      <w:r w:rsidRPr="00D75D19">
        <w:rPr>
          <w:lang w:val="fr-FR"/>
        </w:rPr>
        <w:tab/>
        <w:t>Si les propositions ci-dessus sont adoptées</w:t>
      </w:r>
      <w:r w:rsidR="00BD62BD" w:rsidRPr="00D75D19">
        <w:rPr>
          <w:lang w:val="fr-FR"/>
        </w:rPr>
        <w:t> :</w:t>
      </w:r>
    </w:p>
    <w:p w14:paraId="2383177F" w14:textId="2369CC2A" w:rsidR="009B4C90" w:rsidRPr="00D75D19" w:rsidRDefault="009B4C90" w:rsidP="009D249F">
      <w:pPr>
        <w:pStyle w:val="SingleTxtG"/>
        <w:ind w:firstLine="567"/>
        <w:rPr>
          <w:lang w:val="fr-FR"/>
        </w:rPr>
      </w:pPr>
      <w:r w:rsidRPr="00D75D19">
        <w:rPr>
          <w:lang w:val="fr-FR"/>
        </w:rPr>
        <w:t>a)</w:t>
      </w:r>
      <w:r w:rsidRPr="00D75D19">
        <w:rPr>
          <w:lang w:val="fr-FR"/>
        </w:rPr>
        <w:tab/>
        <w:t>Au 2</w:t>
      </w:r>
      <w:r w:rsidR="00E2610D" w:rsidRPr="00D75D19">
        <w:rPr>
          <w:lang w:val="fr-FR"/>
        </w:rPr>
        <w:t>.</w:t>
      </w:r>
      <w:r w:rsidRPr="00D75D19">
        <w:rPr>
          <w:lang w:val="fr-FR"/>
        </w:rPr>
        <w:t>17</w:t>
      </w:r>
      <w:r w:rsidR="00E2610D" w:rsidRPr="00D75D19">
        <w:rPr>
          <w:lang w:val="fr-FR"/>
        </w:rPr>
        <w:t>.</w:t>
      </w:r>
      <w:r w:rsidRPr="00D75D19">
        <w:rPr>
          <w:lang w:val="fr-FR"/>
        </w:rPr>
        <w:t>2</w:t>
      </w:r>
      <w:r w:rsidR="00E2610D" w:rsidRPr="00D75D19">
        <w:rPr>
          <w:lang w:val="fr-FR"/>
        </w:rPr>
        <w:t>.</w:t>
      </w:r>
      <w:r w:rsidRPr="00D75D19">
        <w:rPr>
          <w:lang w:val="fr-FR"/>
        </w:rPr>
        <w:t>3 du SGH, supprimer le nota qui exempte les mélanges de nitrocellulose de la série d</w:t>
      </w:r>
      <w:r w:rsidR="00BD62BD" w:rsidRPr="00D75D19">
        <w:rPr>
          <w:lang w:val="fr-FR"/>
        </w:rPr>
        <w:t>’</w:t>
      </w:r>
      <w:r w:rsidRPr="00D75D19">
        <w:rPr>
          <w:lang w:val="fr-FR"/>
        </w:rPr>
        <w:t>épreuves 3</w:t>
      </w:r>
      <w:r w:rsidR="00E2610D" w:rsidRPr="00D75D19">
        <w:rPr>
          <w:lang w:val="fr-FR"/>
        </w:rPr>
        <w:t>.</w:t>
      </w:r>
    </w:p>
    <w:p w14:paraId="441F06BB" w14:textId="6116BE8B" w:rsidR="00446FE5" w:rsidRPr="00D75D19" w:rsidRDefault="009B4C90" w:rsidP="009D249F">
      <w:pPr>
        <w:pStyle w:val="SingleTxtG"/>
        <w:ind w:firstLine="567"/>
        <w:rPr>
          <w:lang w:val="fr-FR"/>
        </w:rPr>
      </w:pPr>
      <w:r w:rsidRPr="00D75D19">
        <w:rPr>
          <w:lang w:val="fr-FR"/>
        </w:rPr>
        <w:t>b)</w:t>
      </w:r>
      <w:r w:rsidRPr="00D75D19">
        <w:rPr>
          <w:lang w:val="fr-FR"/>
        </w:rPr>
        <w:tab/>
        <w:t>Dans la section 51 du Manuel d</w:t>
      </w:r>
      <w:r w:rsidR="00BD62BD" w:rsidRPr="00D75D19">
        <w:rPr>
          <w:lang w:val="fr-FR"/>
        </w:rPr>
        <w:t>’</w:t>
      </w:r>
      <w:r w:rsidRPr="00D75D19">
        <w:rPr>
          <w:lang w:val="fr-FR"/>
        </w:rPr>
        <w:t>épreuves et de critères, supprimer le 51</w:t>
      </w:r>
      <w:r w:rsidR="00E2610D" w:rsidRPr="00D75D19">
        <w:rPr>
          <w:lang w:val="fr-FR"/>
        </w:rPr>
        <w:t>.</w:t>
      </w:r>
      <w:r w:rsidRPr="00D75D19">
        <w:rPr>
          <w:lang w:val="fr-FR"/>
        </w:rPr>
        <w:t>3</w:t>
      </w:r>
      <w:r w:rsidR="00E2610D" w:rsidRPr="00D75D19">
        <w:rPr>
          <w:lang w:val="fr-FR"/>
        </w:rPr>
        <w:t>.</w:t>
      </w:r>
      <w:r w:rsidRPr="00D75D19">
        <w:rPr>
          <w:lang w:val="fr-FR"/>
        </w:rPr>
        <w:t>2</w:t>
      </w:r>
      <w:r w:rsidR="00E2610D" w:rsidRPr="00D75D19">
        <w:rPr>
          <w:lang w:val="fr-FR"/>
        </w:rPr>
        <w:t> </w:t>
      </w:r>
      <w:r w:rsidRPr="00D75D19">
        <w:rPr>
          <w:lang w:val="fr-FR"/>
        </w:rPr>
        <w:t xml:space="preserve">c) </w:t>
      </w:r>
      <w:r w:rsidRPr="00D75D19">
        <w:rPr>
          <w:i/>
          <w:iCs/>
          <w:lang w:val="fr-FR"/>
        </w:rPr>
        <w:t>et renuméroter les alinéas suivants en conséquence</w:t>
      </w:r>
      <w:r w:rsidR="00E2610D" w:rsidRPr="00D75D19">
        <w:rPr>
          <w:lang w:val="fr-FR"/>
        </w:rPr>
        <w:t>.</w:t>
      </w:r>
    </w:p>
    <w:p w14:paraId="587E8736" w14:textId="09160D2B" w:rsidR="001F7884" w:rsidRPr="00D75D19" w:rsidRDefault="001F7884" w:rsidP="001F7884">
      <w:pPr>
        <w:pStyle w:val="SingleTxtG"/>
        <w:spacing w:before="240" w:after="0"/>
        <w:jc w:val="center"/>
        <w:rPr>
          <w:u w:val="single"/>
          <w:lang w:val="fr-FR"/>
        </w:rPr>
      </w:pPr>
      <w:r w:rsidRPr="00D75D19">
        <w:rPr>
          <w:u w:val="single"/>
          <w:lang w:val="fr-FR"/>
        </w:rPr>
        <w:tab/>
      </w:r>
      <w:r w:rsidRPr="00D75D19">
        <w:rPr>
          <w:u w:val="single"/>
          <w:lang w:val="fr-FR"/>
        </w:rPr>
        <w:tab/>
      </w:r>
      <w:r w:rsidRPr="00D75D19">
        <w:rPr>
          <w:u w:val="single"/>
          <w:lang w:val="fr-FR"/>
        </w:rPr>
        <w:tab/>
      </w:r>
    </w:p>
    <w:sectPr w:rsidR="001F7884" w:rsidRPr="00D75D19" w:rsidSect="00530EA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E17E" w14:textId="77777777" w:rsidR="007A79DB" w:rsidRDefault="007A79DB" w:rsidP="00F95C08">
      <w:pPr>
        <w:spacing w:line="240" w:lineRule="auto"/>
      </w:pPr>
    </w:p>
  </w:endnote>
  <w:endnote w:type="continuationSeparator" w:id="0">
    <w:p w14:paraId="7A5C48C2" w14:textId="77777777" w:rsidR="007A79DB" w:rsidRPr="00AC3823" w:rsidRDefault="007A79DB" w:rsidP="00AC3823">
      <w:pPr>
        <w:pStyle w:val="Footer"/>
      </w:pPr>
    </w:p>
  </w:endnote>
  <w:endnote w:type="continuationNotice" w:id="1">
    <w:p w14:paraId="2389F907" w14:textId="77777777" w:rsidR="007A79DB" w:rsidRDefault="007A79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4FCD" w14:textId="77777777" w:rsidR="00530EA8" w:rsidRPr="00530EA8" w:rsidRDefault="00530EA8" w:rsidP="00530EA8">
    <w:pPr>
      <w:pStyle w:val="Footer"/>
      <w:tabs>
        <w:tab w:val="right" w:pos="9638"/>
      </w:tabs>
    </w:pPr>
    <w:r w:rsidRPr="00530EA8">
      <w:rPr>
        <w:b/>
        <w:sz w:val="18"/>
      </w:rPr>
      <w:fldChar w:fldCharType="begin"/>
    </w:r>
    <w:r w:rsidRPr="00530EA8">
      <w:rPr>
        <w:b/>
        <w:sz w:val="18"/>
      </w:rPr>
      <w:instrText xml:space="preserve"> PAGE  \* MERGEFORMAT </w:instrText>
    </w:r>
    <w:r w:rsidRPr="00530EA8">
      <w:rPr>
        <w:b/>
        <w:sz w:val="18"/>
      </w:rPr>
      <w:fldChar w:fldCharType="separate"/>
    </w:r>
    <w:r w:rsidRPr="00530EA8">
      <w:rPr>
        <w:b/>
        <w:noProof/>
        <w:sz w:val="18"/>
      </w:rPr>
      <w:t>2</w:t>
    </w:r>
    <w:r w:rsidRPr="00530EA8">
      <w:rPr>
        <w:b/>
        <w:sz w:val="18"/>
      </w:rPr>
      <w:fldChar w:fldCharType="end"/>
    </w:r>
    <w:r>
      <w:rPr>
        <w:b/>
        <w:sz w:val="18"/>
      </w:rPr>
      <w:tab/>
    </w:r>
    <w:r>
      <w:t>GE.24-16015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EA07" w14:textId="77777777" w:rsidR="00530EA8" w:rsidRPr="00530EA8" w:rsidRDefault="00530EA8" w:rsidP="00530EA8">
    <w:pPr>
      <w:pStyle w:val="Footer"/>
      <w:tabs>
        <w:tab w:val="right" w:pos="9638"/>
      </w:tabs>
      <w:rPr>
        <w:b/>
        <w:sz w:val="18"/>
      </w:rPr>
    </w:pPr>
    <w:r>
      <w:t>GE.24-16015</w:t>
    </w:r>
    <w:r>
      <w:tab/>
    </w:r>
    <w:r w:rsidRPr="00530EA8">
      <w:rPr>
        <w:b/>
        <w:sz w:val="18"/>
      </w:rPr>
      <w:fldChar w:fldCharType="begin"/>
    </w:r>
    <w:r w:rsidRPr="00530EA8">
      <w:rPr>
        <w:b/>
        <w:sz w:val="18"/>
      </w:rPr>
      <w:instrText xml:space="preserve"> PAGE  \* MERGEFORMAT </w:instrText>
    </w:r>
    <w:r w:rsidRPr="00530EA8">
      <w:rPr>
        <w:b/>
        <w:sz w:val="18"/>
      </w:rPr>
      <w:fldChar w:fldCharType="separate"/>
    </w:r>
    <w:r w:rsidRPr="00530EA8">
      <w:rPr>
        <w:b/>
        <w:noProof/>
        <w:sz w:val="18"/>
      </w:rPr>
      <w:t>3</w:t>
    </w:r>
    <w:r w:rsidRPr="00530EA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A3DB" w14:textId="61C4D8A4" w:rsidR="0068456F" w:rsidRPr="00530EA8" w:rsidRDefault="00530EA8" w:rsidP="00530EA8">
    <w:pPr>
      <w:pStyle w:val="Footer"/>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36ED113C" wp14:editId="3FBAF32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24-16015  (F)</w:t>
    </w:r>
    <w:r>
      <w:rPr>
        <w:noProof/>
        <w:sz w:val="20"/>
      </w:rPr>
      <w:drawing>
        <wp:anchor distT="0" distB="0" distL="114300" distR="114300" simplePos="0" relativeHeight="251660288" behindDoc="0" locked="0" layoutInCell="1" allowOverlap="1" wp14:anchorId="45BCBDBD" wp14:editId="74C7CD7B">
          <wp:simplePos x="0" y="0"/>
          <wp:positionH relativeFrom="margin">
            <wp:posOffset>5489575</wp:posOffset>
          </wp:positionH>
          <wp:positionV relativeFrom="margin">
            <wp:posOffset>8891905</wp:posOffset>
          </wp:positionV>
          <wp:extent cx="628650" cy="628650"/>
          <wp:effectExtent l="0" t="0" r="0" b="0"/>
          <wp:wrapNone/>
          <wp:docPr id="2024305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2CA">
      <w:rPr>
        <w:sz w:val="20"/>
      </w:rPr>
      <w:t xml:space="preserve">    021024    021024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299C" w14:textId="77777777" w:rsidR="007A79DB" w:rsidRPr="00AC3823" w:rsidRDefault="007A79DB" w:rsidP="00AC3823">
      <w:pPr>
        <w:pStyle w:val="Footer"/>
        <w:tabs>
          <w:tab w:val="right" w:pos="2155"/>
        </w:tabs>
        <w:spacing w:after="80" w:line="240" w:lineRule="atLeast"/>
        <w:ind w:left="680"/>
        <w:rPr>
          <w:u w:val="single"/>
        </w:rPr>
      </w:pPr>
      <w:r>
        <w:rPr>
          <w:u w:val="single"/>
        </w:rPr>
        <w:tab/>
      </w:r>
    </w:p>
  </w:footnote>
  <w:footnote w:type="continuationSeparator" w:id="0">
    <w:p w14:paraId="2D52D233" w14:textId="77777777" w:rsidR="007A79DB" w:rsidRPr="00AC3823" w:rsidRDefault="007A79DB" w:rsidP="00AC3823">
      <w:pPr>
        <w:pStyle w:val="Footer"/>
        <w:tabs>
          <w:tab w:val="right" w:pos="2155"/>
        </w:tabs>
        <w:spacing w:after="80" w:line="240" w:lineRule="atLeast"/>
        <w:ind w:left="680"/>
        <w:rPr>
          <w:u w:val="single"/>
        </w:rPr>
      </w:pPr>
      <w:r>
        <w:rPr>
          <w:u w:val="single"/>
        </w:rPr>
        <w:tab/>
      </w:r>
    </w:p>
  </w:footnote>
  <w:footnote w:type="continuationNotice" w:id="1">
    <w:p w14:paraId="60AB855C" w14:textId="77777777" w:rsidR="007A79DB" w:rsidRPr="00AC3823" w:rsidRDefault="007A79DB">
      <w:pPr>
        <w:spacing w:line="240" w:lineRule="auto"/>
        <w:rPr>
          <w:sz w:val="2"/>
          <w:szCs w:val="2"/>
        </w:rPr>
      </w:pPr>
    </w:p>
  </w:footnote>
  <w:footnote w:id="2">
    <w:p w14:paraId="00B99B2A" w14:textId="41E13ADD" w:rsidR="009B4C90" w:rsidRPr="00490B3B" w:rsidRDefault="009B4C90" w:rsidP="009B4C90">
      <w:pPr>
        <w:pStyle w:val="FootnoteText"/>
        <w:rPr>
          <w:szCs w:val="18"/>
        </w:rPr>
      </w:pPr>
      <w:r>
        <w:rPr>
          <w:lang w:val="fr-FR"/>
        </w:rPr>
        <w:tab/>
      </w:r>
      <w:r w:rsidRPr="00EF00FF">
        <w:rPr>
          <w:sz w:val="20"/>
          <w:lang w:val="fr-FR"/>
        </w:rPr>
        <w:t>*</w:t>
      </w:r>
      <w:r>
        <w:rPr>
          <w:lang w:val="fr-FR"/>
        </w:rPr>
        <w:tab/>
        <w:t>A/</w:t>
      </w:r>
      <w:r w:rsidRPr="00E2610D">
        <w:rPr>
          <w:lang w:val="fr-FR"/>
        </w:rPr>
        <w:t>78</w:t>
      </w:r>
      <w:r>
        <w:rPr>
          <w:lang w:val="fr-FR"/>
        </w:rPr>
        <w:t>/</w:t>
      </w:r>
      <w:r w:rsidRPr="00E2610D">
        <w:rPr>
          <w:lang w:val="fr-FR"/>
        </w:rPr>
        <w:t>6</w:t>
      </w:r>
      <w:r>
        <w:rPr>
          <w:lang w:val="fr-FR"/>
        </w:rPr>
        <w:t xml:space="preserve"> (Sect</w:t>
      </w:r>
      <w:r w:rsidR="00E2610D" w:rsidRPr="00E2610D">
        <w:rPr>
          <w:lang w:val="fr-FR"/>
        </w:rPr>
        <w:t>.</w:t>
      </w:r>
      <w:r>
        <w:rPr>
          <w:lang w:val="fr-FR"/>
        </w:rPr>
        <w:t xml:space="preserve"> </w:t>
      </w:r>
      <w:r w:rsidRPr="00E2610D">
        <w:rPr>
          <w:lang w:val="fr-FR"/>
        </w:rPr>
        <w:t>20</w:t>
      </w:r>
      <w:r>
        <w:rPr>
          <w:lang w:val="fr-FR"/>
        </w:rPr>
        <w:t xml:space="preserve">), tableau </w:t>
      </w:r>
      <w:r w:rsidRPr="00E2610D">
        <w:rPr>
          <w:lang w:val="fr-FR"/>
        </w:rPr>
        <w:t>20</w:t>
      </w:r>
      <w:r w:rsidR="00E2610D" w:rsidRPr="00E2610D">
        <w:rPr>
          <w:lang w:val="fr-FR"/>
        </w:rPr>
        <w:t>.</w:t>
      </w:r>
      <w:r w:rsidRPr="00E2610D">
        <w:rPr>
          <w:lang w:val="fr-FR"/>
        </w:rPr>
        <w:t>5</w:t>
      </w:r>
      <w:r w:rsidR="00E2610D" w:rsidRPr="00E2610D">
        <w:rPr>
          <w:lang w:val="fr-FR"/>
        </w:rPr>
        <w:t>.</w:t>
      </w:r>
    </w:p>
  </w:footnote>
  <w:footnote w:id="3">
    <w:p w14:paraId="6B8251ED" w14:textId="162614D3" w:rsidR="009B4C90" w:rsidRPr="00490B3B" w:rsidRDefault="009B4C90" w:rsidP="009B4C90">
      <w:pPr>
        <w:pStyle w:val="FootnoteText"/>
      </w:pPr>
      <w:r>
        <w:rPr>
          <w:lang w:val="fr-FR"/>
        </w:rPr>
        <w:tab/>
      </w:r>
      <w:r w:rsidRPr="00E2610D">
        <w:rPr>
          <w:rStyle w:val="FootnoteReference"/>
        </w:rPr>
        <w:footnoteRef/>
      </w:r>
      <w:r>
        <w:rPr>
          <w:lang w:val="fr-FR"/>
        </w:rPr>
        <w:tab/>
        <w:t>L</w:t>
      </w:r>
      <w:r w:rsidR="00995095">
        <w:rPr>
          <w:lang w:val="fr-FR"/>
        </w:rPr>
        <w:t>’</w:t>
      </w:r>
      <w:r>
        <w:rPr>
          <w:lang w:val="fr-FR"/>
        </w:rPr>
        <w:t xml:space="preserve">expression </w:t>
      </w:r>
      <w:r w:rsidR="00C320AF">
        <w:rPr>
          <w:lang w:val="fr-FR"/>
        </w:rPr>
        <w:t>« </w:t>
      </w:r>
      <w:r>
        <w:rPr>
          <w:lang w:val="fr-FR"/>
        </w:rPr>
        <w:t>épreuves relatives aux matières explosibles</w:t>
      </w:r>
      <w:r w:rsidR="00C320AF">
        <w:rPr>
          <w:lang w:val="fr-FR"/>
        </w:rPr>
        <w:t> »</w:t>
      </w:r>
      <w:r>
        <w:rPr>
          <w:lang w:val="fr-FR"/>
        </w:rPr>
        <w:t xml:space="preserve"> fait référence aux épreuves qui sont décrites dans la Première partie</w:t>
      </w:r>
      <w:r w:rsidR="00995095">
        <w:rPr>
          <w:lang w:val="fr-FR"/>
        </w:rPr>
        <w:t> :</w:t>
      </w:r>
      <w:r>
        <w:rPr>
          <w:lang w:val="fr-FR"/>
        </w:rPr>
        <w:t xml:space="preserve"> Procédures de classement, épreuves et critères relatifs aux matières et objets explosibles du Manuel d</w:t>
      </w:r>
      <w:r w:rsidR="00995095">
        <w:rPr>
          <w:lang w:val="fr-FR"/>
        </w:rPr>
        <w:t>’</w:t>
      </w:r>
      <w:r>
        <w:rPr>
          <w:lang w:val="fr-FR"/>
        </w:rPr>
        <w:t>épreuves et de critères</w:t>
      </w:r>
      <w:r w:rsidR="00E2610D" w:rsidRPr="00E2610D">
        <w:rPr>
          <w:lang w:val="fr-FR"/>
        </w:rPr>
        <w:t>.</w:t>
      </w:r>
    </w:p>
  </w:footnote>
  <w:footnote w:id="4">
    <w:p w14:paraId="018DEFBB" w14:textId="09F15CFA" w:rsidR="009B4C90" w:rsidRPr="00C86A73" w:rsidRDefault="009B4C90" w:rsidP="009B4C90">
      <w:pPr>
        <w:pStyle w:val="FootnoteText"/>
      </w:pPr>
      <w:r>
        <w:rPr>
          <w:lang w:val="fr-FR"/>
        </w:rPr>
        <w:tab/>
      </w:r>
      <w:r w:rsidRPr="00E2610D">
        <w:rPr>
          <w:rStyle w:val="FootnoteReference"/>
        </w:rPr>
        <w:footnoteRef/>
      </w:r>
      <w:r>
        <w:rPr>
          <w:lang w:val="fr-FR"/>
        </w:rPr>
        <w:tab/>
      </w:r>
      <w:r w:rsidRPr="00C86A73">
        <w:rPr>
          <w:lang w:val="fr-FR"/>
        </w:rPr>
        <w:t>Pour un</w:t>
      </w:r>
      <w:r>
        <w:rPr>
          <w:lang w:val="fr-FR"/>
        </w:rPr>
        <w:t>e présentation</w:t>
      </w:r>
      <w:r w:rsidRPr="00C86A73">
        <w:rPr>
          <w:lang w:val="fr-FR"/>
        </w:rPr>
        <w:t xml:space="preserve"> des quatre types de désignation officielle de transport et l</w:t>
      </w:r>
      <w:r w:rsidR="00995095">
        <w:rPr>
          <w:lang w:val="fr-FR"/>
        </w:rPr>
        <w:t>’</w:t>
      </w:r>
      <w:r>
        <w:rPr>
          <w:lang w:val="fr-FR"/>
        </w:rPr>
        <w:t>ordre d</w:t>
      </w:r>
      <w:r w:rsidR="00995095">
        <w:rPr>
          <w:lang w:val="fr-FR"/>
        </w:rPr>
        <w:t>’</w:t>
      </w:r>
      <w:r>
        <w:rPr>
          <w:lang w:val="fr-FR"/>
        </w:rPr>
        <w:t>utilisation privilégié</w:t>
      </w:r>
      <w:r w:rsidRPr="00C86A73">
        <w:rPr>
          <w:lang w:val="fr-FR"/>
        </w:rPr>
        <w:t xml:space="preserve">, voir le </w:t>
      </w:r>
      <w:r w:rsidRPr="00E2610D">
        <w:rPr>
          <w:lang w:val="fr-FR"/>
        </w:rPr>
        <w:t>4</w:t>
      </w:r>
      <w:r w:rsidR="00E2610D" w:rsidRPr="00E2610D">
        <w:rPr>
          <w:lang w:val="fr-FR"/>
        </w:rPr>
        <w:t>.</w:t>
      </w:r>
      <w:r w:rsidRPr="00E2610D">
        <w:rPr>
          <w:lang w:val="fr-FR"/>
        </w:rPr>
        <w:t>1</w:t>
      </w:r>
      <w:r w:rsidR="00E2610D" w:rsidRPr="00E2610D">
        <w:rPr>
          <w:lang w:val="fr-FR"/>
        </w:rPr>
        <w:t>.</w:t>
      </w:r>
      <w:r w:rsidRPr="00E2610D">
        <w:rPr>
          <w:lang w:val="fr-FR"/>
        </w:rPr>
        <w:t>0</w:t>
      </w:r>
      <w:r w:rsidR="00E2610D" w:rsidRPr="00E2610D">
        <w:rPr>
          <w:lang w:val="fr-FR"/>
        </w:rPr>
        <w:t>.</w:t>
      </w:r>
      <w:r w:rsidRPr="00E2610D">
        <w:rPr>
          <w:lang w:val="fr-FR"/>
        </w:rPr>
        <w:t>2</w:t>
      </w:r>
      <w:r w:rsidRPr="00C86A73">
        <w:rPr>
          <w:lang w:val="fr-FR"/>
        </w:rPr>
        <w:t xml:space="preserve"> de la Réglementation pour le transport des marchandises dangereuses de l</w:t>
      </w:r>
      <w:r w:rsidR="00995095">
        <w:rPr>
          <w:lang w:val="fr-FR"/>
        </w:rPr>
        <w:t>’</w:t>
      </w:r>
      <w:r w:rsidRPr="00C86A73">
        <w:rPr>
          <w:lang w:val="fr-FR"/>
        </w:rPr>
        <w:t>Association du transport aérien international (IATA)</w:t>
      </w:r>
      <w:r w:rsidR="00E2610D" w:rsidRPr="00E2610D">
        <w:rPr>
          <w:lang w:val="fr-FR"/>
        </w:rPr>
        <w:t>.</w:t>
      </w:r>
    </w:p>
  </w:footnote>
  <w:footnote w:id="5">
    <w:p w14:paraId="3D3296E6" w14:textId="2BAB814E" w:rsidR="009B4C90" w:rsidRPr="00490B3B" w:rsidRDefault="009B4C90" w:rsidP="009B4C90">
      <w:pPr>
        <w:pStyle w:val="FootnoteText"/>
      </w:pPr>
      <w:r w:rsidRPr="00C86A73">
        <w:rPr>
          <w:lang w:val="fr-FR"/>
        </w:rPr>
        <w:tab/>
      </w:r>
      <w:r w:rsidRPr="00E2610D">
        <w:rPr>
          <w:rStyle w:val="FootnoteReference"/>
        </w:rPr>
        <w:footnoteRef/>
      </w:r>
      <w:r w:rsidRPr="00C86A73">
        <w:rPr>
          <w:lang w:val="fr-FR"/>
        </w:rPr>
        <w:tab/>
        <w:t xml:space="preserve">Voir le paragraphe </w:t>
      </w:r>
      <w:r w:rsidRPr="00E2610D">
        <w:rPr>
          <w:lang w:val="fr-FR"/>
        </w:rPr>
        <w:t>16</w:t>
      </w:r>
      <w:r w:rsidRPr="00C86A73">
        <w:rPr>
          <w:lang w:val="fr-FR"/>
        </w:rPr>
        <w:t xml:space="preserve"> dans le document ST/SG/AC</w:t>
      </w:r>
      <w:r w:rsidR="00E2610D" w:rsidRPr="00E2610D">
        <w:rPr>
          <w:lang w:val="fr-FR"/>
        </w:rPr>
        <w:t>.</w:t>
      </w:r>
      <w:r w:rsidRPr="00E2610D">
        <w:rPr>
          <w:lang w:val="fr-FR"/>
        </w:rPr>
        <w:t>10</w:t>
      </w:r>
      <w:r>
        <w:rPr>
          <w:lang w:val="fr-FR"/>
        </w:rPr>
        <w:t>/C</w:t>
      </w:r>
      <w:r w:rsidR="00E2610D" w:rsidRPr="00E2610D">
        <w:rPr>
          <w:lang w:val="fr-FR"/>
        </w:rPr>
        <w:t>.</w:t>
      </w:r>
      <w:r w:rsidRPr="00E2610D">
        <w:rPr>
          <w:lang w:val="fr-FR"/>
        </w:rPr>
        <w:t>3</w:t>
      </w:r>
      <w:r>
        <w:rPr>
          <w:lang w:val="fr-FR"/>
        </w:rPr>
        <w:t>/</w:t>
      </w:r>
      <w:r w:rsidRPr="00E2610D">
        <w:rPr>
          <w:lang w:val="fr-FR"/>
        </w:rPr>
        <w:t>2024</w:t>
      </w:r>
      <w:r>
        <w:rPr>
          <w:lang w:val="fr-FR"/>
        </w:rPr>
        <w:t>/</w:t>
      </w:r>
      <w:r w:rsidRPr="00E2610D">
        <w:rPr>
          <w:lang w:val="fr-FR"/>
        </w:rPr>
        <w:t>24</w:t>
      </w:r>
      <w:r>
        <w:rPr>
          <w:lang w:val="fr-FR"/>
        </w:rPr>
        <w:t>-ST/SG/AC</w:t>
      </w:r>
      <w:r w:rsidR="00E2610D" w:rsidRPr="00E2610D">
        <w:rPr>
          <w:lang w:val="fr-FR"/>
        </w:rPr>
        <w:t>.</w:t>
      </w:r>
      <w:r w:rsidRPr="00E2610D">
        <w:rPr>
          <w:lang w:val="fr-FR"/>
        </w:rPr>
        <w:t>10</w:t>
      </w:r>
      <w:r>
        <w:rPr>
          <w:lang w:val="fr-FR"/>
        </w:rPr>
        <w:t>/C</w:t>
      </w:r>
      <w:r w:rsidR="00E2610D" w:rsidRPr="00E2610D">
        <w:rPr>
          <w:lang w:val="fr-FR"/>
        </w:rPr>
        <w:t>.</w:t>
      </w:r>
      <w:r w:rsidRPr="00E2610D">
        <w:rPr>
          <w:lang w:val="fr-FR"/>
        </w:rPr>
        <w:t>4</w:t>
      </w:r>
      <w:r>
        <w:rPr>
          <w:lang w:val="fr-FR"/>
        </w:rPr>
        <w:t>/</w:t>
      </w:r>
      <w:r w:rsidRPr="00E2610D">
        <w:rPr>
          <w:lang w:val="fr-FR"/>
        </w:rPr>
        <w:t>2024</w:t>
      </w:r>
      <w:r>
        <w:rPr>
          <w:lang w:val="fr-FR"/>
        </w:rPr>
        <w:t>/</w:t>
      </w:r>
      <w:r w:rsidRPr="00E2610D">
        <w:rPr>
          <w:lang w:val="fr-FR"/>
        </w:rPr>
        <w:t>5</w:t>
      </w:r>
      <w:r>
        <w:rPr>
          <w:lang w:val="fr-FR"/>
        </w:rPr>
        <w:t xml:space="preserve"> pour les nouvelles prescriptions d</w:t>
      </w:r>
      <w:r w:rsidR="00995095">
        <w:rPr>
          <w:lang w:val="fr-FR"/>
        </w:rPr>
        <w:t>’</w:t>
      </w:r>
      <w:r>
        <w:rPr>
          <w:lang w:val="fr-FR"/>
        </w:rPr>
        <w:t xml:space="preserve">épreuves proposées pour la nitrocellulose contenant des pigments ou des plastifiants, et voir le </w:t>
      </w:r>
      <w:r w:rsidR="00995095">
        <w:rPr>
          <w:lang w:val="fr-FR"/>
        </w:rPr>
        <w:t>N</w:t>
      </w:r>
      <w:r w:rsidR="00995095" w:rsidRPr="00E34AF2">
        <w:rPr>
          <w:lang w:val="fr-FR"/>
        </w:rPr>
        <w:t>o</w:t>
      </w:r>
      <w:r w:rsidR="00BD62BD">
        <w:rPr>
          <w:lang w:val="fr-FR"/>
        </w:rPr>
        <w:t> </w:t>
      </w:r>
      <w:r>
        <w:rPr>
          <w:lang w:val="fr-FR"/>
        </w:rPr>
        <w:t xml:space="preserve">ONU </w:t>
      </w:r>
      <w:r w:rsidRPr="00E2610D">
        <w:rPr>
          <w:lang w:val="fr-FR"/>
        </w:rPr>
        <w:t>2557</w:t>
      </w:r>
      <w:r>
        <w:rPr>
          <w:lang w:val="fr-FR"/>
        </w:rPr>
        <w:t>, qui autorise les pigments</w:t>
      </w:r>
      <w:r w:rsidR="00E2610D" w:rsidRPr="00E2610D">
        <w:rPr>
          <w:lang w:val="fr-FR"/>
        </w:rPr>
        <w:t>.</w:t>
      </w:r>
    </w:p>
  </w:footnote>
  <w:footnote w:id="6">
    <w:p w14:paraId="58D3D7B6" w14:textId="3BC41906" w:rsidR="009B4C90" w:rsidRPr="00490B3B" w:rsidRDefault="009B4C90" w:rsidP="009B4C90">
      <w:pPr>
        <w:pStyle w:val="FootnoteText"/>
      </w:pPr>
      <w:r>
        <w:rPr>
          <w:lang w:val="fr-FR"/>
        </w:rPr>
        <w:tab/>
      </w:r>
      <w:r w:rsidRPr="00E2610D">
        <w:rPr>
          <w:rStyle w:val="FootnoteReference"/>
        </w:rPr>
        <w:footnoteRef/>
      </w:r>
      <w:r>
        <w:rPr>
          <w:lang w:val="fr-FR"/>
        </w:rPr>
        <w:tab/>
        <w:t xml:space="preserve">Voir les dispositions spéciales </w:t>
      </w:r>
      <w:r w:rsidRPr="00E2610D">
        <w:rPr>
          <w:lang w:val="fr-FR"/>
        </w:rPr>
        <w:t>198</w:t>
      </w:r>
      <w:r>
        <w:rPr>
          <w:lang w:val="fr-FR"/>
        </w:rPr>
        <w:t xml:space="preserve">, </w:t>
      </w:r>
      <w:r w:rsidRPr="00E2610D">
        <w:rPr>
          <w:lang w:val="fr-FR"/>
        </w:rPr>
        <w:t>223</w:t>
      </w:r>
      <w:r>
        <w:rPr>
          <w:lang w:val="fr-FR"/>
        </w:rPr>
        <w:t xml:space="preserve"> et </w:t>
      </w:r>
      <w:r w:rsidRPr="00E2610D">
        <w:rPr>
          <w:lang w:val="fr-FR"/>
        </w:rPr>
        <w:t>241</w:t>
      </w:r>
      <w:r>
        <w:rPr>
          <w:lang w:val="fr-FR"/>
        </w:rPr>
        <w:t xml:space="preserve"> du Règlement type</w:t>
      </w:r>
      <w:r w:rsidR="00E2610D" w:rsidRPr="00E2610D">
        <w:rPr>
          <w:lang w:val="fr-FR"/>
        </w:rPr>
        <w:t>.</w:t>
      </w:r>
    </w:p>
  </w:footnote>
  <w:footnote w:id="7">
    <w:p w14:paraId="52074479" w14:textId="537A782E" w:rsidR="009B4C90" w:rsidRPr="00490B3B" w:rsidRDefault="009B4C90" w:rsidP="009B4C90">
      <w:pPr>
        <w:pStyle w:val="FootnoteText"/>
      </w:pPr>
      <w:r>
        <w:rPr>
          <w:lang w:val="fr-FR"/>
        </w:rPr>
        <w:tab/>
      </w:r>
      <w:r w:rsidRPr="00E2610D">
        <w:rPr>
          <w:rStyle w:val="FootnoteReference"/>
        </w:rPr>
        <w:footnoteRef/>
      </w:r>
      <w:r>
        <w:rPr>
          <w:lang w:val="fr-FR"/>
        </w:rPr>
        <w:tab/>
        <w:t xml:space="preserve">Voir la disposition spéciale </w:t>
      </w:r>
      <w:r w:rsidRPr="00E2610D">
        <w:rPr>
          <w:lang w:val="fr-FR"/>
        </w:rPr>
        <w:t>311</w:t>
      </w:r>
      <w:r>
        <w:rPr>
          <w:lang w:val="fr-FR"/>
        </w:rPr>
        <w:t xml:space="preserve"> du Règlement type</w:t>
      </w:r>
      <w:r w:rsidR="00E2610D" w:rsidRPr="00E2610D">
        <w:rPr>
          <w:lang w:val="fr-FR"/>
        </w:rPr>
        <w:t>.</w:t>
      </w:r>
    </w:p>
  </w:footnote>
  <w:footnote w:id="8">
    <w:p w14:paraId="7BDAAA3F" w14:textId="5A50850B" w:rsidR="009B4C90" w:rsidRPr="00490B3B" w:rsidRDefault="009B4C90" w:rsidP="009B4C90">
      <w:pPr>
        <w:pStyle w:val="FootnoteText"/>
      </w:pPr>
      <w:r>
        <w:rPr>
          <w:lang w:val="fr-FR"/>
        </w:rPr>
        <w:tab/>
      </w:r>
      <w:r w:rsidRPr="00E2610D">
        <w:rPr>
          <w:rStyle w:val="FootnoteReference"/>
        </w:rPr>
        <w:footnoteRef/>
      </w:r>
      <w:r>
        <w:rPr>
          <w:lang w:val="fr-FR"/>
        </w:rPr>
        <w:tab/>
        <w:t>Voir le document ST/SG/AC</w:t>
      </w:r>
      <w:r w:rsidR="00E2610D" w:rsidRPr="00E2610D">
        <w:rPr>
          <w:lang w:val="fr-FR"/>
        </w:rPr>
        <w:t>.</w:t>
      </w:r>
      <w:r w:rsidRPr="00E2610D">
        <w:rPr>
          <w:lang w:val="fr-FR"/>
        </w:rPr>
        <w:t>10</w:t>
      </w:r>
      <w:r>
        <w:rPr>
          <w:lang w:val="fr-FR"/>
        </w:rPr>
        <w:t>/C</w:t>
      </w:r>
      <w:r w:rsidR="00E2610D" w:rsidRPr="00E2610D">
        <w:rPr>
          <w:lang w:val="fr-FR"/>
        </w:rPr>
        <w:t>.</w:t>
      </w:r>
      <w:r w:rsidRPr="00E2610D">
        <w:rPr>
          <w:lang w:val="fr-FR"/>
        </w:rPr>
        <w:t>3</w:t>
      </w:r>
      <w:r>
        <w:rPr>
          <w:lang w:val="fr-FR"/>
        </w:rPr>
        <w:t>/</w:t>
      </w:r>
      <w:r w:rsidRPr="00E2610D">
        <w:rPr>
          <w:lang w:val="fr-FR"/>
        </w:rPr>
        <w:t>2024</w:t>
      </w:r>
      <w:r>
        <w:rPr>
          <w:lang w:val="fr-FR"/>
        </w:rPr>
        <w:t>/</w:t>
      </w:r>
      <w:r w:rsidRPr="00E2610D">
        <w:rPr>
          <w:lang w:val="fr-FR"/>
        </w:rPr>
        <w:t>24</w:t>
      </w:r>
      <w:r>
        <w:rPr>
          <w:lang w:val="fr-FR"/>
        </w:rPr>
        <w:t>-ST/SG/AC</w:t>
      </w:r>
      <w:r w:rsidR="00E2610D" w:rsidRPr="00E2610D">
        <w:rPr>
          <w:lang w:val="fr-FR"/>
        </w:rPr>
        <w:t>.</w:t>
      </w:r>
      <w:r w:rsidRPr="00E2610D">
        <w:rPr>
          <w:lang w:val="fr-FR"/>
        </w:rPr>
        <w:t>10</w:t>
      </w:r>
      <w:r>
        <w:rPr>
          <w:lang w:val="fr-FR"/>
        </w:rPr>
        <w:t>/C</w:t>
      </w:r>
      <w:r w:rsidR="00E2610D" w:rsidRPr="00E2610D">
        <w:rPr>
          <w:lang w:val="fr-FR"/>
        </w:rPr>
        <w:t>.</w:t>
      </w:r>
      <w:r w:rsidRPr="00E2610D">
        <w:rPr>
          <w:lang w:val="fr-FR"/>
        </w:rPr>
        <w:t>4</w:t>
      </w:r>
      <w:r>
        <w:rPr>
          <w:lang w:val="fr-FR"/>
        </w:rPr>
        <w:t>/</w:t>
      </w:r>
      <w:r w:rsidRPr="00E2610D">
        <w:rPr>
          <w:lang w:val="fr-FR"/>
        </w:rPr>
        <w:t>2024</w:t>
      </w:r>
      <w:r>
        <w:rPr>
          <w:lang w:val="fr-FR"/>
        </w:rPr>
        <w:t>/</w:t>
      </w:r>
      <w:r w:rsidRPr="00E2610D">
        <w:rPr>
          <w:lang w:val="fr-FR"/>
        </w:rPr>
        <w:t>5</w:t>
      </w:r>
      <w:r>
        <w:rPr>
          <w:lang w:val="fr-FR"/>
        </w:rPr>
        <w:t>, par</w:t>
      </w:r>
      <w:r w:rsidR="00E2610D" w:rsidRPr="00E2610D">
        <w:rPr>
          <w:lang w:val="fr-FR"/>
        </w:rPr>
        <w:t>.</w:t>
      </w:r>
      <w:r w:rsidR="00995095">
        <w:rPr>
          <w:lang w:val="fr-FR"/>
        </w:rPr>
        <w:t> </w:t>
      </w:r>
      <w:r w:rsidRPr="00E2610D">
        <w:rPr>
          <w:lang w:val="fr-FR"/>
        </w:rPr>
        <w:t>14</w:t>
      </w:r>
      <w:r>
        <w:rPr>
          <w:lang w:val="fr-FR"/>
        </w:rPr>
        <w:t xml:space="preserve"> et </w:t>
      </w:r>
      <w:r w:rsidRPr="00E2610D">
        <w:rPr>
          <w:lang w:val="fr-FR"/>
        </w:rPr>
        <w:t>15</w:t>
      </w:r>
      <w:r w:rsidR="00E2610D" w:rsidRPr="00E2610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9385" w14:textId="4153DE4A" w:rsidR="00530EA8" w:rsidRPr="00530EA8" w:rsidRDefault="00530EA8">
    <w:pPr>
      <w:pStyle w:val="Header"/>
      <w:rPr>
        <w:lang w:val="en-US"/>
      </w:rPr>
    </w:pPr>
    <w:r>
      <w:fldChar w:fldCharType="begin"/>
    </w:r>
    <w:r w:rsidRPr="00530EA8">
      <w:rPr>
        <w:lang w:val="en-US"/>
      </w:rPr>
      <w:instrText xml:space="preserve"> TITLE  \* MERGEFORMAT </w:instrText>
    </w:r>
    <w:r>
      <w:fldChar w:fldCharType="separate"/>
    </w:r>
    <w:r w:rsidR="00943013">
      <w:rPr>
        <w:lang w:val="en-US"/>
      </w:rPr>
      <w:t>ST/SG/AC.10/C.3/2024/69</w:t>
    </w:r>
    <w:r>
      <w:fldChar w:fldCharType="end"/>
    </w:r>
    <w:r w:rsidRPr="00530EA8">
      <w:rPr>
        <w:lang w:val="en-US"/>
      </w:rPr>
      <w:br/>
    </w:r>
    <w:r>
      <w:fldChar w:fldCharType="begin"/>
    </w:r>
    <w:r w:rsidRPr="00530EA8">
      <w:rPr>
        <w:lang w:val="en-US"/>
      </w:rPr>
      <w:instrText xml:space="preserve"> KEYWORDS  \* MERGEFORMAT </w:instrText>
    </w:r>
    <w:r>
      <w:fldChar w:fldCharType="separate"/>
    </w:r>
    <w:r w:rsidR="00943013">
      <w:rPr>
        <w:lang w:val="en-US"/>
      </w:rPr>
      <w:t>ST/SG/AC.10/C.4/2024/12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9295" w14:textId="446A4166" w:rsidR="00530EA8" w:rsidRPr="00530EA8" w:rsidRDefault="00530EA8" w:rsidP="00530EA8">
    <w:pPr>
      <w:pStyle w:val="Header"/>
      <w:jc w:val="right"/>
      <w:rPr>
        <w:lang w:val="en-US"/>
      </w:rPr>
    </w:pPr>
    <w:r>
      <w:fldChar w:fldCharType="begin"/>
    </w:r>
    <w:r w:rsidRPr="00530EA8">
      <w:rPr>
        <w:lang w:val="en-US"/>
      </w:rPr>
      <w:instrText xml:space="preserve"> TITLE  \* MERGEFORMAT </w:instrText>
    </w:r>
    <w:r>
      <w:fldChar w:fldCharType="separate"/>
    </w:r>
    <w:r w:rsidR="00943013">
      <w:rPr>
        <w:lang w:val="en-US"/>
      </w:rPr>
      <w:t>ST/SG/AC.10/C.3/2024/69</w:t>
    </w:r>
    <w:r>
      <w:fldChar w:fldCharType="end"/>
    </w:r>
    <w:r w:rsidRPr="00530EA8">
      <w:rPr>
        <w:lang w:val="en-US"/>
      </w:rPr>
      <w:br/>
    </w:r>
    <w:r>
      <w:fldChar w:fldCharType="begin"/>
    </w:r>
    <w:r w:rsidRPr="00530EA8">
      <w:rPr>
        <w:lang w:val="en-US"/>
      </w:rPr>
      <w:instrText xml:space="preserve"> KEYWORDS  \* MERGEFORMAT </w:instrText>
    </w:r>
    <w:r>
      <w:fldChar w:fldCharType="separate"/>
    </w:r>
    <w:r w:rsidR="00943013">
      <w:rPr>
        <w:lang w:val="en-US"/>
      </w:rPr>
      <w:t>ST/SG/AC.10/C.4/2024/12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850727042">
    <w:abstractNumId w:val="12"/>
  </w:num>
  <w:num w:numId="2" w16cid:durableId="895817828">
    <w:abstractNumId w:val="11"/>
  </w:num>
  <w:num w:numId="3" w16cid:durableId="1816532225">
    <w:abstractNumId w:val="10"/>
  </w:num>
  <w:num w:numId="4" w16cid:durableId="1148746256">
    <w:abstractNumId w:val="8"/>
  </w:num>
  <w:num w:numId="5" w16cid:durableId="1512454189">
    <w:abstractNumId w:val="3"/>
  </w:num>
  <w:num w:numId="6" w16cid:durableId="2043239489">
    <w:abstractNumId w:val="2"/>
  </w:num>
  <w:num w:numId="7" w16cid:durableId="975918450">
    <w:abstractNumId w:val="1"/>
  </w:num>
  <w:num w:numId="8" w16cid:durableId="1691953282">
    <w:abstractNumId w:val="0"/>
  </w:num>
  <w:num w:numId="9" w16cid:durableId="1064526893">
    <w:abstractNumId w:val="9"/>
  </w:num>
  <w:num w:numId="10" w16cid:durableId="1617984807">
    <w:abstractNumId w:val="7"/>
  </w:num>
  <w:num w:numId="11" w16cid:durableId="1489519860">
    <w:abstractNumId w:val="6"/>
  </w:num>
  <w:num w:numId="12" w16cid:durableId="1297881761">
    <w:abstractNumId w:val="5"/>
  </w:num>
  <w:num w:numId="13" w16cid:durableId="82385286">
    <w:abstractNumId w:val="4"/>
  </w:num>
  <w:num w:numId="14" w16cid:durableId="433214992">
    <w:abstractNumId w:val="12"/>
  </w:num>
  <w:num w:numId="15" w16cid:durableId="1242718822">
    <w:abstractNumId w:val="11"/>
  </w:num>
  <w:num w:numId="16" w16cid:durableId="1393118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8B"/>
    <w:rsid w:val="00013ACE"/>
    <w:rsid w:val="00017F94"/>
    <w:rsid w:val="00023842"/>
    <w:rsid w:val="000305D3"/>
    <w:rsid w:val="000334F9"/>
    <w:rsid w:val="00064A5B"/>
    <w:rsid w:val="0007796D"/>
    <w:rsid w:val="000B7790"/>
    <w:rsid w:val="000F5E17"/>
    <w:rsid w:val="00111F2F"/>
    <w:rsid w:val="0012323E"/>
    <w:rsid w:val="00132EA9"/>
    <w:rsid w:val="0014365E"/>
    <w:rsid w:val="00172E49"/>
    <w:rsid w:val="00176178"/>
    <w:rsid w:val="001F525A"/>
    <w:rsid w:val="001F7884"/>
    <w:rsid w:val="00223272"/>
    <w:rsid w:val="0024779E"/>
    <w:rsid w:val="0027645B"/>
    <w:rsid w:val="00283190"/>
    <w:rsid w:val="002832AC"/>
    <w:rsid w:val="002D7C93"/>
    <w:rsid w:val="002E1925"/>
    <w:rsid w:val="0030487A"/>
    <w:rsid w:val="003A6F3C"/>
    <w:rsid w:val="003C57D1"/>
    <w:rsid w:val="00441C3B"/>
    <w:rsid w:val="00446FE5"/>
    <w:rsid w:val="00452396"/>
    <w:rsid w:val="0048010E"/>
    <w:rsid w:val="004A7F2A"/>
    <w:rsid w:val="004E468C"/>
    <w:rsid w:val="00503BA5"/>
    <w:rsid w:val="00530EA8"/>
    <w:rsid w:val="005505B7"/>
    <w:rsid w:val="00573BE5"/>
    <w:rsid w:val="00584DC4"/>
    <w:rsid w:val="00586ED3"/>
    <w:rsid w:val="00596AA9"/>
    <w:rsid w:val="005A6962"/>
    <w:rsid w:val="005D6AFA"/>
    <w:rsid w:val="00603EF9"/>
    <w:rsid w:val="00683372"/>
    <w:rsid w:val="0068456F"/>
    <w:rsid w:val="00696B10"/>
    <w:rsid w:val="006F5A39"/>
    <w:rsid w:val="00704ED1"/>
    <w:rsid w:val="0071601D"/>
    <w:rsid w:val="00716D4B"/>
    <w:rsid w:val="007A4DC8"/>
    <w:rsid w:val="007A62E6"/>
    <w:rsid w:val="007A79DB"/>
    <w:rsid w:val="007F479F"/>
    <w:rsid w:val="0080684C"/>
    <w:rsid w:val="00811EF2"/>
    <w:rsid w:val="008123E0"/>
    <w:rsid w:val="008632D4"/>
    <w:rsid w:val="00871C75"/>
    <w:rsid w:val="008776DC"/>
    <w:rsid w:val="008B40CD"/>
    <w:rsid w:val="00906E66"/>
    <w:rsid w:val="00943013"/>
    <w:rsid w:val="009705C8"/>
    <w:rsid w:val="00975252"/>
    <w:rsid w:val="00995095"/>
    <w:rsid w:val="009B4C90"/>
    <w:rsid w:val="009C1CF4"/>
    <w:rsid w:val="009D249F"/>
    <w:rsid w:val="00A30353"/>
    <w:rsid w:val="00A81281"/>
    <w:rsid w:val="00AC3823"/>
    <w:rsid w:val="00AE323C"/>
    <w:rsid w:val="00B00181"/>
    <w:rsid w:val="00B00B0D"/>
    <w:rsid w:val="00B57CF7"/>
    <w:rsid w:val="00B765F7"/>
    <w:rsid w:val="00B77307"/>
    <w:rsid w:val="00BA0CA9"/>
    <w:rsid w:val="00BD62BD"/>
    <w:rsid w:val="00C02897"/>
    <w:rsid w:val="00C320AF"/>
    <w:rsid w:val="00C9035C"/>
    <w:rsid w:val="00CA45B2"/>
    <w:rsid w:val="00D3439C"/>
    <w:rsid w:val="00D3682B"/>
    <w:rsid w:val="00D75D19"/>
    <w:rsid w:val="00D8738B"/>
    <w:rsid w:val="00DB1831"/>
    <w:rsid w:val="00DC09E7"/>
    <w:rsid w:val="00DD3BFD"/>
    <w:rsid w:val="00DF6678"/>
    <w:rsid w:val="00E2610D"/>
    <w:rsid w:val="00E34AF2"/>
    <w:rsid w:val="00E43B74"/>
    <w:rsid w:val="00E832CA"/>
    <w:rsid w:val="00E97B27"/>
    <w:rsid w:val="00EC1CE6"/>
    <w:rsid w:val="00EF00FF"/>
    <w:rsid w:val="00EF2E22"/>
    <w:rsid w:val="00F01738"/>
    <w:rsid w:val="00F60155"/>
    <w:rsid w:val="00F660DF"/>
    <w:rsid w:val="00F730C8"/>
    <w:rsid w:val="00F73A96"/>
    <w:rsid w:val="00F77D5E"/>
    <w:rsid w:val="00F83360"/>
    <w:rsid w:val="00F95C08"/>
    <w:rsid w:val="00FF62B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F106"/>
  <w15:docId w15:val="{60BF7AB9-EBEA-4783-88DD-EF39969B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584DC4"/>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 w:type="character" w:customStyle="1" w:styleId="SingleTxtGChar">
    <w:name w:val="_ Single Txt_G Char"/>
    <w:link w:val="SingleTxtG"/>
    <w:qFormat/>
    <w:rsid w:val="007A4DC8"/>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A40CF77-3F5E-4223-BF4F-937D23D7FACC}"/>
</file>

<file path=customXml/itemProps2.xml><?xml version="1.0" encoding="utf-8"?>
<ds:datastoreItem xmlns:ds="http://schemas.openxmlformats.org/officeDocument/2006/customXml" ds:itemID="{97F9E000-CFBF-4ECE-8221-4B10BFB3146C}"/>
</file>

<file path=customXml/itemProps3.xml><?xml version="1.0" encoding="utf-8"?>
<ds:datastoreItem xmlns:ds="http://schemas.openxmlformats.org/officeDocument/2006/customXml" ds:itemID="{D1C234E3-7F7A-4FB3-981D-7DEB7105E40C}"/>
</file>

<file path=docProps/app.xml><?xml version="1.0" encoding="utf-8"?>
<Properties xmlns="http://schemas.openxmlformats.org/officeDocument/2006/extended-properties" xmlns:vt="http://schemas.openxmlformats.org/officeDocument/2006/docPropsVTypes">
  <Template>ST.dotm</Template>
  <TotalTime>22</TotalTime>
  <Pages>4</Pages>
  <Words>1202</Words>
  <Characters>9214</Characters>
  <Application>Microsoft Office Word</Application>
  <DocSecurity>0</DocSecurity>
  <Lines>3071</Lines>
  <Paragraphs>867</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ST/SG/AC.10/C.3/2024/69</dc:title>
  <dc:subject/>
  <dc:creator>Luisa PENA-MONTERO</dc:creator>
  <cp:keywords>ST/SG/AC.10/C.4/2024/12</cp:keywords>
  <cp:lastModifiedBy>Luisa PENA-MONTERO</cp:lastModifiedBy>
  <cp:revision>48</cp:revision>
  <cp:lastPrinted>2024-10-02T13:31:00Z</cp:lastPrinted>
  <dcterms:created xsi:type="dcterms:W3CDTF">2024-10-02T13:01:00Z</dcterms:created>
  <dcterms:modified xsi:type="dcterms:W3CDTF">2024-10-02T13:31:00Z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