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79832005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27D76B7" w14:textId="77777777" w:rsidR="00132EA9" w:rsidRPr="00DB58B5" w:rsidRDefault="00132EA9" w:rsidP="00C13DE0">
            <w:bookmarkStart w:id="0" w:name="_Hlk178863544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24002E6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BC2925" w14:textId="06FA82E4" w:rsidR="00132EA9" w:rsidRPr="00DB58B5" w:rsidRDefault="00C13DE0" w:rsidP="00C13DE0">
            <w:pPr>
              <w:jc w:val="right"/>
            </w:pPr>
            <w:r w:rsidRPr="00C13DE0">
              <w:rPr>
                <w:sz w:val="40"/>
              </w:rPr>
              <w:t>ST</w:t>
            </w:r>
            <w:r>
              <w:t>/SG/AC</w:t>
            </w:r>
            <w:r w:rsidR="00827C1D" w:rsidRPr="00827C1D">
              <w:t>.</w:t>
            </w:r>
            <w:r w:rsidRPr="00827C1D">
              <w:t>10</w:t>
            </w:r>
            <w:r>
              <w:t>/C</w:t>
            </w:r>
            <w:r w:rsidR="00827C1D" w:rsidRPr="00827C1D">
              <w:t>.</w:t>
            </w:r>
            <w:r w:rsidRPr="00827C1D">
              <w:t>3</w:t>
            </w:r>
            <w:r>
              <w:t>/</w:t>
            </w:r>
            <w:r w:rsidRPr="00827C1D">
              <w:t>2024</w:t>
            </w:r>
            <w:r>
              <w:t>/</w:t>
            </w:r>
            <w:r w:rsidRPr="00827C1D">
              <w:t>67</w:t>
            </w:r>
          </w:p>
        </w:tc>
      </w:tr>
      <w:tr w:rsidR="00132EA9" w:rsidRPr="00DB58B5" w14:paraId="16994326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7046C5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10F220E7" wp14:editId="33E50A7F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C57BD39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E82752C" w14:textId="5C63C6FF" w:rsidR="00132EA9" w:rsidRDefault="00C13DE0" w:rsidP="00F01738">
            <w:pPr>
              <w:spacing w:before="240"/>
            </w:pPr>
            <w:r>
              <w:t>Distr</w:t>
            </w:r>
            <w:r w:rsidR="00827C1D" w:rsidRPr="00827C1D">
              <w:t>.</w:t>
            </w:r>
            <w:r>
              <w:t xml:space="preserve"> générale</w:t>
            </w:r>
          </w:p>
          <w:p w14:paraId="681FA454" w14:textId="77777777" w:rsidR="00C13DE0" w:rsidRDefault="00C13DE0" w:rsidP="00C13DE0">
            <w:pPr>
              <w:spacing w:line="240" w:lineRule="exact"/>
            </w:pPr>
            <w:r w:rsidRPr="00827C1D">
              <w:t>4</w:t>
            </w:r>
            <w:r>
              <w:t xml:space="preserve"> septembre </w:t>
            </w:r>
            <w:r w:rsidRPr="00827C1D">
              <w:t>2024</w:t>
            </w:r>
          </w:p>
          <w:p w14:paraId="1F4CAE45" w14:textId="77777777" w:rsidR="00C13DE0" w:rsidRDefault="00C13DE0" w:rsidP="00C13DE0">
            <w:pPr>
              <w:spacing w:line="240" w:lineRule="exact"/>
            </w:pPr>
            <w:r>
              <w:t>Français</w:t>
            </w:r>
          </w:p>
          <w:p w14:paraId="1D02FC64" w14:textId="43BEC957" w:rsidR="00C13DE0" w:rsidRPr="00DB58B5" w:rsidRDefault="00C13DE0" w:rsidP="00C13DE0">
            <w:pPr>
              <w:spacing w:line="240" w:lineRule="exact"/>
            </w:pPr>
            <w:r>
              <w:t>Original</w:t>
            </w:r>
            <w:r w:rsidR="00C52C93">
              <w:t> :</w:t>
            </w:r>
            <w:r>
              <w:t xml:space="preserve"> anglais</w:t>
            </w:r>
          </w:p>
        </w:tc>
      </w:tr>
    </w:tbl>
    <w:p w14:paraId="538E69D8" w14:textId="5E8D4EB2" w:rsidR="00C13DE0" w:rsidRPr="00376095" w:rsidRDefault="00C13DE0" w:rsidP="00376095">
      <w:pPr>
        <w:spacing w:before="120" w:after="120"/>
        <w:ind w:right="3826"/>
        <w:rPr>
          <w:b/>
          <w:sz w:val="24"/>
          <w:szCs w:val="24"/>
        </w:rPr>
      </w:pPr>
      <w:r w:rsidRPr="00376095">
        <w:rPr>
          <w:b/>
          <w:bCs/>
          <w:sz w:val="24"/>
          <w:szCs w:val="24"/>
          <w:lang w:val="fr-FR"/>
        </w:rPr>
        <w:t>Comité d</w:t>
      </w:r>
      <w:r w:rsidR="00C52C93">
        <w:rPr>
          <w:b/>
          <w:bCs/>
          <w:sz w:val="24"/>
          <w:szCs w:val="24"/>
          <w:lang w:val="fr-FR"/>
        </w:rPr>
        <w:t>’</w:t>
      </w:r>
      <w:r w:rsidRPr="00376095">
        <w:rPr>
          <w:b/>
          <w:bCs/>
          <w:sz w:val="24"/>
          <w:szCs w:val="24"/>
          <w:lang w:val="fr-FR"/>
        </w:rPr>
        <w:t>experts du transport des marchandises dangereuses et du Système général harmonisé de</w:t>
      </w:r>
      <w:r w:rsidR="00376095">
        <w:rPr>
          <w:b/>
          <w:bCs/>
          <w:sz w:val="24"/>
          <w:szCs w:val="24"/>
          <w:lang w:val="fr-FR"/>
        </w:rPr>
        <w:t> </w:t>
      </w:r>
      <w:r w:rsidRPr="00376095">
        <w:rPr>
          <w:b/>
          <w:bCs/>
          <w:sz w:val="24"/>
          <w:szCs w:val="24"/>
          <w:lang w:val="fr-FR"/>
        </w:rPr>
        <w:t>classification et d</w:t>
      </w:r>
      <w:r w:rsidR="00C52C93">
        <w:rPr>
          <w:b/>
          <w:bCs/>
          <w:sz w:val="24"/>
          <w:szCs w:val="24"/>
          <w:lang w:val="fr-FR"/>
        </w:rPr>
        <w:t>’</w:t>
      </w:r>
      <w:r w:rsidRPr="00376095">
        <w:rPr>
          <w:b/>
          <w:bCs/>
          <w:sz w:val="24"/>
          <w:szCs w:val="24"/>
          <w:lang w:val="fr-FR"/>
        </w:rPr>
        <w:t>étiquetage des produits chimiques</w:t>
      </w:r>
    </w:p>
    <w:p w14:paraId="197F755D" w14:textId="1B23ED4B" w:rsidR="00C13DE0" w:rsidRPr="00C0102F" w:rsidRDefault="00C13DE0" w:rsidP="00376095">
      <w:pPr>
        <w:spacing w:after="120"/>
        <w:rPr>
          <w:rFonts w:ascii="Helv" w:hAnsi="Helv" w:cs="Helv"/>
          <w:b/>
          <w:color w:val="000000"/>
        </w:rPr>
      </w:pPr>
      <w:r>
        <w:rPr>
          <w:b/>
          <w:bCs/>
          <w:lang w:val="fr-FR"/>
        </w:rPr>
        <w:t>Sous-Comité d</w:t>
      </w:r>
      <w:r w:rsidR="00C52C93">
        <w:rPr>
          <w:b/>
          <w:bCs/>
          <w:lang w:val="fr-FR"/>
        </w:rPr>
        <w:t>’</w:t>
      </w:r>
      <w:r>
        <w:rPr>
          <w:b/>
          <w:bCs/>
          <w:lang w:val="fr-FR"/>
        </w:rPr>
        <w:t>experts du transport des marchandises dangereuses</w:t>
      </w:r>
    </w:p>
    <w:p w14:paraId="49C627DB" w14:textId="77777777" w:rsidR="00C13DE0" w:rsidRPr="00C0102F" w:rsidRDefault="00C13DE0" w:rsidP="00C13DE0">
      <w:pPr>
        <w:rPr>
          <w:b/>
        </w:rPr>
      </w:pPr>
      <w:r>
        <w:rPr>
          <w:b/>
          <w:bCs/>
          <w:lang w:val="fr-FR"/>
        </w:rPr>
        <w:t>Soixante-cinquième session</w:t>
      </w:r>
    </w:p>
    <w:p w14:paraId="2CCE2061" w14:textId="11FB265C" w:rsidR="008E61CE" w:rsidRDefault="00C13DE0" w:rsidP="00C13DE0">
      <w:pPr>
        <w:rPr>
          <w:lang w:val="fr-FR"/>
        </w:rPr>
      </w:pPr>
      <w:r>
        <w:rPr>
          <w:lang w:val="fr-FR"/>
        </w:rPr>
        <w:t xml:space="preserve">Genève, </w:t>
      </w:r>
      <w:r w:rsidRPr="00827C1D">
        <w:rPr>
          <w:lang w:val="fr-FR"/>
        </w:rPr>
        <w:t>25</w:t>
      </w:r>
      <w:r>
        <w:rPr>
          <w:lang w:val="fr-FR"/>
        </w:rPr>
        <w:t xml:space="preserve"> novembre-</w:t>
      </w:r>
      <w:r w:rsidRPr="00827C1D">
        <w:rPr>
          <w:lang w:val="fr-FR"/>
        </w:rPr>
        <w:t>3</w:t>
      </w:r>
      <w:r>
        <w:rPr>
          <w:lang w:val="fr-FR"/>
        </w:rPr>
        <w:t xml:space="preserve"> décembre </w:t>
      </w:r>
      <w:r w:rsidRPr="00827C1D">
        <w:rPr>
          <w:lang w:val="fr-FR"/>
        </w:rPr>
        <w:t>2024</w:t>
      </w:r>
    </w:p>
    <w:p w14:paraId="155D573C" w14:textId="28F94C42" w:rsidR="00C13DE0" w:rsidRPr="00C0102F" w:rsidRDefault="00C13DE0" w:rsidP="00C13DE0">
      <w:r>
        <w:rPr>
          <w:lang w:val="fr-FR"/>
        </w:rPr>
        <w:t xml:space="preserve">Point </w:t>
      </w:r>
      <w:r w:rsidRPr="00827C1D">
        <w:rPr>
          <w:lang w:val="fr-FR"/>
        </w:rPr>
        <w:t>6</w:t>
      </w:r>
      <w:r>
        <w:rPr>
          <w:lang w:val="fr-FR"/>
        </w:rPr>
        <w:t xml:space="preserve"> d) de l</w:t>
      </w:r>
      <w:r w:rsidR="00C52C93">
        <w:rPr>
          <w:lang w:val="fr-FR"/>
        </w:rPr>
        <w:t>’</w:t>
      </w:r>
      <w:r>
        <w:rPr>
          <w:lang w:val="fr-FR"/>
        </w:rPr>
        <w:t>ordre du jour provisoire</w:t>
      </w:r>
    </w:p>
    <w:p w14:paraId="43B7401C" w14:textId="4DDB29EA" w:rsidR="00C13DE0" w:rsidRPr="00C0102F" w:rsidRDefault="00C13DE0" w:rsidP="00376095">
      <w:pPr>
        <w:ind w:right="4818"/>
        <w:rPr>
          <w:b/>
          <w:bCs/>
        </w:rPr>
      </w:pPr>
      <w:r>
        <w:rPr>
          <w:b/>
          <w:bCs/>
          <w:lang w:val="fr-FR"/>
        </w:rPr>
        <w:t>Propositions diverses d</w:t>
      </w:r>
      <w:r w:rsidR="00C52C93">
        <w:rPr>
          <w:b/>
          <w:bCs/>
          <w:lang w:val="fr-FR"/>
        </w:rPr>
        <w:t>’</w:t>
      </w:r>
      <w:r>
        <w:rPr>
          <w:b/>
          <w:bCs/>
          <w:lang w:val="fr-FR"/>
        </w:rPr>
        <w:t>amendements au Règlement type pour le transport des marchandises dangereuses</w:t>
      </w:r>
      <w:r w:rsidR="00C52C93">
        <w:rPr>
          <w:b/>
          <w:bCs/>
          <w:lang w:val="fr-FR"/>
        </w:rPr>
        <w:t> :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Autres propositions diverses</w:t>
      </w:r>
    </w:p>
    <w:p w14:paraId="6823468A" w14:textId="7432A0D2" w:rsidR="00C13DE0" w:rsidRPr="00C0102F" w:rsidRDefault="00C13DE0" w:rsidP="00376095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 xml:space="preserve">Amendement à la disposition spéciale </w:t>
      </w:r>
      <w:r w:rsidRPr="00827C1D">
        <w:rPr>
          <w:lang w:val="fr-FR"/>
        </w:rPr>
        <w:t>172</w:t>
      </w:r>
      <w:r>
        <w:rPr>
          <w:lang w:val="fr-FR"/>
        </w:rPr>
        <w:t xml:space="preserve"> d) pour le</w:t>
      </w:r>
      <w:r w:rsidR="00376095">
        <w:rPr>
          <w:lang w:val="fr-FR"/>
        </w:rPr>
        <w:t> </w:t>
      </w:r>
      <w:r>
        <w:rPr>
          <w:lang w:val="fr-FR"/>
        </w:rPr>
        <w:t xml:space="preserve">transport des marchandises dangereuses de la classe </w:t>
      </w:r>
      <w:r w:rsidRPr="00827C1D">
        <w:rPr>
          <w:lang w:val="fr-FR"/>
        </w:rPr>
        <w:t>7</w:t>
      </w:r>
    </w:p>
    <w:p w14:paraId="2C560A34" w14:textId="6FFCBA2B" w:rsidR="00C13DE0" w:rsidRPr="00C0102F" w:rsidRDefault="00C13DE0" w:rsidP="00376095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>Communication de l</w:t>
      </w:r>
      <w:r w:rsidR="00C52C93">
        <w:rPr>
          <w:lang w:val="fr-FR"/>
        </w:rPr>
        <w:t>’</w:t>
      </w:r>
      <w:r>
        <w:rPr>
          <w:lang w:val="fr-FR"/>
        </w:rPr>
        <w:t>expert de l</w:t>
      </w:r>
      <w:r w:rsidR="00C52C93">
        <w:rPr>
          <w:lang w:val="fr-FR"/>
        </w:rPr>
        <w:t>’</w:t>
      </w:r>
      <w:r>
        <w:rPr>
          <w:lang w:val="fr-FR"/>
        </w:rPr>
        <w:t>Allemagne</w:t>
      </w:r>
      <w:r w:rsidRPr="00376095">
        <w:rPr>
          <w:rStyle w:val="FootnoteReference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7BD24035" w14:textId="7FB2B2ED" w:rsidR="00C13DE0" w:rsidRPr="00C0102F" w:rsidRDefault="00376095" w:rsidP="00376095">
      <w:pPr>
        <w:pStyle w:val="HChG"/>
      </w:pPr>
      <w:r>
        <w:rPr>
          <w:lang w:val="fr-FR"/>
        </w:rPr>
        <w:tab/>
      </w:r>
      <w:r w:rsidR="00C13DE0">
        <w:rPr>
          <w:lang w:val="fr-FR"/>
        </w:rPr>
        <w:t>I</w:t>
      </w:r>
      <w:r w:rsidR="00827C1D" w:rsidRPr="00827C1D">
        <w:rPr>
          <w:lang w:val="fr-FR"/>
        </w:rPr>
        <w:t>.</w:t>
      </w:r>
      <w:r w:rsidR="00C13DE0">
        <w:rPr>
          <w:lang w:val="fr-FR"/>
        </w:rPr>
        <w:tab/>
        <w:t>Introduction</w:t>
      </w:r>
    </w:p>
    <w:p w14:paraId="4BF630DB" w14:textId="2A94F346" w:rsidR="00C13DE0" w:rsidRPr="00C0102F" w:rsidRDefault="00C13DE0" w:rsidP="00376095">
      <w:pPr>
        <w:pStyle w:val="SingleTxtG"/>
      </w:pPr>
      <w:r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>
        <w:rPr>
          <w:lang w:val="fr-FR"/>
        </w:rPr>
        <w:tab/>
        <w:t xml:space="preserve">Lorsque des marchandises dangereuses sont transportées, les dangers subsidiaires doivent être mentionnés dans le document de transport de marchandises dangereuses, conformément au </w:t>
      </w:r>
      <w:r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>
        <w:rPr>
          <w:lang w:val="fr-FR"/>
        </w:rPr>
        <w:t xml:space="preserve"> du </w:t>
      </w:r>
      <w:r w:rsidRPr="00F06648">
        <w:rPr>
          <w:lang w:val="fr-FR"/>
        </w:rPr>
        <w:t>Règlement type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Si les marchandises transportées appartiennent à la classe </w:t>
      </w:r>
      <w:r w:rsidRPr="00827C1D">
        <w:rPr>
          <w:lang w:val="fr-FR"/>
        </w:rPr>
        <w:t>7</w:t>
      </w:r>
      <w:r>
        <w:rPr>
          <w:lang w:val="fr-FR"/>
        </w:rPr>
        <w:t xml:space="preserve">, la disposition spéciale </w:t>
      </w:r>
      <w:r w:rsidRPr="00827C1D">
        <w:rPr>
          <w:lang w:val="fr-FR"/>
        </w:rPr>
        <w:t>172</w:t>
      </w:r>
      <w:r>
        <w:rPr>
          <w:lang w:val="fr-FR"/>
        </w:rPr>
        <w:t xml:space="preserve"> doit être appliquée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À cet égard, il a</w:t>
      </w:r>
      <w:r w:rsidR="00C52C93">
        <w:rPr>
          <w:lang w:val="fr-FR"/>
        </w:rPr>
        <w:t> </w:t>
      </w:r>
      <w:r>
        <w:rPr>
          <w:lang w:val="fr-FR"/>
        </w:rPr>
        <w:t>été constaté que le libellé de l</w:t>
      </w:r>
      <w:r w:rsidR="00C52C93">
        <w:rPr>
          <w:lang w:val="fr-FR"/>
        </w:rPr>
        <w:t>’</w:t>
      </w:r>
      <w:r>
        <w:rPr>
          <w:lang w:val="fr-FR"/>
        </w:rPr>
        <w:t xml:space="preserve">alinéa d) de la disposition spéciale </w:t>
      </w:r>
      <w:r w:rsidRPr="00827C1D">
        <w:rPr>
          <w:lang w:val="fr-FR"/>
        </w:rPr>
        <w:t>172</w:t>
      </w:r>
      <w:r>
        <w:rPr>
          <w:lang w:val="fr-FR"/>
        </w:rPr>
        <w:t xml:space="preserve"> s</w:t>
      </w:r>
      <w:r w:rsidR="00C52C93">
        <w:rPr>
          <w:lang w:val="fr-FR"/>
        </w:rPr>
        <w:t>’</w:t>
      </w:r>
      <w:r>
        <w:rPr>
          <w:lang w:val="fr-FR"/>
        </w:rPr>
        <w:t xml:space="preserve">écartait du libellé du </w:t>
      </w:r>
      <w:r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 w:rsidR="00C52C93">
        <w:rPr>
          <w:lang w:val="fr-FR"/>
        </w:rPr>
        <w:t> </w:t>
      </w:r>
      <w:r>
        <w:rPr>
          <w:lang w:val="fr-FR"/>
        </w:rPr>
        <w:t>d), ce qui conduisait à des interprétations différentes lors de l</w:t>
      </w:r>
      <w:r w:rsidR="00C52C93">
        <w:rPr>
          <w:lang w:val="fr-FR"/>
        </w:rPr>
        <w:t>’</w:t>
      </w:r>
      <w:r>
        <w:rPr>
          <w:lang w:val="fr-FR"/>
        </w:rPr>
        <w:t>application des dispositions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Afin d</w:t>
      </w:r>
      <w:r w:rsidR="00C52C93">
        <w:rPr>
          <w:lang w:val="fr-FR"/>
        </w:rPr>
        <w:t>’</w:t>
      </w:r>
      <w:r>
        <w:rPr>
          <w:lang w:val="fr-FR"/>
        </w:rPr>
        <w:t>assurer une application uniforme de la disposition spéciale</w:t>
      </w:r>
      <w:r w:rsidR="00F06648">
        <w:rPr>
          <w:lang w:val="fr-FR"/>
        </w:rPr>
        <w:t> </w:t>
      </w:r>
      <w:r w:rsidRPr="00827C1D">
        <w:rPr>
          <w:lang w:val="fr-FR"/>
        </w:rPr>
        <w:t>172</w:t>
      </w:r>
      <w:r>
        <w:rPr>
          <w:lang w:val="fr-FR"/>
        </w:rPr>
        <w:t>, l</w:t>
      </w:r>
      <w:r w:rsidR="00C52C93">
        <w:rPr>
          <w:lang w:val="fr-FR"/>
        </w:rPr>
        <w:t>’</w:t>
      </w:r>
      <w:r>
        <w:rPr>
          <w:lang w:val="fr-FR"/>
        </w:rPr>
        <w:t>Allemagne propose que le libellé de la disposition soit modifié</w:t>
      </w:r>
      <w:r w:rsidR="00827C1D" w:rsidRPr="00827C1D">
        <w:rPr>
          <w:lang w:val="fr-FR"/>
        </w:rPr>
        <w:t>.</w:t>
      </w:r>
    </w:p>
    <w:p w14:paraId="3EBD2849" w14:textId="181B6530" w:rsidR="00C13DE0" w:rsidRPr="00C0102F" w:rsidRDefault="00376095" w:rsidP="00376095">
      <w:pPr>
        <w:pStyle w:val="HChG"/>
      </w:pPr>
      <w:r>
        <w:rPr>
          <w:lang w:val="fr-FR"/>
        </w:rPr>
        <w:tab/>
      </w:r>
      <w:r w:rsidR="00C13DE0">
        <w:rPr>
          <w:lang w:val="fr-FR"/>
        </w:rPr>
        <w:t>II</w:t>
      </w:r>
      <w:r w:rsidR="00827C1D" w:rsidRPr="00827C1D">
        <w:rPr>
          <w:lang w:val="fr-FR"/>
        </w:rPr>
        <w:t>.</w:t>
      </w:r>
      <w:r w:rsidR="00C13DE0">
        <w:rPr>
          <w:lang w:val="fr-FR"/>
        </w:rPr>
        <w:tab/>
        <w:t>Examen</w:t>
      </w:r>
    </w:p>
    <w:p w14:paraId="79BF537B" w14:textId="30559E92" w:rsidR="00C13DE0" w:rsidRPr="00C0102F" w:rsidRDefault="00C13DE0" w:rsidP="00F06648">
      <w:pPr>
        <w:pStyle w:val="SingleTxtG"/>
        <w:spacing w:after="100"/>
      </w:pPr>
      <w:r w:rsidRPr="00827C1D">
        <w:rPr>
          <w:lang w:val="fr-FR"/>
        </w:rPr>
        <w:t>2</w:t>
      </w:r>
      <w:r w:rsidR="00827C1D" w:rsidRPr="00827C1D">
        <w:rPr>
          <w:lang w:val="fr-FR"/>
        </w:rPr>
        <w:t>.</w:t>
      </w:r>
      <w:r>
        <w:rPr>
          <w:lang w:val="fr-FR"/>
        </w:rPr>
        <w:tab/>
        <w:t xml:space="preserve">Le </w:t>
      </w:r>
      <w:r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>
        <w:rPr>
          <w:lang w:val="fr-FR"/>
        </w:rPr>
        <w:t xml:space="preserve"> est libellé comme suit (caractères gras ajoutés par l</w:t>
      </w:r>
      <w:r w:rsidR="00C52C93">
        <w:rPr>
          <w:lang w:val="fr-FR"/>
        </w:rPr>
        <w:t>’</w:t>
      </w:r>
      <w:r>
        <w:rPr>
          <w:lang w:val="fr-FR"/>
        </w:rPr>
        <w:t>auteur)</w:t>
      </w:r>
      <w:r w:rsidR="00C52C93">
        <w:rPr>
          <w:lang w:val="fr-FR"/>
        </w:rPr>
        <w:t> :</w:t>
      </w:r>
    </w:p>
    <w:p w14:paraId="3BF28328" w14:textId="7B754815" w:rsidR="00C13DE0" w:rsidRPr="00C0102F" w:rsidRDefault="00F06648" w:rsidP="00F06648">
      <w:pPr>
        <w:pStyle w:val="SingleTxtG"/>
        <w:suppressAutoHyphens w:val="0"/>
        <w:kinsoku/>
        <w:overflowPunct/>
        <w:autoSpaceDE/>
        <w:autoSpaceDN/>
        <w:adjustRightInd/>
        <w:snapToGrid/>
        <w:spacing w:after="100"/>
        <w:ind w:firstLine="567"/>
      </w:pPr>
      <w:r>
        <w:rPr>
          <w:lang w:val="fr-FR"/>
        </w:rPr>
        <w:t>« </w:t>
      </w:r>
      <w:r w:rsidR="00C13DE0"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C13DE0">
        <w:rPr>
          <w:lang w:val="fr-FR"/>
        </w:rPr>
        <w:tab/>
      </w:r>
      <w:r w:rsidR="00C13DE0" w:rsidRPr="00827C1D">
        <w:rPr>
          <w:i/>
          <w:iCs/>
          <w:lang w:val="fr-FR"/>
        </w:rPr>
        <w:t>Description des marchandises dangereuses</w:t>
      </w:r>
    </w:p>
    <w:p w14:paraId="619E578B" w14:textId="5EC352CD" w:rsidR="00C13DE0" w:rsidRPr="00C0102F" w:rsidRDefault="00C13DE0" w:rsidP="00F06648">
      <w:pPr>
        <w:pStyle w:val="SingleTxtG"/>
        <w:suppressAutoHyphens w:val="0"/>
        <w:kinsoku/>
        <w:overflowPunct/>
        <w:autoSpaceDE/>
        <w:autoSpaceDN/>
        <w:adjustRightInd/>
        <w:snapToGrid/>
        <w:spacing w:after="100"/>
        <w:ind w:left="1701" w:firstLine="567"/>
      </w:pPr>
      <w:r>
        <w:rPr>
          <w:lang w:val="fr-FR"/>
        </w:rPr>
        <w:t>Le document de transport de marchandises dangereuses doit fournir les renseignements suivants pour chaque matière ou objet dangereux présenté au transport</w:t>
      </w:r>
      <w:r w:rsidR="00C52C93">
        <w:rPr>
          <w:lang w:val="fr-FR"/>
        </w:rPr>
        <w:t> :</w:t>
      </w:r>
    </w:p>
    <w:p w14:paraId="12914A50" w14:textId="09B21800" w:rsidR="00C13DE0" w:rsidRPr="00C0102F" w:rsidRDefault="00C13DE0" w:rsidP="00F06648">
      <w:pPr>
        <w:pStyle w:val="SingleTxtG"/>
        <w:suppressAutoHyphens w:val="0"/>
        <w:kinsoku/>
        <w:overflowPunct/>
        <w:autoSpaceDE/>
        <w:autoSpaceDN/>
        <w:adjustRightInd/>
        <w:snapToGrid/>
        <w:spacing w:after="100"/>
        <w:ind w:left="1701" w:firstLine="567"/>
      </w:pPr>
      <w:r>
        <w:rPr>
          <w:lang w:val="fr-FR"/>
        </w:rPr>
        <w:t>[…]</w:t>
      </w:r>
    </w:p>
    <w:p w14:paraId="6ADC983B" w14:textId="641EBB4A" w:rsidR="00C13DE0" w:rsidRPr="00C0102F" w:rsidRDefault="00C13DE0" w:rsidP="00F06648">
      <w:pPr>
        <w:pStyle w:val="SingleTxtG"/>
        <w:widowControl w:val="0"/>
        <w:suppressAutoHyphens w:val="0"/>
        <w:kinsoku/>
        <w:overflowPunct/>
        <w:autoSpaceDE/>
        <w:autoSpaceDN/>
        <w:adjustRightInd/>
        <w:snapToGrid/>
        <w:spacing w:after="100"/>
        <w:ind w:left="1701" w:firstLine="567"/>
      </w:pPr>
      <w:r>
        <w:rPr>
          <w:lang w:val="fr-FR"/>
        </w:rPr>
        <w:t>d)</w:t>
      </w:r>
      <w:r>
        <w:rPr>
          <w:lang w:val="fr-FR"/>
        </w:rPr>
        <w:tab/>
      </w:r>
      <w:r>
        <w:rPr>
          <w:b/>
          <w:bCs/>
          <w:lang w:val="fr-FR"/>
        </w:rPr>
        <w:t>Le ou les numéro(s) de classe ou de division de danger subsidiaire éventuellement attribués correspondant à l</w:t>
      </w:r>
      <w:r w:rsidR="00C52C93"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étiquette ou aux étiquettes de danger </w:t>
      </w:r>
      <w:r>
        <w:rPr>
          <w:lang w:val="fr-FR"/>
        </w:rPr>
        <w:t>devant être employées doivent figurer après le numéro de la classe ou de la division de danger primaire et doivent être placés entre parenthèses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[…]</w:t>
      </w:r>
      <w:r w:rsidR="00827C1D" w:rsidRPr="00827C1D">
        <w:rPr>
          <w:lang w:val="fr-FR"/>
        </w:rPr>
        <w:t>.</w:t>
      </w:r>
      <w:r w:rsidR="00F06648">
        <w:rPr>
          <w:lang w:val="fr-FR"/>
        </w:rPr>
        <w:t> »</w:t>
      </w:r>
      <w:r w:rsidR="00827C1D" w:rsidRPr="00827C1D">
        <w:rPr>
          <w:lang w:val="fr-FR"/>
        </w:rPr>
        <w:t>.</w:t>
      </w:r>
    </w:p>
    <w:p w14:paraId="2BC8FFFA" w14:textId="51B32D7D" w:rsidR="00C13DE0" w:rsidRPr="00C0102F" w:rsidRDefault="00C13DE0" w:rsidP="00827C1D">
      <w:pPr>
        <w:pStyle w:val="SingleTxtG"/>
        <w:spacing w:after="100"/>
      </w:pPr>
      <w:r w:rsidRPr="00827C1D">
        <w:rPr>
          <w:lang w:val="fr-FR"/>
        </w:rPr>
        <w:lastRenderedPageBreak/>
        <w:t>3</w:t>
      </w:r>
      <w:r w:rsidR="00827C1D" w:rsidRPr="00827C1D">
        <w:rPr>
          <w:lang w:val="fr-FR"/>
        </w:rPr>
        <w:t>.</w:t>
      </w:r>
      <w:r>
        <w:rPr>
          <w:lang w:val="fr-FR"/>
        </w:rPr>
        <w:tab/>
        <w:t xml:space="preserve">La disposition spéciale </w:t>
      </w:r>
      <w:r w:rsidRPr="00827C1D">
        <w:rPr>
          <w:lang w:val="fr-FR"/>
        </w:rPr>
        <w:t>172</w:t>
      </w:r>
      <w:r>
        <w:rPr>
          <w:lang w:val="fr-FR"/>
        </w:rPr>
        <w:t xml:space="preserve"> est libellée comme suit (caractères gras ajoutés par l</w:t>
      </w:r>
      <w:r w:rsidR="00C52C93">
        <w:rPr>
          <w:lang w:val="fr-FR"/>
        </w:rPr>
        <w:t>’</w:t>
      </w:r>
      <w:r>
        <w:rPr>
          <w:lang w:val="fr-FR"/>
        </w:rPr>
        <w:t>auteur)</w:t>
      </w:r>
      <w:r w:rsidR="00C52C93">
        <w:rPr>
          <w:lang w:val="fr-FR"/>
        </w:rPr>
        <w:t> :</w:t>
      </w:r>
    </w:p>
    <w:p w14:paraId="5910ED10" w14:textId="77492579" w:rsidR="00C13DE0" w:rsidRPr="00C0102F" w:rsidRDefault="00147E5E" w:rsidP="00827C1D">
      <w:pPr>
        <w:pStyle w:val="SingleTxtG"/>
        <w:suppressAutoHyphens w:val="0"/>
        <w:kinsoku/>
        <w:overflowPunct/>
        <w:autoSpaceDE/>
        <w:autoSpaceDN/>
        <w:adjustRightInd/>
        <w:snapToGrid/>
        <w:spacing w:after="100"/>
        <w:ind w:left="2268" w:hanging="567"/>
      </w:pPr>
      <w:r w:rsidRPr="00147E5E">
        <w:rPr>
          <w:color w:val="1F497D"/>
          <w:lang w:val="fr-FR"/>
        </w:rPr>
        <w:t>« </w:t>
      </w:r>
      <w:r w:rsidR="00C13DE0" w:rsidRPr="00827C1D">
        <w:rPr>
          <w:lang w:val="fr-FR"/>
        </w:rPr>
        <w:t>172</w:t>
      </w:r>
      <w:r w:rsidR="00C13DE0">
        <w:rPr>
          <w:lang w:val="fr-FR"/>
        </w:rPr>
        <w:tab/>
        <w:t>Lorsqu</w:t>
      </w:r>
      <w:r w:rsidR="00C52C93">
        <w:rPr>
          <w:lang w:val="fr-FR"/>
        </w:rPr>
        <w:t>’</w:t>
      </w:r>
      <w:r w:rsidR="00C13DE0">
        <w:rPr>
          <w:lang w:val="fr-FR"/>
        </w:rPr>
        <w:t xml:space="preserve">une matière radioactive présente un ou plusieurs </w:t>
      </w:r>
      <w:r w:rsidR="00C13DE0">
        <w:rPr>
          <w:b/>
          <w:bCs/>
          <w:lang w:val="fr-FR"/>
        </w:rPr>
        <w:t>danger(s)</w:t>
      </w:r>
      <w:r w:rsidR="00C13DE0">
        <w:rPr>
          <w:lang w:val="fr-FR"/>
        </w:rPr>
        <w:t xml:space="preserve"> </w:t>
      </w:r>
      <w:r w:rsidR="00C13DE0">
        <w:rPr>
          <w:b/>
          <w:bCs/>
          <w:lang w:val="fr-FR"/>
        </w:rPr>
        <w:t>subsidiaire(s)</w:t>
      </w:r>
      <w:r w:rsidR="00C52C93">
        <w:rPr>
          <w:lang w:val="fr-FR"/>
        </w:rPr>
        <w:t> :</w:t>
      </w:r>
    </w:p>
    <w:p w14:paraId="79637772" w14:textId="023D7063" w:rsidR="00C13DE0" w:rsidRPr="00C0102F" w:rsidRDefault="00E178ED" w:rsidP="00827C1D">
      <w:pPr>
        <w:pStyle w:val="SingleTxtG"/>
        <w:tabs>
          <w:tab w:val="clear" w:pos="1701"/>
        </w:tabs>
        <w:suppressAutoHyphens w:val="0"/>
        <w:kinsoku/>
        <w:overflowPunct/>
        <w:autoSpaceDE/>
        <w:autoSpaceDN/>
        <w:adjustRightInd/>
        <w:snapToGrid/>
        <w:spacing w:after="100"/>
        <w:ind w:left="2268" w:hanging="567"/>
      </w:pPr>
      <w:r>
        <w:rPr>
          <w:lang w:val="fr-FR"/>
        </w:rPr>
        <w:tab/>
      </w:r>
      <w:r w:rsidR="00C13DE0">
        <w:rPr>
          <w:lang w:val="fr-FR"/>
        </w:rPr>
        <w:t>a)</w:t>
      </w:r>
      <w:r w:rsidR="00C13DE0">
        <w:rPr>
          <w:lang w:val="fr-FR"/>
        </w:rPr>
        <w:tab/>
        <w:t>La matière doit être affectée au groupe d</w:t>
      </w:r>
      <w:r w:rsidR="00C52C93">
        <w:rPr>
          <w:lang w:val="fr-FR"/>
        </w:rPr>
        <w:t>’</w:t>
      </w:r>
      <w:r w:rsidR="00C13DE0">
        <w:rPr>
          <w:lang w:val="fr-FR"/>
        </w:rPr>
        <w:t xml:space="preserve">emballage I, II ou III, selon le cas, conformément </w:t>
      </w:r>
      <w:r w:rsidR="00C13DE0" w:rsidRPr="00C52C93">
        <w:rPr>
          <w:rFonts w:eastAsia="SimSun"/>
          <w:lang w:val="fr-FR" w:eastAsia="zh-CN"/>
        </w:rPr>
        <w:t>aux</w:t>
      </w:r>
      <w:r w:rsidR="00C13DE0">
        <w:rPr>
          <w:lang w:val="fr-FR"/>
        </w:rPr>
        <w:t xml:space="preserve"> critères de classification par groupe d</w:t>
      </w:r>
      <w:r w:rsidR="00C52C93">
        <w:rPr>
          <w:lang w:val="fr-FR"/>
        </w:rPr>
        <w:t>’</w:t>
      </w:r>
      <w:r w:rsidR="00C13DE0">
        <w:rPr>
          <w:lang w:val="fr-FR"/>
        </w:rPr>
        <w:t xml:space="preserve">emballage énoncés dans la deuxième partie, correspondant à la nature du </w:t>
      </w:r>
      <w:r w:rsidR="00C13DE0">
        <w:rPr>
          <w:b/>
          <w:bCs/>
          <w:lang w:val="fr-FR"/>
        </w:rPr>
        <w:t>danger subsidiaire prépondérant</w:t>
      </w:r>
      <w:r w:rsidR="00C52C93">
        <w:rPr>
          <w:lang w:val="fr-FR"/>
        </w:rPr>
        <w:t> ;</w:t>
      </w:r>
    </w:p>
    <w:p w14:paraId="77EA3B2F" w14:textId="1D5B2EA7" w:rsidR="00C13DE0" w:rsidRPr="00C0102F" w:rsidRDefault="00E178ED" w:rsidP="00827C1D">
      <w:pPr>
        <w:pStyle w:val="SingleTxtG"/>
        <w:tabs>
          <w:tab w:val="clear" w:pos="1701"/>
        </w:tabs>
        <w:suppressAutoHyphens w:val="0"/>
        <w:kinsoku/>
        <w:overflowPunct/>
        <w:autoSpaceDE/>
        <w:autoSpaceDN/>
        <w:adjustRightInd/>
        <w:snapToGrid/>
        <w:spacing w:after="100"/>
        <w:ind w:left="2268" w:hanging="567"/>
      </w:pPr>
      <w:r>
        <w:rPr>
          <w:lang w:val="fr-FR"/>
        </w:rPr>
        <w:tab/>
      </w:r>
      <w:r w:rsidR="00C13DE0">
        <w:rPr>
          <w:lang w:val="fr-FR"/>
        </w:rPr>
        <w:t>b)</w:t>
      </w:r>
      <w:r w:rsidR="00C13DE0">
        <w:rPr>
          <w:lang w:val="fr-FR"/>
        </w:rPr>
        <w:tab/>
        <w:t xml:space="preserve">Les colis doivent porter des étiquettes de danger subsidiaire correspondant à </w:t>
      </w:r>
      <w:r w:rsidR="00C13DE0" w:rsidRPr="007E6B01">
        <w:rPr>
          <w:lang w:val="fr-FR"/>
        </w:rPr>
        <w:t>chaque</w:t>
      </w:r>
      <w:r w:rsidR="00C13DE0" w:rsidRPr="00147E5E">
        <w:rPr>
          <w:lang w:val="fr-FR"/>
        </w:rPr>
        <w:t xml:space="preserve"> </w:t>
      </w:r>
      <w:r w:rsidR="00C13DE0">
        <w:rPr>
          <w:b/>
          <w:bCs/>
          <w:lang w:val="fr-FR"/>
        </w:rPr>
        <w:t xml:space="preserve">danger </w:t>
      </w:r>
      <w:r w:rsidR="00C13DE0" w:rsidRPr="00C52C93">
        <w:rPr>
          <w:rFonts w:eastAsia="SimSun"/>
          <w:lang w:val="fr-FR" w:eastAsia="zh-CN"/>
        </w:rPr>
        <w:t>subsidiaire</w:t>
      </w:r>
      <w:r w:rsidR="00C13DE0">
        <w:rPr>
          <w:lang w:val="fr-FR"/>
        </w:rPr>
        <w:t xml:space="preserve"> présenté par la matière</w:t>
      </w:r>
      <w:r w:rsidR="00C52C93">
        <w:rPr>
          <w:lang w:val="fr-FR"/>
        </w:rPr>
        <w:t> ;</w:t>
      </w:r>
      <w:r w:rsidR="00C13DE0">
        <w:rPr>
          <w:lang w:val="fr-FR"/>
        </w:rPr>
        <w:t xml:space="preserve"> des</w:t>
      </w:r>
      <w:r w:rsidR="00147E5E">
        <w:rPr>
          <w:lang w:val="fr-FR"/>
        </w:rPr>
        <w:t> </w:t>
      </w:r>
      <w:r w:rsidR="00C13DE0">
        <w:rPr>
          <w:lang w:val="fr-FR"/>
        </w:rPr>
        <w:t xml:space="preserve">plaques-étiquettes correspondantes doivent être apposées sur les engins de transport, conformément aux dispositions pertinentes du </w:t>
      </w:r>
      <w:r w:rsidR="00C13DE0"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3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C52C93">
        <w:rPr>
          <w:lang w:val="fr-FR"/>
        </w:rPr>
        <w:t> ;</w:t>
      </w:r>
    </w:p>
    <w:p w14:paraId="6FED7421" w14:textId="2B3B2C5F" w:rsidR="00C13DE0" w:rsidRPr="00C0102F" w:rsidRDefault="00E178ED" w:rsidP="00827C1D">
      <w:pPr>
        <w:pStyle w:val="SingleTxtG"/>
        <w:tabs>
          <w:tab w:val="clear" w:pos="1701"/>
        </w:tabs>
        <w:suppressAutoHyphens w:val="0"/>
        <w:kinsoku/>
        <w:overflowPunct/>
        <w:autoSpaceDE/>
        <w:autoSpaceDN/>
        <w:adjustRightInd/>
        <w:snapToGrid/>
        <w:spacing w:after="100"/>
        <w:ind w:left="2268" w:hanging="567"/>
      </w:pPr>
      <w:r>
        <w:rPr>
          <w:lang w:val="fr-FR"/>
        </w:rPr>
        <w:tab/>
      </w:r>
      <w:r w:rsidR="00C13DE0">
        <w:rPr>
          <w:lang w:val="fr-FR"/>
        </w:rPr>
        <w:t>c)</w:t>
      </w:r>
      <w:r w:rsidR="00C13DE0">
        <w:rPr>
          <w:lang w:val="fr-FR"/>
        </w:rPr>
        <w:tab/>
        <w:t xml:space="preserve">Aux </w:t>
      </w:r>
      <w:r w:rsidR="00C13DE0" w:rsidRPr="00C52C93">
        <w:rPr>
          <w:rFonts w:eastAsia="SimSun"/>
          <w:lang w:val="fr-FR" w:eastAsia="zh-CN"/>
        </w:rPr>
        <w:t>fins</w:t>
      </w:r>
      <w:r w:rsidR="00C13DE0">
        <w:rPr>
          <w:lang w:val="fr-FR"/>
        </w:rPr>
        <w:t xml:space="preserve"> de la documentation et du marquage des colis, la désignation officielle de transport doit être complétée par le nom des composants qui contribuent de manière prépondérante à ce(s) </w:t>
      </w:r>
      <w:r w:rsidR="00C13DE0">
        <w:rPr>
          <w:b/>
          <w:bCs/>
          <w:lang w:val="fr-FR"/>
        </w:rPr>
        <w:t>danger(s)</w:t>
      </w:r>
      <w:r w:rsidR="00C13DE0">
        <w:rPr>
          <w:lang w:val="fr-FR"/>
        </w:rPr>
        <w:t xml:space="preserve"> </w:t>
      </w:r>
      <w:r w:rsidR="00C13DE0">
        <w:rPr>
          <w:b/>
          <w:bCs/>
          <w:lang w:val="fr-FR"/>
        </w:rPr>
        <w:t xml:space="preserve">subsidiaire(s) </w:t>
      </w:r>
      <w:r w:rsidR="00C13DE0">
        <w:rPr>
          <w:lang w:val="fr-FR"/>
        </w:rPr>
        <w:t>et qui doit figurer entre parenthèses</w:t>
      </w:r>
      <w:r w:rsidR="00C52C93">
        <w:rPr>
          <w:lang w:val="fr-FR"/>
        </w:rPr>
        <w:t> ;</w:t>
      </w:r>
    </w:p>
    <w:p w14:paraId="038D1226" w14:textId="2890EDC6" w:rsidR="00C13DE0" w:rsidRPr="00C0102F" w:rsidRDefault="00E178ED" w:rsidP="00827C1D">
      <w:pPr>
        <w:pStyle w:val="SingleTxtG"/>
        <w:tabs>
          <w:tab w:val="clear" w:pos="1701"/>
        </w:tabs>
        <w:suppressAutoHyphens w:val="0"/>
        <w:kinsoku/>
        <w:overflowPunct/>
        <w:autoSpaceDE/>
        <w:autoSpaceDN/>
        <w:adjustRightInd/>
        <w:snapToGrid/>
        <w:spacing w:after="100"/>
        <w:ind w:left="2268" w:hanging="567"/>
      </w:pPr>
      <w:r>
        <w:rPr>
          <w:lang w:val="fr-FR"/>
        </w:rPr>
        <w:tab/>
      </w:r>
      <w:r w:rsidR="00C13DE0">
        <w:rPr>
          <w:lang w:val="fr-FR"/>
        </w:rPr>
        <w:t>d)</w:t>
      </w:r>
      <w:r w:rsidR="00C13DE0">
        <w:rPr>
          <w:lang w:val="fr-FR"/>
        </w:rPr>
        <w:tab/>
        <w:t xml:space="preserve">La </w:t>
      </w:r>
      <w:r w:rsidR="00C13DE0">
        <w:rPr>
          <w:b/>
          <w:bCs/>
          <w:lang w:val="fr-FR"/>
        </w:rPr>
        <w:t>classe ou division du danger subsidiaire</w:t>
      </w:r>
      <w:r w:rsidR="00C13DE0">
        <w:rPr>
          <w:lang w:val="fr-FR"/>
        </w:rPr>
        <w:t xml:space="preserve"> et le groupe d</w:t>
      </w:r>
      <w:r w:rsidR="00C52C93">
        <w:rPr>
          <w:lang w:val="fr-FR"/>
        </w:rPr>
        <w:t>’</w:t>
      </w:r>
      <w:r w:rsidR="00C13DE0">
        <w:rPr>
          <w:lang w:val="fr-FR"/>
        </w:rPr>
        <w:t xml:space="preserve">emballage auquel a été affectée </w:t>
      </w:r>
      <w:r w:rsidR="00C13DE0" w:rsidRPr="00E178ED">
        <w:rPr>
          <w:rFonts w:eastAsia="SimSun"/>
          <w:lang w:val="fr-FR" w:eastAsia="zh-CN"/>
        </w:rPr>
        <w:t>la</w:t>
      </w:r>
      <w:r w:rsidR="00C13DE0">
        <w:rPr>
          <w:lang w:val="fr-FR"/>
        </w:rPr>
        <w:t xml:space="preserve"> matière le cas échéant doivent être indiqués dans le document de transport conformément aux </w:t>
      </w:r>
      <w:r w:rsidR="00C13DE0"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C13DE0">
        <w:rPr>
          <w:lang w:val="fr-FR"/>
        </w:rPr>
        <w:t xml:space="preserve"> d) et e)</w:t>
      </w:r>
      <w:r w:rsidR="00827C1D" w:rsidRPr="00827C1D">
        <w:rPr>
          <w:lang w:val="fr-FR"/>
        </w:rPr>
        <w:t>.</w:t>
      </w:r>
      <w:r w:rsidR="00147E5E">
        <w:rPr>
          <w:lang w:val="fr-FR"/>
        </w:rPr>
        <w:t> »</w:t>
      </w:r>
      <w:r w:rsidR="00827C1D" w:rsidRPr="00827C1D">
        <w:rPr>
          <w:lang w:val="fr-FR"/>
        </w:rPr>
        <w:t>.</w:t>
      </w:r>
    </w:p>
    <w:p w14:paraId="55FDEE88" w14:textId="5DFEA182" w:rsidR="00C13DE0" w:rsidRPr="00C0102F" w:rsidRDefault="00C13DE0" w:rsidP="00827C1D">
      <w:pPr>
        <w:pStyle w:val="SingleTxtG"/>
        <w:spacing w:after="100"/>
      </w:pP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>
        <w:rPr>
          <w:lang w:val="fr-FR"/>
        </w:rPr>
        <w:tab/>
        <w:t>À l</w:t>
      </w:r>
      <w:r w:rsidR="00C52C93">
        <w:rPr>
          <w:lang w:val="fr-FR"/>
        </w:rPr>
        <w:t>’</w:t>
      </w:r>
      <w:r>
        <w:rPr>
          <w:lang w:val="fr-FR"/>
        </w:rPr>
        <w:t xml:space="preserve">alinéa d) de la disposition spéciale </w:t>
      </w:r>
      <w:r w:rsidRPr="00827C1D">
        <w:rPr>
          <w:lang w:val="fr-FR"/>
        </w:rPr>
        <w:t>172</w:t>
      </w:r>
      <w:r>
        <w:rPr>
          <w:lang w:val="fr-FR"/>
        </w:rPr>
        <w:t>, l</w:t>
      </w:r>
      <w:r w:rsidR="00C52C93">
        <w:rPr>
          <w:lang w:val="fr-FR"/>
        </w:rPr>
        <w:t>’</w:t>
      </w:r>
      <w:r>
        <w:rPr>
          <w:lang w:val="fr-FR"/>
        </w:rPr>
        <w:t xml:space="preserve">expression </w:t>
      </w:r>
      <w:r w:rsidR="00147E5E">
        <w:rPr>
          <w:lang w:val="fr-FR"/>
        </w:rPr>
        <w:t>« </w:t>
      </w:r>
      <w:r>
        <w:rPr>
          <w:lang w:val="fr-FR"/>
        </w:rPr>
        <w:t>danger subsidiaire</w:t>
      </w:r>
      <w:r w:rsidR="00147E5E">
        <w:rPr>
          <w:lang w:val="fr-FR"/>
        </w:rPr>
        <w:t> »</w:t>
      </w:r>
      <w:r>
        <w:rPr>
          <w:lang w:val="fr-FR"/>
        </w:rPr>
        <w:t xml:space="preserve"> apparaît uniquement au singulier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Comme aux alinéas a) à c) de cette disposition et au </w:t>
      </w:r>
      <w:r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Pr="00827C1D">
        <w:rPr>
          <w:lang w:val="fr-FR"/>
        </w:rPr>
        <w:t>1</w:t>
      </w:r>
      <w:r>
        <w:rPr>
          <w:lang w:val="fr-FR"/>
        </w:rPr>
        <w:t xml:space="preserve"> d), la possibilité qu</w:t>
      </w:r>
      <w:r w:rsidR="00C52C93">
        <w:rPr>
          <w:lang w:val="fr-FR"/>
        </w:rPr>
        <w:t>’</w:t>
      </w:r>
      <w:r>
        <w:rPr>
          <w:lang w:val="fr-FR"/>
        </w:rPr>
        <w:t>il existe plusieurs dangers subsidiaires devrait être envisagée à l</w:t>
      </w:r>
      <w:r w:rsidR="00C52C93">
        <w:rPr>
          <w:lang w:val="fr-FR"/>
        </w:rPr>
        <w:t>’</w:t>
      </w:r>
      <w:r>
        <w:rPr>
          <w:lang w:val="fr-FR"/>
        </w:rPr>
        <w:t>alinéa</w:t>
      </w:r>
      <w:r w:rsidR="00147E5E">
        <w:rPr>
          <w:lang w:val="fr-FR"/>
        </w:rPr>
        <w:t> </w:t>
      </w:r>
      <w:r>
        <w:rPr>
          <w:lang w:val="fr-FR"/>
        </w:rPr>
        <w:t xml:space="preserve">d) de la disposition </w:t>
      </w:r>
      <w:r w:rsidRPr="00827C1D">
        <w:rPr>
          <w:lang w:val="fr-FR"/>
        </w:rPr>
        <w:t>172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Il conviendrait donc d</w:t>
      </w:r>
      <w:r w:rsidR="00C52C93">
        <w:rPr>
          <w:lang w:val="fr-FR"/>
        </w:rPr>
        <w:t>’</w:t>
      </w:r>
      <w:r>
        <w:rPr>
          <w:lang w:val="fr-FR"/>
        </w:rPr>
        <w:t>utiliser l</w:t>
      </w:r>
      <w:r w:rsidR="00C52C93">
        <w:rPr>
          <w:lang w:val="fr-FR"/>
        </w:rPr>
        <w:t>’</w:t>
      </w:r>
      <w:r>
        <w:rPr>
          <w:lang w:val="fr-FR"/>
        </w:rPr>
        <w:t xml:space="preserve">expression </w:t>
      </w:r>
      <w:r w:rsidR="00147E5E">
        <w:rPr>
          <w:lang w:val="fr-FR"/>
        </w:rPr>
        <w:t>« </w:t>
      </w:r>
      <w:r>
        <w:rPr>
          <w:lang w:val="fr-FR"/>
        </w:rPr>
        <w:t>danger(s) subsidiaire(s)</w:t>
      </w:r>
      <w:r w:rsidR="00147E5E">
        <w:rPr>
          <w:lang w:val="fr-FR"/>
        </w:rPr>
        <w:t> »</w:t>
      </w:r>
      <w:r>
        <w:rPr>
          <w:lang w:val="fr-FR"/>
        </w:rPr>
        <w:t xml:space="preserve"> à l</w:t>
      </w:r>
      <w:r w:rsidR="00C52C93">
        <w:rPr>
          <w:lang w:val="fr-FR"/>
        </w:rPr>
        <w:t>’</w:t>
      </w:r>
      <w:r>
        <w:rPr>
          <w:lang w:val="fr-FR"/>
        </w:rPr>
        <w:t>alinéa d)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Une autre possibilité serait de remplacer </w:t>
      </w:r>
      <w:r w:rsidR="00147E5E">
        <w:rPr>
          <w:lang w:val="fr-FR"/>
        </w:rPr>
        <w:t>« </w:t>
      </w:r>
      <w:r>
        <w:rPr>
          <w:lang w:val="fr-FR"/>
        </w:rPr>
        <w:t>du</w:t>
      </w:r>
      <w:r w:rsidR="00147E5E">
        <w:rPr>
          <w:lang w:val="fr-FR"/>
        </w:rPr>
        <w:t> »</w:t>
      </w:r>
      <w:r>
        <w:rPr>
          <w:lang w:val="fr-FR"/>
        </w:rPr>
        <w:t xml:space="preserve"> par </w:t>
      </w:r>
      <w:r w:rsidR="00147E5E">
        <w:rPr>
          <w:lang w:val="fr-FR"/>
        </w:rPr>
        <w:t>« </w:t>
      </w:r>
      <w:r>
        <w:rPr>
          <w:lang w:val="fr-FR"/>
        </w:rPr>
        <w:t>de chaque</w:t>
      </w:r>
      <w:r w:rsidR="00147E5E">
        <w:rPr>
          <w:lang w:val="fr-FR"/>
        </w:rPr>
        <w:t> »</w:t>
      </w:r>
      <w:r>
        <w:rPr>
          <w:lang w:val="fr-FR"/>
        </w:rPr>
        <w:t xml:space="preserve"> avant</w:t>
      </w:r>
      <w:r w:rsidR="00147E5E">
        <w:rPr>
          <w:lang w:val="fr-FR"/>
        </w:rPr>
        <w:t xml:space="preserve"> « </w:t>
      </w:r>
      <w:r>
        <w:rPr>
          <w:lang w:val="fr-FR"/>
        </w:rPr>
        <w:t>danger subsidiaire</w:t>
      </w:r>
      <w:r w:rsidR="00147E5E">
        <w:rPr>
          <w:lang w:val="fr-FR"/>
        </w:rPr>
        <w:t> »</w:t>
      </w:r>
      <w:r w:rsidR="00827C1D" w:rsidRPr="00827C1D">
        <w:rPr>
          <w:lang w:val="fr-FR"/>
        </w:rPr>
        <w:t>.</w:t>
      </w:r>
    </w:p>
    <w:p w14:paraId="09B4B020" w14:textId="27475E89" w:rsidR="00C13DE0" w:rsidRPr="00C0102F" w:rsidRDefault="00C13DE0" w:rsidP="00827C1D">
      <w:pPr>
        <w:pStyle w:val="SingleTxtG"/>
        <w:spacing w:after="100"/>
      </w:pPr>
      <w:r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>
        <w:rPr>
          <w:lang w:val="fr-FR"/>
        </w:rPr>
        <w:tab/>
        <w:t>Compte tenu de ce qui précède, l</w:t>
      </w:r>
      <w:r w:rsidR="00C52C93">
        <w:rPr>
          <w:lang w:val="fr-FR"/>
        </w:rPr>
        <w:t>’</w:t>
      </w:r>
      <w:r>
        <w:rPr>
          <w:lang w:val="fr-FR"/>
        </w:rPr>
        <w:t>Allemagne propose que l</w:t>
      </w:r>
      <w:r w:rsidR="00C52C93">
        <w:rPr>
          <w:lang w:val="fr-FR"/>
        </w:rPr>
        <w:t>’</w:t>
      </w:r>
      <w:r>
        <w:rPr>
          <w:lang w:val="fr-FR"/>
        </w:rPr>
        <w:t xml:space="preserve">alinéa d) de la disposition spéciale </w:t>
      </w:r>
      <w:r w:rsidRPr="00827C1D">
        <w:rPr>
          <w:lang w:val="fr-FR"/>
        </w:rPr>
        <w:t>172</w:t>
      </w:r>
      <w:r>
        <w:rPr>
          <w:lang w:val="fr-FR"/>
        </w:rPr>
        <w:t xml:space="preserve"> soit modifié</w:t>
      </w:r>
      <w:r w:rsidR="00827C1D" w:rsidRPr="00827C1D">
        <w:rPr>
          <w:lang w:val="fr-FR"/>
        </w:rPr>
        <w:t>.</w:t>
      </w:r>
      <w:r>
        <w:rPr>
          <w:lang w:val="fr-FR"/>
        </w:rPr>
        <w:t xml:space="preserve"> Le changement proposé n</w:t>
      </w:r>
      <w:r w:rsidR="00C52C93">
        <w:rPr>
          <w:lang w:val="fr-FR"/>
        </w:rPr>
        <w:t>’</w:t>
      </w:r>
      <w:r>
        <w:rPr>
          <w:lang w:val="fr-FR"/>
        </w:rPr>
        <w:t>a pas d</w:t>
      </w:r>
      <w:r w:rsidR="00C52C93">
        <w:rPr>
          <w:lang w:val="fr-FR"/>
        </w:rPr>
        <w:t>’</w:t>
      </w:r>
      <w:r>
        <w:rPr>
          <w:lang w:val="fr-FR"/>
        </w:rPr>
        <w:t>incidence négative sur la sécurité du transport des marchandises dangereuses, mais a vocation à assurer une application uniforme des dispositions</w:t>
      </w:r>
      <w:r w:rsidR="00827C1D" w:rsidRPr="00827C1D">
        <w:rPr>
          <w:lang w:val="fr-FR"/>
        </w:rPr>
        <w:t>.</w:t>
      </w:r>
    </w:p>
    <w:p w14:paraId="73D5717F" w14:textId="769C85AA" w:rsidR="00C13DE0" w:rsidRPr="00C0102F" w:rsidRDefault="00C13DE0" w:rsidP="00827C1D">
      <w:pPr>
        <w:pStyle w:val="SingleTxtG"/>
        <w:spacing w:after="100"/>
      </w:pPr>
      <w:r w:rsidRPr="00827C1D">
        <w:rPr>
          <w:lang w:val="fr-FR"/>
        </w:rPr>
        <w:t>6</w:t>
      </w:r>
      <w:r w:rsidR="00827C1D" w:rsidRPr="00827C1D">
        <w:rPr>
          <w:lang w:val="fr-FR"/>
        </w:rPr>
        <w:t>.</w:t>
      </w:r>
      <w:r>
        <w:rPr>
          <w:lang w:val="fr-FR"/>
        </w:rPr>
        <w:tab/>
        <w:t>La proposition ci-après contribue à la réalisation de l</w:t>
      </w:r>
      <w:r w:rsidR="00C52C93">
        <w:rPr>
          <w:lang w:val="fr-FR"/>
        </w:rPr>
        <w:t>’</w:t>
      </w:r>
      <w:r>
        <w:rPr>
          <w:lang w:val="fr-FR"/>
        </w:rPr>
        <w:t xml:space="preserve">objectif de développement durable </w:t>
      </w:r>
      <w:r w:rsidR="00C52C93">
        <w:rPr>
          <w:lang w:val="fr-FR"/>
        </w:rPr>
        <w:t>n</w:t>
      </w:r>
      <w:r w:rsidR="00C52C93" w:rsidRPr="00C52C93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827C1D">
        <w:rPr>
          <w:lang w:val="fr-FR"/>
        </w:rPr>
        <w:t>16</w:t>
      </w:r>
      <w:r>
        <w:rPr>
          <w:lang w:val="fr-FR"/>
        </w:rPr>
        <w:t xml:space="preserve"> (</w:t>
      </w:r>
      <w:r w:rsidRPr="00147E5E">
        <w:rPr>
          <w:lang w:val="fr-FR"/>
        </w:rPr>
        <w:t>Paix, justice et institutions efficaces</w:t>
      </w:r>
      <w:r>
        <w:rPr>
          <w:lang w:val="fr-FR"/>
        </w:rPr>
        <w:t>) en promouvant la cohérence de la réglementation relative à la sécurité du transport des marchandises dangereuses</w:t>
      </w:r>
      <w:r w:rsidR="00827C1D" w:rsidRPr="00827C1D">
        <w:rPr>
          <w:lang w:val="fr-FR"/>
        </w:rPr>
        <w:t>.</w:t>
      </w:r>
    </w:p>
    <w:p w14:paraId="5E7005FA" w14:textId="1431FF6A" w:rsidR="00C13DE0" w:rsidRPr="00C0102F" w:rsidRDefault="007939C5" w:rsidP="007939C5">
      <w:pPr>
        <w:pStyle w:val="HChG"/>
      </w:pPr>
      <w:r>
        <w:rPr>
          <w:lang w:val="fr-FR"/>
        </w:rPr>
        <w:tab/>
      </w:r>
      <w:r w:rsidR="00C13DE0">
        <w:rPr>
          <w:lang w:val="fr-FR"/>
        </w:rPr>
        <w:t>III</w:t>
      </w:r>
      <w:r w:rsidR="00827C1D" w:rsidRPr="00827C1D">
        <w:rPr>
          <w:lang w:val="fr-FR"/>
        </w:rPr>
        <w:t>.</w:t>
      </w:r>
      <w:r w:rsidR="00C13DE0">
        <w:rPr>
          <w:lang w:val="fr-FR"/>
        </w:rPr>
        <w:tab/>
        <w:t>Proposition</w:t>
      </w:r>
    </w:p>
    <w:p w14:paraId="3D9105F1" w14:textId="3BD48394" w:rsidR="008E61CE" w:rsidRDefault="00C13DE0" w:rsidP="007939C5">
      <w:pPr>
        <w:pStyle w:val="SingleTxtG"/>
        <w:rPr>
          <w:lang w:val="fr-FR"/>
        </w:rPr>
      </w:pPr>
      <w:r w:rsidRPr="00827C1D">
        <w:rPr>
          <w:lang w:val="fr-FR"/>
        </w:rPr>
        <w:t>7</w:t>
      </w:r>
      <w:r w:rsidR="00827C1D" w:rsidRPr="00827C1D">
        <w:rPr>
          <w:lang w:val="fr-FR"/>
        </w:rPr>
        <w:t>.</w:t>
      </w:r>
      <w:r>
        <w:rPr>
          <w:lang w:val="fr-FR"/>
        </w:rPr>
        <w:tab/>
        <w:t xml:space="preserve">Modifier la disposition spéciale </w:t>
      </w:r>
      <w:r w:rsidRPr="00827C1D">
        <w:rPr>
          <w:lang w:val="fr-FR"/>
        </w:rPr>
        <w:t>172</w:t>
      </w:r>
      <w:r>
        <w:rPr>
          <w:lang w:val="fr-FR"/>
        </w:rPr>
        <w:t xml:space="preserve"> comme suit (les modifications qu</w:t>
      </w:r>
      <w:r w:rsidR="00C52C93">
        <w:rPr>
          <w:lang w:val="fr-FR"/>
        </w:rPr>
        <w:t>’</w:t>
      </w:r>
      <w:r>
        <w:rPr>
          <w:lang w:val="fr-FR"/>
        </w:rPr>
        <w:t>il est proposé d</w:t>
      </w:r>
      <w:r w:rsidR="00C52C93">
        <w:rPr>
          <w:lang w:val="fr-FR"/>
        </w:rPr>
        <w:t>’</w:t>
      </w:r>
      <w:r>
        <w:rPr>
          <w:lang w:val="fr-FR"/>
        </w:rPr>
        <w:t xml:space="preserve">apporter figurent en caractères </w:t>
      </w:r>
      <w:r>
        <w:rPr>
          <w:u w:val="single"/>
          <w:lang w:val="fr-FR"/>
        </w:rPr>
        <w:t>soulignés</w:t>
      </w:r>
      <w:r>
        <w:rPr>
          <w:lang w:val="fr-FR"/>
        </w:rPr>
        <w:t xml:space="preserve"> pour les ajouts et </w:t>
      </w:r>
      <w:r>
        <w:rPr>
          <w:strike/>
          <w:lang w:val="fr-FR"/>
        </w:rPr>
        <w:t>biffés</w:t>
      </w:r>
      <w:r>
        <w:rPr>
          <w:lang w:val="fr-FR"/>
        </w:rPr>
        <w:t xml:space="preserve"> pour les suppressions)</w:t>
      </w:r>
      <w:r w:rsidR="00C52C93">
        <w:rPr>
          <w:lang w:val="fr-FR"/>
        </w:rPr>
        <w:t> :</w:t>
      </w:r>
    </w:p>
    <w:p w14:paraId="6F3D89A6" w14:textId="7ABCF1B1" w:rsidR="007939C5" w:rsidRDefault="007939C5" w:rsidP="007939C5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C13DE0">
        <w:rPr>
          <w:lang w:val="fr-FR"/>
        </w:rPr>
        <w:t xml:space="preserve">Option </w:t>
      </w:r>
      <w:r w:rsidR="00C13DE0" w:rsidRPr="00827C1D">
        <w:rPr>
          <w:lang w:val="fr-FR"/>
        </w:rPr>
        <w:t>1</w:t>
      </w:r>
    </w:p>
    <w:p w14:paraId="222F3884" w14:textId="5C2A76A0" w:rsidR="00C13DE0" w:rsidRPr="00C0102F" w:rsidRDefault="00147E5E" w:rsidP="007939C5">
      <w:pPr>
        <w:pStyle w:val="SingleTxtG"/>
        <w:suppressAutoHyphens w:val="0"/>
        <w:kinsoku/>
        <w:overflowPunct/>
        <w:autoSpaceDE/>
        <w:autoSpaceDN/>
        <w:adjustRightInd/>
        <w:snapToGrid/>
        <w:ind w:left="2268" w:hanging="567"/>
      </w:pPr>
      <w:r>
        <w:rPr>
          <w:lang w:val="fr-FR"/>
        </w:rPr>
        <w:t>« </w:t>
      </w:r>
      <w:r w:rsidR="00C13DE0" w:rsidRPr="00827C1D">
        <w:rPr>
          <w:lang w:val="fr-FR"/>
        </w:rPr>
        <w:t>172</w:t>
      </w:r>
      <w:r w:rsidR="00C13DE0">
        <w:rPr>
          <w:lang w:val="fr-FR"/>
        </w:rPr>
        <w:tab/>
        <w:t>[…]</w:t>
      </w:r>
    </w:p>
    <w:p w14:paraId="0897E57E" w14:textId="6F8E7AC6" w:rsidR="00C13DE0" w:rsidRPr="00C0102F" w:rsidRDefault="0045270A" w:rsidP="00E178ED">
      <w:pPr>
        <w:pStyle w:val="SingleTxtG"/>
        <w:tabs>
          <w:tab w:val="clear" w:pos="1701"/>
        </w:tabs>
        <w:suppressAutoHyphens w:val="0"/>
        <w:kinsoku/>
        <w:overflowPunct/>
        <w:autoSpaceDE/>
        <w:autoSpaceDN/>
        <w:adjustRightInd/>
        <w:snapToGrid/>
        <w:ind w:left="2268" w:hanging="567"/>
      </w:pPr>
      <w:r>
        <w:rPr>
          <w:lang w:val="fr-FR"/>
        </w:rPr>
        <w:tab/>
      </w:r>
      <w:r w:rsidR="00C13DE0">
        <w:rPr>
          <w:lang w:val="fr-FR"/>
        </w:rPr>
        <w:t>d)</w:t>
      </w:r>
      <w:r w:rsidR="00C13DE0">
        <w:rPr>
          <w:lang w:val="fr-FR"/>
        </w:rPr>
        <w:tab/>
        <w:t xml:space="preserve">La classe ou division </w:t>
      </w:r>
      <w:proofErr w:type="spellStart"/>
      <w:r w:rsidR="00C13DE0">
        <w:rPr>
          <w:strike/>
          <w:lang w:val="fr-FR"/>
        </w:rPr>
        <w:t>du</w:t>
      </w:r>
      <w:r w:rsidR="00C13DE0">
        <w:rPr>
          <w:u w:val="single"/>
          <w:lang w:val="fr-FR"/>
        </w:rPr>
        <w:t>de</w:t>
      </w:r>
      <w:proofErr w:type="spellEnd"/>
      <w:r w:rsidR="00C13DE0">
        <w:rPr>
          <w:u w:val="single"/>
          <w:lang w:val="fr-FR"/>
        </w:rPr>
        <w:t xml:space="preserve"> chaque</w:t>
      </w:r>
      <w:r w:rsidR="00C13DE0">
        <w:rPr>
          <w:lang w:val="fr-FR"/>
        </w:rPr>
        <w:t xml:space="preserve"> danger subsidiaire et le groupe d</w:t>
      </w:r>
      <w:r w:rsidR="00C52C93">
        <w:rPr>
          <w:lang w:val="fr-FR"/>
        </w:rPr>
        <w:t>’</w:t>
      </w:r>
      <w:r w:rsidR="00C13DE0">
        <w:rPr>
          <w:lang w:val="fr-FR"/>
        </w:rPr>
        <w:t xml:space="preserve">emballage auquel a été affectée la matière le cas échéant doivent être indiqués dans le document de transport conformément aux </w:t>
      </w:r>
      <w:r w:rsidR="00C13DE0"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C13DE0">
        <w:rPr>
          <w:lang w:val="fr-FR"/>
        </w:rPr>
        <w:t xml:space="preserve"> d) et e)</w:t>
      </w:r>
      <w:r w:rsidR="00827C1D" w:rsidRPr="00827C1D">
        <w:rPr>
          <w:lang w:val="fr-FR"/>
        </w:rPr>
        <w:t>.</w:t>
      </w:r>
      <w:r w:rsidR="00147E5E">
        <w:rPr>
          <w:lang w:val="fr-FR"/>
        </w:rPr>
        <w:t> »</w:t>
      </w:r>
      <w:r w:rsidR="00827C1D" w:rsidRPr="00827C1D">
        <w:rPr>
          <w:lang w:val="fr-FR"/>
        </w:rPr>
        <w:t>.</w:t>
      </w:r>
    </w:p>
    <w:p w14:paraId="464BB577" w14:textId="77777777" w:rsidR="00C13DE0" w:rsidRPr="00C0102F" w:rsidRDefault="00C13DE0" w:rsidP="007939C5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 xml:space="preserve">Option </w:t>
      </w:r>
      <w:r w:rsidRPr="00827C1D">
        <w:rPr>
          <w:lang w:val="fr-FR"/>
        </w:rPr>
        <w:t>2</w:t>
      </w:r>
    </w:p>
    <w:p w14:paraId="617D73E4" w14:textId="2B69D1B1" w:rsidR="00C13DE0" w:rsidRPr="00C0102F" w:rsidRDefault="005C0418" w:rsidP="007939C5">
      <w:pPr>
        <w:pStyle w:val="SingleTxtG"/>
        <w:suppressAutoHyphens w:val="0"/>
        <w:kinsoku/>
        <w:overflowPunct/>
        <w:autoSpaceDE/>
        <w:autoSpaceDN/>
        <w:adjustRightInd/>
        <w:snapToGrid/>
        <w:ind w:left="2268" w:hanging="567"/>
      </w:pPr>
      <w:r>
        <w:rPr>
          <w:lang w:val="fr-FR"/>
        </w:rPr>
        <w:t>« </w:t>
      </w:r>
      <w:r w:rsidR="00C13DE0" w:rsidRPr="00827C1D">
        <w:rPr>
          <w:lang w:val="fr-FR"/>
        </w:rPr>
        <w:t>172</w:t>
      </w:r>
      <w:r w:rsidR="00C13DE0">
        <w:rPr>
          <w:lang w:val="fr-FR"/>
        </w:rPr>
        <w:tab/>
        <w:t>[…]</w:t>
      </w:r>
    </w:p>
    <w:p w14:paraId="1C30AE70" w14:textId="3F8B53D6" w:rsidR="00446FE5" w:rsidRDefault="0045270A" w:rsidP="00E178ED">
      <w:pPr>
        <w:pStyle w:val="SingleTxtG"/>
        <w:tabs>
          <w:tab w:val="clear" w:pos="1701"/>
        </w:tabs>
        <w:suppressAutoHyphens w:val="0"/>
        <w:kinsoku/>
        <w:overflowPunct/>
        <w:autoSpaceDE/>
        <w:autoSpaceDN/>
        <w:adjustRightInd/>
        <w:snapToGrid/>
        <w:ind w:left="2268" w:hanging="567"/>
        <w:rPr>
          <w:lang w:val="fr-FR"/>
        </w:rPr>
      </w:pPr>
      <w:r>
        <w:rPr>
          <w:lang w:val="fr-FR"/>
        </w:rPr>
        <w:tab/>
      </w:r>
      <w:r w:rsidR="00C13DE0">
        <w:rPr>
          <w:lang w:val="fr-FR"/>
        </w:rPr>
        <w:t>d)</w:t>
      </w:r>
      <w:r w:rsidR="00C13DE0">
        <w:rPr>
          <w:lang w:val="fr-FR"/>
        </w:rPr>
        <w:tab/>
        <w:t>La classe ou division du</w:t>
      </w:r>
      <w:r w:rsidR="00C13DE0">
        <w:rPr>
          <w:u w:val="single"/>
          <w:lang w:val="fr-FR"/>
        </w:rPr>
        <w:t xml:space="preserve"> ou des</w:t>
      </w:r>
      <w:r w:rsidR="00C13DE0">
        <w:rPr>
          <w:lang w:val="fr-FR"/>
        </w:rPr>
        <w:t xml:space="preserve"> danger</w:t>
      </w:r>
      <w:r w:rsidR="00C13DE0">
        <w:rPr>
          <w:u w:val="single"/>
          <w:lang w:val="fr-FR"/>
        </w:rPr>
        <w:t>(s)</w:t>
      </w:r>
      <w:r w:rsidR="00C13DE0">
        <w:rPr>
          <w:lang w:val="fr-FR"/>
        </w:rPr>
        <w:t xml:space="preserve"> subsidiaire</w:t>
      </w:r>
      <w:r w:rsidR="00C13DE0">
        <w:rPr>
          <w:u w:val="single"/>
          <w:lang w:val="fr-FR"/>
        </w:rPr>
        <w:t>(s)</w:t>
      </w:r>
      <w:r w:rsidR="00C13DE0">
        <w:rPr>
          <w:lang w:val="fr-FR"/>
        </w:rPr>
        <w:t xml:space="preserve"> et le groupe d</w:t>
      </w:r>
      <w:r w:rsidR="00C52C93">
        <w:rPr>
          <w:lang w:val="fr-FR"/>
        </w:rPr>
        <w:t>’</w:t>
      </w:r>
      <w:r w:rsidR="00C13DE0">
        <w:rPr>
          <w:lang w:val="fr-FR"/>
        </w:rPr>
        <w:t xml:space="preserve">emballage auquel a été affectée la matière le cas échéant doivent être indiqués dans le document de transport conformément aux </w:t>
      </w:r>
      <w:r w:rsidR="00C13DE0" w:rsidRPr="00827C1D">
        <w:rPr>
          <w:lang w:val="fr-FR"/>
        </w:rPr>
        <w:t>5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4</w:t>
      </w:r>
      <w:r w:rsidR="00827C1D" w:rsidRPr="00827C1D">
        <w:rPr>
          <w:lang w:val="fr-FR"/>
        </w:rPr>
        <w:t>.</w:t>
      </w:r>
      <w:r w:rsidR="00C13DE0" w:rsidRPr="00827C1D">
        <w:rPr>
          <w:lang w:val="fr-FR"/>
        </w:rPr>
        <w:t>1</w:t>
      </w:r>
      <w:r w:rsidR="00C13DE0">
        <w:rPr>
          <w:lang w:val="fr-FR"/>
        </w:rPr>
        <w:t xml:space="preserve"> d) et e)</w:t>
      </w:r>
      <w:r w:rsidR="00827C1D" w:rsidRPr="00827C1D">
        <w:rPr>
          <w:lang w:val="fr-FR"/>
        </w:rPr>
        <w:t>.</w:t>
      </w:r>
      <w:r w:rsidR="005C0418">
        <w:rPr>
          <w:lang w:val="fr-FR"/>
        </w:rPr>
        <w:t> »</w:t>
      </w:r>
      <w:r w:rsidR="00827C1D" w:rsidRPr="00827C1D">
        <w:rPr>
          <w:lang w:val="fr-FR"/>
        </w:rPr>
        <w:t>.</w:t>
      </w:r>
    </w:p>
    <w:p w14:paraId="1204FB44" w14:textId="64282B3B" w:rsidR="00C13DE0" w:rsidRPr="00C13DE0" w:rsidRDefault="00C13DE0" w:rsidP="00C13DE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C13DE0" w:rsidRPr="00C13DE0" w:rsidSect="00C13D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53A75" w14:textId="77777777" w:rsidR="007B2B83" w:rsidRDefault="007B2B83" w:rsidP="00F95C08">
      <w:pPr>
        <w:spacing w:line="240" w:lineRule="auto"/>
      </w:pPr>
    </w:p>
  </w:endnote>
  <w:endnote w:type="continuationSeparator" w:id="0">
    <w:p w14:paraId="4837B5AD" w14:textId="77777777" w:rsidR="007B2B83" w:rsidRPr="00AC3823" w:rsidRDefault="007B2B83" w:rsidP="00AC3823">
      <w:pPr>
        <w:pStyle w:val="Footer"/>
      </w:pPr>
    </w:p>
  </w:endnote>
  <w:endnote w:type="continuationNotice" w:id="1">
    <w:p w14:paraId="1ACB27EB" w14:textId="77777777" w:rsidR="007B2B83" w:rsidRDefault="007B2B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A1AE" w14:textId="74C80BE6" w:rsidR="00C13DE0" w:rsidRPr="00C13DE0" w:rsidRDefault="00C13DE0" w:rsidP="00C13DE0">
    <w:pPr>
      <w:pStyle w:val="Footer"/>
      <w:tabs>
        <w:tab w:val="right" w:pos="9638"/>
      </w:tabs>
    </w:pPr>
    <w:r w:rsidRPr="00C13DE0">
      <w:rPr>
        <w:b/>
        <w:sz w:val="18"/>
      </w:rPr>
      <w:fldChar w:fldCharType="begin"/>
    </w:r>
    <w:r w:rsidRPr="00C13DE0">
      <w:rPr>
        <w:b/>
        <w:sz w:val="18"/>
      </w:rPr>
      <w:instrText xml:space="preserve"> PAGE  \* MERGEFORMAT </w:instrText>
    </w:r>
    <w:r w:rsidRPr="00C13DE0">
      <w:rPr>
        <w:b/>
        <w:sz w:val="18"/>
      </w:rPr>
      <w:fldChar w:fldCharType="separate"/>
    </w:r>
    <w:r w:rsidRPr="00C13DE0">
      <w:rPr>
        <w:b/>
        <w:noProof/>
        <w:sz w:val="18"/>
      </w:rPr>
      <w:t>2</w:t>
    </w:r>
    <w:r w:rsidRPr="00C13DE0">
      <w:rPr>
        <w:b/>
        <w:sz w:val="18"/>
      </w:rPr>
      <w:fldChar w:fldCharType="end"/>
    </w:r>
    <w:r>
      <w:rPr>
        <w:b/>
        <w:sz w:val="18"/>
      </w:rPr>
      <w:tab/>
    </w:r>
    <w:r>
      <w:t>GE.24-15931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4B0B" w14:textId="64BAC88F" w:rsidR="00C13DE0" w:rsidRPr="00C13DE0" w:rsidRDefault="00C13DE0" w:rsidP="00C13DE0">
    <w:pPr>
      <w:pStyle w:val="Footer"/>
      <w:tabs>
        <w:tab w:val="right" w:pos="9638"/>
      </w:tabs>
      <w:rPr>
        <w:b/>
        <w:sz w:val="18"/>
      </w:rPr>
    </w:pPr>
    <w:r>
      <w:t>GE.24-15931</w:t>
    </w:r>
    <w:r>
      <w:tab/>
    </w:r>
    <w:r w:rsidRPr="00C13DE0">
      <w:rPr>
        <w:b/>
        <w:sz w:val="18"/>
      </w:rPr>
      <w:fldChar w:fldCharType="begin"/>
    </w:r>
    <w:r w:rsidRPr="00C13DE0">
      <w:rPr>
        <w:b/>
        <w:sz w:val="18"/>
      </w:rPr>
      <w:instrText xml:space="preserve"> PAGE  \* MERGEFORMAT </w:instrText>
    </w:r>
    <w:r w:rsidRPr="00C13DE0">
      <w:rPr>
        <w:b/>
        <w:sz w:val="18"/>
      </w:rPr>
      <w:fldChar w:fldCharType="separate"/>
    </w:r>
    <w:r w:rsidRPr="00C13DE0">
      <w:rPr>
        <w:b/>
        <w:noProof/>
        <w:sz w:val="18"/>
      </w:rPr>
      <w:t>3</w:t>
    </w:r>
    <w:r w:rsidRPr="00C13DE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827B" w14:textId="7FC0038A" w:rsidR="0068456F" w:rsidRPr="00C13DE0" w:rsidRDefault="00C13DE0" w:rsidP="00C13DE0">
    <w:pPr>
      <w:pStyle w:val="Footer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7E06126" wp14:editId="2047CE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24-15931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A86DC8B" wp14:editId="2684E855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644405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031024    031024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378B" w14:textId="77777777" w:rsidR="007B2B83" w:rsidRPr="00AC3823" w:rsidRDefault="007B2B8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EF6D9D8" w14:textId="77777777" w:rsidR="007B2B83" w:rsidRPr="00AC3823" w:rsidRDefault="007B2B8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53788BF" w14:textId="77777777" w:rsidR="007B2B83" w:rsidRPr="00AC3823" w:rsidRDefault="007B2B83">
      <w:pPr>
        <w:spacing w:line="240" w:lineRule="auto"/>
        <w:rPr>
          <w:sz w:val="2"/>
          <w:szCs w:val="2"/>
        </w:rPr>
      </w:pPr>
    </w:p>
  </w:footnote>
  <w:footnote w:id="2">
    <w:p w14:paraId="1C38764C" w14:textId="41367FDB" w:rsidR="00C13DE0" w:rsidRPr="008D1560" w:rsidRDefault="00C13DE0" w:rsidP="00C13DE0">
      <w:pPr>
        <w:pStyle w:val="FootnoteText"/>
      </w:pPr>
      <w:r>
        <w:rPr>
          <w:lang w:val="fr-FR"/>
        </w:rPr>
        <w:tab/>
      </w:r>
      <w:r w:rsidRPr="00BF7945">
        <w:rPr>
          <w:sz w:val="20"/>
          <w:lang w:val="fr-FR"/>
        </w:rPr>
        <w:t>*</w:t>
      </w:r>
      <w:r>
        <w:rPr>
          <w:lang w:val="fr-FR"/>
        </w:rPr>
        <w:tab/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2DE6" w14:textId="3BA853B9" w:rsidR="00C13DE0" w:rsidRPr="00C13DE0" w:rsidRDefault="00C13DE0">
    <w:pPr>
      <w:pStyle w:val="Header"/>
    </w:pPr>
    <w:fldSimple w:instr=" TITLE  \* MERGEFORMAT ">
      <w:r w:rsidR="00D22A1D">
        <w:t>ST/SG/AC.10/C.3/2024/67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5A21" w14:textId="04D53527" w:rsidR="00C13DE0" w:rsidRPr="00C13DE0" w:rsidRDefault="00C13DE0" w:rsidP="00C13DE0">
    <w:pPr>
      <w:pStyle w:val="Header"/>
      <w:jc w:val="right"/>
    </w:pPr>
    <w:fldSimple w:instr=" TITLE  \* MERGEFORMAT ">
      <w:r w:rsidR="00D22A1D">
        <w:t>ST/SG/AC.10/C.3/2024/67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140301936">
    <w:abstractNumId w:val="12"/>
  </w:num>
  <w:num w:numId="2" w16cid:durableId="1753309260">
    <w:abstractNumId w:val="11"/>
  </w:num>
  <w:num w:numId="3" w16cid:durableId="660889922">
    <w:abstractNumId w:val="10"/>
  </w:num>
  <w:num w:numId="4" w16cid:durableId="2060352128">
    <w:abstractNumId w:val="8"/>
  </w:num>
  <w:num w:numId="5" w16cid:durableId="606156758">
    <w:abstractNumId w:val="3"/>
  </w:num>
  <w:num w:numId="6" w16cid:durableId="994842905">
    <w:abstractNumId w:val="2"/>
  </w:num>
  <w:num w:numId="7" w16cid:durableId="325062726">
    <w:abstractNumId w:val="1"/>
  </w:num>
  <w:num w:numId="8" w16cid:durableId="1824082021">
    <w:abstractNumId w:val="0"/>
  </w:num>
  <w:num w:numId="9" w16cid:durableId="2028748362">
    <w:abstractNumId w:val="9"/>
  </w:num>
  <w:num w:numId="10" w16cid:durableId="291132048">
    <w:abstractNumId w:val="7"/>
  </w:num>
  <w:num w:numId="11" w16cid:durableId="1157187980">
    <w:abstractNumId w:val="6"/>
  </w:num>
  <w:num w:numId="12" w16cid:durableId="2087409978">
    <w:abstractNumId w:val="5"/>
  </w:num>
  <w:num w:numId="13" w16cid:durableId="1465347602">
    <w:abstractNumId w:val="4"/>
  </w:num>
  <w:num w:numId="14" w16cid:durableId="1350837444">
    <w:abstractNumId w:val="12"/>
  </w:num>
  <w:num w:numId="15" w16cid:durableId="2127846895">
    <w:abstractNumId w:val="11"/>
  </w:num>
  <w:num w:numId="16" w16cid:durableId="1919944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revisionView w:inkAnnotation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3"/>
    <w:rsid w:val="00017F94"/>
    <w:rsid w:val="00023842"/>
    <w:rsid w:val="000305D3"/>
    <w:rsid w:val="000334F9"/>
    <w:rsid w:val="0007796D"/>
    <w:rsid w:val="000B7790"/>
    <w:rsid w:val="00111F2F"/>
    <w:rsid w:val="00132EA9"/>
    <w:rsid w:val="0014365E"/>
    <w:rsid w:val="00147E5E"/>
    <w:rsid w:val="00172E49"/>
    <w:rsid w:val="00176178"/>
    <w:rsid w:val="001F525A"/>
    <w:rsid w:val="00223272"/>
    <w:rsid w:val="0024779E"/>
    <w:rsid w:val="00283190"/>
    <w:rsid w:val="002832AC"/>
    <w:rsid w:val="002D7C93"/>
    <w:rsid w:val="003073F1"/>
    <w:rsid w:val="00376095"/>
    <w:rsid w:val="003E2C58"/>
    <w:rsid w:val="00441C3B"/>
    <w:rsid w:val="00446FE5"/>
    <w:rsid w:val="00452396"/>
    <w:rsid w:val="0045270A"/>
    <w:rsid w:val="0045684F"/>
    <w:rsid w:val="004E468C"/>
    <w:rsid w:val="00505262"/>
    <w:rsid w:val="005505B7"/>
    <w:rsid w:val="00573BE5"/>
    <w:rsid w:val="00584DC4"/>
    <w:rsid w:val="00586ED3"/>
    <w:rsid w:val="00596AA9"/>
    <w:rsid w:val="005C0418"/>
    <w:rsid w:val="0068456F"/>
    <w:rsid w:val="0071601D"/>
    <w:rsid w:val="007939C5"/>
    <w:rsid w:val="007A62E6"/>
    <w:rsid w:val="007B2B83"/>
    <w:rsid w:val="007E6B01"/>
    <w:rsid w:val="0080684C"/>
    <w:rsid w:val="008123E0"/>
    <w:rsid w:val="00827C1D"/>
    <w:rsid w:val="00871C75"/>
    <w:rsid w:val="008776DC"/>
    <w:rsid w:val="008B40CD"/>
    <w:rsid w:val="008E61CE"/>
    <w:rsid w:val="009705C8"/>
    <w:rsid w:val="009C1CF4"/>
    <w:rsid w:val="00A30353"/>
    <w:rsid w:val="00A81281"/>
    <w:rsid w:val="00AC3823"/>
    <w:rsid w:val="00AE323C"/>
    <w:rsid w:val="00B00181"/>
    <w:rsid w:val="00B00B0D"/>
    <w:rsid w:val="00B05628"/>
    <w:rsid w:val="00B765F7"/>
    <w:rsid w:val="00BA0CA9"/>
    <w:rsid w:val="00BF7945"/>
    <w:rsid w:val="00C02897"/>
    <w:rsid w:val="00C13DE0"/>
    <w:rsid w:val="00C52C93"/>
    <w:rsid w:val="00D22A1D"/>
    <w:rsid w:val="00D3439C"/>
    <w:rsid w:val="00DB1831"/>
    <w:rsid w:val="00DD3BFD"/>
    <w:rsid w:val="00DF6678"/>
    <w:rsid w:val="00E178ED"/>
    <w:rsid w:val="00EF2E22"/>
    <w:rsid w:val="00F01738"/>
    <w:rsid w:val="00F06648"/>
    <w:rsid w:val="00F660DF"/>
    <w:rsid w:val="00F730C8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EDE1D"/>
  <w15:docId w15:val="{143DEC07-EE40-4C3C-A2DC-9C003D31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584DC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584DC4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584DC4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584DC4"/>
  </w:style>
  <w:style w:type="character" w:customStyle="1" w:styleId="EndnoteTextChar">
    <w:name w:val="Endnote Text Char"/>
    <w:aliases w:val="2_G Char"/>
    <w:basedOn w:val="DefaultParagraphFont"/>
    <w:link w:val="EndnoteText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376095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F2D60-725C-4478-8855-D49ADEC6007E}"/>
</file>

<file path=customXml/itemProps2.xml><?xml version="1.0" encoding="utf-8"?>
<ds:datastoreItem xmlns:ds="http://schemas.openxmlformats.org/officeDocument/2006/customXml" ds:itemID="{2382536B-7488-458C-9212-FE97ED834659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1</TotalTime>
  <Pages>2</Pages>
  <Words>570</Words>
  <Characters>4374</Characters>
  <Application>Microsoft Office Word</Application>
  <DocSecurity>0</DocSecurity>
  <Lines>1458</Lines>
  <Paragraphs>411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ST/SG/AC.10/C.3/2024/67</vt:lpstr>
      <vt:lpstr/>
    </vt:vector>
  </TitlesOfParts>
  <Company>DCM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ST/SG/AC.10/C.3/2024/67</dc:title>
  <dc:subject/>
  <dc:creator>Luisa PENA-MONTERO</dc:creator>
  <cp:keywords/>
  <cp:lastModifiedBy>Luisa PENA-MONTERO</cp:lastModifiedBy>
  <cp:revision>3</cp:revision>
  <cp:lastPrinted>2024-10-03T14:00:00Z</cp:lastPrinted>
  <dcterms:created xsi:type="dcterms:W3CDTF">2024-10-03T14:00:00Z</dcterms:created>
  <dcterms:modified xsi:type="dcterms:W3CDTF">2024-10-03T14:01:00Z</dcterms:modified>
</cp:coreProperties>
</file>