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7AE31C7" w14:textId="77777777" w:rsidTr="006476E1">
        <w:trPr>
          <w:trHeight w:val="851"/>
        </w:trPr>
        <w:tc>
          <w:tcPr>
            <w:tcW w:w="1259" w:type="dxa"/>
            <w:tcBorders>
              <w:top w:val="nil"/>
              <w:left w:val="nil"/>
              <w:bottom w:val="single" w:sz="4" w:space="0" w:color="auto"/>
              <w:right w:val="nil"/>
            </w:tcBorders>
          </w:tcPr>
          <w:p w14:paraId="48C0E15E" w14:textId="77777777" w:rsidR="00E52109" w:rsidRPr="002A32CB" w:rsidRDefault="00E52109" w:rsidP="004858F5"/>
        </w:tc>
        <w:tc>
          <w:tcPr>
            <w:tcW w:w="2236" w:type="dxa"/>
            <w:tcBorders>
              <w:top w:val="nil"/>
              <w:left w:val="nil"/>
              <w:bottom w:val="single" w:sz="4" w:space="0" w:color="auto"/>
              <w:right w:val="nil"/>
            </w:tcBorders>
            <w:vAlign w:val="bottom"/>
          </w:tcPr>
          <w:p w14:paraId="2A92BC93"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A591CAE" w14:textId="78197F87" w:rsidR="00E52109" w:rsidRDefault="008D1560" w:rsidP="008D1560">
            <w:pPr>
              <w:jc w:val="right"/>
            </w:pPr>
            <w:r w:rsidRPr="008D1560">
              <w:rPr>
                <w:sz w:val="40"/>
              </w:rPr>
              <w:t>ST</w:t>
            </w:r>
            <w:r>
              <w:t>/SG/AC.10/C.3/2024/67</w:t>
            </w:r>
          </w:p>
        </w:tc>
      </w:tr>
      <w:tr w:rsidR="00E52109" w14:paraId="7D009D14" w14:textId="77777777" w:rsidTr="006476E1">
        <w:trPr>
          <w:trHeight w:val="2835"/>
        </w:trPr>
        <w:tc>
          <w:tcPr>
            <w:tcW w:w="1259" w:type="dxa"/>
            <w:tcBorders>
              <w:top w:val="single" w:sz="4" w:space="0" w:color="auto"/>
              <w:left w:val="nil"/>
              <w:bottom w:val="single" w:sz="12" w:space="0" w:color="auto"/>
              <w:right w:val="nil"/>
            </w:tcBorders>
          </w:tcPr>
          <w:p w14:paraId="60B86EB7" w14:textId="77777777" w:rsidR="00E52109" w:rsidRDefault="00E52109" w:rsidP="006476E1">
            <w:pPr>
              <w:spacing w:before="120"/>
              <w:jc w:val="center"/>
            </w:pPr>
            <w:r>
              <w:rPr>
                <w:noProof/>
                <w:lang w:val="fr-CH" w:eastAsia="fr-CH"/>
              </w:rPr>
              <w:drawing>
                <wp:inline distT="0" distB="0" distL="0" distR="0" wp14:anchorId="08AEBD7D" wp14:editId="32A8271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E7C5101"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7DC6D9EA" w14:textId="77777777" w:rsidR="00D94B05" w:rsidRDefault="008D1560" w:rsidP="008D1560">
            <w:pPr>
              <w:spacing w:before="240" w:line="240" w:lineRule="exact"/>
            </w:pPr>
            <w:r>
              <w:t>Distr.: General</w:t>
            </w:r>
          </w:p>
          <w:p w14:paraId="6122C240" w14:textId="3C515846" w:rsidR="008D1560" w:rsidRDefault="0046422D" w:rsidP="008D1560">
            <w:pPr>
              <w:spacing w:line="240" w:lineRule="exact"/>
            </w:pPr>
            <w:r>
              <w:t>4</w:t>
            </w:r>
            <w:r w:rsidR="008D1560">
              <w:t xml:space="preserve"> September 2024</w:t>
            </w:r>
          </w:p>
          <w:p w14:paraId="771C2E00" w14:textId="77777777" w:rsidR="008D1560" w:rsidRDefault="008D1560" w:rsidP="008D1560">
            <w:pPr>
              <w:spacing w:line="240" w:lineRule="exact"/>
            </w:pPr>
          </w:p>
          <w:p w14:paraId="223C43C5" w14:textId="0F1DB41C" w:rsidR="008D1560" w:rsidRDefault="008D1560" w:rsidP="008D1560">
            <w:pPr>
              <w:spacing w:line="240" w:lineRule="exact"/>
            </w:pPr>
            <w:r>
              <w:t>Original: English</w:t>
            </w:r>
          </w:p>
        </w:tc>
      </w:tr>
    </w:tbl>
    <w:p w14:paraId="5E26D25E" w14:textId="77777777" w:rsidR="008D1560" w:rsidRPr="006500BA" w:rsidRDefault="008D1560"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12613E09" w14:textId="77777777" w:rsidR="008D1560" w:rsidRPr="006500BA" w:rsidRDefault="008D1560" w:rsidP="004858F5">
      <w:pPr>
        <w:spacing w:before="120"/>
        <w:rPr>
          <w:rFonts w:ascii="Helv" w:hAnsi="Helv" w:cs="Helv"/>
          <w:b/>
          <w:color w:val="000000"/>
        </w:rPr>
      </w:pPr>
      <w:r w:rsidRPr="006500BA">
        <w:rPr>
          <w:b/>
        </w:rPr>
        <w:t xml:space="preserve">Sub-Committee of Experts on the </w:t>
      </w:r>
      <w:r>
        <w:rPr>
          <w:b/>
        </w:rPr>
        <w:t>Transport of Dangerous Goods</w:t>
      </w:r>
    </w:p>
    <w:p w14:paraId="3795A999" w14:textId="00F54E5C" w:rsidR="008D1560" w:rsidRPr="006500BA" w:rsidRDefault="008D1560" w:rsidP="004858F5">
      <w:pPr>
        <w:spacing w:before="120"/>
        <w:rPr>
          <w:b/>
        </w:rPr>
      </w:pPr>
      <w:r>
        <w:rPr>
          <w:b/>
        </w:rPr>
        <w:t xml:space="preserve">Sixty-fifth </w:t>
      </w:r>
      <w:r w:rsidRPr="006500BA">
        <w:rPr>
          <w:b/>
        </w:rPr>
        <w:t>session</w:t>
      </w:r>
    </w:p>
    <w:p w14:paraId="0398339E" w14:textId="40BEC3DA" w:rsidR="008D1560" w:rsidRPr="006500BA" w:rsidRDefault="008D1560" w:rsidP="004858F5">
      <w:r w:rsidRPr="006500BA">
        <w:t xml:space="preserve">Geneva, </w:t>
      </w:r>
      <w:r>
        <w:t xml:space="preserve">25 November-3 December 2024 </w:t>
      </w:r>
    </w:p>
    <w:p w14:paraId="0100F07F" w14:textId="0213EF0A" w:rsidR="008D1560" w:rsidRPr="006500BA" w:rsidRDefault="008D1560" w:rsidP="004858F5">
      <w:r w:rsidRPr="006500BA">
        <w:t xml:space="preserve">Item </w:t>
      </w:r>
      <w:r>
        <w:t>6 (d</w:t>
      </w:r>
      <w:proofErr w:type="gramStart"/>
      <w:r>
        <w:t>)</w:t>
      </w:r>
      <w:r w:rsidRPr="006500BA">
        <w:t>.of</w:t>
      </w:r>
      <w:proofErr w:type="gramEnd"/>
      <w:r w:rsidRPr="006500BA">
        <w:t xml:space="preserve"> the provisional agenda</w:t>
      </w:r>
    </w:p>
    <w:p w14:paraId="5F7B5D4F" w14:textId="0F81697C" w:rsidR="008D1560" w:rsidRDefault="008D1560" w:rsidP="004858F5">
      <w:pPr>
        <w:rPr>
          <w:b/>
          <w:bCs/>
        </w:rPr>
      </w:pPr>
      <w:r>
        <w:rPr>
          <w:b/>
          <w:bCs/>
        </w:rPr>
        <w:t>Miscellaneous proposals for amendments to the Model Regulations</w:t>
      </w:r>
      <w:r>
        <w:rPr>
          <w:b/>
          <w:bCs/>
        </w:rPr>
        <w:br/>
        <w:t xml:space="preserve">on the Transport of Dangerous Goods: </w:t>
      </w:r>
    </w:p>
    <w:p w14:paraId="1DC64936" w14:textId="56784852" w:rsidR="00AF5DE1" w:rsidRDefault="008D1560" w:rsidP="004858F5">
      <w:pPr>
        <w:rPr>
          <w:b/>
          <w:bCs/>
        </w:rPr>
      </w:pPr>
      <w:r>
        <w:rPr>
          <w:b/>
          <w:bCs/>
        </w:rPr>
        <w:t>Other miscellaneous proposals</w:t>
      </w:r>
    </w:p>
    <w:p w14:paraId="5C232651" w14:textId="1941F0BC" w:rsidR="008D1560" w:rsidRPr="00FD3F76" w:rsidRDefault="008D1560" w:rsidP="008D1560">
      <w:pPr>
        <w:pStyle w:val="HChG"/>
        <w:rPr>
          <w:lang w:val="en-US"/>
        </w:rPr>
      </w:pPr>
      <w:r>
        <w:tab/>
      </w:r>
      <w:r>
        <w:tab/>
      </w:r>
      <w:r w:rsidRPr="00255C2C">
        <w:t xml:space="preserve">Amendment of </w:t>
      </w:r>
      <w:r w:rsidRPr="008D1560">
        <w:t>special</w:t>
      </w:r>
      <w:r w:rsidRPr="00255C2C">
        <w:t xml:space="preserve"> provision 172</w:t>
      </w:r>
      <w:r w:rsidR="00A50DF1">
        <w:t> </w:t>
      </w:r>
      <w:r w:rsidRPr="00255C2C">
        <w:t>(d) for the transport of dangerous goods of class 7</w:t>
      </w:r>
    </w:p>
    <w:p w14:paraId="4B81D6BA" w14:textId="32E7DC49" w:rsidR="008D1560" w:rsidRDefault="008D1560" w:rsidP="008D1560">
      <w:pPr>
        <w:pStyle w:val="H1G"/>
        <w:rPr>
          <w:sz w:val="20"/>
        </w:rPr>
      </w:pPr>
      <w:r w:rsidRPr="00FD3F76">
        <w:rPr>
          <w:lang w:val="en-US"/>
        </w:rPr>
        <w:tab/>
      </w:r>
      <w:r w:rsidRPr="00FD3F76">
        <w:rPr>
          <w:lang w:val="en-US"/>
        </w:rPr>
        <w:tab/>
      </w:r>
      <w:r>
        <w:t xml:space="preserve">Transmitted by the expert </w:t>
      </w:r>
      <w:r w:rsidRPr="008D1560">
        <w:t>from</w:t>
      </w:r>
      <w:r>
        <w:t xml:space="preserve"> Germany</w:t>
      </w:r>
      <w:r w:rsidRPr="008D1560">
        <w:rPr>
          <w:rStyle w:val="FootnoteReference"/>
          <w:sz w:val="20"/>
        </w:rPr>
        <w:footnoteReference w:customMarkFollows="1" w:id="2"/>
        <w:t>*</w:t>
      </w:r>
    </w:p>
    <w:p w14:paraId="4F178D96" w14:textId="2107439C" w:rsidR="008D1560" w:rsidRPr="00362341" w:rsidRDefault="008D1560" w:rsidP="008D1560">
      <w:pPr>
        <w:pStyle w:val="HChG"/>
        <w:rPr>
          <w:lang w:val="en-US"/>
        </w:rPr>
      </w:pPr>
      <w:r>
        <w:tab/>
      </w:r>
      <w:r w:rsidRPr="00362341">
        <w:rPr>
          <w:lang w:val="en-US"/>
        </w:rPr>
        <w:t>I.</w:t>
      </w:r>
      <w:r w:rsidRPr="00362341">
        <w:rPr>
          <w:lang w:val="en-US"/>
        </w:rPr>
        <w:tab/>
      </w:r>
      <w:r w:rsidRPr="008D1560">
        <w:t>Introduction</w:t>
      </w:r>
    </w:p>
    <w:p w14:paraId="559FA289" w14:textId="77777777" w:rsidR="008D1560" w:rsidRPr="00FD3F76" w:rsidRDefault="008D1560" w:rsidP="008D1560">
      <w:pPr>
        <w:pStyle w:val="SingleTxtG"/>
        <w:rPr>
          <w:lang w:val="en-US"/>
        </w:rPr>
      </w:pPr>
      <w:r w:rsidRPr="00FD3F76">
        <w:rPr>
          <w:lang w:val="en-US"/>
        </w:rPr>
        <w:t>1.</w:t>
      </w:r>
      <w:r w:rsidRPr="00FD3F76">
        <w:rPr>
          <w:lang w:val="en-US"/>
        </w:rPr>
        <w:tab/>
      </w:r>
      <w:r w:rsidRPr="00255C2C">
        <w:t xml:space="preserve">When </w:t>
      </w:r>
      <w:r w:rsidRPr="008D1560">
        <w:t>transporting</w:t>
      </w:r>
      <w:r w:rsidRPr="00255C2C">
        <w:t xml:space="preserve"> dangerous goods, subsidiary hazards must be indicated in the dangerous goods transport document in accordance with 5.4.1.4.1 of the</w:t>
      </w:r>
      <w:r>
        <w:t xml:space="preserve"> </w:t>
      </w:r>
      <w:r w:rsidRPr="00A50DF1">
        <w:rPr>
          <w:i/>
          <w:iCs/>
        </w:rPr>
        <w:t>Model Regulations</w:t>
      </w:r>
      <w:r w:rsidRPr="00255C2C">
        <w:t>. Where dangerous goods of class 7 are transported, special provision 172 must be applied. Within the framework of the application of special provision 172, it has been found that the wording in (d) of the special provision deviates from the wording in 5.4.1.4.1 (d). This leads to different interpretations when applying the provisions. In the interest of uniform application of special provision 172, Germany proposes that the wording of the special provision be amended.</w:t>
      </w:r>
    </w:p>
    <w:p w14:paraId="682B42F3" w14:textId="117C8657" w:rsidR="008D1560" w:rsidRPr="00362341" w:rsidRDefault="008D1560" w:rsidP="008D1560">
      <w:pPr>
        <w:pStyle w:val="HChG"/>
        <w:rPr>
          <w:highlight w:val="yellow"/>
          <w:lang w:val="en-US"/>
        </w:rPr>
      </w:pPr>
      <w:r>
        <w:rPr>
          <w:lang w:val="en-US"/>
        </w:rPr>
        <w:tab/>
      </w:r>
      <w:r w:rsidRPr="00362341">
        <w:rPr>
          <w:lang w:val="en-US"/>
        </w:rPr>
        <w:t>II.</w:t>
      </w:r>
      <w:r w:rsidRPr="00362341">
        <w:rPr>
          <w:lang w:val="en-US"/>
        </w:rPr>
        <w:tab/>
        <w:t>Discussion</w:t>
      </w:r>
    </w:p>
    <w:p w14:paraId="5EB454AB" w14:textId="5DB281AC" w:rsidR="008D1560" w:rsidRPr="00255C2C" w:rsidRDefault="008D1560" w:rsidP="008D1560">
      <w:pPr>
        <w:pStyle w:val="SingleTxtG"/>
        <w:ind w:left="1689" w:hanging="555"/>
      </w:pPr>
      <w:r w:rsidRPr="00FD3F76">
        <w:rPr>
          <w:lang w:val="en-US"/>
        </w:rPr>
        <w:t>2.</w:t>
      </w:r>
      <w:r w:rsidRPr="00FD3F76">
        <w:rPr>
          <w:lang w:val="en-US"/>
        </w:rPr>
        <w:tab/>
      </w:r>
      <w:r w:rsidRPr="00255C2C">
        <w:t>5.4.1.4.1 reads as follows (highlight</w:t>
      </w:r>
      <w:r w:rsidR="00D55BE8">
        <w:t>ed</w:t>
      </w:r>
      <w:r w:rsidRPr="00255C2C">
        <w:t xml:space="preserve"> by the author):</w:t>
      </w:r>
    </w:p>
    <w:p w14:paraId="47210FA5" w14:textId="17F1A8D2" w:rsidR="008D1560" w:rsidRPr="00255C2C" w:rsidRDefault="008D1560" w:rsidP="008D1560">
      <w:pPr>
        <w:pStyle w:val="SingleTxtG"/>
        <w:ind w:left="1689" w:hanging="555"/>
        <w:rPr>
          <w:lang w:val="en-US"/>
        </w:rPr>
      </w:pPr>
      <w:r w:rsidRPr="00255C2C">
        <w:rPr>
          <w:lang w:val="en-US"/>
        </w:rPr>
        <w:tab/>
      </w:r>
      <w:r w:rsidR="005B4545">
        <w:rPr>
          <w:lang w:val="en-US"/>
        </w:rPr>
        <w:t>“</w:t>
      </w:r>
      <w:r w:rsidRPr="00255C2C">
        <w:rPr>
          <w:lang w:val="en-US"/>
        </w:rPr>
        <w:t>5.4.1.4.1</w:t>
      </w:r>
      <w:r w:rsidRPr="00255C2C">
        <w:rPr>
          <w:lang w:val="en-US"/>
        </w:rPr>
        <w:tab/>
      </w:r>
      <w:r w:rsidRPr="00255C2C">
        <w:rPr>
          <w:i/>
          <w:lang w:val="en-US"/>
        </w:rPr>
        <w:t>Dangerous goods description</w:t>
      </w:r>
    </w:p>
    <w:p w14:paraId="5A61F984" w14:textId="25DFA403" w:rsidR="008D1560" w:rsidRPr="00255C2C" w:rsidRDefault="008D1560" w:rsidP="008D1560">
      <w:pPr>
        <w:pStyle w:val="SingleTxtG"/>
        <w:ind w:left="1701"/>
        <w:rPr>
          <w:lang w:val="en-US"/>
        </w:rPr>
      </w:pPr>
      <w:r w:rsidRPr="00255C2C">
        <w:rPr>
          <w:lang w:val="en-US"/>
        </w:rPr>
        <w:tab/>
        <w:t>The dangerous goods transport document shall contain the following information for each dangerous substance, material or article offered for transport:</w:t>
      </w:r>
    </w:p>
    <w:p w14:paraId="7BAE2F37" w14:textId="53D4E8CE" w:rsidR="008D1560" w:rsidRPr="00255C2C" w:rsidRDefault="008D1560" w:rsidP="00545D0C">
      <w:pPr>
        <w:pStyle w:val="SingleTxtG"/>
        <w:ind w:left="1701" w:hanging="1695"/>
        <w:rPr>
          <w:lang w:val="en-US"/>
        </w:rPr>
      </w:pPr>
      <w:r w:rsidRPr="00255C2C">
        <w:rPr>
          <w:lang w:val="en-US"/>
        </w:rPr>
        <w:tab/>
      </w:r>
      <w:r w:rsidRPr="00255C2C">
        <w:rPr>
          <w:lang w:val="en-US"/>
        </w:rPr>
        <w:tab/>
        <w:t>[…]</w:t>
      </w:r>
    </w:p>
    <w:p w14:paraId="64565141" w14:textId="29F4186E" w:rsidR="008D1560" w:rsidRPr="00255C2C" w:rsidRDefault="008D1560" w:rsidP="00545D0C">
      <w:pPr>
        <w:pStyle w:val="SingleTxtG"/>
        <w:ind w:left="1701" w:hanging="1695"/>
        <w:rPr>
          <w:lang w:val="en-US"/>
        </w:rPr>
      </w:pPr>
      <w:r w:rsidRPr="00255C2C">
        <w:rPr>
          <w:lang w:val="en-US"/>
        </w:rPr>
        <w:tab/>
      </w:r>
      <w:r w:rsidRPr="00255C2C">
        <w:rPr>
          <w:lang w:val="en-US"/>
        </w:rPr>
        <w:tab/>
        <w:t>(d)</w:t>
      </w:r>
      <w:r w:rsidRPr="00255C2C">
        <w:rPr>
          <w:lang w:val="en-US"/>
        </w:rPr>
        <w:tab/>
      </w:r>
      <w:r w:rsidRPr="004877F7">
        <w:rPr>
          <w:b/>
          <w:bCs/>
          <w:lang w:val="en-US"/>
        </w:rPr>
        <w:t>Subsidiary hazard class or division number(s) corresponding to the subsidiary hazard label(s)</w:t>
      </w:r>
      <w:r w:rsidRPr="00255C2C">
        <w:rPr>
          <w:lang w:val="en-US"/>
        </w:rPr>
        <w:t xml:space="preserve"> required to be applied, when assigned, shall be entered </w:t>
      </w:r>
      <w:r w:rsidRPr="00255C2C">
        <w:rPr>
          <w:lang w:val="en-US"/>
        </w:rPr>
        <w:lastRenderedPageBreak/>
        <w:t xml:space="preserve">following the primary hazard class or </w:t>
      </w:r>
      <w:proofErr w:type="gramStart"/>
      <w:r w:rsidRPr="00255C2C">
        <w:rPr>
          <w:lang w:val="en-US"/>
        </w:rPr>
        <w:t>division</w:t>
      </w:r>
      <w:proofErr w:type="gramEnd"/>
      <w:r w:rsidRPr="00255C2C">
        <w:rPr>
          <w:lang w:val="en-US"/>
        </w:rPr>
        <w:t xml:space="preserve"> and shall be enclosed in parenthesis. […]</w:t>
      </w:r>
      <w:r w:rsidR="00D55BE8">
        <w:rPr>
          <w:lang w:val="en-US"/>
        </w:rPr>
        <w:t>.</w:t>
      </w:r>
      <w:r w:rsidR="005B4545">
        <w:rPr>
          <w:lang w:val="en-US"/>
        </w:rPr>
        <w:t>”</w:t>
      </w:r>
    </w:p>
    <w:p w14:paraId="5E78299D" w14:textId="3A2F5C86" w:rsidR="008D1560" w:rsidRPr="00255C2C" w:rsidRDefault="008D1560" w:rsidP="008D1560">
      <w:pPr>
        <w:pStyle w:val="SingleTxtG"/>
        <w:ind w:left="3399" w:hanging="2265"/>
      </w:pPr>
      <w:r w:rsidRPr="00255C2C">
        <w:rPr>
          <w:lang w:val="en-US"/>
        </w:rPr>
        <w:t>3.</w:t>
      </w:r>
      <w:r w:rsidRPr="00255C2C">
        <w:rPr>
          <w:lang w:val="en-US"/>
        </w:rPr>
        <w:tab/>
      </w:r>
      <w:r w:rsidRPr="00255C2C">
        <w:t>Special provision 172 reads as follows (highlight</w:t>
      </w:r>
      <w:r w:rsidR="005B4545">
        <w:t>ed</w:t>
      </w:r>
      <w:r w:rsidRPr="00255C2C">
        <w:t xml:space="preserve"> by the author):</w:t>
      </w:r>
    </w:p>
    <w:p w14:paraId="42E167AB" w14:textId="00CA1999" w:rsidR="008D1560" w:rsidRPr="00FD3F76" w:rsidRDefault="008D1560" w:rsidP="008D1560">
      <w:pPr>
        <w:pStyle w:val="SingleTxtG"/>
        <w:ind w:left="3399" w:hanging="2265"/>
        <w:rPr>
          <w:lang w:val="en-US"/>
        </w:rPr>
      </w:pPr>
      <w:r w:rsidRPr="00FD3F76">
        <w:rPr>
          <w:lang w:val="en-US"/>
        </w:rPr>
        <w:tab/>
      </w:r>
      <w:r w:rsidR="005B4545">
        <w:rPr>
          <w:lang w:val="en-US"/>
        </w:rPr>
        <w:t>“</w:t>
      </w:r>
      <w:r w:rsidRPr="00FD3F76">
        <w:rPr>
          <w:lang w:val="en-US"/>
        </w:rPr>
        <w:t>172</w:t>
      </w:r>
      <w:r w:rsidRPr="00FD3F76">
        <w:rPr>
          <w:lang w:val="en-US"/>
        </w:rPr>
        <w:tab/>
        <w:t xml:space="preserve">Where a radioactive material has (a) subsidiary </w:t>
      </w:r>
      <w:r w:rsidRPr="00FD3F76">
        <w:rPr>
          <w:b/>
          <w:lang w:val="en-US"/>
        </w:rPr>
        <w:t>hazard(s):</w:t>
      </w:r>
    </w:p>
    <w:p w14:paraId="5C52D9B8" w14:textId="39D8BE46" w:rsidR="008D1560" w:rsidRDefault="008D1560" w:rsidP="003600F1">
      <w:pPr>
        <w:pStyle w:val="SingleTxtG"/>
        <w:tabs>
          <w:tab w:val="clear" w:pos="1701"/>
        </w:tabs>
        <w:ind w:left="2268" w:hanging="567"/>
      </w:pPr>
      <w:r w:rsidRPr="00FD3F76">
        <w:rPr>
          <w:lang w:val="en-US"/>
        </w:rPr>
        <w:tab/>
      </w:r>
      <w:r>
        <w:rPr>
          <w:lang w:val="en-US"/>
        </w:rPr>
        <w:t>(a)</w:t>
      </w:r>
      <w:r>
        <w:rPr>
          <w:lang w:val="en-US"/>
        </w:rPr>
        <w:tab/>
        <w:t>The substance shall be allocated to Packing Group I, II or III, if appropriate, by application of the packing group criteria</w:t>
      </w:r>
      <w:r w:rsidR="00405442">
        <w:rPr>
          <w:lang w:val="en-US"/>
        </w:rPr>
        <w:t xml:space="preserve"> </w:t>
      </w:r>
      <w:r>
        <w:rPr>
          <w:lang w:val="en-US"/>
        </w:rPr>
        <w:t xml:space="preserve">provided in part 2 corresponding to the nature of the </w:t>
      </w:r>
      <w:r>
        <w:rPr>
          <w:b/>
          <w:lang w:val="en-US"/>
        </w:rPr>
        <w:t xml:space="preserve">predominant subsidiary </w:t>
      </w:r>
      <w:proofErr w:type="gramStart"/>
      <w:r>
        <w:rPr>
          <w:b/>
          <w:lang w:val="en-US"/>
        </w:rPr>
        <w:t>hazard</w:t>
      </w:r>
      <w:r>
        <w:rPr>
          <w:lang w:val="en-US"/>
        </w:rPr>
        <w:t>;</w:t>
      </w:r>
      <w:proofErr w:type="gramEnd"/>
    </w:p>
    <w:p w14:paraId="7177566F" w14:textId="1459F587" w:rsidR="008D1560" w:rsidRDefault="008D1560" w:rsidP="003600F1">
      <w:pPr>
        <w:pStyle w:val="SingleTxtG"/>
        <w:tabs>
          <w:tab w:val="clear" w:pos="1701"/>
        </w:tabs>
        <w:ind w:left="2268" w:hanging="567"/>
      </w:pPr>
      <w:r>
        <w:rPr>
          <w:lang w:val="en-US"/>
        </w:rPr>
        <w:tab/>
        <w:t>(b)</w:t>
      </w:r>
      <w:r>
        <w:rPr>
          <w:lang w:val="en-US"/>
        </w:rPr>
        <w:tab/>
        <w:t>Packages shall be labelled with subsidiary hazard labels</w:t>
      </w:r>
      <w:r w:rsidR="00405442">
        <w:rPr>
          <w:lang w:val="en-US"/>
        </w:rPr>
        <w:t xml:space="preserve"> </w:t>
      </w:r>
      <w:r>
        <w:rPr>
          <w:lang w:val="en-US"/>
        </w:rPr>
        <w:t xml:space="preserve">corresponding </w:t>
      </w:r>
      <w:r>
        <w:rPr>
          <w:b/>
          <w:lang w:val="en-US"/>
        </w:rPr>
        <w:t xml:space="preserve">to each subsidiary hazard </w:t>
      </w:r>
      <w:r>
        <w:rPr>
          <w:lang w:val="en-US"/>
        </w:rPr>
        <w:t xml:space="preserve">exhibited by the material; corresponding placards shall be affixed to cargo transport units in accordance with the relevant provisions of </w:t>
      </w:r>
      <w:proofErr w:type="gramStart"/>
      <w:r>
        <w:rPr>
          <w:lang w:val="en-US"/>
        </w:rPr>
        <w:t>5.3.1;</w:t>
      </w:r>
      <w:proofErr w:type="gramEnd"/>
    </w:p>
    <w:p w14:paraId="0A3BE46D" w14:textId="5A2CED0B" w:rsidR="008D1560" w:rsidRDefault="008D1560" w:rsidP="003600F1">
      <w:pPr>
        <w:pStyle w:val="SingleTxtG"/>
        <w:tabs>
          <w:tab w:val="clear" w:pos="1701"/>
        </w:tabs>
        <w:ind w:left="2268" w:hanging="567"/>
      </w:pPr>
      <w:r>
        <w:rPr>
          <w:lang w:val="en-US"/>
        </w:rPr>
        <w:tab/>
        <w:t>(c)</w:t>
      </w:r>
      <w:r>
        <w:rPr>
          <w:lang w:val="en-US"/>
        </w:rPr>
        <w:tab/>
        <w:t xml:space="preserve">For the purposes of documentation and package marking, the proper shipping name shall be supplemented with the name of the constituents which most predominantly contribute to this (these) subsidiary </w:t>
      </w:r>
      <w:r>
        <w:rPr>
          <w:b/>
          <w:lang w:val="en-US"/>
        </w:rPr>
        <w:t>hazard(s</w:t>
      </w:r>
      <w:proofErr w:type="gramStart"/>
      <w:r>
        <w:rPr>
          <w:b/>
          <w:lang w:val="en-US"/>
        </w:rPr>
        <w:t>)</w:t>
      </w:r>
      <w:proofErr w:type="gramEnd"/>
      <w:r>
        <w:rPr>
          <w:lang w:val="en-US"/>
        </w:rPr>
        <w:t xml:space="preserve"> and which shall be enclosed in parenthesis;</w:t>
      </w:r>
    </w:p>
    <w:p w14:paraId="36B6E611" w14:textId="088EB742" w:rsidR="008D1560" w:rsidRDefault="008D1560" w:rsidP="003600F1">
      <w:pPr>
        <w:pStyle w:val="SingleTxtG"/>
        <w:tabs>
          <w:tab w:val="clear" w:pos="1701"/>
        </w:tabs>
        <w:ind w:left="2268" w:hanging="567"/>
        <w:rPr>
          <w:lang w:val="en-US"/>
        </w:rPr>
      </w:pPr>
      <w:r>
        <w:rPr>
          <w:lang w:val="en-US"/>
        </w:rPr>
        <w:tab/>
        <w:t>(d)</w:t>
      </w:r>
      <w:r>
        <w:rPr>
          <w:lang w:val="en-US"/>
        </w:rPr>
        <w:tab/>
        <w:t xml:space="preserve">The dangerous goods transport document shall indicate the </w:t>
      </w:r>
      <w:r>
        <w:rPr>
          <w:b/>
          <w:lang w:val="en-US"/>
        </w:rPr>
        <w:t>class or division of the subsidiary hazard</w:t>
      </w:r>
      <w:r>
        <w:rPr>
          <w:lang w:val="en-US"/>
        </w:rPr>
        <w:t xml:space="preserve"> and, where assigned the packing group as required by 5.4.1.4.1(d) and (e).</w:t>
      </w:r>
      <w:r w:rsidR="005B4545">
        <w:rPr>
          <w:lang w:val="en-US"/>
        </w:rPr>
        <w:t>”</w:t>
      </w:r>
    </w:p>
    <w:p w14:paraId="21A4E40F" w14:textId="0A9B92F3" w:rsidR="008D1560" w:rsidRPr="00255C2C" w:rsidRDefault="008D1560" w:rsidP="008D1560">
      <w:pPr>
        <w:pStyle w:val="SingleTxtG"/>
      </w:pPr>
      <w:r w:rsidRPr="00FD3F76">
        <w:rPr>
          <w:lang w:val="en-US"/>
        </w:rPr>
        <w:t>4.</w:t>
      </w:r>
      <w:r w:rsidRPr="00FD3F76">
        <w:rPr>
          <w:lang w:val="en-US"/>
        </w:rPr>
        <w:tab/>
      </w:r>
      <w:r w:rsidRPr="00255C2C">
        <w:t xml:space="preserve">When looking at special provision 172, one notices that “hazard” is in the singular in the provision in (d). With a view to the provisions in (a) to (c) of special provision 172 </w:t>
      </w:r>
      <w:proofErr w:type="gramStart"/>
      <w:r w:rsidRPr="00255C2C">
        <w:t>and also</w:t>
      </w:r>
      <w:proofErr w:type="gramEnd"/>
      <w:r w:rsidRPr="00255C2C">
        <w:t xml:space="preserve"> in connection with 5.4.1.4.1 (d), the provision in (d) of special provision 172 should also cover the case that there are several subsidiary hazards. Therefore, “hazard(s)” should be used in (d). As an alternative, the </w:t>
      </w:r>
      <w:r w:rsidR="00176639">
        <w:t xml:space="preserve">word </w:t>
      </w:r>
      <w:r w:rsidRPr="00255C2C">
        <w:t>“the” before “subsidiary hazard” could be replaced by “each”.</w:t>
      </w:r>
    </w:p>
    <w:p w14:paraId="4DCDCAAC" w14:textId="77777777" w:rsidR="008D1560" w:rsidRPr="00E04224" w:rsidRDefault="008D1560" w:rsidP="008D1560">
      <w:pPr>
        <w:pStyle w:val="SingleTxtG"/>
        <w:rPr>
          <w:lang w:val="en-US"/>
        </w:rPr>
      </w:pPr>
      <w:r w:rsidRPr="00255C2C">
        <w:rPr>
          <w:lang w:val="en-US"/>
        </w:rPr>
        <w:t>5.</w:t>
      </w:r>
      <w:r w:rsidRPr="00255C2C">
        <w:rPr>
          <w:lang w:val="en-US"/>
        </w:rPr>
        <w:tab/>
      </w:r>
      <w:r w:rsidRPr="00255C2C">
        <w:t>Against this background, Germany proposes that (d) in special provision 172 be amended. The amendment does not negatively affect safety in the transport of dangerous goods. It serves the uniform application of the provisions.</w:t>
      </w:r>
    </w:p>
    <w:p w14:paraId="6AE4FD4D" w14:textId="69161BB0" w:rsidR="008D1560" w:rsidRDefault="008D1560" w:rsidP="008D1560">
      <w:pPr>
        <w:pStyle w:val="SingleTxtG"/>
        <w:rPr>
          <w:lang w:val="en-US"/>
        </w:rPr>
      </w:pPr>
      <w:r>
        <w:rPr>
          <w:lang w:val="en-US"/>
        </w:rPr>
        <w:t>6.</w:t>
      </w:r>
      <w:r>
        <w:rPr>
          <w:lang w:val="en-US"/>
        </w:rPr>
        <w:tab/>
        <w:t>The following proposal supports Sustainable Development Goal 16</w:t>
      </w:r>
      <w:r w:rsidR="00A50DF1">
        <w:rPr>
          <w:lang w:val="en-US"/>
        </w:rPr>
        <w:t>,</w:t>
      </w:r>
      <w:r>
        <w:rPr>
          <w:lang w:val="en-US"/>
        </w:rPr>
        <w:t xml:space="preserve"> </w:t>
      </w:r>
      <w:r w:rsidRPr="00A50DF1">
        <w:rPr>
          <w:i/>
          <w:iCs/>
          <w:lang w:val="en-US"/>
        </w:rPr>
        <w:t>Peace,</w:t>
      </w:r>
      <w:r>
        <w:rPr>
          <w:lang w:val="en-US"/>
        </w:rPr>
        <w:t xml:space="preserve"> </w:t>
      </w:r>
      <w:proofErr w:type="gramStart"/>
      <w:r w:rsidR="00A50DF1">
        <w:rPr>
          <w:i/>
          <w:iCs/>
          <w:lang w:val="en-US"/>
        </w:rPr>
        <w:t>j</w:t>
      </w:r>
      <w:r w:rsidRPr="00A50DF1">
        <w:rPr>
          <w:i/>
          <w:iCs/>
          <w:lang w:val="en-US"/>
        </w:rPr>
        <w:t>ustice</w:t>
      </w:r>
      <w:proofErr w:type="gramEnd"/>
      <w:r w:rsidRPr="00A50DF1">
        <w:rPr>
          <w:i/>
          <w:iCs/>
          <w:lang w:val="en-US"/>
        </w:rPr>
        <w:t xml:space="preserve"> and strong institutions</w:t>
      </w:r>
      <w:r w:rsidR="00A50DF1">
        <w:rPr>
          <w:i/>
          <w:iCs/>
          <w:lang w:val="en-US"/>
        </w:rPr>
        <w:t>,</w:t>
      </w:r>
      <w:r>
        <w:rPr>
          <w:lang w:val="en-US"/>
        </w:rPr>
        <w:t xml:space="preserve"> by promoting consistent regulations for the safe transport of dangerous goods.</w:t>
      </w:r>
    </w:p>
    <w:p w14:paraId="6DD6647D" w14:textId="77777777" w:rsidR="008D1560" w:rsidRDefault="008D1560" w:rsidP="008D1560">
      <w:pPr>
        <w:pStyle w:val="HChG"/>
        <w:rPr>
          <w:lang w:val="en-US"/>
        </w:rPr>
      </w:pPr>
      <w:r>
        <w:rPr>
          <w:lang w:val="en-US"/>
        </w:rPr>
        <w:tab/>
        <w:t>III.</w:t>
      </w:r>
      <w:r>
        <w:rPr>
          <w:lang w:val="en-US"/>
        </w:rPr>
        <w:tab/>
        <w:t>Proposal</w:t>
      </w:r>
    </w:p>
    <w:p w14:paraId="54D9F071" w14:textId="77777777" w:rsidR="008D1560" w:rsidRDefault="008D1560" w:rsidP="008D1560">
      <w:pPr>
        <w:pStyle w:val="SingleTxtG"/>
        <w:rPr>
          <w:lang w:val="en-US"/>
        </w:rPr>
      </w:pPr>
      <w:r>
        <w:rPr>
          <w:lang w:val="en-US"/>
        </w:rPr>
        <w:t>7.</w:t>
      </w:r>
      <w:r>
        <w:rPr>
          <w:lang w:val="en-US"/>
        </w:rPr>
        <w:tab/>
        <w:t xml:space="preserve">Amend special provision 172 to read as follows (new text is </w:t>
      </w:r>
      <w:r w:rsidRPr="005656A2">
        <w:rPr>
          <w:u w:val="single"/>
          <w:lang w:val="en-US"/>
        </w:rPr>
        <w:t>underlined</w:t>
      </w:r>
      <w:r>
        <w:rPr>
          <w:lang w:val="en-US"/>
        </w:rPr>
        <w:t xml:space="preserve">, deleted text is </w:t>
      </w:r>
      <w:r w:rsidRPr="005656A2">
        <w:rPr>
          <w:strike/>
          <w:lang w:val="en-US"/>
        </w:rPr>
        <w:t>strikethrough</w:t>
      </w:r>
      <w:r>
        <w:rPr>
          <w:lang w:val="en-US"/>
        </w:rPr>
        <w:t xml:space="preserve">): </w:t>
      </w:r>
    </w:p>
    <w:p w14:paraId="774B857F" w14:textId="6DF67A81" w:rsidR="008D1560" w:rsidRDefault="00A50DF1" w:rsidP="003600F1">
      <w:pPr>
        <w:pStyle w:val="H1G"/>
        <w:rPr>
          <w:lang w:val="en-US"/>
        </w:rPr>
      </w:pPr>
      <w:r>
        <w:rPr>
          <w:lang w:val="en-US"/>
        </w:rPr>
        <w:tab/>
      </w:r>
      <w:r>
        <w:rPr>
          <w:lang w:val="en-US"/>
        </w:rPr>
        <w:tab/>
      </w:r>
      <w:r w:rsidR="008D1560">
        <w:rPr>
          <w:lang w:val="en-US"/>
        </w:rPr>
        <w:t>Option 1</w:t>
      </w:r>
    </w:p>
    <w:p w14:paraId="274D4735" w14:textId="321FC30B" w:rsidR="008D1560" w:rsidRDefault="008D1560" w:rsidP="008D1560">
      <w:pPr>
        <w:pStyle w:val="SingleTxtG"/>
        <w:ind w:right="567"/>
        <w:jc w:val="left"/>
      </w:pPr>
      <w:r>
        <w:tab/>
      </w:r>
      <w:r w:rsidR="003E381D">
        <w:t>“</w:t>
      </w:r>
      <w:r>
        <w:t>172</w:t>
      </w:r>
      <w:r>
        <w:tab/>
      </w:r>
      <w:r>
        <w:rPr>
          <w:lang w:val="en-US"/>
        </w:rPr>
        <w:t>[…]</w:t>
      </w:r>
    </w:p>
    <w:p w14:paraId="5AB18FA6" w14:textId="763D8B8E" w:rsidR="008D1560" w:rsidRDefault="008D1560" w:rsidP="003600F1">
      <w:pPr>
        <w:pStyle w:val="SingleTxtG"/>
        <w:tabs>
          <w:tab w:val="clear" w:pos="1701"/>
        </w:tabs>
        <w:ind w:left="2268" w:hanging="555"/>
        <w:rPr>
          <w:lang w:val="en-US"/>
        </w:rPr>
      </w:pPr>
      <w:r>
        <w:rPr>
          <w:lang w:val="en-US"/>
        </w:rPr>
        <w:tab/>
        <w:t>(d)</w:t>
      </w:r>
      <w:r>
        <w:rPr>
          <w:lang w:val="en-US"/>
        </w:rPr>
        <w:tab/>
        <w:t xml:space="preserve">The dangerous goods transport document shall indicate the </w:t>
      </w:r>
      <w:r w:rsidRPr="00E8458A">
        <w:rPr>
          <w:lang w:val="en-US"/>
        </w:rPr>
        <w:t xml:space="preserve">class or division of </w:t>
      </w:r>
      <w:proofErr w:type="gramStart"/>
      <w:r w:rsidRPr="00CA6F1F">
        <w:rPr>
          <w:strike/>
          <w:lang w:val="en-US"/>
        </w:rPr>
        <w:t>the</w:t>
      </w:r>
      <w:r w:rsidRPr="00E8458A">
        <w:rPr>
          <w:lang w:val="en-US"/>
        </w:rPr>
        <w:t xml:space="preserve"> </w:t>
      </w:r>
      <w:r w:rsidRPr="00CA6F1F">
        <w:rPr>
          <w:u w:val="single"/>
          <w:lang w:val="en-US"/>
        </w:rPr>
        <w:t>each</w:t>
      </w:r>
      <w:proofErr w:type="gramEnd"/>
      <w:r w:rsidRPr="00E8458A">
        <w:rPr>
          <w:lang w:val="en-US"/>
        </w:rPr>
        <w:t xml:space="preserve"> subsidiary hazard </w:t>
      </w:r>
      <w:r>
        <w:rPr>
          <w:lang w:val="en-US"/>
        </w:rPr>
        <w:t>and, where assigned the packing group as required by 5.4.1.4.1</w:t>
      </w:r>
      <w:r w:rsidR="00A50DF1">
        <w:rPr>
          <w:lang w:val="en-US"/>
        </w:rPr>
        <w:t> </w:t>
      </w:r>
      <w:r>
        <w:rPr>
          <w:lang w:val="en-US"/>
        </w:rPr>
        <w:t>(d) and (e).</w:t>
      </w:r>
      <w:r w:rsidR="003E381D">
        <w:rPr>
          <w:lang w:val="en-US"/>
        </w:rPr>
        <w:t>”</w:t>
      </w:r>
    </w:p>
    <w:p w14:paraId="0F538B20" w14:textId="1512BF60" w:rsidR="008D1560" w:rsidRDefault="00A50DF1" w:rsidP="003600F1">
      <w:pPr>
        <w:pStyle w:val="H1G"/>
      </w:pPr>
      <w:r>
        <w:tab/>
      </w:r>
      <w:r>
        <w:tab/>
      </w:r>
      <w:r w:rsidR="008D1560">
        <w:t>Option 2</w:t>
      </w:r>
    </w:p>
    <w:p w14:paraId="130CF8A2" w14:textId="078A4B9A" w:rsidR="008D1560" w:rsidRDefault="008D1560" w:rsidP="008D1560">
      <w:pPr>
        <w:pStyle w:val="SingleTxtG"/>
        <w:ind w:left="3402" w:right="567" w:hanging="2268"/>
      </w:pPr>
      <w:r>
        <w:tab/>
      </w:r>
      <w:r w:rsidR="003E381D">
        <w:t>“</w:t>
      </w:r>
      <w:r>
        <w:t>172</w:t>
      </w:r>
      <w:r>
        <w:tab/>
        <w:t>[…]</w:t>
      </w:r>
    </w:p>
    <w:p w14:paraId="28515F39" w14:textId="1525A79F" w:rsidR="008D1560" w:rsidRDefault="00A50DF1" w:rsidP="003600F1">
      <w:pPr>
        <w:pStyle w:val="SingleTxtG"/>
        <w:tabs>
          <w:tab w:val="clear" w:pos="1701"/>
        </w:tabs>
        <w:ind w:left="2268" w:hanging="555"/>
        <w:rPr>
          <w:lang w:val="en-US"/>
        </w:rPr>
      </w:pPr>
      <w:r>
        <w:tab/>
      </w:r>
      <w:r w:rsidR="008D1560">
        <w:t>(d)</w:t>
      </w:r>
      <w:r w:rsidR="008D1560">
        <w:tab/>
      </w:r>
      <w:r w:rsidR="008D1560">
        <w:rPr>
          <w:lang w:val="en-US"/>
        </w:rPr>
        <w:t xml:space="preserve">The dangerous goods transport document shall indicate the </w:t>
      </w:r>
      <w:r w:rsidR="008D1560" w:rsidRPr="00E8458A">
        <w:rPr>
          <w:lang w:val="en-US"/>
        </w:rPr>
        <w:t>class or division of the subsidiary hazard</w:t>
      </w:r>
      <w:r w:rsidR="008D1560">
        <w:rPr>
          <w:u w:val="single"/>
          <w:lang w:val="en-US"/>
        </w:rPr>
        <w:t>(s)</w:t>
      </w:r>
      <w:r w:rsidR="008D1560" w:rsidRPr="00E8458A">
        <w:rPr>
          <w:lang w:val="en-US"/>
        </w:rPr>
        <w:t xml:space="preserve"> </w:t>
      </w:r>
      <w:r w:rsidR="008D1560">
        <w:rPr>
          <w:lang w:val="en-US"/>
        </w:rPr>
        <w:t>and, where assigned the packing group as required by 5.4.1.4.1</w:t>
      </w:r>
      <w:r>
        <w:rPr>
          <w:lang w:val="en-US"/>
        </w:rPr>
        <w:t> </w:t>
      </w:r>
      <w:r w:rsidR="008D1560">
        <w:rPr>
          <w:lang w:val="en-US"/>
        </w:rPr>
        <w:t>(d) and (e).</w:t>
      </w:r>
      <w:r w:rsidR="003E381D">
        <w:rPr>
          <w:lang w:val="en-US"/>
        </w:rPr>
        <w:t>”</w:t>
      </w:r>
    </w:p>
    <w:p w14:paraId="3B775100" w14:textId="6B6B4DBB" w:rsidR="008D1560" w:rsidRPr="008D1560" w:rsidRDefault="008D1560" w:rsidP="008D1560">
      <w:pPr>
        <w:spacing w:before="240"/>
        <w:jc w:val="center"/>
        <w:rPr>
          <w:u w:val="single"/>
          <w:lang w:val="en-US"/>
        </w:rPr>
      </w:pPr>
      <w:r>
        <w:rPr>
          <w:u w:val="single"/>
          <w:lang w:val="en-US"/>
        </w:rPr>
        <w:tab/>
      </w:r>
      <w:r>
        <w:rPr>
          <w:u w:val="single"/>
          <w:lang w:val="en-US"/>
        </w:rPr>
        <w:tab/>
      </w:r>
      <w:r>
        <w:rPr>
          <w:u w:val="single"/>
          <w:lang w:val="en-US"/>
        </w:rPr>
        <w:tab/>
      </w:r>
    </w:p>
    <w:sectPr w:rsidR="008D1560" w:rsidRPr="008D1560" w:rsidSect="008D1560">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195A" w14:textId="77777777" w:rsidR="00C75860" w:rsidRPr="00C47B2E" w:rsidRDefault="00C75860" w:rsidP="00C47B2E">
      <w:pPr>
        <w:pStyle w:val="Footer"/>
      </w:pPr>
    </w:p>
  </w:endnote>
  <w:endnote w:type="continuationSeparator" w:id="0">
    <w:p w14:paraId="52A5E19C" w14:textId="77777777" w:rsidR="00C75860" w:rsidRPr="00C47B2E" w:rsidRDefault="00C75860" w:rsidP="00C47B2E">
      <w:pPr>
        <w:pStyle w:val="Footer"/>
      </w:pPr>
    </w:p>
  </w:endnote>
  <w:endnote w:type="continuationNotice" w:id="1">
    <w:p w14:paraId="12264F6E" w14:textId="77777777" w:rsidR="00C75860" w:rsidRPr="00C47B2E" w:rsidRDefault="00C7586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34F6" w14:textId="0210B166" w:rsidR="00D94B05" w:rsidRPr="008D1560" w:rsidRDefault="008D1560" w:rsidP="00D85308">
    <w:pPr>
      <w:pStyle w:val="Footer"/>
      <w:tabs>
        <w:tab w:val="right" w:pos="9639"/>
      </w:tabs>
      <w:rPr>
        <w:sz w:val="18"/>
      </w:rPr>
    </w:pPr>
    <w:r w:rsidRPr="008D1560">
      <w:rPr>
        <w:b/>
        <w:sz w:val="18"/>
      </w:rPr>
      <w:fldChar w:fldCharType="begin"/>
    </w:r>
    <w:r w:rsidRPr="008D1560">
      <w:rPr>
        <w:b/>
        <w:sz w:val="18"/>
      </w:rPr>
      <w:instrText xml:space="preserve"> PAGE  \* MERGEFORMAT </w:instrText>
    </w:r>
    <w:r w:rsidRPr="008D1560">
      <w:rPr>
        <w:b/>
        <w:sz w:val="18"/>
      </w:rPr>
      <w:fldChar w:fldCharType="separate"/>
    </w:r>
    <w:r w:rsidRPr="008D1560">
      <w:rPr>
        <w:b/>
        <w:noProof/>
        <w:sz w:val="18"/>
      </w:rPr>
      <w:t>2</w:t>
    </w:r>
    <w:r w:rsidRPr="008D156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8E3F" w14:textId="20423162" w:rsidR="00D94B05" w:rsidRPr="008D1560" w:rsidRDefault="008D1560" w:rsidP="00D85308">
    <w:pPr>
      <w:pStyle w:val="Footer"/>
      <w:tabs>
        <w:tab w:val="right" w:pos="9639"/>
      </w:tabs>
      <w:rPr>
        <w:b/>
        <w:bCs/>
        <w:sz w:val="18"/>
      </w:rPr>
    </w:pPr>
    <w:r>
      <w:rPr>
        <w:bCs/>
        <w:sz w:val="18"/>
      </w:rPr>
      <w:tab/>
    </w:r>
    <w:r w:rsidRPr="008D1560">
      <w:rPr>
        <w:b/>
        <w:bCs/>
        <w:sz w:val="18"/>
      </w:rPr>
      <w:fldChar w:fldCharType="begin"/>
    </w:r>
    <w:r w:rsidRPr="008D1560">
      <w:rPr>
        <w:b/>
        <w:bCs/>
        <w:sz w:val="18"/>
      </w:rPr>
      <w:instrText xml:space="preserve"> PAGE  \* MERGEFORMAT </w:instrText>
    </w:r>
    <w:r w:rsidRPr="008D1560">
      <w:rPr>
        <w:b/>
        <w:bCs/>
        <w:sz w:val="18"/>
      </w:rPr>
      <w:fldChar w:fldCharType="separate"/>
    </w:r>
    <w:r w:rsidRPr="008D1560">
      <w:rPr>
        <w:b/>
        <w:bCs/>
        <w:noProof/>
        <w:sz w:val="18"/>
      </w:rPr>
      <w:t>3</w:t>
    </w:r>
    <w:r w:rsidRPr="008D1560">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BE41" w14:textId="31E9E10A" w:rsidR="003704D0" w:rsidRDefault="003704D0" w:rsidP="003704D0">
    <w:pPr>
      <w:pStyle w:val="Footer"/>
    </w:pPr>
    <w:r w:rsidRPr="0027112F">
      <w:rPr>
        <w:noProof/>
        <w:lang w:val="en-US"/>
      </w:rPr>
      <w:drawing>
        <wp:anchor distT="0" distB="0" distL="114300" distR="114300" simplePos="0" relativeHeight="251659264" behindDoc="0" locked="1" layoutInCell="1" allowOverlap="1" wp14:anchorId="746B127F" wp14:editId="4AB1987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8C47916" w14:textId="1792046E" w:rsidR="003704D0" w:rsidRPr="003704D0" w:rsidRDefault="003704D0" w:rsidP="003704D0">
    <w:pPr>
      <w:pStyle w:val="Footer"/>
      <w:ind w:right="1134"/>
      <w:rPr>
        <w:sz w:val="20"/>
      </w:rPr>
    </w:pPr>
    <w:r>
      <w:rPr>
        <w:sz w:val="20"/>
      </w:rPr>
      <w:t>GE.24-</w:t>
    </w:r>
    <w:proofErr w:type="gramStart"/>
    <w:r>
      <w:rPr>
        <w:sz w:val="20"/>
      </w:rPr>
      <w:t>15931  (</w:t>
    </w:r>
    <w:proofErr w:type="gramEnd"/>
    <w:r>
      <w:rPr>
        <w:sz w:val="20"/>
      </w:rPr>
      <w:t>E)</w:t>
    </w:r>
    <w:r>
      <w:rPr>
        <w:noProof/>
        <w:sz w:val="20"/>
      </w:rPr>
      <w:drawing>
        <wp:anchor distT="0" distB="0" distL="114300" distR="114300" simplePos="0" relativeHeight="251660288" behindDoc="0" locked="0" layoutInCell="1" allowOverlap="1" wp14:anchorId="3D417D7C" wp14:editId="7D0CBB70">
          <wp:simplePos x="0" y="0"/>
          <wp:positionH relativeFrom="margin">
            <wp:posOffset>5615940</wp:posOffset>
          </wp:positionH>
          <wp:positionV relativeFrom="margin">
            <wp:posOffset>8905875</wp:posOffset>
          </wp:positionV>
          <wp:extent cx="571500" cy="571500"/>
          <wp:effectExtent l="0" t="0" r="0" b="0"/>
          <wp:wrapNone/>
          <wp:docPr id="1960358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EAB9" w14:textId="77777777" w:rsidR="00C75860" w:rsidRPr="00C47B2E" w:rsidRDefault="00C75860" w:rsidP="00C47B2E">
      <w:pPr>
        <w:tabs>
          <w:tab w:val="right" w:pos="2155"/>
        </w:tabs>
        <w:spacing w:after="80" w:line="240" w:lineRule="auto"/>
        <w:ind w:left="680"/>
      </w:pPr>
      <w:r>
        <w:rPr>
          <w:u w:val="single"/>
        </w:rPr>
        <w:tab/>
      </w:r>
    </w:p>
  </w:footnote>
  <w:footnote w:type="continuationSeparator" w:id="0">
    <w:p w14:paraId="317AAE5E" w14:textId="77777777" w:rsidR="00C75860" w:rsidRPr="00C47B2E" w:rsidRDefault="00C75860" w:rsidP="005E716E">
      <w:pPr>
        <w:tabs>
          <w:tab w:val="right" w:pos="2155"/>
        </w:tabs>
        <w:spacing w:after="80" w:line="240" w:lineRule="auto"/>
        <w:ind w:left="680"/>
      </w:pPr>
      <w:r>
        <w:rPr>
          <w:u w:val="single"/>
        </w:rPr>
        <w:tab/>
      </w:r>
    </w:p>
  </w:footnote>
  <w:footnote w:type="continuationNotice" w:id="1">
    <w:p w14:paraId="2D3EDAA0" w14:textId="77777777" w:rsidR="00C75860" w:rsidRPr="00C47B2E" w:rsidRDefault="00C75860" w:rsidP="00C47B2E">
      <w:pPr>
        <w:pStyle w:val="Footer"/>
      </w:pPr>
    </w:p>
  </w:footnote>
  <w:footnote w:id="2">
    <w:p w14:paraId="59B3E47D" w14:textId="64F37CA2" w:rsidR="008D1560" w:rsidRPr="0082113E" w:rsidRDefault="008D1560" w:rsidP="008D1560">
      <w:r>
        <w:rPr>
          <w:rStyle w:val="FootnoteReference"/>
        </w:rPr>
        <w:tab/>
      </w:r>
      <w:r w:rsidRPr="008D1560">
        <w:rPr>
          <w:rStyle w:val="FootnoteReference"/>
          <w:sz w:val="20"/>
        </w:rPr>
        <w:t>*</w:t>
      </w:r>
      <w:r>
        <w:rPr>
          <w:rStyle w:val="FootnoteReference"/>
          <w:sz w:val="20"/>
          <w:vertAlign w:val="baseline"/>
        </w:rPr>
        <w:tab/>
      </w:r>
      <w:r w:rsidRPr="00201494">
        <w:rPr>
          <w:sz w:val="18"/>
          <w:szCs w:val="18"/>
        </w:rPr>
        <w:t>A/78/6 (Sect. 20), table 20.5.</w:t>
      </w:r>
    </w:p>
    <w:p w14:paraId="03FA9D56" w14:textId="65516460" w:rsidR="008D1560" w:rsidRPr="008D1560" w:rsidRDefault="008D1560">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769E" w14:textId="49A5486B" w:rsidR="008D1560" w:rsidRPr="008D1560" w:rsidRDefault="003704D0">
    <w:pPr>
      <w:pStyle w:val="Header"/>
    </w:pPr>
    <w:r>
      <w:fldChar w:fldCharType="begin"/>
    </w:r>
    <w:r>
      <w:instrText xml:space="preserve"> TITLE  \* MERGEFORMAT </w:instrText>
    </w:r>
    <w:r>
      <w:fldChar w:fldCharType="separate"/>
    </w:r>
    <w:r w:rsidR="008D1560">
      <w:t>ST/SG/AC.10/C.3/2024/67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5CD7" w14:textId="18881B43" w:rsidR="00D94B05" w:rsidRPr="008D1560" w:rsidRDefault="003704D0" w:rsidP="008D1560">
    <w:pPr>
      <w:pStyle w:val="Header"/>
      <w:jc w:val="right"/>
    </w:pPr>
    <w:r>
      <w:fldChar w:fldCharType="begin"/>
    </w:r>
    <w:r>
      <w:instrText xml:space="preserve"> TITLE  \* MERGEFORMAT </w:instrText>
    </w:r>
    <w:r>
      <w:fldChar w:fldCharType="separate"/>
    </w:r>
    <w:r w:rsidR="008D1560">
      <w:t>ST/SG/AC.10/C.3/2024/67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60"/>
    <w:rsid w:val="00016AC2"/>
    <w:rsid w:val="00046E92"/>
    <w:rsid w:val="00063C90"/>
    <w:rsid w:val="0006613B"/>
    <w:rsid w:val="00070000"/>
    <w:rsid w:val="00101B98"/>
    <w:rsid w:val="001420F1"/>
    <w:rsid w:val="001514D1"/>
    <w:rsid w:val="00176639"/>
    <w:rsid w:val="00201494"/>
    <w:rsid w:val="00247E2C"/>
    <w:rsid w:val="002A32CB"/>
    <w:rsid w:val="002D5B2C"/>
    <w:rsid w:val="002D6C53"/>
    <w:rsid w:val="002E37AE"/>
    <w:rsid w:val="002F5595"/>
    <w:rsid w:val="00334F6A"/>
    <w:rsid w:val="00342AC8"/>
    <w:rsid w:val="00343302"/>
    <w:rsid w:val="003600F1"/>
    <w:rsid w:val="003704D0"/>
    <w:rsid w:val="003979DE"/>
    <w:rsid w:val="003B1248"/>
    <w:rsid w:val="003B4550"/>
    <w:rsid w:val="003C5737"/>
    <w:rsid w:val="003D2A18"/>
    <w:rsid w:val="003E381D"/>
    <w:rsid w:val="00405442"/>
    <w:rsid w:val="00413386"/>
    <w:rsid w:val="00461253"/>
    <w:rsid w:val="0046422D"/>
    <w:rsid w:val="00475B16"/>
    <w:rsid w:val="004858F5"/>
    <w:rsid w:val="004877F7"/>
    <w:rsid w:val="004A2814"/>
    <w:rsid w:val="004B2A03"/>
    <w:rsid w:val="004C0622"/>
    <w:rsid w:val="004F73D0"/>
    <w:rsid w:val="005042C2"/>
    <w:rsid w:val="00545D0C"/>
    <w:rsid w:val="0056208B"/>
    <w:rsid w:val="005B4545"/>
    <w:rsid w:val="005E716E"/>
    <w:rsid w:val="006265FB"/>
    <w:rsid w:val="006476E1"/>
    <w:rsid w:val="006604DF"/>
    <w:rsid w:val="00671529"/>
    <w:rsid w:val="006F1EF5"/>
    <w:rsid w:val="0070489D"/>
    <w:rsid w:val="007200A1"/>
    <w:rsid w:val="007268F9"/>
    <w:rsid w:val="00750282"/>
    <w:rsid w:val="00764440"/>
    <w:rsid w:val="0077101B"/>
    <w:rsid w:val="007C52B0"/>
    <w:rsid w:val="007C6033"/>
    <w:rsid w:val="008147C8"/>
    <w:rsid w:val="0081753A"/>
    <w:rsid w:val="00857D23"/>
    <w:rsid w:val="008D1560"/>
    <w:rsid w:val="009411B4"/>
    <w:rsid w:val="00946F1D"/>
    <w:rsid w:val="00982BF2"/>
    <w:rsid w:val="009A0A7F"/>
    <w:rsid w:val="009D0139"/>
    <w:rsid w:val="009D717D"/>
    <w:rsid w:val="009F5CDC"/>
    <w:rsid w:val="00A072D7"/>
    <w:rsid w:val="00A50DF1"/>
    <w:rsid w:val="00A775CF"/>
    <w:rsid w:val="00AD1A9C"/>
    <w:rsid w:val="00AF5DE1"/>
    <w:rsid w:val="00AF5FD1"/>
    <w:rsid w:val="00B06045"/>
    <w:rsid w:val="00B206DD"/>
    <w:rsid w:val="00B52EF4"/>
    <w:rsid w:val="00B777AD"/>
    <w:rsid w:val="00C03015"/>
    <w:rsid w:val="00C0358D"/>
    <w:rsid w:val="00C35A27"/>
    <w:rsid w:val="00C47B2E"/>
    <w:rsid w:val="00C75860"/>
    <w:rsid w:val="00CA6F1F"/>
    <w:rsid w:val="00CF1420"/>
    <w:rsid w:val="00D55BE8"/>
    <w:rsid w:val="00D63CD2"/>
    <w:rsid w:val="00D85308"/>
    <w:rsid w:val="00D87DC2"/>
    <w:rsid w:val="00D93887"/>
    <w:rsid w:val="00D94B05"/>
    <w:rsid w:val="00DC7379"/>
    <w:rsid w:val="00E02C2B"/>
    <w:rsid w:val="00E21C27"/>
    <w:rsid w:val="00E26BCF"/>
    <w:rsid w:val="00E52109"/>
    <w:rsid w:val="00E75317"/>
    <w:rsid w:val="00E76F38"/>
    <w:rsid w:val="00EC0CE6"/>
    <w:rsid w:val="00EC7C1D"/>
    <w:rsid w:val="00ED6C48"/>
    <w:rsid w:val="00EE3045"/>
    <w:rsid w:val="00F26186"/>
    <w:rsid w:val="00F65F5D"/>
    <w:rsid w:val="00F67B89"/>
    <w:rsid w:val="00F86A3A"/>
    <w:rsid w:val="00FA42DA"/>
    <w:rsid w:val="00FE2AC5"/>
    <w:rsid w:val="00FE6B61"/>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6CA8"/>
  <w15:docId w15:val="{086FAF54-E826-446E-AAA9-59BBA24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8D1560"/>
    <w:rPr>
      <w:b/>
      <w:sz w:val="28"/>
    </w:rPr>
  </w:style>
  <w:style w:type="character" w:customStyle="1" w:styleId="SingleTxtGChar">
    <w:name w:val="_ Single Txt_G Char"/>
    <w:link w:val="SingleTxtG"/>
    <w:qFormat/>
    <w:locked/>
    <w:rsid w:val="008D1560"/>
  </w:style>
  <w:style w:type="paragraph" w:styleId="Revision">
    <w:name w:val="Revision"/>
    <w:hidden/>
    <w:uiPriority w:val="99"/>
    <w:semiHidden/>
    <w:rsid w:val="00A50D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2.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4.xml><?xml version="1.0" encoding="utf-8"?>
<ds:datastoreItem xmlns:ds="http://schemas.openxmlformats.org/officeDocument/2006/customXml" ds:itemID="{02E4C2AC-BAAE-4BF9-A46D-4D15C99BADC9}"/>
</file>

<file path=docProps/app.xml><?xml version="1.0" encoding="utf-8"?>
<Properties xmlns="http://schemas.openxmlformats.org/officeDocument/2006/extended-properties" xmlns:vt="http://schemas.openxmlformats.org/officeDocument/2006/docPropsVTypes">
  <Template>SGAC10_E.dotm</Template>
  <TotalTime>0</TotalTime>
  <Pages>2</Pages>
  <Words>647</Words>
  <Characters>3635</Characters>
  <Application>Microsoft Office Word</Application>
  <DocSecurity>0</DocSecurity>
  <Lines>83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ST/SG/AC.10/C.3/2024/67</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ST/SG/AC.10/C.3/2024/67</dc:title>
  <dc:subject>2415931</dc:subject>
  <dc:creator>Alicia DORCA-GARCIA</dc:creator>
  <cp:keywords/>
  <dc:description/>
  <cp:lastModifiedBy>Pauline Anne Escalante</cp:lastModifiedBy>
  <cp:revision>2</cp:revision>
  <dcterms:created xsi:type="dcterms:W3CDTF">2024-09-05T08:35:00Z</dcterms:created>
  <dcterms:modified xsi:type="dcterms:W3CDTF">2024-09-05T08:35:00Z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