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132EA9" w:rsidRPr="00DB58B5" w14:paraId="5FAC9BA2" w14:textId="77777777" w:rsidTr="00F01738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052F6D24" w14:textId="77777777" w:rsidR="00132EA9" w:rsidRPr="00DB58B5" w:rsidRDefault="00132EA9" w:rsidP="000139EC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077AB83A" w14:textId="77777777" w:rsidR="00132EA9" w:rsidRPr="00DB58B5" w:rsidRDefault="00132EA9" w:rsidP="00F01738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09FA3AC0" w14:textId="3BBD6148" w:rsidR="00132EA9" w:rsidRPr="00DB58B5" w:rsidRDefault="000139EC" w:rsidP="000139EC">
            <w:pPr>
              <w:jc w:val="right"/>
            </w:pPr>
            <w:r w:rsidRPr="000139EC">
              <w:rPr>
                <w:sz w:val="40"/>
              </w:rPr>
              <w:t>ST</w:t>
            </w:r>
            <w:r>
              <w:t>/SG/AC</w:t>
            </w:r>
            <w:r w:rsidR="00742884" w:rsidRPr="00742884">
              <w:t>.</w:t>
            </w:r>
            <w:r w:rsidRPr="00742884">
              <w:t>10</w:t>
            </w:r>
            <w:r>
              <w:t>/C</w:t>
            </w:r>
            <w:r w:rsidR="00742884" w:rsidRPr="00742884">
              <w:t>.</w:t>
            </w:r>
            <w:r w:rsidRPr="00742884">
              <w:t>3</w:t>
            </w:r>
            <w:r>
              <w:t>/</w:t>
            </w:r>
            <w:r w:rsidRPr="00742884">
              <w:t>2024</w:t>
            </w:r>
            <w:r>
              <w:t>/</w:t>
            </w:r>
            <w:r w:rsidRPr="00742884">
              <w:t>63</w:t>
            </w:r>
          </w:p>
        </w:tc>
      </w:tr>
      <w:tr w:rsidR="00132EA9" w:rsidRPr="00DB58B5" w14:paraId="480E8CDC" w14:textId="77777777" w:rsidTr="00F01738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7BDB856B" w14:textId="77777777" w:rsidR="00132EA9" w:rsidRPr="00DB58B5" w:rsidRDefault="00132EA9" w:rsidP="00F01738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0CAE22BD" wp14:editId="0F776D54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F9A4578" w14:textId="77777777" w:rsidR="00132EA9" w:rsidRPr="00740562" w:rsidRDefault="00132EA9" w:rsidP="00F01738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A55C22">
              <w:rPr>
                <w:b/>
                <w:sz w:val="40"/>
                <w:szCs w:val="40"/>
              </w:rPr>
              <w:t>Secrétariat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703A28A0" w14:textId="09A5E6B4" w:rsidR="00132EA9" w:rsidRDefault="000139EC" w:rsidP="00F01738">
            <w:pPr>
              <w:spacing w:before="240"/>
            </w:pPr>
            <w:r>
              <w:t>Distr</w:t>
            </w:r>
            <w:r w:rsidR="00742884" w:rsidRPr="00742884">
              <w:t>.</w:t>
            </w:r>
            <w:r>
              <w:t xml:space="preserve"> générale</w:t>
            </w:r>
          </w:p>
          <w:p w14:paraId="48B0083A" w14:textId="77777777" w:rsidR="000139EC" w:rsidRDefault="000139EC" w:rsidP="000139EC">
            <w:pPr>
              <w:spacing w:line="240" w:lineRule="exact"/>
            </w:pPr>
            <w:r w:rsidRPr="00742884">
              <w:t>4</w:t>
            </w:r>
            <w:r>
              <w:t xml:space="preserve"> septembre </w:t>
            </w:r>
            <w:r w:rsidRPr="00742884">
              <w:t>2024</w:t>
            </w:r>
          </w:p>
          <w:p w14:paraId="3A0C03DC" w14:textId="77777777" w:rsidR="000139EC" w:rsidRDefault="000139EC" w:rsidP="000139EC">
            <w:pPr>
              <w:spacing w:line="240" w:lineRule="exact"/>
            </w:pPr>
            <w:r>
              <w:t>Français</w:t>
            </w:r>
          </w:p>
          <w:p w14:paraId="4C67E023" w14:textId="26106DA3" w:rsidR="000139EC" w:rsidRPr="00DB58B5" w:rsidRDefault="000139EC" w:rsidP="000139EC">
            <w:pPr>
              <w:spacing w:line="240" w:lineRule="exact"/>
            </w:pPr>
            <w:r>
              <w:t>Original</w:t>
            </w:r>
            <w:r w:rsidR="008A4BFA">
              <w:t> :</w:t>
            </w:r>
            <w:r>
              <w:t xml:space="preserve"> anglais</w:t>
            </w:r>
          </w:p>
        </w:tc>
      </w:tr>
    </w:tbl>
    <w:p w14:paraId="622042E5" w14:textId="27B2FECA" w:rsidR="000139EC" w:rsidRPr="006A05EC" w:rsidRDefault="000139EC" w:rsidP="000139EC">
      <w:pPr>
        <w:spacing w:before="120" w:after="120"/>
        <w:ind w:right="3826"/>
        <w:rPr>
          <w:b/>
          <w:sz w:val="24"/>
          <w:szCs w:val="24"/>
        </w:rPr>
      </w:pPr>
      <w:r w:rsidRPr="006A05EC">
        <w:rPr>
          <w:b/>
          <w:bCs/>
          <w:sz w:val="24"/>
          <w:szCs w:val="24"/>
          <w:lang w:val="fr-FR"/>
        </w:rPr>
        <w:t>Comité d</w:t>
      </w:r>
      <w:r w:rsidR="008A4BFA">
        <w:rPr>
          <w:b/>
          <w:bCs/>
          <w:sz w:val="24"/>
          <w:szCs w:val="24"/>
          <w:lang w:val="fr-FR"/>
        </w:rPr>
        <w:t>’</w:t>
      </w:r>
      <w:r w:rsidRPr="006A05EC">
        <w:rPr>
          <w:b/>
          <w:bCs/>
          <w:sz w:val="24"/>
          <w:szCs w:val="24"/>
          <w:lang w:val="fr-FR"/>
        </w:rPr>
        <w:t>experts du transport des marchandises dangereuses et du Système général harmonisé de</w:t>
      </w:r>
      <w:r>
        <w:rPr>
          <w:b/>
          <w:bCs/>
          <w:sz w:val="24"/>
          <w:szCs w:val="24"/>
          <w:lang w:val="fr-FR"/>
        </w:rPr>
        <w:t> </w:t>
      </w:r>
      <w:r w:rsidRPr="006A05EC">
        <w:rPr>
          <w:b/>
          <w:bCs/>
          <w:sz w:val="24"/>
          <w:szCs w:val="24"/>
          <w:lang w:val="fr-FR"/>
        </w:rPr>
        <w:t>classification et d</w:t>
      </w:r>
      <w:r w:rsidR="008A4BFA">
        <w:rPr>
          <w:b/>
          <w:bCs/>
          <w:sz w:val="24"/>
          <w:szCs w:val="24"/>
          <w:lang w:val="fr-FR"/>
        </w:rPr>
        <w:t>’</w:t>
      </w:r>
      <w:r w:rsidRPr="006A05EC">
        <w:rPr>
          <w:b/>
          <w:bCs/>
          <w:sz w:val="24"/>
          <w:szCs w:val="24"/>
          <w:lang w:val="fr-FR"/>
        </w:rPr>
        <w:t xml:space="preserve">étiquetage </w:t>
      </w:r>
      <w:r w:rsidR="008A4BFA">
        <w:rPr>
          <w:b/>
          <w:bCs/>
          <w:sz w:val="24"/>
          <w:szCs w:val="24"/>
          <w:lang w:val="fr-FR"/>
        </w:rPr>
        <w:br/>
      </w:r>
      <w:r w:rsidRPr="006A05EC">
        <w:rPr>
          <w:b/>
          <w:bCs/>
          <w:sz w:val="24"/>
          <w:szCs w:val="24"/>
          <w:lang w:val="fr-FR"/>
        </w:rPr>
        <w:t>des produits chimiques</w:t>
      </w:r>
    </w:p>
    <w:p w14:paraId="0AB32808" w14:textId="244DAC30" w:rsidR="000139EC" w:rsidRPr="006A05EC" w:rsidRDefault="000139EC" w:rsidP="000139EC">
      <w:pPr>
        <w:spacing w:after="120"/>
        <w:rPr>
          <w:rFonts w:ascii="Helv" w:hAnsi="Helv" w:cs="Helv"/>
          <w:b/>
          <w:color w:val="000000"/>
        </w:rPr>
      </w:pPr>
      <w:r>
        <w:rPr>
          <w:b/>
          <w:bCs/>
          <w:lang w:val="fr-FR"/>
        </w:rPr>
        <w:t>Sous-Comité d</w:t>
      </w:r>
      <w:r w:rsidR="008A4BFA">
        <w:rPr>
          <w:b/>
          <w:bCs/>
          <w:lang w:val="fr-FR"/>
        </w:rPr>
        <w:t>’</w:t>
      </w:r>
      <w:r>
        <w:rPr>
          <w:b/>
          <w:bCs/>
          <w:lang w:val="fr-FR"/>
        </w:rPr>
        <w:t>experts du transport des marchandises dangereuses</w:t>
      </w:r>
    </w:p>
    <w:p w14:paraId="16137068" w14:textId="77777777" w:rsidR="000139EC" w:rsidRPr="006A05EC" w:rsidRDefault="000139EC" w:rsidP="000139EC">
      <w:pPr>
        <w:rPr>
          <w:b/>
        </w:rPr>
      </w:pPr>
      <w:r>
        <w:rPr>
          <w:b/>
          <w:bCs/>
          <w:lang w:val="fr-FR"/>
        </w:rPr>
        <w:t>Soixante-cinquième session</w:t>
      </w:r>
    </w:p>
    <w:p w14:paraId="2EF1D768" w14:textId="77777777" w:rsidR="008A4BFA" w:rsidRDefault="000139EC" w:rsidP="000139EC">
      <w:pPr>
        <w:rPr>
          <w:lang w:val="fr-FR"/>
        </w:rPr>
      </w:pPr>
      <w:r>
        <w:rPr>
          <w:lang w:val="fr-FR"/>
        </w:rPr>
        <w:t xml:space="preserve">Genève, </w:t>
      </w:r>
      <w:r w:rsidRPr="00742884">
        <w:rPr>
          <w:lang w:val="fr-FR"/>
        </w:rPr>
        <w:t>25</w:t>
      </w:r>
      <w:r>
        <w:rPr>
          <w:lang w:val="fr-FR"/>
        </w:rPr>
        <w:t xml:space="preserve"> novembre-</w:t>
      </w:r>
      <w:r w:rsidRPr="00742884">
        <w:rPr>
          <w:lang w:val="fr-FR"/>
        </w:rPr>
        <w:t>3</w:t>
      </w:r>
      <w:r>
        <w:rPr>
          <w:lang w:val="fr-FR"/>
        </w:rPr>
        <w:t xml:space="preserve"> décembre </w:t>
      </w:r>
      <w:r w:rsidRPr="00742884">
        <w:rPr>
          <w:lang w:val="fr-FR"/>
        </w:rPr>
        <w:t>2024</w:t>
      </w:r>
    </w:p>
    <w:p w14:paraId="6A1FBCDD" w14:textId="1F8AE7F8" w:rsidR="000139EC" w:rsidRPr="006A05EC" w:rsidRDefault="000139EC" w:rsidP="000139EC">
      <w:r>
        <w:rPr>
          <w:lang w:val="fr-FR"/>
        </w:rPr>
        <w:t xml:space="preserve">Point </w:t>
      </w:r>
      <w:r w:rsidRPr="00742884">
        <w:rPr>
          <w:lang w:val="fr-FR"/>
        </w:rPr>
        <w:t>6</w:t>
      </w:r>
      <w:r>
        <w:rPr>
          <w:lang w:val="fr-FR"/>
        </w:rPr>
        <w:t xml:space="preserve"> a) de l</w:t>
      </w:r>
      <w:r w:rsidR="008A4BFA">
        <w:rPr>
          <w:lang w:val="fr-FR"/>
        </w:rPr>
        <w:t>’</w:t>
      </w:r>
      <w:r>
        <w:rPr>
          <w:lang w:val="fr-FR"/>
        </w:rPr>
        <w:t>ordre du jour provisoire</w:t>
      </w:r>
    </w:p>
    <w:p w14:paraId="5E9D68FD" w14:textId="52189D95" w:rsidR="000139EC" w:rsidRPr="006A05EC" w:rsidRDefault="000139EC" w:rsidP="000139EC">
      <w:pPr>
        <w:ind w:right="4818"/>
        <w:rPr>
          <w:b/>
          <w:bCs/>
        </w:rPr>
      </w:pPr>
      <w:r>
        <w:rPr>
          <w:b/>
          <w:bCs/>
          <w:lang w:val="fr-FR"/>
        </w:rPr>
        <w:t>Propositions diverses d</w:t>
      </w:r>
      <w:r w:rsidR="008A4BFA">
        <w:rPr>
          <w:b/>
          <w:bCs/>
          <w:lang w:val="fr-FR"/>
        </w:rPr>
        <w:t>’</w:t>
      </w:r>
      <w:r>
        <w:rPr>
          <w:b/>
          <w:bCs/>
          <w:lang w:val="fr-FR"/>
        </w:rPr>
        <w:t>amendements au Règlement type pour le transport des marchandises dangereuses</w:t>
      </w:r>
      <w:r w:rsidR="008A4BFA">
        <w:rPr>
          <w:b/>
          <w:bCs/>
          <w:lang w:val="fr-FR"/>
        </w:rPr>
        <w:t> :</w:t>
      </w:r>
      <w:r>
        <w:rPr>
          <w:b/>
          <w:bCs/>
          <w:lang w:val="fr-FR"/>
        </w:rPr>
        <w:t xml:space="preserve"> Marquage et étiquetage</w:t>
      </w:r>
    </w:p>
    <w:p w14:paraId="57D1A8AC" w14:textId="2AF0D94D" w:rsidR="000139EC" w:rsidRPr="006A05EC" w:rsidRDefault="000139EC" w:rsidP="000139EC">
      <w:pPr>
        <w:pStyle w:val="HChG"/>
      </w:pPr>
      <w:r>
        <w:rPr>
          <w:lang w:val="fr-FR"/>
        </w:rPr>
        <w:tab/>
      </w:r>
      <w:r>
        <w:rPr>
          <w:lang w:val="fr-FR"/>
        </w:rPr>
        <w:tab/>
        <w:t xml:space="preserve">Proposition visant à modifier le </w:t>
      </w:r>
      <w:r w:rsidRPr="00742884">
        <w:rPr>
          <w:lang w:val="fr-FR"/>
        </w:rPr>
        <w:t>6</w:t>
      </w:r>
      <w:r w:rsidR="00742884" w:rsidRPr="00742884">
        <w:rPr>
          <w:lang w:val="fr-FR"/>
        </w:rPr>
        <w:t>.</w:t>
      </w:r>
      <w:r w:rsidRPr="00742884">
        <w:rPr>
          <w:lang w:val="fr-FR"/>
        </w:rPr>
        <w:t>2</w:t>
      </w:r>
      <w:r w:rsidR="00742884" w:rsidRPr="00742884">
        <w:rPr>
          <w:lang w:val="fr-FR"/>
        </w:rPr>
        <w:t>.</w:t>
      </w:r>
      <w:r w:rsidRPr="00742884">
        <w:rPr>
          <w:lang w:val="fr-FR"/>
        </w:rPr>
        <w:t>2</w:t>
      </w:r>
      <w:r w:rsidR="00742884" w:rsidRPr="00742884">
        <w:rPr>
          <w:lang w:val="fr-FR"/>
        </w:rPr>
        <w:t>.</w:t>
      </w:r>
      <w:r w:rsidRPr="00742884">
        <w:rPr>
          <w:lang w:val="fr-FR"/>
        </w:rPr>
        <w:t>8</w:t>
      </w:r>
      <w:r>
        <w:rPr>
          <w:lang w:val="fr-FR"/>
        </w:rPr>
        <w:t xml:space="preserve"> (Marquage des</w:t>
      </w:r>
      <w:r>
        <w:rPr>
          <w:lang w:val="fr-FR"/>
        </w:rPr>
        <w:t> </w:t>
      </w:r>
      <w:r>
        <w:rPr>
          <w:lang w:val="fr-FR"/>
        </w:rPr>
        <w:t>bouteilles non rechargeables «</w:t>
      </w:r>
      <w:r w:rsidR="0029564F">
        <w:rPr>
          <w:lang w:val="fr-FR"/>
        </w:rPr>
        <w:t> </w:t>
      </w:r>
      <w:r>
        <w:rPr>
          <w:lang w:val="fr-FR"/>
        </w:rPr>
        <w:t>UN</w:t>
      </w:r>
      <w:r w:rsidR="0029564F">
        <w:rPr>
          <w:lang w:val="fr-FR"/>
        </w:rPr>
        <w:t> </w:t>
      </w:r>
      <w:r>
        <w:rPr>
          <w:lang w:val="fr-FR"/>
        </w:rPr>
        <w:t>»)</w:t>
      </w:r>
    </w:p>
    <w:p w14:paraId="2140A481" w14:textId="7773531E" w:rsidR="000139EC" w:rsidRPr="006A05EC" w:rsidRDefault="000139EC" w:rsidP="000139EC">
      <w:pPr>
        <w:pStyle w:val="H1G"/>
      </w:pPr>
      <w:r>
        <w:rPr>
          <w:lang w:val="fr-FR"/>
        </w:rPr>
        <w:tab/>
      </w:r>
      <w:r>
        <w:rPr>
          <w:lang w:val="fr-FR"/>
        </w:rPr>
        <w:tab/>
        <w:t>Communication de l</w:t>
      </w:r>
      <w:r w:rsidR="008A4BFA">
        <w:rPr>
          <w:lang w:val="fr-FR"/>
        </w:rPr>
        <w:t>’</w:t>
      </w:r>
      <w:proofErr w:type="spellStart"/>
      <w:r>
        <w:rPr>
          <w:lang w:val="fr-FR"/>
        </w:rPr>
        <w:t>European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Cylinder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Makers</w:t>
      </w:r>
      <w:proofErr w:type="spellEnd"/>
      <w:r>
        <w:rPr>
          <w:lang w:val="fr-FR"/>
        </w:rPr>
        <w:t xml:space="preserve"> Association (ECMA)</w:t>
      </w:r>
      <w:r w:rsidRPr="000139EC">
        <w:rPr>
          <w:rStyle w:val="FootnoteReference"/>
          <w:b w:val="0"/>
          <w:bCs/>
          <w:position w:val="4"/>
          <w:sz w:val="20"/>
          <w:vertAlign w:val="baseline"/>
          <w:lang w:val="fr-FR"/>
        </w:rPr>
        <w:footnoteReference w:customMarkFollows="1" w:id="2"/>
        <w:t>*</w:t>
      </w:r>
    </w:p>
    <w:p w14:paraId="47F3B06B" w14:textId="00489265" w:rsidR="000139EC" w:rsidRPr="006A05EC" w:rsidRDefault="000139EC" w:rsidP="000139EC">
      <w:pPr>
        <w:pStyle w:val="HChG"/>
      </w:pPr>
      <w:r>
        <w:rPr>
          <w:lang w:val="fr-FR"/>
        </w:rPr>
        <w:tab/>
        <w:t>I</w:t>
      </w:r>
      <w:r w:rsidR="00742884" w:rsidRPr="00742884">
        <w:rPr>
          <w:lang w:val="fr-FR"/>
        </w:rPr>
        <w:t>.</w:t>
      </w:r>
      <w:r>
        <w:rPr>
          <w:lang w:val="fr-FR"/>
        </w:rPr>
        <w:tab/>
        <w:t>Introduction</w:t>
      </w:r>
    </w:p>
    <w:p w14:paraId="6AC3E49E" w14:textId="12A6208A" w:rsidR="000139EC" w:rsidRPr="006A05EC" w:rsidRDefault="000139EC" w:rsidP="000139EC">
      <w:pPr>
        <w:pStyle w:val="SingleTxtG"/>
      </w:pPr>
      <w:r w:rsidRPr="00742884">
        <w:rPr>
          <w:lang w:val="fr-FR"/>
        </w:rPr>
        <w:t>1</w:t>
      </w:r>
      <w:r w:rsidR="00742884" w:rsidRPr="00742884">
        <w:rPr>
          <w:lang w:val="fr-FR"/>
        </w:rPr>
        <w:t>.</w:t>
      </w:r>
      <w:r>
        <w:rPr>
          <w:lang w:val="fr-FR"/>
        </w:rPr>
        <w:tab/>
        <w:t xml:space="preserve">Le </w:t>
      </w:r>
      <w:r w:rsidRPr="00742884">
        <w:rPr>
          <w:lang w:val="fr-FR"/>
        </w:rPr>
        <w:t>6</w:t>
      </w:r>
      <w:r w:rsidR="00742884" w:rsidRPr="00742884">
        <w:rPr>
          <w:lang w:val="fr-FR"/>
        </w:rPr>
        <w:t>.</w:t>
      </w:r>
      <w:r w:rsidRPr="00742884">
        <w:rPr>
          <w:lang w:val="fr-FR"/>
        </w:rPr>
        <w:t>2</w:t>
      </w:r>
      <w:r w:rsidR="00742884" w:rsidRPr="00742884">
        <w:rPr>
          <w:lang w:val="fr-FR"/>
        </w:rPr>
        <w:t>.</w:t>
      </w:r>
      <w:r w:rsidRPr="00742884">
        <w:rPr>
          <w:lang w:val="fr-FR"/>
        </w:rPr>
        <w:t>2</w:t>
      </w:r>
      <w:r w:rsidR="00742884" w:rsidRPr="00742884">
        <w:rPr>
          <w:lang w:val="fr-FR"/>
        </w:rPr>
        <w:t>.</w:t>
      </w:r>
      <w:r w:rsidRPr="00742884">
        <w:rPr>
          <w:lang w:val="fr-FR"/>
        </w:rPr>
        <w:t>8</w:t>
      </w:r>
      <w:r>
        <w:rPr>
          <w:lang w:val="fr-FR"/>
        </w:rPr>
        <w:t xml:space="preserve"> du Règlement type de l</w:t>
      </w:r>
      <w:r w:rsidR="008A4BFA">
        <w:rPr>
          <w:lang w:val="fr-FR"/>
        </w:rPr>
        <w:t>’</w:t>
      </w:r>
      <w:r>
        <w:rPr>
          <w:lang w:val="fr-FR"/>
        </w:rPr>
        <w:t>ONU définit les prescriptions applicables au marquage des bouteilles non rechargeables «</w:t>
      </w:r>
      <w:r w:rsidR="0029564F">
        <w:rPr>
          <w:lang w:val="fr-FR"/>
        </w:rPr>
        <w:t> </w:t>
      </w:r>
      <w:r>
        <w:rPr>
          <w:lang w:val="fr-FR"/>
        </w:rPr>
        <w:t>UN</w:t>
      </w:r>
      <w:r w:rsidR="0029564F">
        <w:rPr>
          <w:lang w:val="fr-FR"/>
        </w:rPr>
        <w:t> </w:t>
      </w:r>
      <w:r>
        <w:rPr>
          <w:lang w:val="fr-FR"/>
        </w:rPr>
        <w:t>»</w:t>
      </w:r>
      <w:r w:rsidR="00742884" w:rsidRPr="00742884">
        <w:rPr>
          <w:lang w:val="fr-FR"/>
        </w:rPr>
        <w:t>.</w:t>
      </w:r>
      <w:r>
        <w:rPr>
          <w:lang w:val="fr-FR"/>
        </w:rPr>
        <w:t xml:space="preserve"> Il existe des prescriptions spécifiques pour les bouteilles avec un diamètre inférieur à </w:t>
      </w:r>
      <w:r w:rsidRPr="00742884">
        <w:rPr>
          <w:lang w:val="fr-FR"/>
        </w:rPr>
        <w:t>140</w:t>
      </w:r>
      <w:r>
        <w:rPr>
          <w:lang w:val="fr-FR"/>
        </w:rPr>
        <w:t xml:space="preserve"> mm</w:t>
      </w:r>
      <w:r w:rsidR="00742884" w:rsidRPr="00742884">
        <w:rPr>
          <w:lang w:val="fr-FR"/>
        </w:rPr>
        <w:t>.</w:t>
      </w:r>
      <w:r>
        <w:rPr>
          <w:lang w:val="fr-FR"/>
        </w:rPr>
        <w:t xml:space="preserve"> Pour ces bouteilles, l</w:t>
      </w:r>
      <w:r w:rsidR="008A4BFA">
        <w:rPr>
          <w:lang w:val="fr-FR"/>
        </w:rPr>
        <w:t>’</w:t>
      </w:r>
      <w:r>
        <w:rPr>
          <w:lang w:val="fr-FR"/>
        </w:rPr>
        <w:t>emplacement et la dimension minimale des marques, notamment la dimension minimale des marques « UN » et « NE PAS RECHARGER », sont précisés</w:t>
      </w:r>
      <w:r w:rsidR="00742884" w:rsidRPr="00742884">
        <w:rPr>
          <w:lang w:val="fr-FR"/>
        </w:rPr>
        <w:t>.</w:t>
      </w:r>
    </w:p>
    <w:p w14:paraId="7C22B7DB" w14:textId="4D37C34C" w:rsidR="008A4BFA" w:rsidRDefault="000139EC" w:rsidP="000139EC">
      <w:pPr>
        <w:pStyle w:val="SingleTxtG"/>
        <w:rPr>
          <w:lang w:val="fr-FR"/>
        </w:rPr>
      </w:pPr>
      <w:r w:rsidRPr="00742884">
        <w:rPr>
          <w:lang w:val="fr-FR"/>
        </w:rPr>
        <w:t>2</w:t>
      </w:r>
      <w:r w:rsidR="00742884" w:rsidRPr="00742884">
        <w:rPr>
          <w:lang w:val="fr-FR"/>
        </w:rPr>
        <w:t>.</w:t>
      </w:r>
      <w:r>
        <w:rPr>
          <w:lang w:val="fr-FR"/>
        </w:rPr>
        <w:tab/>
        <w:t xml:space="preserve">Ces prescriptions sont difficiles à appliquer aux bouteilles non rechargeables avec un diamètre inférieur ou égal à </w:t>
      </w:r>
      <w:r w:rsidRPr="00742884">
        <w:rPr>
          <w:lang w:val="fr-FR"/>
        </w:rPr>
        <w:t>40</w:t>
      </w:r>
      <w:r>
        <w:rPr>
          <w:lang w:val="fr-FR"/>
        </w:rPr>
        <w:t xml:space="preserve"> mm, dont la capacité en eau est généralement inférieure à </w:t>
      </w:r>
      <w:r w:rsidRPr="00742884">
        <w:rPr>
          <w:lang w:val="fr-FR"/>
        </w:rPr>
        <w:t>120</w:t>
      </w:r>
      <w:r w:rsidR="0029564F">
        <w:rPr>
          <w:lang w:val="fr-FR"/>
        </w:rPr>
        <w:t> </w:t>
      </w:r>
      <w:r>
        <w:rPr>
          <w:lang w:val="fr-FR"/>
        </w:rPr>
        <w:t>ml</w:t>
      </w:r>
      <w:r w:rsidR="00742884" w:rsidRPr="00742884">
        <w:rPr>
          <w:lang w:val="fr-FR"/>
        </w:rPr>
        <w:t>.</w:t>
      </w:r>
    </w:p>
    <w:p w14:paraId="73AC37A3" w14:textId="27470891" w:rsidR="000139EC" w:rsidRPr="006A05EC" w:rsidRDefault="000139EC" w:rsidP="000139EC">
      <w:pPr>
        <w:pStyle w:val="SingleTxtG"/>
      </w:pPr>
      <w:r w:rsidRPr="00742884">
        <w:rPr>
          <w:lang w:val="fr-FR"/>
        </w:rPr>
        <w:t>3</w:t>
      </w:r>
      <w:r w:rsidR="00742884" w:rsidRPr="00742884">
        <w:rPr>
          <w:lang w:val="fr-FR"/>
        </w:rPr>
        <w:t>.</w:t>
      </w:r>
      <w:r>
        <w:rPr>
          <w:lang w:val="fr-FR"/>
        </w:rPr>
        <w:tab/>
      </w:r>
      <w:r w:rsidRPr="006A05EC">
        <w:rPr>
          <w:lang w:val="fr-FR"/>
        </w:rPr>
        <w:t>En raison de la taille des bouteilles</w:t>
      </w:r>
      <w:r>
        <w:rPr>
          <w:lang w:val="fr-FR"/>
        </w:rPr>
        <w:t>,</w:t>
      </w:r>
      <w:r w:rsidRPr="006A05EC">
        <w:rPr>
          <w:lang w:val="fr-FR"/>
        </w:rPr>
        <w:t xml:space="preserve"> </w:t>
      </w:r>
      <w:r>
        <w:rPr>
          <w:lang w:val="fr-FR"/>
        </w:rPr>
        <w:t>qui laisse</w:t>
      </w:r>
      <w:r w:rsidRPr="006A05EC">
        <w:rPr>
          <w:lang w:val="fr-FR"/>
        </w:rPr>
        <w:t xml:space="preserve"> peu d</w:t>
      </w:r>
      <w:r w:rsidR="008A4BFA">
        <w:rPr>
          <w:lang w:val="fr-FR"/>
        </w:rPr>
        <w:t>’</w:t>
      </w:r>
      <w:r w:rsidRPr="006A05EC">
        <w:rPr>
          <w:lang w:val="fr-FR"/>
        </w:rPr>
        <w:t xml:space="preserve">espace disponible, </w:t>
      </w:r>
      <w:r>
        <w:rPr>
          <w:lang w:val="fr-FR"/>
        </w:rPr>
        <w:t xml:space="preserve">les marques dont </w:t>
      </w:r>
      <w:r w:rsidRPr="006A05EC">
        <w:rPr>
          <w:lang w:val="fr-FR"/>
        </w:rPr>
        <w:t>la dimension minimale et l</w:t>
      </w:r>
      <w:r w:rsidR="008A4BFA">
        <w:rPr>
          <w:lang w:val="fr-FR"/>
        </w:rPr>
        <w:t>’</w:t>
      </w:r>
      <w:r w:rsidRPr="006A05EC">
        <w:rPr>
          <w:lang w:val="fr-FR"/>
        </w:rPr>
        <w:t xml:space="preserve">emplacement </w:t>
      </w:r>
      <w:r>
        <w:rPr>
          <w:lang w:val="fr-FR"/>
        </w:rPr>
        <w:t>satisfont</w:t>
      </w:r>
      <w:r w:rsidRPr="006A05EC">
        <w:rPr>
          <w:lang w:val="fr-FR"/>
        </w:rPr>
        <w:t xml:space="preserve"> au </w:t>
      </w:r>
      <w:r w:rsidRPr="00742884">
        <w:rPr>
          <w:lang w:val="fr-FR"/>
        </w:rPr>
        <w:t>6</w:t>
      </w:r>
      <w:r w:rsidR="00742884" w:rsidRPr="00742884">
        <w:rPr>
          <w:lang w:val="fr-FR"/>
        </w:rPr>
        <w:t>.</w:t>
      </w:r>
      <w:r w:rsidRPr="00742884">
        <w:rPr>
          <w:lang w:val="fr-FR"/>
        </w:rPr>
        <w:t>2</w:t>
      </w:r>
      <w:r w:rsidR="00742884" w:rsidRPr="00742884">
        <w:rPr>
          <w:lang w:val="fr-FR"/>
        </w:rPr>
        <w:t>.</w:t>
      </w:r>
      <w:r w:rsidRPr="00742884">
        <w:rPr>
          <w:lang w:val="fr-FR"/>
        </w:rPr>
        <w:t>2</w:t>
      </w:r>
      <w:r w:rsidR="00742884" w:rsidRPr="00742884">
        <w:rPr>
          <w:lang w:val="fr-FR"/>
        </w:rPr>
        <w:t>.</w:t>
      </w:r>
      <w:r w:rsidRPr="00742884">
        <w:rPr>
          <w:lang w:val="fr-FR"/>
        </w:rPr>
        <w:t>8</w:t>
      </w:r>
      <w:r w:rsidRPr="006A05EC">
        <w:rPr>
          <w:lang w:val="fr-FR"/>
        </w:rPr>
        <w:t xml:space="preserve"> </w:t>
      </w:r>
      <w:r>
        <w:rPr>
          <w:lang w:val="fr-FR"/>
        </w:rPr>
        <w:t>sont</w:t>
      </w:r>
      <w:r w:rsidRPr="006A05EC">
        <w:rPr>
          <w:lang w:val="fr-FR"/>
        </w:rPr>
        <w:t xml:space="preserve"> peu lisibles</w:t>
      </w:r>
      <w:r>
        <w:rPr>
          <w:lang w:val="fr-FR"/>
        </w:rPr>
        <w:t>, ce qui peut</w:t>
      </w:r>
      <w:r w:rsidRPr="006A05EC">
        <w:rPr>
          <w:lang w:val="fr-FR"/>
        </w:rPr>
        <w:t xml:space="preserve"> conduire à une perte d</w:t>
      </w:r>
      <w:r w:rsidR="008A4BFA">
        <w:rPr>
          <w:lang w:val="fr-FR"/>
        </w:rPr>
        <w:t>’</w:t>
      </w:r>
      <w:r w:rsidRPr="006A05EC">
        <w:rPr>
          <w:lang w:val="fr-FR"/>
        </w:rPr>
        <w:t xml:space="preserve">informations importantes </w:t>
      </w:r>
      <w:r>
        <w:rPr>
          <w:lang w:val="fr-FR"/>
        </w:rPr>
        <w:t>sur le plan de la</w:t>
      </w:r>
      <w:r w:rsidRPr="006A05EC">
        <w:rPr>
          <w:lang w:val="fr-FR"/>
        </w:rPr>
        <w:t xml:space="preserve"> sécurité</w:t>
      </w:r>
      <w:r w:rsidR="00742884" w:rsidRPr="00742884">
        <w:rPr>
          <w:lang w:val="fr-FR"/>
        </w:rPr>
        <w:t>.</w:t>
      </w:r>
    </w:p>
    <w:p w14:paraId="30DF699E" w14:textId="62D29756" w:rsidR="000139EC" w:rsidRPr="006A05EC" w:rsidRDefault="000139EC" w:rsidP="000139EC">
      <w:pPr>
        <w:pStyle w:val="SingleTxtG"/>
      </w:pPr>
      <w:r w:rsidRPr="00742884">
        <w:rPr>
          <w:lang w:val="fr-FR"/>
        </w:rPr>
        <w:t>4</w:t>
      </w:r>
      <w:r w:rsidR="00742884" w:rsidRPr="00742884">
        <w:rPr>
          <w:lang w:val="fr-FR"/>
        </w:rPr>
        <w:t>.</w:t>
      </w:r>
      <w:r>
        <w:rPr>
          <w:lang w:val="fr-FR"/>
        </w:rPr>
        <w:tab/>
        <w:t>Il semble que les petites bouteilles non rechargeables «</w:t>
      </w:r>
      <w:r w:rsidR="0029564F">
        <w:rPr>
          <w:lang w:val="fr-FR"/>
        </w:rPr>
        <w:t> </w:t>
      </w:r>
      <w:r>
        <w:rPr>
          <w:lang w:val="fr-FR"/>
        </w:rPr>
        <w:t>UN</w:t>
      </w:r>
      <w:r w:rsidR="0029564F">
        <w:rPr>
          <w:lang w:val="fr-FR"/>
        </w:rPr>
        <w:t> </w:t>
      </w:r>
      <w:r>
        <w:rPr>
          <w:lang w:val="fr-FR"/>
        </w:rPr>
        <w:t>» sans soudures (d</w:t>
      </w:r>
      <w:r w:rsidR="008A4BFA">
        <w:rPr>
          <w:lang w:val="fr-FR"/>
        </w:rPr>
        <w:t>’</w:t>
      </w:r>
      <w:r>
        <w:rPr>
          <w:lang w:val="fr-FR"/>
        </w:rPr>
        <w:t xml:space="preserve">une capacité inférieure à </w:t>
      </w:r>
      <w:r w:rsidRPr="00742884">
        <w:rPr>
          <w:lang w:val="fr-FR"/>
        </w:rPr>
        <w:t>120</w:t>
      </w:r>
      <w:r>
        <w:rPr>
          <w:lang w:val="fr-FR"/>
        </w:rPr>
        <w:t xml:space="preserve"> ml et d</w:t>
      </w:r>
      <w:r w:rsidR="008A4BFA">
        <w:rPr>
          <w:lang w:val="fr-FR"/>
        </w:rPr>
        <w:t>’</w:t>
      </w:r>
      <w:r>
        <w:rPr>
          <w:lang w:val="fr-FR"/>
        </w:rPr>
        <w:t xml:space="preserve">un diamètre de </w:t>
      </w:r>
      <w:r w:rsidRPr="00742884">
        <w:rPr>
          <w:lang w:val="fr-FR"/>
        </w:rPr>
        <w:t>40</w:t>
      </w:r>
      <w:r>
        <w:rPr>
          <w:lang w:val="fr-FR"/>
        </w:rPr>
        <w:t xml:space="preserve"> mm, par exemple) n</w:t>
      </w:r>
      <w:r w:rsidR="008A4BFA">
        <w:rPr>
          <w:lang w:val="fr-FR"/>
        </w:rPr>
        <w:t>’</w:t>
      </w:r>
      <w:r>
        <w:rPr>
          <w:lang w:val="fr-FR"/>
        </w:rPr>
        <w:t>ont pas été prises en considération au moment où les prescriptions relatives au marquage des bouteilles non rechargeables «</w:t>
      </w:r>
      <w:r w:rsidR="0029564F">
        <w:rPr>
          <w:lang w:val="fr-FR"/>
        </w:rPr>
        <w:t> </w:t>
      </w:r>
      <w:r>
        <w:rPr>
          <w:lang w:val="fr-FR"/>
        </w:rPr>
        <w:t>UN</w:t>
      </w:r>
      <w:r w:rsidR="0029564F">
        <w:rPr>
          <w:lang w:val="fr-FR"/>
        </w:rPr>
        <w:t> </w:t>
      </w:r>
      <w:r>
        <w:rPr>
          <w:lang w:val="fr-FR"/>
        </w:rPr>
        <w:t>» ont été définies</w:t>
      </w:r>
      <w:r w:rsidR="00742884" w:rsidRPr="00742884">
        <w:rPr>
          <w:lang w:val="fr-FR"/>
        </w:rPr>
        <w:t>.</w:t>
      </w:r>
    </w:p>
    <w:p w14:paraId="05E3A08D" w14:textId="1D2B65A5" w:rsidR="000139EC" w:rsidRPr="006A05EC" w:rsidRDefault="000139EC" w:rsidP="000139EC">
      <w:pPr>
        <w:pStyle w:val="SingleTxtG"/>
      </w:pPr>
      <w:r w:rsidRPr="00742884">
        <w:rPr>
          <w:lang w:val="fr-FR"/>
        </w:rPr>
        <w:t>5</w:t>
      </w:r>
      <w:r w:rsidR="00742884" w:rsidRPr="00742884">
        <w:rPr>
          <w:lang w:val="fr-FR"/>
        </w:rPr>
        <w:t>.</w:t>
      </w:r>
      <w:r>
        <w:rPr>
          <w:lang w:val="fr-FR"/>
        </w:rPr>
        <w:tab/>
        <w:t>On estime qu</w:t>
      </w:r>
      <w:r w:rsidR="008A4BFA">
        <w:rPr>
          <w:lang w:val="fr-FR"/>
        </w:rPr>
        <w:t>’</w:t>
      </w:r>
      <w:r>
        <w:rPr>
          <w:lang w:val="fr-FR"/>
        </w:rPr>
        <w:t>à l</w:t>
      </w:r>
      <w:r w:rsidR="008A4BFA">
        <w:rPr>
          <w:lang w:val="fr-FR"/>
        </w:rPr>
        <w:t>’</w:t>
      </w:r>
      <w:r>
        <w:rPr>
          <w:lang w:val="fr-FR"/>
        </w:rPr>
        <w:t>échelle mondiale, plusieurs centaines de millions de ces bouteilles non rechargeables sont mises sur le marché chaque année</w:t>
      </w:r>
      <w:r w:rsidR="00742884" w:rsidRPr="00742884">
        <w:rPr>
          <w:lang w:val="fr-FR"/>
        </w:rPr>
        <w:t>.</w:t>
      </w:r>
      <w:r>
        <w:rPr>
          <w:lang w:val="fr-FR"/>
        </w:rPr>
        <w:t xml:space="preserve"> Elles sont principalement utilisées dans les domaines de l</w:t>
      </w:r>
      <w:r w:rsidR="008A4BFA">
        <w:rPr>
          <w:lang w:val="fr-FR"/>
        </w:rPr>
        <w:t>’</w:t>
      </w:r>
      <w:r>
        <w:rPr>
          <w:lang w:val="fr-FR"/>
        </w:rPr>
        <w:t>alimentation, de la médecine et de la sécurité</w:t>
      </w:r>
      <w:r w:rsidR="00742884" w:rsidRPr="00742884">
        <w:rPr>
          <w:lang w:val="fr-FR"/>
        </w:rPr>
        <w:t>.</w:t>
      </w:r>
    </w:p>
    <w:p w14:paraId="08930603" w14:textId="7FB52FC7" w:rsidR="000139EC" w:rsidRPr="006A05EC" w:rsidRDefault="000139EC" w:rsidP="000139EC">
      <w:pPr>
        <w:pStyle w:val="SingleTxtG"/>
      </w:pPr>
      <w:r w:rsidRPr="00742884">
        <w:rPr>
          <w:lang w:val="fr-FR"/>
        </w:rPr>
        <w:t>6</w:t>
      </w:r>
      <w:r w:rsidR="00742884" w:rsidRPr="00742884">
        <w:rPr>
          <w:lang w:val="fr-FR"/>
        </w:rPr>
        <w:t>.</w:t>
      </w:r>
      <w:r>
        <w:rPr>
          <w:lang w:val="fr-FR"/>
        </w:rPr>
        <w:tab/>
        <w:t xml:space="preserve">On trouvera en annexe des exemples illustrant </w:t>
      </w:r>
      <w:r w:rsidRPr="00973FDB">
        <w:rPr>
          <w:lang w:val="fr-FR"/>
        </w:rPr>
        <w:t>les difficultés liées à l</w:t>
      </w:r>
      <w:r w:rsidR="008A4BFA">
        <w:rPr>
          <w:lang w:val="fr-FR"/>
        </w:rPr>
        <w:t>’</w:t>
      </w:r>
      <w:r w:rsidRPr="00973FDB">
        <w:rPr>
          <w:lang w:val="fr-FR"/>
        </w:rPr>
        <w:t>apposition de marques sur ces bouteilles</w:t>
      </w:r>
      <w:r w:rsidR="00742884" w:rsidRPr="00742884">
        <w:rPr>
          <w:lang w:val="fr-FR"/>
        </w:rPr>
        <w:t>.</w:t>
      </w:r>
    </w:p>
    <w:p w14:paraId="0B5A4AD4" w14:textId="707E377B" w:rsidR="000139EC" w:rsidRPr="006A05EC" w:rsidRDefault="000139EC" w:rsidP="000139EC">
      <w:pPr>
        <w:pStyle w:val="HChG"/>
      </w:pPr>
      <w:r>
        <w:rPr>
          <w:lang w:val="fr-FR"/>
        </w:rPr>
        <w:lastRenderedPageBreak/>
        <w:tab/>
        <w:t>II</w:t>
      </w:r>
      <w:r w:rsidR="00742884" w:rsidRPr="00742884">
        <w:rPr>
          <w:lang w:val="fr-FR"/>
        </w:rPr>
        <w:t>.</w:t>
      </w:r>
      <w:r>
        <w:rPr>
          <w:lang w:val="fr-FR"/>
        </w:rPr>
        <w:tab/>
        <w:t>Proposition</w:t>
      </w:r>
    </w:p>
    <w:p w14:paraId="21F5612A" w14:textId="6C0B8D8F" w:rsidR="000139EC" w:rsidRPr="006A05EC" w:rsidRDefault="000139EC" w:rsidP="000139EC">
      <w:pPr>
        <w:pStyle w:val="SingleTxtG"/>
      </w:pPr>
      <w:r w:rsidRPr="00742884">
        <w:rPr>
          <w:lang w:val="fr-FR"/>
        </w:rPr>
        <w:t>7</w:t>
      </w:r>
      <w:r w:rsidR="00742884" w:rsidRPr="00742884">
        <w:rPr>
          <w:lang w:val="fr-FR"/>
        </w:rPr>
        <w:t>.</w:t>
      </w:r>
      <w:r>
        <w:rPr>
          <w:lang w:val="fr-FR"/>
        </w:rPr>
        <w:tab/>
        <w:t>L</w:t>
      </w:r>
      <w:r w:rsidR="008A4BFA">
        <w:rPr>
          <w:lang w:val="fr-FR"/>
        </w:rPr>
        <w:t>’</w:t>
      </w:r>
      <w:r>
        <w:rPr>
          <w:lang w:val="fr-FR"/>
        </w:rPr>
        <w:t>ECMA propose d</w:t>
      </w:r>
      <w:r w:rsidR="008A4BFA">
        <w:rPr>
          <w:lang w:val="fr-FR"/>
        </w:rPr>
        <w:t>’</w:t>
      </w:r>
      <w:r>
        <w:rPr>
          <w:lang w:val="fr-FR"/>
        </w:rPr>
        <w:t xml:space="preserve">ajouter un nouveau paragraphe au </w:t>
      </w:r>
      <w:r w:rsidRPr="00742884">
        <w:rPr>
          <w:lang w:val="fr-FR"/>
        </w:rPr>
        <w:t>6</w:t>
      </w:r>
      <w:r w:rsidR="00742884" w:rsidRPr="00742884">
        <w:rPr>
          <w:lang w:val="fr-FR"/>
        </w:rPr>
        <w:t>.</w:t>
      </w:r>
      <w:r w:rsidRPr="00742884">
        <w:rPr>
          <w:lang w:val="fr-FR"/>
        </w:rPr>
        <w:t>2</w:t>
      </w:r>
      <w:r w:rsidR="00742884" w:rsidRPr="00742884">
        <w:rPr>
          <w:lang w:val="fr-FR"/>
        </w:rPr>
        <w:t>.</w:t>
      </w:r>
      <w:r w:rsidRPr="00742884">
        <w:rPr>
          <w:lang w:val="fr-FR"/>
        </w:rPr>
        <w:t>2</w:t>
      </w:r>
      <w:r w:rsidR="00742884" w:rsidRPr="00742884">
        <w:rPr>
          <w:lang w:val="fr-FR"/>
        </w:rPr>
        <w:t>.</w:t>
      </w:r>
      <w:r w:rsidRPr="00742884">
        <w:rPr>
          <w:lang w:val="fr-FR"/>
        </w:rPr>
        <w:t>8</w:t>
      </w:r>
      <w:r w:rsidR="00742884" w:rsidRPr="00742884">
        <w:rPr>
          <w:lang w:val="fr-FR"/>
        </w:rPr>
        <w:t>.</w:t>
      </w:r>
      <w:r w:rsidRPr="00742884">
        <w:rPr>
          <w:lang w:val="fr-FR"/>
        </w:rPr>
        <w:t>1</w:t>
      </w:r>
      <w:r>
        <w:rPr>
          <w:lang w:val="fr-FR"/>
        </w:rPr>
        <w:t xml:space="preserve"> pour tenir compte des conditions particulières de marquage des bouteilles non rechargeables «</w:t>
      </w:r>
      <w:r w:rsidR="0029564F">
        <w:rPr>
          <w:lang w:val="fr-FR"/>
        </w:rPr>
        <w:t> </w:t>
      </w:r>
      <w:r>
        <w:rPr>
          <w:lang w:val="fr-FR"/>
        </w:rPr>
        <w:t>UN</w:t>
      </w:r>
      <w:r w:rsidR="0029564F">
        <w:rPr>
          <w:lang w:val="fr-FR"/>
        </w:rPr>
        <w:t> </w:t>
      </w:r>
      <w:r>
        <w:rPr>
          <w:lang w:val="fr-FR"/>
        </w:rPr>
        <w:t xml:space="preserve">» avec un diamètre inférieur ou égal à </w:t>
      </w:r>
      <w:r w:rsidRPr="00742884">
        <w:rPr>
          <w:lang w:val="fr-FR"/>
        </w:rPr>
        <w:t>40</w:t>
      </w:r>
      <w:r>
        <w:rPr>
          <w:lang w:val="fr-FR"/>
        </w:rPr>
        <w:t xml:space="preserve"> mm</w:t>
      </w:r>
      <w:r w:rsidR="00742884" w:rsidRPr="00742884">
        <w:rPr>
          <w:lang w:val="fr-FR"/>
        </w:rPr>
        <w:t>.</w:t>
      </w:r>
    </w:p>
    <w:p w14:paraId="5D9D39EF" w14:textId="674D129A" w:rsidR="000139EC" w:rsidRPr="006A05EC" w:rsidRDefault="000139EC" w:rsidP="000139EC">
      <w:pPr>
        <w:pStyle w:val="SingleTxtG"/>
      </w:pPr>
      <w:r w:rsidRPr="00742884">
        <w:rPr>
          <w:lang w:val="fr-FR"/>
        </w:rPr>
        <w:t>8</w:t>
      </w:r>
      <w:r w:rsidR="00742884" w:rsidRPr="00742884">
        <w:rPr>
          <w:lang w:val="fr-FR"/>
        </w:rPr>
        <w:t>.</w:t>
      </w:r>
      <w:r>
        <w:rPr>
          <w:lang w:val="fr-FR"/>
        </w:rPr>
        <w:tab/>
        <w:t xml:space="preserve">Ajouter un nouveau paragraphe à la fin du </w:t>
      </w:r>
      <w:r w:rsidRPr="00742884">
        <w:rPr>
          <w:lang w:val="fr-FR"/>
        </w:rPr>
        <w:t>6</w:t>
      </w:r>
      <w:r w:rsidR="00742884" w:rsidRPr="00742884">
        <w:rPr>
          <w:lang w:val="fr-FR"/>
        </w:rPr>
        <w:t>.</w:t>
      </w:r>
      <w:r w:rsidRPr="00742884">
        <w:rPr>
          <w:lang w:val="fr-FR"/>
        </w:rPr>
        <w:t>2</w:t>
      </w:r>
      <w:r w:rsidR="00742884" w:rsidRPr="00742884">
        <w:rPr>
          <w:lang w:val="fr-FR"/>
        </w:rPr>
        <w:t>.</w:t>
      </w:r>
      <w:r w:rsidRPr="00742884">
        <w:rPr>
          <w:lang w:val="fr-FR"/>
        </w:rPr>
        <w:t>2</w:t>
      </w:r>
      <w:r w:rsidR="00742884" w:rsidRPr="00742884">
        <w:rPr>
          <w:lang w:val="fr-FR"/>
        </w:rPr>
        <w:t>.</w:t>
      </w:r>
      <w:r w:rsidRPr="00742884">
        <w:rPr>
          <w:lang w:val="fr-FR"/>
        </w:rPr>
        <w:t>8</w:t>
      </w:r>
      <w:r w:rsidR="00742884" w:rsidRPr="00742884">
        <w:rPr>
          <w:lang w:val="fr-FR"/>
        </w:rPr>
        <w:t>.</w:t>
      </w:r>
      <w:r w:rsidRPr="00742884">
        <w:rPr>
          <w:lang w:val="fr-FR"/>
        </w:rPr>
        <w:t>1</w:t>
      </w:r>
      <w:r>
        <w:rPr>
          <w:lang w:val="fr-FR"/>
        </w:rPr>
        <w:t xml:space="preserve"> (les modifications qu</w:t>
      </w:r>
      <w:r w:rsidR="008A4BFA">
        <w:rPr>
          <w:lang w:val="fr-FR"/>
        </w:rPr>
        <w:t>’</w:t>
      </w:r>
      <w:r>
        <w:rPr>
          <w:lang w:val="fr-FR"/>
        </w:rPr>
        <w:t>il est proposé d</w:t>
      </w:r>
      <w:r w:rsidR="008A4BFA">
        <w:rPr>
          <w:lang w:val="fr-FR"/>
        </w:rPr>
        <w:t>’</w:t>
      </w:r>
      <w:r>
        <w:rPr>
          <w:lang w:val="fr-FR"/>
        </w:rPr>
        <w:t xml:space="preserve">apporter au texte actuel figurent en caractères </w:t>
      </w:r>
      <w:r w:rsidRPr="00126F2D">
        <w:rPr>
          <w:u w:val="single"/>
          <w:lang w:val="fr-FR"/>
        </w:rPr>
        <w:t>soulignés</w:t>
      </w:r>
      <w:r>
        <w:rPr>
          <w:lang w:val="fr-FR"/>
        </w:rPr>
        <w:t xml:space="preserve"> pour les ajouts)</w:t>
      </w:r>
      <w:r w:rsidR="008A4BFA">
        <w:rPr>
          <w:lang w:val="fr-FR"/>
        </w:rPr>
        <w:t> :</w:t>
      </w:r>
    </w:p>
    <w:p w14:paraId="73C47012" w14:textId="08412762" w:rsidR="000139EC" w:rsidRPr="006A05EC" w:rsidRDefault="000139EC" w:rsidP="000139EC">
      <w:pPr>
        <w:pStyle w:val="SingleTxtG"/>
        <w:ind w:left="1701"/>
        <w:rPr>
          <w:u w:val="single"/>
        </w:rPr>
      </w:pPr>
      <w:r>
        <w:rPr>
          <w:lang w:val="fr-FR"/>
        </w:rPr>
        <w:t>« </w:t>
      </w:r>
      <w:r w:rsidRPr="00973FDB">
        <w:rPr>
          <w:u w:val="single"/>
          <w:lang w:val="fr-FR"/>
        </w:rPr>
        <w:t xml:space="preserve">Les </w:t>
      </w:r>
      <w:r>
        <w:rPr>
          <w:u w:val="single"/>
          <w:lang w:val="fr-FR"/>
        </w:rPr>
        <w:t>bouteilles non rechargea</w:t>
      </w:r>
      <w:r w:rsidRPr="002A48E7">
        <w:rPr>
          <w:u w:val="single"/>
          <w:lang w:val="fr-FR"/>
        </w:rPr>
        <w:t xml:space="preserve">bles </w:t>
      </w:r>
      <w:r w:rsidR="002A48E7" w:rsidRPr="002A48E7">
        <w:rPr>
          <w:u w:val="single"/>
        </w:rPr>
        <w:t>“</w:t>
      </w:r>
      <w:r w:rsidRPr="002A48E7">
        <w:rPr>
          <w:u w:val="single"/>
          <w:lang w:val="fr-FR"/>
        </w:rPr>
        <w:t>UN</w:t>
      </w:r>
      <w:r w:rsidR="002A48E7" w:rsidRPr="002A48E7">
        <w:rPr>
          <w:u w:val="single"/>
        </w:rPr>
        <w:t>”</w:t>
      </w:r>
      <w:r w:rsidRPr="002A48E7">
        <w:rPr>
          <w:u w:val="single"/>
          <w:lang w:val="fr-FR"/>
        </w:rPr>
        <w:t xml:space="preserve"> sans</w:t>
      </w:r>
      <w:r>
        <w:rPr>
          <w:u w:val="single"/>
          <w:lang w:val="fr-FR"/>
        </w:rPr>
        <w:t xml:space="preserve"> soudures avec un diamètre inférieur ou égal à </w:t>
      </w:r>
      <w:r w:rsidRPr="00742884">
        <w:rPr>
          <w:u w:val="single"/>
          <w:lang w:val="fr-FR"/>
        </w:rPr>
        <w:t>40</w:t>
      </w:r>
      <w:r w:rsidR="0029564F">
        <w:rPr>
          <w:u w:val="single"/>
          <w:lang w:val="fr-FR"/>
        </w:rPr>
        <w:t> </w:t>
      </w:r>
      <w:r>
        <w:rPr>
          <w:u w:val="single"/>
          <w:lang w:val="fr-FR"/>
        </w:rPr>
        <w:t xml:space="preserve">mm peuvent aussi être marquées de façon permanente (par exemple au stencil, par poinçonnage, </w:t>
      </w:r>
      <w:proofErr w:type="spellStart"/>
      <w:r>
        <w:rPr>
          <w:u w:val="single"/>
          <w:lang w:val="fr-FR"/>
        </w:rPr>
        <w:t>gravage</w:t>
      </w:r>
      <w:proofErr w:type="spellEnd"/>
      <w:r>
        <w:rPr>
          <w:u w:val="single"/>
          <w:lang w:val="fr-FR"/>
        </w:rPr>
        <w:t xml:space="preserve"> ou attaque) sur leurs parois latérales, à condition de ne provoquer aucune concentration de contraintes dangereuses et de maintenir l</w:t>
      </w:r>
      <w:r w:rsidR="008A4BFA">
        <w:rPr>
          <w:u w:val="single"/>
          <w:lang w:val="fr-FR"/>
        </w:rPr>
        <w:t>’</w:t>
      </w:r>
      <w:r>
        <w:rPr>
          <w:u w:val="single"/>
          <w:lang w:val="fr-FR"/>
        </w:rPr>
        <w:t>épaisseur minimale de la paroi du corps cylindrique</w:t>
      </w:r>
      <w:r w:rsidR="00742884" w:rsidRPr="00742884">
        <w:rPr>
          <w:u w:val="single"/>
          <w:lang w:val="fr-FR"/>
        </w:rPr>
        <w:t>.</w:t>
      </w:r>
      <w:r w:rsidRPr="00126F2D">
        <w:rPr>
          <w:u w:val="single"/>
          <w:lang w:val="fr-FR"/>
        </w:rPr>
        <w:t xml:space="preserve"> La dimension minimale des marques doit être de </w:t>
      </w:r>
      <w:r w:rsidRPr="00742884">
        <w:rPr>
          <w:u w:val="single"/>
          <w:lang w:val="fr-FR"/>
        </w:rPr>
        <w:t>1</w:t>
      </w:r>
      <w:r w:rsidRPr="00126F2D">
        <w:rPr>
          <w:u w:val="single"/>
          <w:lang w:val="fr-FR"/>
        </w:rPr>
        <w:t>,</w:t>
      </w:r>
      <w:r w:rsidRPr="00742884">
        <w:rPr>
          <w:u w:val="single"/>
          <w:lang w:val="fr-FR"/>
        </w:rPr>
        <w:t>5</w:t>
      </w:r>
      <w:r w:rsidR="0029564F">
        <w:rPr>
          <w:u w:val="single"/>
          <w:lang w:val="fr-FR"/>
        </w:rPr>
        <w:t> </w:t>
      </w:r>
      <w:r w:rsidRPr="00126F2D">
        <w:rPr>
          <w:u w:val="single"/>
          <w:lang w:val="fr-FR"/>
        </w:rPr>
        <w:t>mm</w:t>
      </w:r>
      <w:r w:rsidR="00742884" w:rsidRPr="00742884">
        <w:rPr>
          <w:u w:val="single"/>
          <w:lang w:val="fr-FR"/>
        </w:rPr>
        <w:t>.</w:t>
      </w:r>
      <w:r w:rsidRPr="00126F2D">
        <w:rPr>
          <w:u w:val="single"/>
          <w:lang w:val="fr-FR"/>
        </w:rPr>
        <w:t xml:space="preserve"> Pour la marque </w:t>
      </w:r>
      <w:r w:rsidR="002A48E7" w:rsidRPr="002A48E7">
        <w:rPr>
          <w:u w:val="single"/>
        </w:rPr>
        <w:t>“</w:t>
      </w:r>
      <w:r w:rsidR="002A48E7" w:rsidRPr="002A48E7">
        <w:rPr>
          <w:u w:val="single"/>
          <w:lang w:val="fr-FR"/>
        </w:rPr>
        <w:t>UN</w:t>
      </w:r>
      <w:r w:rsidR="002A48E7" w:rsidRPr="002A48E7">
        <w:rPr>
          <w:u w:val="single"/>
        </w:rPr>
        <w:t>”</w:t>
      </w:r>
      <w:r w:rsidR="002A48E7">
        <w:rPr>
          <w:u w:val="single"/>
          <w:lang w:val="fr-FR"/>
        </w:rPr>
        <w:t xml:space="preserve">, </w:t>
      </w:r>
      <w:r w:rsidRPr="00126F2D">
        <w:rPr>
          <w:u w:val="single"/>
          <w:lang w:val="fr-FR"/>
        </w:rPr>
        <w:t xml:space="preserve">la dimension minimale doit être de </w:t>
      </w:r>
      <w:r w:rsidRPr="00742884">
        <w:rPr>
          <w:u w:val="single"/>
          <w:lang w:val="fr-FR"/>
        </w:rPr>
        <w:t>3</w:t>
      </w:r>
      <w:r w:rsidR="0029564F">
        <w:rPr>
          <w:u w:val="single"/>
          <w:lang w:val="fr-FR"/>
        </w:rPr>
        <w:t> </w:t>
      </w:r>
      <w:r w:rsidRPr="00126F2D">
        <w:rPr>
          <w:u w:val="single"/>
          <w:lang w:val="fr-FR"/>
        </w:rPr>
        <w:t>mm</w:t>
      </w:r>
      <w:r w:rsidR="00742884" w:rsidRPr="00742884">
        <w:rPr>
          <w:u w:val="single"/>
          <w:lang w:val="fr-FR"/>
        </w:rPr>
        <w:t>.</w:t>
      </w:r>
      <w:r w:rsidRPr="00126F2D">
        <w:rPr>
          <w:u w:val="single"/>
          <w:lang w:val="fr-FR"/>
        </w:rPr>
        <w:t xml:space="preserve"> Pour la marque </w:t>
      </w:r>
      <w:r w:rsidR="002A48E7" w:rsidRPr="002A48E7">
        <w:rPr>
          <w:u w:val="single"/>
        </w:rPr>
        <w:t>“</w:t>
      </w:r>
      <w:r w:rsidRPr="00126F2D">
        <w:rPr>
          <w:u w:val="single"/>
          <w:lang w:val="fr-FR"/>
        </w:rPr>
        <w:t>NE PAS RECHARGER</w:t>
      </w:r>
      <w:r w:rsidR="002A48E7" w:rsidRPr="002A48E7">
        <w:rPr>
          <w:u w:val="single"/>
        </w:rPr>
        <w:t>”</w:t>
      </w:r>
      <w:r w:rsidRPr="00126F2D">
        <w:rPr>
          <w:u w:val="single"/>
          <w:lang w:val="fr-FR"/>
        </w:rPr>
        <w:t xml:space="preserve">, la dimension minimale doit être de </w:t>
      </w:r>
      <w:r w:rsidRPr="00742884">
        <w:rPr>
          <w:u w:val="single"/>
          <w:lang w:val="fr-FR"/>
        </w:rPr>
        <w:t>3</w:t>
      </w:r>
      <w:r w:rsidR="0029564F">
        <w:rPr>
          <w:u w:val="single"/>
          <w:lang w:val="fr-FR"/>
        </w:rPr>
        <w:t> </w:t>
      </w:r>
      <w:r w:rsidRPr="00126F2D">
        <w:rPr>
          <w:u w:val="single"/>
          <w:lang w:val="fr-FR"/>
        </w:rPr>
        <w:t>mm</w:t>
      </w:r>
      <w:r w:rsidR="00742884" w:rsidRPr="00742884">
        <w:rPr>
          <w:u w:val="single"/>
          <w:lang w:val="fr-FR"/>
        </w:rPr>
        <w:t>.</w:t>
      </w:r>
      <w:r>
        <w:rPr>
          <w:lang w:val="fr-FR"/>
        </w:rPr>
        <w:t> »</w:t>
      </w:r>
      <w:r w:rsidR="00742884" w:rsidRPr="00742884">
        <w:rPr>
          <w:lang w:val="fr-FR"/>
        </w:rPr>
        <w:t>.</w:t>
      </w:r>
    </w:p>
    <w:p w14:paraId="520C521B" w14:textId="312ED7E1" w:rsidR="000139EC" w:rsidRPr="006A05EC" w:rsidRDefault="000139EC" w:rsidP="000139EC">
      <w:pPr>
        <w:pStyle w:val="HChG"/>
      </w:pPr>
      <w:r>
        <w:rPr>
          <w:lang w:val="fr-FR"/>
        </w:rPr>
        <w:tab/>
        <w:t>III</w:t>
      </w:r>
      <w:r w:rsidR="00742884" w:rsidRPr="00742884">
        <w:rPr>
          <w:lang w:val="fr-FR"/>
        </w:rPr>
        <w:t>.</w:t>
      </w:r>
      <w:r>
        <w:rPr>
          <w:lang w:val="fr-FR"/>
        </w:rPr>
        <w:tab/>
        <w:t>Justification et objectifs de développement durable</w:t>
      </w:r>
    </w:p>
    <w:p w14:paraId="3DB6C17B" w14:textId="19A41096" w:rsidR="000139EC" w:rsidRPr="006A05EC" w:rsidRDefault="000139EC" w:rsidP="000139EC">
      <w:pPr>
        <w:pStyle w:val="SingleTxtG"/>
      </w:pPr>
      <w:r w:rsidRPr="00742884">
        <w:rPr>
          <w:lang w:val="fr-FR"/>
        </w:rPr>
        <w:t>9</w:t>
      </w:r>
      <w:r w:rsidR="00742884" w:rsidRPr="00742884">
        <w:rPr>
          <w:lang w:val="fr-FR"/>
        </w:rPr>
        <w:t>.</w:t>
      </w:r>
      <w:r>
        <w:rPr>
          <w:lang w:val="fr-FR"/>
        </w:rPr>
        <w:tab/>
        <w:t>Aucune incidence sur la sécurité n</w:t>
      </w:r>
      <w:r w:rsidR="008A4BFA">
        <w:rPr>
          <w:lang w:val="fr-FR"/>
        </w:rPr>
        <w:t>’</w:t>
      </w:r>
      <w:r>
        <w:rPr>
          <w:lang w:val="fr-FR"/>
        </w:rPr>
        <w:t>est à prévoir</w:t>
      </w:r>
      <w:r w:rsidR="00742884" w:rsidRPr="00742884">
        <w:rPr>
          <w:lang w:val="fr-FR"/>
        </w:rPr>
        <w:t>.</w:t>
      </w:r>
      <w:r>
        <w:rPr>
          <w:lang w:val="fr-FR"/>
        </w:rPr>
        <w:t xml:space="preserve"> Si la présente proposition était acceptée, elle permettrait d</w:t>
      </w:r>
      <w:r w:rsidR="008A4BFA">
        <w:rPr>
          <w:lang w:val="fr-FR"/>
        </w:rPr>
        <w:t>’</w:t>
      </w:r>
      <w:r>
        <w:rPr>
          <w:lang w:val="fr-FR"/>
        </w:rPr>
        <w:t xml:space="preserve">améliorer la lisibilité des marquages sur les bouteilles non rechargeables avec un diamètre inférieur ou égal à </w:t>
      </w:r>
      <w:r w:rsidRPr="00742884">
        <w:rPr>
          <w:lang w:val="fr-FR"/>
        </w:rPr>
        <w:t>40</w:t>
      </w:r>
      <w:r>
        <w:rPr>
          <w:lang w:val="fr-FR"/>
        </w:rPr>
        <w:t xml:space="preserve"> mm</w:t>
      </w:r>
      <w:r w:rsidR="00742884" w:rsidRPr="00742884">
        <w:rPr>
          <w:lang w:val="fr-FR"/>
        </w:rPr>
        <w:t>.</w:t>
      </w:r>
    </w:p>
    <w:p w14:paraId="27296633" w14:textId="6383EB07" w:rsidR="000139EC" w:rsidRDefault="000139EC" w:rsidP="000139EC">
      <w:pPr>
        <w:pStyle w:val="SingleTxtG"/>
      </w:pPr>
      <w:r w:rsidRPr="00742884">
        <w:rPr>
          <w:lang w:val="fr-FR"/>
        </w:rPr>
        <w:t>10</w:t>
      </w:r>
      <w:r w:rsidR="00742884" w:rsidRPr="00742884">
        <w:rPr>
          <w:lang w:val="fr-FR"/>
        </w:rPr>
        <w:t>.</w:t>
      </w:r>
      <w:r>
        <w:rPr>
          <w:lang w:val="fr-FR"/>
        </w:rPr>
        <w:tab/>
        <w:t>La présente proposition contribue à la réalisation de l</w:t>
      </w:r>
      <w:r w:rsidR="008A4BFA">
        <w:rPr>
          <w:lang w:val="fr-FR"/>
        </w:rPr>
        <w:t>’</w:t>
      </w:r>
      <w:r>
        <w:rPr>
          <w:lang w:val="fr-FR"/>
        </w:rPr>
        <w:t xml:space="preserve">objectif de développement durable </w:t>
      </w:r>
      <w:r w:rsidR="008A4BFA">
        <w:rPr>
          <w:lang w:val="fr-FR"/>
        </w:rPr>
        <w:t>n</w:t>
      </w:r>
      <w:r w:rsidR="008A4BFA" w:rsidRPr="008A4BFA">
        <w:rPr>
          <w:vertAlign w:val="superscript"/>
          <w:lang w:val="fr-FR"/>
        </w:rPr>
        <w:t>o</w:t>
      </w:r>
      <w:r>
        <w:rPr>
          <w:lang w:val="fr-FR"/>
        </w:rPr>
        <w:t> </w:t>
      </w:r>
      <w:r w:rsidRPr="00742884">
        <w:rPr>
          <w:lang w:val="fr-FR"/>
        </w:rPr>
        <w:t>9</w:t>
      </w:r>
      <w:r>
        <w:rPr>
          <w:lang w:val="fr-FR"/>
        </w:rPr>
        <w:t xml:space="preserve"> (Industrie, innovation et infrastructure)</w:t>
      </w:r>
      <w:r w:rsidR="00742884" w:rsidRPr="00742884">
        <w:rPr>
          <w:lang w:val="fr-FR"/>
        </w:rPr>
        <w:t>.</w:t>
      </w:r>
    </w:p>
    <w:p w14:paraId="7B266C52" w14:textId="77777777" w:rsidR="000139EC" w:rsidRDefault="000139EC" w:rsidP="000139EC">
      <w:pPr>
        <w:pStyle w:val="SingleTxtG"/>
      </w:pPr>
    </w:p>
    <w:p w14:paraId="7A42762F" w14:textId="03414CA8" w:rsidR="000139EC" w:rsidRPr="006A05EC" w:rsidRDefault="000139EC" w:rsidP="000139EC">
      <w:pPr>
        <w:pStyle w:val="SingleTxtG"/>
      </w:pPr>
      <w:r w:rsidRPr="006A05EC">
        <w:br w:type="page"/>
      </w:r>
    </w:p>
    <w:p w14:paraId="62BCEA19" w14:textId="77777777" w:rsidR="000139EC" w:rsidRPr="006A05EC" w:rsidRDefault="000139EC" w:rsidP="000139EC">
      <w:pPr>
        <w:pStyle w:val="HChG"/>
      </w:pPr>
      <w:r>
        <w:rPr>
          <w:lang w:val="fr-FR"/>
        </w:rPr>
        <w:lastRenderedPageBreak/>
        <w:t>Annexe</w:t>
      </w:r>
    </w:p>
    <w:p w14:paraId="046DB932" w14:textId="77777777" w:rsidR="000139EC" w:rsidRDefault="000139EC" w:rsidP="000139EC">
      <w:pPr>
        <w:pStyle w:val="HChG"/>
      </w:pPr>
      <w:r>
        <w:rPr>
          <w:lang w:val="fr-FR"/>
        </w:rPr>
        <w:tab/>
      </w:r>
      <w:r>
        <w:rPr>
          <w:lang w:val="fr-FR"/>
        </w:rPr>
        <w:tab/>
        <w:t>Exemples de marques sur des petites bouteilles</w:t>
      </w:r>
      <w:r w:rsidRPr="00742884">
        <w:rPr>
          <w:rStyle w:val="FootnoteReference"/>
          <w:b w:val="0"/>
          <w:bCs/>
          <w:position w:val="4"/>
        </w:rPr>
        <w:footnoteReference w:id="3"/>
      </w:r>
    </w:p>
    <w:p w14:paraId="00666D2A" w14:textId="77777777" w:rsidR="000139EC" w:rsidRDefault="000139EC" w:rsidP="000139EC">
      <w:pPr>
        <w:rPr>
          <w:u w:val="single"/>
        </w:rPr>
      </w:pPr>
      <w:r w:rsidRPr="00ED6854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8B2EDC" wp14:editId="75CBAE68">
                <wp:simplePos x="0" y="0"/>
                <wp:positionH relativeFrom="column">
                  <wp:posOffset>97790</wp:posOffset>
                </wp:positionH>
                <wp:positionV relativeFrom="paragraph">
                  <wp:posOffset>619760</wp:posOffset>
                </wp:positionV>
                <wp:extent cx="1701800" cy="1876425"/>
                <wp:effectExtent l="0" t="0" r="1270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10CF5" w14:textId="7EA19481" w:rsidR="000139EC" w:rsidRPr="006A05EC" w:rsidRDefault="000139EC" w:rsidP="000139EC">
                            <w:r>
                              <w:rPr>
                                <w:lang w:val="fr-FR"/>
                              </w:rPr>
                              <w:t>Exemple de deux bouteilles</w:t>
                            </w:r>
                            <w:r w:rsidR="00742884">
                              <w:rPr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lang w:val="fr-FR"/>
                              </w:rPr>
                              <w:t>: La bouteille de gauche, d’une longueur totale de 82 mm et</w:t>
                            </w:r>
                            <w:r w:rsidR="00742884">
                              <w:rPr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lang w:val="fr-FR"/>
                              </w:rPr>
                              <w:t>d’un diamètre de 18 mm, est</w:t>
                            </w:r>
                            <w:r w:rsidR="00742884">
                              <w:rPr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lang w:val="fr-FR"/>
                              </w:rPr>
                              <w:t>marquée conformément au 6.2.2.8.</w:t>
                            </w:r>
                          </w:p>
                          <w:p w14:paraId="7C2B1227" w14:textId="5840D8A9" w:rsidR="000139EC" w:rsidRPr="006A05EC" w:rsidRDefault="000139EC" w:rsidP="000139EC">
                            <w:r>
                              <w:rPr>
                                <w:lang w:val="fr-FR"/>
                              </w:rPr>
                              <w:t>À titre de comparaison, on</w:t>
                            </w:r>
                            <w:r w:rsidR="00742884">
                              <w:rPr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lang w:val="fr-FR"/>
                              </w:rPr>
                              <w:t>trouve à droite une bouteille de 65 mm de</w:t>
                            </w:r>
                            <w:r w:rsidR="00742884">
                              <w:rPr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lang w:val="fr-FR"/>
                              </w:rPr>
                              <w:t>longueur totale et de 18</w:t>
                            </w:r>
                            <w:r w:rsidR="00742884">
                              <w:rPr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lang w:val="fr-FR"/>
                              </w:rPr>
                              <w:t>mm de diamètre.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B2E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7pt;margin-top:48.8pt;width:134pt;height:14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">
                <v:textbox>
                  <w:txbxContent>
                    <w:p w14:paraId="6F110CF5" w14:textId="7EA19481" w:rsidR="000139EC" w:rsidRPr="006A05EC" w:rsidRDefault="000139EC" w:rsidP="000139EC">
                      <w:r>
                        <w:rPr>
                          <w:lang w:val="fr-FR"/>
                        </w:rPr>
                        <w:t>Exemple de deux bouteilles</w:t>
                      </w:r>
                      <w:r w:rsidR="00742884">
                        <w:rPr>
                          <w:lang w:val="fr-FR"/>
                        </w:rPr>
                        <w:t> </w:t>
                      </w:r>
                      <w:r>
                        <w:rPr>
                          <w:lang w:val="fr-FR"/>
                        </w:rPr>
                        <w:t>: La bouteille de gauche, d’une longueur totale de 82 mm et</w:t>
                      </w:r>
                      <w:r w:rsidR="00742884">
                        <w:rPr>
                          <w:lang w:val="fr-FR"/>
                        </w:rPr>
                        <w:t> </w:t>
                      </w:r>
                      <w:r>
                        <w:rPr>
                          <w:lang w:val="fr-FR"/>
                        </w:rPr>
                        <w:t>d’un diamètre de 18 mm, est</w:t>
                      </w:r>
                      <w:r w:rsidR="00742884">
                        <w:rPr>
                          <w:lang w:val="fr-FR"/>
                        </w:rPr>
                        <w:t> </w:t>
                      </w:r>
                      <w:r>
                        <w:rPr>
                          <w:lang w:val="fr-FR"/>
                        </w:rPr>
                        <w:t>marquée conformément au 6.2.2.8.</w:t>
                      </w:r>
                    </w:p>
                    <w:p w14:paraId="7C2B1227" w14:textId="5840D8A9" w:rsidR="000139EC" w:rsidRPr="006A05EC" w:rsidRDefault="000139EC" w:rsidP="000139EC">
                      <w:r>
                        <w:rPr>
                          <w:lang w:val="fr-FR"/>
                        </w:rPr>
                        <w:t>À titre de comparaison, on</w:t>
                      </w:r>
                      <w:r w:rsidR="00742884">
                        <w:rPr>
                          <w:lang w:val="fr-FR"/>
                        </w:rPr>
                        <w:t> </w:t>
                      </w:r>
                      <w:r>
                        <w:rPr>
                          <w:lang w:val="fr-FR"/>
                        </w:rPr>
                        <w:t>trouve à droite une bouteille de 65 mm de</w:t>
                      </w:r>
                      <w:r w:rsidR="00742884">
                        <w:rPr>
                          <w:lang w:val="fr-FR"/>
                        </w:rPr>
                        <w:t> </w:t>
                      </w:r>
                      <w:r>
                        <w:rPr>
                          <w:lang w:val="fr-FR"/>
                        </w:rPr>
                        <w:t>longueur totale et de 18</w:t>
                      </w:r>
                      <w:r w:rsidR="00742884">
                        <w:rPr>
                          <w:lang w:val="fr-FR"/>
                        </w:rPr>
                        <w:t> </w:t>
                      </w:r>
                      <w:r>
                        <w:rPr>
                          <w:lang w:val="fr-FR"/>
                        </w:rPr>
                        <w:t>mm de diamètre.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53F19">
        <w:rPr>
          <w:noProof/>
        </w:rPr>
        <w:drawing>
          <wp:inline distT="0" distB="0" distL="0" distR="0" wp14:anchorId="3D283AED" wp14:editId="4B697C73">
            <wp:extent cx="2283890" cy="3039035"/>
            <wp:effectExtent l="0" t="0" r="2540" b="0"/>
            <wp:docPr id="1374131158" name="Picture 1" descr="A pair of metal cylind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131158" name="Picture 1" descr="A pair of metal cylind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222" cy="30647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7687FF" w14:textId="77777777" w:rsidR="000139EC" w:rsidRDefault="000139EC" w:rsidP="000139EC">
      <w:pPr>
        <w:rPr>
          <w:u w:val="single"/>
        </w:rPr>
      </w:pPr>
    </w:p>
    <w:p w14:paraId="024C3422" w14:textId="77777777" w:rsidR="000139EC" w:rsidRPr="00971C63" w:rsidRDefault="000139EC" w:rsidP="000139EC">
      <w:pPr>
        <w:rPr>
          <w:u w:val="single"/>
        </w:rPr>
      </w:pPr>
    </w:p>
    <w:p w14:paraId="6F824D86" w14:textId="123BEC55" w:rsidR="00446FE5" w:rsidRDefault="000139EC" w:rsidP="000139EC">
      <w:pPr>
        <w:rPr>
          <w:u w:val="single"/>
        </w:rPr>
      </w:pPr>
      <w:r w:rsidRPr="00FA6A21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8D82643" wp14:editId="0740B40E">
                <wp:simplePos x="0" y="0"/>
                <wp:positionH relativeFrom="column">
                  <wp:posOffset>-205740</wp:posOffset>
                </wp:positionH>
                <wp:positionV relativeFrom="paragraph">
                  <wp:posOffset>633730</wp:posOffset>
                </wp:positionV>
                <wp:extent cx="2360930" cy="1061720"/>
                <wp:effectExtent l="0" t="0" r="27940" b="24130"/>
                <wp:wrapSquare wrapText="bothSides"/>
                <wp:docPr id="16391740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6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8D7F6" w14:textId="77777777" w:rsidR="000139EC" w:rsidRPr="006A05EC" w:rsidRDefault="000139EC" w:rsidP="000139EC">
                            <w:r>
                              <w:rPr>
                                <w:lang w:val="fr-FR"/>
                              </w:rPr>
                              <w:t>Exemple d’une bouteille d’un diamètre de 18 mm et d’une longueur totale de 65 mm marquée conformément à la modification proposée (et conformément à la proposition de révision de la norme ISO 11118)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82643" id="_x0000_s1027" type="#_x0000_t202" style="position:absolute;margin-left:-16.2pt;margin-top:49.9pt;width:185.9pt;height:83.6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">
                <v:textbox>
                  <w:txbxContent>
                    <w:p w14:paraId="7688D7F6" w14:textId="77777777" w:rsidR="000139EC" w:rsidRPr="006A05EC" w:rsidRDefault="000139EC" w:rsidP="000139EC">
                      <w:r>
                        <w:rPr>
                          <w:lang w:val="fr-FR"/>
                        </w:rPr>
                        <w:t>Exemple d’une bouteille d’un diamètre de 18 mm et d’une longueur totale de 65 mm marquée conformément à la modification proposée (et conformément à la proposition de révision de la norme ISO 11118)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53F19">
        <w:rPr>
          <w:noProof/>
        </w:rPr>
        <w:drawing>
          <wp:inline distT="0" distB="0" distL="0" distR="0" wp14:anchorId="58483D26" wp14:editId="665EC041">
            <wp:extent cx="3084830" cy="1877785"/>
            <wp:effectExtent l="0" t="0" r="1270" b="8255"/>
            <wp:docPr id="1309966694" name="Picture 2" descr="A metal cylinder with a screw on t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966694" name="Picture 2" descr="A metal cylinder with a screw on top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22" b="26877"/>
                    <a:stretch/>
                  </pic:blipFill>
                  <pic:spPr bwMode="auto">
                    <a:xfrm>
                      <a:off x="0" y="0"/>
                      <a:ext cx="3113001" cy="189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260F5D" w14:textId="5228471D" w:rsidR="000139EC" w:rsidRPr="000139EC" w:rsidRDefault="000139EC" w:rsidP="000139EC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0139EC" w:rsidRPr="000139EC" w:rsidSect="000139EC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B01C3" w14:textId="77777777" w:rsidR="00A009B4" w:rsidRDefault="00A009B4" w:rsidP="00F95C08">
      <w:pPr>
        <w:spacing w:line="240" w:lineRule="auto"/>
      </w:pPr>
    </w:p>
  </w:endnote>
  <w:endnote w:type="continuationSeparator" w:id="0">
    <w:p w14:paraId="5CFFD032" w14:textId="77777777" w:rsidR="00A009B4" w:rsidRPr="00AC3823" w:rsidRDefault="00A009B4" w:rsidP="00AC3823">
      <w:pPr>
        <w:pStyle w:val="Footer"/>
      </w:pPr>
    </w:p>
  </w:endnote>
  <w:endnote w:type="continuationNotice" w:id="1">
    <w:p w14:paraId="08F973E2" w14:textId="77777777" w:rsidR="00A009B4" w:rsidRDefault="00A009B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9948E" w14:textId="713DA23A" w:rsidR="000139EC" w:rsidRPr="000139EC" w:rsidRDefault="000139EC" w:rsidP="000139EC">
    <w:pPr>
      <w:pStyle w:val="Footer"/>
      <w:tabs>
        <w:tab w:val="right" w:pos="9638"/>
      </w:tabs>
    </w:pPr>
    <w:r w:rsidRPr="000139EC">
      <w:rPr>
        <w:b/>
        <w:sz w:val="18"/>
      </w:rPr>
      <w:fldChar w:fldCharType="begin"/>
    </w:r>
    <w:r w:rsidRPr="000139EC">
      <w:rPr>
        <w:b/>
        <w:sz w:val="18"/>
      </w:rPr>
      <w:instrText xml:space="preserve"> PAGE  \* MERGEFORMAT </w:instrText>
    </w:r>
    <w:r w:rsidRPr="000139EC">
      <w:rPr>
        <w:b/>
        <w:sz w:val="18"/>
      </w:rPr>
      <w:fldChar w:fldCharType="separate"/>
    </w:r>
    <w:r w:rsidRPr="000139EC">
      <w:rPr>
        <w:b/>
        <w:noProof/>
        <w:sz w:val="18"/>
      </w:rPr>
      <w:t>2</w:t>
    </w:r>
    <w:r w:rsidRPr="000139EC">
      <w:rPr>
        <w:b/>
        <w:sz w:val="18"/>
      </w:rPr>
      <w:fldChar w:fldCharType="end"/>
    </w:r>
    <w:r>
      <w:rPr>
        <w:b/>
        <w:sz w:val="18"/>
      </w:rPr>
      <w:tab/>
    </w:r>
    <w:r>
      <w:t>GE.24-15922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71743" w14:textId="2CCE5C25" w:rsidR="000139EC" w:rsidRPr="000139EC" w:rsidRDefault="000139EC" w:rsidP="000139EC">
    <w:pPr>
      <w:pStyle w:val="Footer"/>
      <w:tabs>
        <w:tab w:val="right" w:pos="9638"/>
      </w:tabs>
      <w:rPr>
        <w:b/>
        <w:sz w:val="18"/>
      </w:rPr>
    </w:pPr>
    <w:r>
      <w:t>GE.24-15922</w:t>
    </w:r>
    <w:r>
      <w:tab/>
    </w:r>
    <w:r w:rsidRPr="000139EC">
      <w:rPr>
        <w:b/>
        <w:sz w:val="18"/>
      </w:rPr>
      <w:fldChar w:fldCharType="begin"/>
    </w:r>
    <w:r w:rsidRPr="000139EC">
      <w:rPr>
        <w:b/>
        <w:sz w:val="18"/>
      </w:rPr>
      <w:instrText xml:space="preserve"> PAGE  \* MERGEFORMAT </w:instrText>
    </w:r>
    <w:r w:rsidRPr="000139EC">
      <w:rPr>
        <w:b/>
        <w:sz w:val="18"/>
      </w:rPr>
      <w:fldChar w:fldCharType="separate"/>
    </w:r>
    <w:r w:rsidRPr="000139EC">
      <w:rPr>
        <w:b/>
        <w:noProof/>
        <w:sz w:val="18"/>
      </w:rPr>
      <w:t>3</w:t>
    </w:r>
    <w:r w:rsidRPr="000139EC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4FEAD" w14:textId="79B67BBF" w:rsidR="0068456F" w:rsidRPr="000139EC" w:rsidRDefault="000139EC" w:rsidP="000139EC">
    <w:pPr>
      <w:pStyle w:val="Footer"/>
      <w:spacing w:before="120"/>
      <w:rPr>
        <w:sz w:val="20"/>
      </w:rPr>
    </w:pPr>
    <w:r>
      <w:rPr>
        <w:sz w:val="20"/>
      </w:rPr>
      <w:t>GE.</w:t>
    </w:r>
    <w:r w:rsidR="0068456F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20A00EDD" wp14:editId="3093D2D0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24-15922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7CE147D7" wp14:editId="52168F39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28650" cy="628650"/>
          <wp:effectExtent l="0" t="0" r="0" b="0"/>
          <wp:wrapNone/>
          <wp:docPr id="13411771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031024    031024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EAC1C" w14:textId="77777777" w:rsidR="00A009B4" w:rsidRPr="00AC3823" w:rsidRDefault="00A009B4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4EED116" w14:textId="77777777" w:rsidR="00A009B4" w:rsidRPr="00AC3823" w:rsidRDefault="00A009B4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2457470E" w14:textId="77777777" w:rsidR="00A009B4" w:rsidRPr="00AC3823" w:rsidRDefault="00A009B4">
      <w:pPr>
        <w:spacing w:line="240" w:lineRule="auto"/>
        <w:rPr>
          <w:sz w:val="2"/>
          <w:szCs w:val="2"/>
        </w:rPr>
      </w:pPr>
    </w:p>
  </w:footnote>
  <w:footnote w:id="2">
    <w:p w14:paraId="5C027B91" w14:textId="77777777" w:rsidR="000139EC" w:rsidRPr="006A05EC" w:rsidRDefault="000139EC" w:rsidP="000139EC">
      <w:pPr>
        <w:pStyle w:val="FootnoteText"/>
      </w:pPr>
      <w:r>
        <w:rPr>
          <w:lang w:val="fr-FR"/>
        </w:rPr>
        <w:tab/>
      </w:r>
      <w:r w:rsidRPr="000139EC">
        <w:rPr>
          <w:sz w:val="20"/>
          <w:lang w:val="fr-FR"/>
        </w:rPr>
        <w:t>*</w:t>
      </w:r>
      <w:r>
        <w:rPr>
          <w:lang w:val="fr-FR"/>
        </w:rPr>
        <w:tab/>
        <w:t>A/78/6 (Sect. 20), tableau 20.5.</w:t>
      </w:r>
    </w:p>
  </w:footnote>
  <w:footnote w:id="3">
    <w:p w14:paraId="664B507A" w14:textId="32D4D8D7" w:rsidR="000139EC" w:rsidRPr="006A05EC" w:rsidRDefault="000139EC" w:rsidP="000139EC">
      <w:pPr>
        <w:pStyle w:val="FootnoteText"/>
      </w:pPr>
      <w:r>
        <w:rPr>
          <w:lang w:val="fr-FR"/>
        </w:rPr>
        <w:tab/>
      </w:r>
      <w:r w:rsidRPr="00936CDE">
        <w:rPr>
          <w:rStyle w:val="FootnoteReference"/>
        </w:rPr>
        <w:footnoteRef/>
      </w:r>
      <w:r>
        <w:rPr>
          <w:lang w:val="fr-FR"/>
        </w:rPr>
        <w:tab/>
        <w:t xml:space="preserve">L’auteur du présent document a donné l’autorisation d’utiliser les images (droits d’auteur détenus par </w:t>
      </w:r>
      <w:proofErr w:type="spellStart"/>
      <w:r>
        <w:rPr>
          <w:lang w:val="fr-FR"/>
        </w:rPr>
        <w:t>iSi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GmbH</w:t>
      </w:r>
      <w:proofErr w:type="spellEnd"/>
      <w:r>
        <w:rPr>
          <w:lang w:val="fr-FR"/>
        </w:rPr>
        <w:t xml:space="preserve">, Autriche) contenues dans cette annexe afin de faciliter les débats de la soixante-cinquième session du Sous-Comité d’experts du transport des marchandises dangereuses. Pour les autorisations de reproduction et toute autre question, prière d’écrire à l’adresse </w:t>
      </w:r>
      <w:hyperlink r:id="rId1" w:history="1">
        <w:r w:rsidRPr="00D15300">
          <w:rPr>
            <w:rStyle w:val="Hyperlink"/>
            <w:lang w:val="fr-FR"/>
          </w:rPr>
          <w:t>andrew.webb@outlook.com</w:t>
        </w:r>
      </w:hyperlink>
      <w:r>
        <w:rPr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08C6B" w14:textId="0D2CB30B" w:rsidR="000139EC" w:rsidRPr="000139EC" w:rsidRDefault="000139EC">
    <w:pPr>
      <w:pStyle w:val="Header"/>
    </w:pPr>
    <w:fldSimple w:instr=" TITLE  \* MERGEFORMAT ">
      <w:r w:rsidR="00367BD4">
        <w:t>ST/SG/AC.10/C.3/2024/63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982D9" w14:textId="77322376" w:rsidR="000139EC" w:rsidRPr="000139EC" w:rsidRDefault="000139EC" w:rsidP="000139EC">
    <w:pPr>
      <w:pStyle w:val="Header"/>
      <w:jc w:val="right"/>
    </w:pPr>
    <w:fldSimple w:instr=" TITLE  \* MERGEFORMAT ">
      <w:r w:rsidR="00367BD4">
        <w:t>ST/SG/AC.10/C.3/2024/63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274CD73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981AAA34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FE2C9A28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1029645145">
    <w:abstractNumId w:val="12"/>
  </w:num>
  <w:num w:numId="2" w16cid:durableId="1086268940">
    <w:abstractNumId w:val="11"/>
  </w:num>
  <w:num w:numId="3" w16cid:durableId="449133668">
    <w:abstractNumId w:val="10"/>
  </w:num>
  <w:num w:numId="4" w16cid:durableId="1957439831">
    <w:abstractNumId w:val="8"/>
  </w:num>
  <w:num w:numId="5" w16cid:durableId="1225995529">
    <w:abstractNumId w:val="3"/>
  </w:num>
  <w:num w:numId="6" w16cid:durableId="745301500">
    <w:abstractNumId w:val="2"/>
  </w:num>
  <w:num w:numId="7" w16cid:durableId="1531258098">
    <w:abstractNumId w:val="1"/>
  </w:num>
  <w:num w:numId="8" w16cid:durableId="535656500">
    <w:abstractNumId w:val="0"/>
  </w:num>
  <w:num w:numId="9" w16cid:durableId="364452247">
    <w:abstractNumId w:val="9"/>
  </w:num>
  <w:num w:numId="10" w16cid:durableId="2123836074">
    <w:abstractNumId w:val="7"/>
  </w:num>
  <w:num w:numId="11" w16cid:durableId="1609896208">
    <w:abstractNumId w:val="6"/>
  </w:num>
  <w:num w:numId="12" w16cid:durableId="2127582403">
    <w:abstractNumId w:val="5"/>
  </w:num>
  <w:num w:numId="13" w16cid:durableId="2117939058">
    <w:abstractNumId w:val="4"/>
  </w:num>
  <w:num w:numId="14" w16cid:durableId="1872721493">
    <w:abstractNumId w:val="12"/>
  </w:num>
  <w:num w:numId="15" w16cid:durableId="1647542185">
    <w:abstractNumId w:val="11"/>
  </w:num>
  <w:num w:numId="16" w16cid:durableId="21337893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attachedTemplate r:id="rId1"/>
  <w:revisionView w:inkAnnotations="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9B4"/>
    <w:rsid w:val="000139EC"/>
    <w:rsid w:val="00017F94"/>
    <w:rsid w:val="00023842"/>
    <w:rsid w:val="000305D3"/>
    <w:rsid w:val="000334F9"/>
    <w:rsid w:val="0007796D"/>
    <w:rsid w:val="000B7790"/>
    <w:rsid w:val="00111F2F"/>
    <w:rsid w:val="00132EA9"/>
    <w:rsid w:val="0014365E"/>
    <w:rsid w:val="00172E49"/>
    <w:rsid w:val="00176178"/>
    <w:rsid w:val="001E2B3C"/>
    <w:rsid w:val="001F525A"/>
    <w:rsid w:val="00223272"/>
    <w:rsid w:val="0024779E"/>
    <w:rsid w:val="00283190"/>
    <w:rsid w:val="002832AC"/>
    <w:rsid w:val="0029564F"/>
    <w:rsid w:val="002A48E7"/>
    <w:rsid w:val="002D7C93"/>
    <w:rsid w:val="00367BD4"/>
    <w:rsid w:val="00441C3B"/>
    <w:rsid w:val="00446FE5"/>
    <w:rsid w:val="00452396"/>
    <w:rsid w:val="0045684F"/>
    <w:rsid w:val="004E468C"/>
    <w:rsid w:val="005505B7"/>
    <w:rsid w:val="00573BE5"/>
    <w:rsid w:val="00584DC4"/>
    <w:rsid w:val="00586ED3"/>
    <w:rsid w:val="00596AA9"/>
    <w:rsid w:val="005C2D8F"/>
    <w:rsid w:val="005E0DD4"/>
    <w:rsid w:val="006452DB"/>
    <w:rsid w:val="0068456F"/>
    <w:rsid w:val="0071601D"/>
    <w:rsid w:val="00742884"/>
    <w:rsid w:val="007A62E6"/>
    <w:rsid w:val="0080684C"/>
    <w:rsid w:val="008123E0"/>
    <w:rsid w:val="00871C75"/>
    <w:rsid w:val="008776DC"/>
    <w:rsid w:val="008A4BFA"/>
    <w:rsid w:val="008B40CD"/>
    <w:rsid w:val="009705C8"/>
    <w:rsid w:val="009C1CF4"/>
    <w:rsid w:val="00A009B4"/>
    <w:rsid w:val="00A30353"/>
    <w:rsid w:val="00A81281"/>
    <w:rsid w:val="00AC3823"/>
    <w:rsid w:val="00AE323C"/>
    <w:rsid w:val="00B00181"/>
    <w:rsid w:val="00B00B0D"/>
    <w:rsid w:val="00B765F7"/>
    <w:rsid w:val="00BA0CA9"/>
    <w:rsid w:val="00C02897"/>
    <w:rsid w:val="00D3439C"/>
    <w:rsid w:val="00DB1831"/>
    <w:rsid w:val="00DD3BFD"/>
    <w:rsid w:val="00DF6678"/>
    <w:rsid w:val="00EF2E22"/>
    <w:rsid w:val="00F01738"/>
    <w:rsid w:val="00F660DF"/>
    <w:rsid w:val="00F730C8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A49DB"/>
  <w15:docId w15:val="{85894C4B-CCBC-4A04-8E38-FE2C175A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DC4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584DC4"/>
    <w:pPr>
      <w:keepNext/>
      <w:keepLines/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023842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023842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023842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023842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023842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023842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023842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0238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next w:val="Normal"/>
    <w:link w:val="HeaderChar"/>
    <w:qFormat/>
    <w:rsid w:val="00584DC4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584DC4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Footer">
    <w:name w:val="footer"/>
    <w:aliases w:val="3_G"/>
    <w:basedOn w:val="Normal"/>
    <w:next w:val="Normal"/>
    <w:link w:val="FooterChar"/>
    <w:qFormat/>
    <w:rsid w:val="00584DC4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584DC4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584DC4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584DC4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584DC4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584DC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584DC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584DC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qFormat/>
    <w:rsid w:val="00584DC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584DC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584DC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584DC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584DC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584DC4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584DC4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584DC4"/>
    <w:pPr>
      <w:numPr>
        <w:numId w:val="16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styleId="FootnoteReference">
    <w:name w:val="footnote reference"/>
    <w:aliases w:val="4_G"/>
    <w:basedOn w:val="DefaultParagraphFont"/>
    <w:qFormat/>
    <w:rsid w:val="00584DC4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qFormat/>
    <w:rsid w:val="00584DC4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584DC4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nhideWhenUsed/>
    <w:rsid w:val="00584DC4"/>
    <w:rPr>
      <w:color w:val="0000FF"/>
      <w:u w:val="none"/>
    </w:rPr>
  </w:style>
  <w:style w:type="character" w:styleId="FollowedHyperlink">
    <w:name w:val="FollowedHyperlink"/>
    <w:basedOn w:val="DefaultParagraphFont"/>
    <w:unhideWhenUsed/>
    <w:rsid w:val="00584DC4"/>
    <w:rPr>
      <w:color w:val="0000FF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584DC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584DC4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584DC4"/>
  </w:style>
  <w:style w:type="character" w:customStyle="1" w:styleId="EndnoteTextChar">
    <w:name w:val="Endnote Text Char"/>
    <w:aliases w:val="2_G Char"/>
    <w:basedOn w:val="DefaultParagraphFont"/>
    <w:link w:val="EndnoteText"/>
    <w:rsid w:val="00584DC4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basedOn w:val="DefaultParagraphFont"/>
    <w:qFormat/>
    <w:rsid w:val="00584DC4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basedOn w:val="DefaultParagraphFont"/>
    <w:link w:val="Heading1"/>
    <w:rsid w:val="00584DC4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E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EA9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13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ndrew.webb@outlook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S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ée un document." ma:contentTypeScope="" ma:versionID="e18bef637d0f1ddca225288e0d432ec3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a115814b681581b4d823fe6aeb4d21e0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4B564B-2695-448D-875C-E07857812EEE}"/>
</file>

<file path=customXml/itemProps2.xml><?xml version="1.0" encoding="utf-8"?>
<ds:datastoreItem xmlns:ds="http://schemas.openxmlformats.org/officeDocument/2006/customXml" ds:itemID="{470E49B1-061D-4A42-891F-227A26DACCBD}"/>
</file>

<file path=docProps/app.xml><?xml version="1.0" encoding="utf-8"?>
<Properties xmlns="http://schemas.openxmlformats.org/officeDocument/2006/extended-properties" xmlns:vt="http://schemas.openxmlformats.org/officeDocument/2006/docPropsVTypes">
  <Template>ST.dotm</Template>
  <TotalTime>0</TotalTime>
  <Pages>3</Pages>
  <Words>430</Words>
  <Characters>3300</Characters>
  <Application>Microsoft Office Word</Application>
  <DocSecurity>0</DocSecurity>
  <Lines>1100</Lines>
  <Paragraphs>310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DCM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ST/SG/AC.10/C.3/2024/63</dc:title>
  <dc:subject/>
  <dc:creator>Luisa PENA-MONTERO</dc:creator>
  <cp:keywords/>
  <cp:lastModifiedBy>Luisa PENA-MONTERO</cp:lastModifiedBy>
  <cp:revision>3</cp:revision>
  <cp:lastPrinted>2024-10-03T12:58:00Z</cp:lastPrinted>
  <dcterms:created xsi:type="dcterms:W3CDTF">2024-10-03T12:58:00Z</dcterms:created>
  <dcterms:modified xsi:type="dcterms:W3CDTF">2024-10-03T12:58:00Z</dcterms:modified>
</cp:coreProperties>
</file>