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132EA9" w:rsidRPr="00DB58B5" w14:paraId="4440D5BA" w14:textId="77777777" w:rsidTr="00F01738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2F043F3A" w14:textId="77777777" w:rsidR="00132EA9" w:rsidRPr="00DB58B5" w:rsidRDefault="00132EA9" w:rsidP="007F6F44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50FA5C27" w14:textId="77777777" w:rsidR="00132EA9" w:rsidRPr="00DB58B5" w:rsidRDefault="00132EA9" w:rsidP="00F01738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2FAE13F8" w14:textId="589C1984" w:rsidR="00132EA9" w:rsidRPr="00DB58B5" w:rsidRDefault="007F6F44" w:rsidP="007F6F44">
            <w:pPr>
              <w:jc w:val="right"/>
            </w:pPr>
            <w:r w:rsidRPr="007F6F44">
              <w:rPr>
                <w:sz w:val="40"/>
              </w:rPr>
              <w:t>ST</w:t>
            </w:r>
            <w:r>
              <w:t>/SG/AC.10/C.3/2024/61</w:t>
            </w:r>
          </w:p>
        </w:tc>
      </w:tr>
      <w:tr w:rsidR="00132EA9" w:rsidRPr="00DB58B5" w14:paraId="616C2F64" w14:textId="77777777" w:rsidTr="00F01738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06542919" w14:textId="77777777" w:rsidR="00132EA9" w:rsidRPr="00DB58B5" w:rsidRDefault="00132EA9" w:rsidP="00F01738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0746BDE1" wp14:editId="3FEF0AC6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5B96677" w14:textId="77777777" w:rsidR="00132EA9" w:rsidRPr="00740562" w:rsidRDefault="00132EA9" w:rsidP="00F01738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A55C22">
              <w:rPr>
                <w:b/>
                <w:sz w:val="40"/>
                <w:szCs w:val="40"/>
              </w:rPr>
              <w:t>Secrétariat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32EEA0F5" w14:textId="77777777" w:rsidR="00132EA9" w:rsidRDefault="007F6F44" w:rsidP="00F01738">
            <w:pPr>
              <w:spacing w:before="240"/>
            </w:pPr>
            <w:r>
              <w:t>Distr. générale</w:t>
            </w:r>
          </w:p>
          <w:p w14:paraId="0FE4D9D8" w14:textId="77777777" w:rsidR="007F6F44" w:rsidRDefault="007F6F44" w:rsidP="007F6F44">
            <w:pPr>
              <w:spacing w:line="240" w:lineRule="exact"/>
            </w:pPr>
            <w:r>
              <w:t>3 septembre 2024</w:t>
            </w:r>
          </w:p>
          <w:p w14:paraId="4D301EB4" w14:textId="77777777" w:rsidR="007F6F44" w:rsidRDefault="007F6F44" w:rsidP="007F6F44">
            <w:pPr>
              <w:spacing w:line="240" w:lineRule="exact"/>
            </w:pPr>
            <w:r>
              <w:t>Français</w:t>
            </w:r>
          </w:p>
          <w:p w14:paraId="149CE0E3" w14:textId="656DD6DC" w:rsidR="007F6F44" w:rsidRPr="00DB58B5" w:rsidRDefault="007F6F44" w:rsidP="007F6F44">
            <w:pPr>
              <w:spacing w:line="240" w:lineRule="exact"/>
            </w:pPr>
            <w:r>
              <w:t>Original : anglais</w:t>
            </w:r>
          </w:p>
        </w:tc>
      </w:tr>
    </w:tbl>
    <w:p w14:paraId="62496EB1" w14:textId="101981B6" w:rsidR="007F6F44" w:rsidRPr="0075319E" w:rsidRDefault="007F6F44" w:rsidP="007F6F44">
      <w:pPr>
        <w:spacing w:before="120"/>
        <w:rPr>
          <w:b/>
          <w:sz w:val="32"/>
          <w:szCs w:val="24"/>
          <w:lang w:val="fr-FR"/>
        </w:rPr>
      </w:pPr>
      <w:r w:rsidRPr="0075319E">
        <w:rPr>
          <w:b/>
          <w:bCs/>
          <w:sz w:val="24"/>
          <w:lang w:val="fr-FR"/>
        </w:rPr>
        <w:t>Comité d</w:t>
      </w:r>
      <w:r>
        <w:rPr>
          <w:b/>
          <w:bCs/>
          <w:sz w:val="24"/>
          <w:lang w:val="fr-FR"/>
        </w:rPr>
        <w:t>’</w:t>
      </w:r>
      <w:r w:rsidRPr="0075319E">
        <w:rPr>
          <w:b/>
          <w:bCs/>
          <w:sz w:val="24"/>
          <w:lang w:val="fr-FR"/>
        </w:rPr>
        <w:t xml:space="preserve">experts du transport des marchandises </w:t>
      </w:r>
      <w:r>
        <w:rPr>
          <w:b/>
          <w:bCs/>
          <w:sz w:val="24"/>
          <w:lang w:val="fr-FR"/>
        </w:rPr>
        <w:br/>
      </w:r>
      <w:r w:rsidRPr="0075319E">
        <w:rPr>
          <w:b/>
          <w:bCs/>
          <w:sz w:val="24"/>
          <w:lang w:val="fr-FR"/>
        </w:rPr>
        <w:t xml:space="preserve">dangereuses et du Système général harmonisé de </w:t>
      </w:r>
      <w:r>
        <w:rPr>
          <w:b/>
          <w:bCs/>
          <w:sz w:val="24"/>
          <w:lang w:val="fr-FR"/>
        </w:rPr>
        <w:br/>
      </w:r>
      <w:r w:rsidRPr="0075319E">
        <w:rPr>
          <w:b/>
          <w:bCs/>
          <w:sz w:val="24"/>
          <w:lang w:val="fr-FR"/>
        </w:rPr>
        <w:t>classification et d</w:t>
      </w:r>
      <w:r>
        <w:rPr>
          <w:b/>
          <w:bCs/>
          <w:sz w:val="24"/>
          <w:lang w:val="fr-FR"/>
        </w:rPr>
        <w:t>’</w:t>
      </w:r>
      <w:r w:rsidRPr="0075319E">
        <w:rPr>
          <w:b/>
          <w:bCs/>
          <w:sz w:val="24"/>
          <w:lang w:val="fr-FR"/>
        </w:rPr>
        <w:t>étiquetage des produits chimiques</w:t>
      </w:r>
    </w:p>
    <w:p w14:paraId="36286AAC" w14:textId="77777777" w:rsidR="007F6F44" w:rsidRPr="0075319E" w:rsidRDefault="007F6F44" w:rsidP="007F6F44">
      <w:pPr>
        <w:spacing w:before="120"/>
        <w:rPr>
          <w:rFonts w:ascii="Helv" w:hAnsi="Helv" w:cs="Helv"/>
          <w:b/>
          <w:color w:val="000000"/>
          <w:lang w:val="fr-FR"/>
        </w:rPr>
      </w:pPr>
      <w:r w:rsidRPr="0075319E">
        <w:rPr>
          <w:b/>
          <w:bCs/>
          <w:lang w:val="fr-FR"/>
        </w:rPr>
        <w:t>Sous-Comité d</w:t>
      </w:r>
      <w:r>
        <w:rPr>
          <w:b/>
          <w:bCs/>
          <w:lang w:val="fr-FR"/>
        </w:rPr>
        <w:t>’</w:t>
      </w:r>
      <w:r w:rsidRPr="0075319E">
        <w:rPr>
          <w:b/>
          <w:bCs/>
          <w:lang w:val="fr-FR"/>
        </w:rPr>
        <w:t>experts du transport des marchandises dangereuses</w:t>
      </w:r>
    </w:p>
    <w:p w14:paraId="47911151" w14:textId="77777777" w:rsidR="007F6F44" w:rsidRPr="0075319E" w:rsidRDefault="007F6F44" w:rsidP="007F6F44">
      <w:pPr>
        <w:spacing w:before="120"/>
        <w:rPr>
          <w:b/>
          <w:lang w:val="fr-FR"/>
        </w:rPr>
      </w:pPr>
      <w:r w:rsidRPr="0075319E">
        <w:rPr>
          <w:b/>
          <w:bCs/>
          <w:lang w:val="fr-FR"/>
        </w:rPr>
        <w:t>Soixante-cinquième session</w:t>
      </w:r>
    </w:p>
    <w:p w14:paraId="2352192F" w14:textId="249C3047" w:rsidR="007F6F44" w:rsidRPr="0075319E" w:rsidRDefault="007F6F44" w:rsidP="007F6F44">
      <w:pPr>
        <w:rPr>
          <w:lang w:val="fr-FR"/>
        </w:rPr>
      </w:pPr>
      <w:r w:rsidRPr="0075319E">
        <w:rPr>
          <w:lang w:val="fr-FR"/>
        </w:rPr>
        <w:t>Genève, 25 novembre-3 décembre 2024</w:t>
      </w:r>
    </w:p>
    <w:p w14:paraId="1F9CE1DD" w14:textId="77777777" w:rsidR="007F6F44" w:rsidRPr="0075319E" w:rsidRDefault="007F6F44" w:rsidP="007F6F44">
      <w:pPr>
        <w:rPr>
          <w:lang w:val="fr-FR"/>
        </w:rPr>
      </w:pPr>
      <w:r w:rsidRPr="0075319E">
        <w:rPr>
          <w:lang w:val="fr-FR"/>
        </w:rPr>
        <w:t>Point 5 c) de l</w:t>
      </w:r>
      <w:r>
        <w:rPr>
          <w:lang w:val="fr-FR"/>
        </w:rPr>
        <w:t>’</w:t>
      </w:r>
      <w:r w:rsidRPr="0075319E">
        <w:rPr>
          <w:lang w:val="fr-FR"/>
        </w:rPr>
        <w:t>ordre du jour provisoire</w:t>
      </w:r>
    </w:p>
    <w:p w14:paraId="6091A131" w14:textId="77777777" w:rsidR="007F6F44" w:rsidRPr="0075319E" w:rsidRDefault="007F6F44" w:rsidP="007F6F44">
      <w:pPr>
        <w:rPr>
          <w:b/>
          <w:lang w:val="fr-FR"/>
        </w:rPr>
      </w:pPr>
      <w:r w:rsidRPr="0075319E">
        <w:rPr>
          <w:b/>
          <w:bCs/>
          <w:lang w:val="fr-FR"/>
        </w:rPr>
        <w:t xml:space="preserve">Transport de gaz : </w:t>
      </w:r>
      <w:r>
        <w:rPr>
          <w:b/>
          <w:bCs/>
          <w:lang w:val="fr-FR"/>
        </w:rPr>
        <w:br/>
        <w:t>A</w:t>
      </w:r>
      <w:r w:rsidRPr="0075319E">
        <w:rPr>
          <w:b/>
          <w:bCs/>
          <w:lang w:val="fr-FR"/>
        </w:rPr>
        <w:t>utres questions</w:t>
      </w:r>
    </w:p>
    <w:p w14:paraId="4DE1C0B2" w14:textId="77777777" w:rsidR="007F6F44" w:rsidRPr="0075319E" w:rsidRDefault="007F6F44" w:rsidP="007F6F44">
      <w:pPr>
        <w:pStyle w:val="HChG"/>
        <w:rPr>
          <w:lang w:val="fr-FR"/>
        </w:rPr>
      </w:pPr>
      <w:r w:rsidRPr="0075319E">
        <w:rPr>
          <w:lang w:val="fr-FR"/>
        </w:rPr>
        <w:tab/>
      </w:r>
      <w:r w:rsidRPr="0075319E">
        <w:rPr>
          <w:lang w:val="fr-FR"/>
        </w:rPr>
        <w:tab/>
        <w:t>Normes ISO mises à jour dans la classe 2</w:t>
      </w:r>
    </w:p>
    <w:p w14:paraId="68AA5C15" w14:textId="77777777" w:rsidR="007F6F44" w:rsidRPr="0075319E" w:rsidRDefault="007F6F44" w:rsidP="007F6F44">
      <w:pPr>
        <w:pStyle w:val="H1G"/>
        <w:rPr>
          <w:lang w:val="fr-FR"/>
        </w:rPr>
      </w:pPr>
      <w:r w:rsidRPr="0075319E">
        <w:rPr>
          <w:lang w:val="fr-FR"/>
        </w:rPr>
        <w:tab/>
      </w:r>
      <w:r w:rsidRPr="0075319E">
        <w:rPr>
          <w:lang w:val="fr-FR"/>
        </w:rPr>
        <w:tab/>
        <w:t>Communication de l</w:t>
      </w:r>
      <w:r>
        <w:rPr>
          <w:lang w:val="fr-FR"/>
        </w:rPr>
        <w:t>’</w:t>
      </w:r>
      <w:r w:rsidRPr="0075319E">
        <w:rPr>
          <w:lang w:val="fr-FR"/>
        </w:rPr>
        <w:t>Organisation internationale de normalisation (ISO)</w:t>
      </w:r>
      <w:r w:rsidRPr="007F6F44">
        <w:rPr>
          <w:rStyle w:val="Appelnotedebasdep"/>
          <w:b w:val="0"/>
          <w:bCs/>
          <w:sz w:val="20"/>
          <w:vertAlign w:val="baseline"/>
          <w:lang w:val="fr-FR"/>
        </w:rPr>
        <w:footnoteReference w:customMarkFollows="1" w:id="2"/>
        <w:t>*</w:t>
      </w:r>
    </w:p>
    <w:p w14:paraId="6A9B6F49" w14:textId="77777777" w:rsidR="007F6F44" w:rsidRPr="0075319E" w:rsidRDefault="007F6F44" w:rsidP="007F6F44">
      <w:pPr>
        <w:pStyle w:val="HChG"/>
        <w:rPr>
          <w:lang w:val="fr-FR"/>
        </w:rPr>
      </w:pPr>
      <w:r w:rsidRPr="0075319E">
        <w:rPr>
          <w:lang w:val="fr-FR"/>
        </w:rPr>
        <w:tab/>
        <w:t>I.</w:t>
      </w:r>
      <w:r w:rsidRPr="0075319E">
        <w:rPr>
          <w:lang w:val="fr-FR"/>
        </w:rPr>
        <w:tab/>
        <w:t>Introduction</w:t>
      </w:r>
    </w:p>
    <w:p w14:paraId="680945AB" w14:textId="77777777" w:rsidR="007F6F44" w:rsidRPr="0075319E" w:rsidRDefault="007F6F44" w:rsidP="007F6F44">
      <w:pPr>
        <w:pStyle w:val="SingleTxtG"/>
        <w:rPr>
          <w:lang w:val="fr-FR"/>
        </w:rPr>
      </w:pPr>
      <w:r w:rsidRPr="0075319E">
        <w:rPr>
          <w:lang w:val="fr-FR"/>
        </w:rPr>
        <w:t>1.</w:t>
      </w:r>
      <w:r w:rsidRPr="0075319E">
        <w:rPr>
          <w:lang w:val="fr-FR"/>
        </w:rPr>
        <w:tab/>
        <w:t>Le présent document rend compte des observations formulées par des experts avant et pendant la soixante-quatrième session du Sous-Comité d</w:t>
      </w:r>
      <w:r>
        <w:rPr>
          <w:lang w:val="fr-FR"/>
        </w:rPr>
        <w:t>’</w:t>
      </w:r>
      <w:r w:rsidRPr="0075319E">
        <w:rPr>
          <w:lang w:val="fr-FR"/>
        </w:rPr>
        <w:t xml:space="preserve">experts du transport des marchandises dangereuses au sujet des </w:t>
      </w:r>
      <w:r>
        <w:rPr>
          <w:lang w:val="fr-FR"/>
        </w:rPr>
        <w:t>normes</w:t>
      </w:r>
      <w:r w:rsidRPr="0075319E">
        <w:rPr>
          <w:lang w:val="fr-FR"/>
        </w:rPr>
        <w:t xml:space="preserve"> suivant</w:t>
      </w:r>
      <w:r>
        <w:rPr>
          <w:lang w:val="fr-FR"/>
        </w:rPr>
        <w:t>e</w:t>
      </w:r>
      <w:r w:rsidRPr="0075319E">
        <w:rPr>
          <w:lang w:val="fr-FR"/>
        </w:rPr>
        <w:t xml:space="preserve">s : </w:t>
      </w:r>
      <w:bookmarkStart w:id="0" w:name="_Hlk174961506"/>
      <w:bookmarkEnd w:id="0"/>
    </w:p>
    <w:p w14:paraId="46C29E84" w14:textId="77777777" w:rsidR="007F6F44" w:rsidRPr="0075319E" w:rsidRDefault="007F6F44" w:rsidP="007F6F44">
      <w:pPr>
        <w:pStyle w:val="SingleTxtG"/>
        <w:rPr>
          <w:lang w:val="fr-FR"/>
        </w:rPr>
      </w:pPr>
      <w:bookmarkStart w:id="1" w:name="_Hlk131398873"/>
      <w:bookmarkStart w:id="2" w:name="_Hlk131592271"/>
      <w:r w:rsidRPr="0075319E">
        <w:rPr>
          <w:lang w:val="fr-FR"/>
        </w:rPr>
        <w:t>ISO 23876:2022, Bouteilles à gaz − Bouteilles et tubes composites − Essai par émission acoustique (EA) pour les contrôles et les essais périodiques ;</w:t>
      </w:r>
    </w:p>
    <w:bookmarkEnd w:id="1"/>
    <w:p w14:paraId="33480F49" w14:textId="77777777" w:rsidR="007F6F44" w:rsidRPr="0075319E" w:rsidRDefault="007F6F44" w:rsidP="007F6F44">
      <w:pPr>
        <w:pStyle w:val="SingleTxtG"/>
        <w:rPr>
          <w:lang w:val="fr-FR"/>
        </w:rPr>
      </w:pPr>
      <w:r w:rsidRPr="0075319E">
        <w:rPr>
          <w:lang w:val="fr-FR"/>
        </w:rPr>
        <w:t>ISO 11119-2:2020/Amd 1:2023, Bouteilles à gaz − Conception, construction et essais des tubes et bouteilles à gaz rechargeables en matériau composite − Partie 2 : Tubes et bouteilles à gaz entièrement bobinés en matériau composite renforcés de fibres et d</w:t>
      </w:r>
      <w:r>
        <w:rPr>
          <w:lang w:val="fr-FR"/>
        </w:rPr>
        <w:t>’</w:t>
      </w:r>
      <w:r w:rsidRPr="0075319E">
        <w:rPr>
          <w:lang w:val="fr-FR"/>
        </w:rPr>
        <w:t>une contenance allant jusqu</w:t>
      </w:r>
      <w:r>
        <w:rPr>
          <w:lang w:val="fr-FR"/>
        </w:rPr>
        <w:t>’</w:t>
      </w:r>
      <w:r w:rsidRPr="0075319E">
        <w:rPr>
          <w:lang w:val="fr-FR"/>
        </w:rPr>
        <w:t>à 450 l avec liners métalliques structuraux, Amendement 1 ;</w:t>
      </w:r>
    </w:p>
    <w:p w14:paraId="6E7F3B7C" w14:textId="77777777" w:rsidR="007F6F44" w:rsidRPr="0075319E" w:rsidRDefault="007F6F44" w:rsidP="007F6F44">
      <w:pPr>
        <w:pStyle w:val="SingleTxtG"/>
        <w:rPr>
          <w:lang w:val="fr-FR"/>
        </w:rPr>
      </w:pPr>
      <w:bookmarkStart w:id="3" w:name="_Hlk174962288"/>
      <w:r w:rsidRPr="0075319E">
        <w:rPr>
          <w:lang w:val="fr-FR"/>
        </w:rPr>
        <w:t>ISO 11119-3:2020/Amd 1:2023, Bouteilles à gaz − Conception, construction et essais des tubes et bouteilles à gaz rechargeables en matériau composite − Partie 3 : Tubes et bouteilles à gaz entièrement bobinés en matériau composite renforcés de fibres d</w:t>
      </w:r>
      <w:r>
        <w:rPr>
          <w:lang w:val="fr-FR"/>
        </w:rPr>
        <w:t>’</w:t>
      </w:r>
      <w:r w:rsidRPr="0075319E">
        <w:rPr>
          <w:lang w:val="fr-FR"/>
        </w:rPr>
        <w:t>une contenance allant jusqu</w:t>
      </w:r>
      <w:r>
        <w:rPr>
          <w:lang w:val="fr-FR"/>
        </w:rPr>
        <w:t>’</w:t>
      </w:r>
      <w:r w:rsidRPr="0075319E">
        <w:rPr>
          <w:lang w:val="fr-FR"/>
        </w:rPr>
        <w:t>à 450 l avec liners non métalliques ou métalliques non structuraux, ou sans liners, Amendement 1.</w:t>
      </w:r>
    </w:p>
    <w:bookmarkEnd w:id="2"/>
    <w:bookmarkEnd w:id="3"/>
    <w:p w14:paraId="2219E754" w14:textId="77777777" w:rsidR="007F6F44" w:rsidRPr="0075319E" w:rsidRDefault="007F6F44" w:rsidP="007F6F44">
      <w:pPr>
        <w:pStyle w:val="HChG"/>
        <w:rPr>
          <w:lang w:val="fr-FR"/>
        </w:rPr>
      </w:pPr>
      <w:r w:rsidRPr="0075319E">
        <w:rPr>
          <w:lang w:val="fr-FR"/>
        </w:rPr>
        <w:tab/>
        <w:t>II.</w:t>
      </w:r>
      <w:r w:rsidRPr="0075319E">
        <w:rPr>
          <w:lang w:val="fr-FR"/>
        </w:rPr>
        <w:tab/>
        <w:t>Normes</w:t>
      </w:r>
    </w:p>
    <w:p w14:paraId="56CC4EEA" w14:textId="77777777" w:rsidR="007F6F44" w:rsidRPr="0075319E" w:rsidRDefault="007F6F44" w:rsidP="007F6F44">
      <w:pPr>
        <w:pStyle w:val="H1G"/>
        <w:rPr>
          <w:lang w:val="fr-FR"/>
        </w:rPr>
      </w:pPr>
      <w:r w:rsidRPr="0075319E">
        <w:rPr>
          <w:lang w:val="fr-FR"/>
        </w:rPr>
        <w:tab/>
      </w:r>
      <w:r w:rsidRPr="0075319E">
        <w:rPr>
          <w:lang w:val="fr-FR"/>
        </w:rPr>
        <w:tab/>
      </w:r>
      <w:r w:rsidRPr="0075319E">
        <w:rPr>
          <w:lang w:val="fr-FR"/>
        </w:rPr>
        <w:tab/>
        <w:t>Norme 1</w:t>
      </w:r>
    </w:p>
    <w:p w14:paraId="76FC5932" w14:textId="77777777" w:rsidR="007F6F44" w:rsidRPr="0075319E" w:rsidRDefault="007F6F44" w:rsidP="007F6F44">
      <w:pPr>
        <w:pStyle w:val="SingleTxtG"/>
        <w:rPr>
          <w:lang w:val="fr-FR"/>
        </w:rPr>
      </w:pPr>
      <w:r w:rsidRPr="0075319E">
        <w:rPr>
          <w:lang w:val="fr-FR"/>
        </w:rPr>
        <w:t>2.</w:t>
      </w:r>
      <w:r w:rsidRPr="0075319E">
        <w:rPr>
          <w:lang w:val="fr-FR"/>
        </w:rPr>
        <w:tab/>
        <w:t>ISO 23876:2022, Bouteilles à gaz − Bouteilles et tubes composites − Essai par émission acoustique (EA) pour les contrôles et les essais périodiques</w:t>
      </w:r>
    </w:p>
    <w:p w14:paraId="49F6CC79" w14:textId="6F8F0CBF" w:rsidR="007F6F44" w:rsidRPr="0075319E" w:rsidRDefault="007F6F44" w:rsidP="007F6F44">
      <w:pPr>
        <w:pStyle w:val="SingleTxtG"/>
        <w:rPr>
          <w:lang w:val="fr-FR"/>
        </w:rPr>
      </w:pPr>
      <w:r w:rsidRPr="0075319E">
        <w:rPr>
          <w:lang w:val="fr-FR"/>
        </w:rPr>
        <w:t>3.</w:t>
      </w:r>
      <w:r w:rsidRPr="0075319E">
        <w:rPr>
          <w:lang w:val="fr-FR"/>
        </w:rPr>
        <w:tab/>
        <w:t>À la soixante-quatrième session du Sous-Comité, le représentant de l</w:t>
      </w:r>
      <w:r>
        <w:rPr>
          <w:lang w:val="fr-FR"/>
        </w:rPr>
        <w:t>’</w:t>
      </w:r>
      <w:r w:rsidRPr="0075319E">
        <w:rPr>
          <w:lang w:val="fr-FR"/>
        </w:rPr>
        <w:t xml:space="preserve">ISO a retiré la proposition 1 figurant dans le document ST/SG/AC.10/C.3/2024/11. </w:t>
      </w:r>
      <w:r>
        <w:rPr>
          <w:lang w:val="fr-FR"/>
        </w:rPr>
        <w:t>L</w:t>
      </w:r>
      <w:r w:rsidRPr="0075319E">
        <w:rPr>
          <w:lang w:val="fr-FR"/>
        </w:rPr>
        <w:t>e</w:t>
      </w:r>
      <w:r>
        <w:rPr>
          <w:lang w:val="fr-FR"/>
        </w:rPr>
        <w:t xml:space="preserve"> </w:t>
      </w:r>
      <w:r w:rsidRPr="0075319E">
        <w:rPr>
          <w:lang w:val="fr-FR"/>
        </w:rPr>
        <w:t>comité concerné de l</w:t>
      </w:r>
      <w:r>
        <w:rPr>
          <w:lang w:val="fr-FR"/>
        </w:rPr>
        <w:t>’</w:t>
      </w:r>
      <w:r w:rsidRPr="0075319E">
        <w:rPr>
          <w:lang w:val="fr-FR"/>
        </w:rPr>
        <w:t>ISO examinera plus avant ce document et formulera d</w:t>
      </w:r>
      <w:r>
        <w:rPr>
          <w:lang w:val="fr-FR"/>
        </w:rPr>
        <w:t>’</w:t>
      </w:r>
      <w:r w:rsidRPr="0075319E">
        <w:rPr>
          <w:lang w:val="fr-FR"/>
        </w:rPr>
        <w:t xml:space="preserve">autres observations en temps voulu. </w:t>
      </w:r>
      <w:bookmarkStart w:id="4" w:name="_Hlk174961711"/>
      <w:bookmarkEnd w:id="4"/>
    </w:p>
    <w:p w14:paraId="1C0F1ACC" w14:textId="77777777" w:rsidR="007F6F44" w:rsidRPr="0075319E" w:rsidRDefault="007F6F44" w:rsidP="007F6F44">
      <w:pPr>
        <w:pStyle w:val="SingleTxtG"/>
        <w:rPr>
          <w:lang w:val="fr-FR"/>
        </w:rPr>
      </w:pPr>
      <w:r w:rsidRPr="0075319E">
        <w:rPr>
          <w:lang w:val="fr-FR"/>
        </w:rPr>
        <w:t>4.</w:t>
      </w:r>
      <w:r w:rsidRPr="0075319E">
        <w:rPr>
          <w:lang w:val="fr-FR"/>
        </w:rPr>
        <w:tab/>
      </w:r>
      <w:r>
        <w:rPr>
          <w:lang w:val="fr-FR"/>
        </w:rPr>
        <w:t>Il n’est pas prévu que la</w:t>
      </w:r>
      <w:r w:rsidRPr="0075319E">
        <w:rPr>
          <w:lang w:val="fr-FR"/>
        </w:rPr>
        <w:t xml:space="preserve"> norme</w:t>
      </w:r>
      <w:r>
        <w:rPr>
          <w:lang w:val="fr-FR"/>
        </w:rPr>
        <w:t xml:space="preserve"> soit </w:t>
      </w:r>
      <w:r w:rsidRPr="0075319E">
        <w:rPr>
          <w:lang w:val="fr-FR"/>
        </w:rPr>
        <w:t>publiée en 2025 dans la 24</w:t>
      </w:r>
      <w:r w:rsidRPr="0075319E">
        <w:rPr>
          <w:vertAlign w:val="superscript"/>
          <w:lang w:val="fr-FR"/>
        </w:rPr>
        <w:t>e</w:t>
      </w:r>
      <w:r w:rsidRPr="0075319E">
        <w:rPr>
          <w:lang w:val="fr-FR"/>
        </w:rPr>
        <w:t xml:space="preserve"> édition révisée du </w:t>
      </w:r>
      <w:r w:rsidRPr="0075319E">
        <w:rPr>
          <w:i/>
          <w:iCs/>
          <w:lang w:val="fr-FR"/>
        </w:rPr>
        <w:t>Règlement type</w:t>
      </w:r>
      <w:r w:rsidRPr="0075319E">
        <w:rPr>
          <w:lang w:val="fr-FR"/>
        </w:rPr>
        <w:t>.</w:t>
      </w:r>
    </w:p>
    <w:p w14:paraId="0A83B99D" w14:textId="77777777" w:rsidR="007F6F44" w:rsidRPr="0075319E" w:rsidRDefault="007F6F44" w:rsidP="007F6F44">
      <w:pPr>
        <w:pStyle w:val="H1G"/>
        <w:rPr>
          <w:lang w:val="fr-FR"/>
        </w:rPr>
      </w:pPr>
      <w:r w:rsidRPr="0075319E">
        <w:rPr>
          <w:lang w:val="fr-FR"/>
        </w:rPr>
        <w:tab/>
      </w:r>
      <w:r w:rsidRPr="0075319E">
        <w:rPr>
          <w:lang w:val="fr-FR"/>
        </w:rPr>
        <w:tab/>
        <w:t>Norme 2</w:t>
      </w:r>
    </w:p>
    <w:p w14:paraId="7A7463AB" w14:textId="16F4C7DF" w:rsidR="007F6F44" w:rsidRPr="0075319E" w:rsidRDefault="007F6F44" w:rsidP="007F6F44">
      <w:pPr>
        <w:pStyle w:val="SingleTxtG"/>
        <w:rPr>
          <w:lang w:val="fr-FR"/>
        </w:rPr>
      </w:pPr>
      <w:r w:rsidRPr="0075319E">
        <w:rPr>
          <w:lang w:val="fr-FR"/>
        </w:rPr>
        <w:t>5.</w:t>
      </w:r>
      <w:r w:rsidRPr="0075319E">
        <w:rPr>
          <w:lang w:val="fr-FR"/>
        </w:rPr>
        <w:tab/>
        <w:t>ISO 11119-2:2020/Amd 1:2023, Bouteilles à gaz − Conception, construction et essais des tubes et bouteilles à gaz rechargeables en matériau composite − Partie 2 : Tubes et bouteilles à gaz entièrement bobinés en matériau composite renforcés de fibres et d</w:t>
      </w:r>
      <w:r>
        <w:rPr>
          <w:lang w:val="fr-FR"/>
        </w:rPr>
        <w:t>’</w:t>
      </w:r>
      <w:r w:rsidRPr="0075319E">
        <w:rPr>
          <w:lang w:val="fr-FR"/>
        </w:rPr>
        <w:t>une contenance allant jusqu</w:t>
      </w:r>
      <w:r>
        <w:rPr>
          <w:lang w:val="fr-FR"/>
        </w:rPr>
        <w:t>’</w:t>
      </w:r>
      <w:r w:rsidRPr="0075319E">
        <w:rPr>
          <w:lang w:val="fr-FR"/>
        </w:rPr>
        <w:t>à 450 l avec liners métalliques structuraux, Amendement 1</w:t>
      </w:r>
      <w:r w:rsidR="00FE35B2">
        <w:rPr>
          <w:lang w:val="fr-FR"/>
        </w:rPr>
        <w:t>.</w:t>
      </w:r>
    </w:p>
    <w:p w14:paraId="5E209AB2" w14:textId="77777777" w:rsidR="007F6F44" w:rsidRPr="0075319E" w:rsidRDefault="007F6F44" w:rsidP="007F6F44">
      <w:pPr>
        <w:pStyle w:val="SingleTxtG"/>
        <w:rPr>
          <w:lang w:val="fr-FR"/>
        </w:rPr>
      </w:pPr>
      <w:r w:rsidRPr="0075319E">
        <w:rPr>
          <w:lang w:val="fr-FR"/>
        </w:rPr>
        <w:t>6.</w:t>
      </w:r>
      <w:r w:rsidRPr="0075319E">
        <w:rPr>
          <w:lang w:val="fr-FR"/>
        </w:rPr>
        <w:tab/>
        <w:t>À la soixante-quatrième session du Sous-Comité, l</w:t>
      </w:r>
      <w:r>
        <w:rPr>
          <w:lang w:val="fr-FR"/>
        </w:rPr>
        <w:t>’</w:t>
      </w:r>
      <w:r w:rsidRPr="0075319E">
        <w:rPr>
          <w:lang w:val="fr-FR"/>
        </w:rPr>
        <w:t>expert de l</w:t>
      </w:r>
      <w:r>
        <w:rPr>
          <w:lang w:val="fr-FR"/>
        </w:rPr>
        <w:t>’</w:t>
      </w:r>
      <w:r w:rsidRPr="0075319E">
        <w:rPr>
          <w:lang w:val="fr-FR"/>
        </w:rPr>
        <w:t xml:space="preserve">ISO a proposé </w:t>
      </w:r>
      <w:r>
        <w:rPr>
          <w:lang w:val="fr-FR"/>
        </w:rPr>
        <w:t>l’organisation d’une</w:t>
      </w:r>
      <w:r w:rsidRPr="0075319E">
        <w:rPr>
          <w:lang w:val="fr-FR"/>
        </w:rPr>
        <w:t xml:space="preserve"> réunion en ligne </w:t>
      </w:r>
      <w:r>
        <w:rPr>
          <w:lang w:val="fr-FR"/>
        </w:rPr>
        <w:t>destinée à</w:t>
      </w:r>
      <w:r w:rsidRPr="0075319E">
        <w:rPr>
          <w:lang w:val="fr-FR"/>
        </w:rPr>
        <w:t xml:space="preserve"> poursuivre l</w:t>
      </w:r>
      <w:r>
        <w:rPr>
          <w:lang w:val="fr-FR"/>
        </w:rPr>
        <w:t>’</w:t>
      </w:r>
      <w:r w:rsidRPr="0075319E">
        <w:rPr>
          <w:lang w:val="fr-FR"/>
        </w:rPr>
        <w:t>examen</w:t>
      </w:r>
      <w:r>
        <w:rPr>
          <w:lang w:val="fr-FR"/>
        </w:rPr>
        <w:t xml:space="preserve"> des propositions relatives à </w:t>
      </w:r>
      <w:r w:rsidRPr="0075319E">
        <w:rPr>
          <w:lang w:val="fr-FR"/>
        </w:rPr>
        <w:t>cette norme qui figure</w:t>
      </w:r>
      <w:r>
        <w:rPr>
          <w:lang w:val="fr-FR"/>
        </w:rPr>
        <w:t>nt</w:t>
      </w:r>
      <w:r w:rsidRPr="0075319E">
        <w:rPr>
          <w:lang w:val="fr-FR"/>
        </w:rPr>
        <w:t xml:space="preserve"> dans le document ST/SG/AC.10/C.3/2024/11 et des observations formulées par l</w:t>
      </w:r>
      <w:r>
        <w:rPr>
          <w:lang w:val="fr-FR"/>
        </w:rPr>
        <w:t>’</w:t>
      </w:r>
      <w:r w:rsidRPr="0075319E">
        <w:rPr>
          <w:lang w:val="fr-FR"/>
        </w:rPr>
        <w:t>Allemagne dans le document informel INF.34. Les représentants intéressés ont été invités à lui faire part de leurs préférences.</w:t>
      </w:r>
    </w:p>
    <w:p w14:paraId="23DB7702" w14:textId="77777777" w:rsidR="007F6F44" w:rsidRPr="0075319E" w:rsidRDefault="007F6F44" w:rsidP="007F6F44">
      <w:pPr>
        <w:pStyle w:val="SingleTxtG"/>
        <w:rPr>
          <w:lang w:val="fr-FR"/>
        </w:rPr>
      </w:pPr>
      <w:r w:rsidRPr="0075319E">
        <w:rPr>
          <w:lang w:val="fr-FR"/>
        </w:rPr>
        <w:t>7.</w:t>
      </w:r>
      <w:r w:rsidRPr="0075319E">
        <w:rPr>
          <w:lang w:val="fr-FR"/>
        </w:rPr>
        <w:tab/>
        <w:t>L</w:t>
      </w:r>
      <w:r>
        <w:rPr>
          <w:lang w:val="fr-FR"/>
        </w:rPr>
        <w:t>’</w:t>
      </w:r>
      <w:r w:rsidRPr="0075319E">
        <w:rPr>
          <w:lang w:val="fr-FR"/>
        </w:rPr>
        <w:t xml:space="preserve">équipe de direction </w:t>
      </w:r>
      <w:r>
        <w:rPr>
          <w:lang w:val="fr-FR"/>
        </w:rPr>
        <w:t>concernée</w:t>
      </w:r>
      <w:r w:rsidRPr="0075319E">
        <w:rPr>
          <w:lang w:val="fr-FR"/>
        </w:rPr>
        <w:t xml:space="preserve"> de l</w:t>
      </w:r>
      <w:r>
        <w:rPr>
          <w:lang w:val="fr-FR"/>
        </w:rPr>
        <w:t>’</w:t>
      </w:r>
      <w:r w:rsidRPr="0075319E">
        <w:rPr>
          <w:lang w:val="fr-FR"/>
        </w:rPr>
        <w:t xml:space="preserve">ISO a examiné les observations formulées </w:t>
      </w:r>
      <w:r>
        <w:rPr>
          <w:lang w:val="fr-FR"/>
        </w:rPr>
        <w:t xml:space="preserve">à </w:t>
      </w:r>
      <w:r w:rsidRPr="0075319E">
        <w:rPr>
          <w:lang w:val="fr-FR"/>
        </w:rPr>
        <w:t>la réunion et entend présenter une proposition acceptable pour les experts</w:t>
      </w:r>
      <w:r>
        <w:rPr>
          <w:lang w:val="fr-FR"/>
        </w:rPr>
        <w:t xml:space="preserve"> </w:t>
      </w:r>
      <w:r w:rsidRPr="00FC61CF">
        <w:rPr>
          <w:lang w:val="fr-FR"/>
        </w:rPr>
        <w:t>à la soixante-cinquième session</w:t>
      </w:r>
      <w:r w:rsidRPr="0075319E">
        <w:rPr>
          <w:lang w:val="fr-FR"/>
        </w:rPr>
        <w:t xml:space="preserve">. Il est à noter que toute nouvelle proposition devra être examinée et mise aux voix </w:t>
      </w:r>
      <w:r>
        <w:rPr>
          <w:lang w:val="fr-FR"/>
        </w:rPr>
        <w:t xml:space="preserve">dans le cadre </w:t>
      </w:r>
      <w:r w:rsidRPr="0075319E">
        <w:rPr>
          <w:lang w:val="fr-FR"/>
        </w:rPr>
        <w:t>du comité concerné de l</w:t>
      </w:r>
      <w:r>
        <w:rPr>
          <w:lang w:val="fr-FR"/>
        </w:rPr>
        <w:t>’</w:t>
      </w:r>
      <w:r w:rsidRPr="0075319E">
        <w:rPr>
          <w:lang w:val="fr-FR"/>
        </w:rPr>
        <w:t>ISO.</w:t>
      </w:r>
    </w:p>
    <w:p w14:paraId="3571411F" w14:textId="77777777" w:rsidR="007F6F44" w:rsidRPr="0075319E" w:rsidRDefault="007F6F44" w:rsidP="007F6F44">
      <w:pPr>
        <w:pStyle w:val="SingleTxtG"/>
        <w:rPr>
          <w:lang w:val="fr-FR"/>
        </w:rPr>
      </w:pPr>
      <w:r w:rsidRPr="0075319E">
        <w:rPr>
          <w:lang w:val="fr-FR"/>
        </w:rPr>
        <w:t>8.</w:t>
      </w:r>
      <w:r w:rsidRPr="0075319E">
        <w:rPr>
          <w:lang w:val="fr-FR"/>
        </w:rPr>
        <w:tab/>
        <w:t>Une fois que cette activité aura été menée à bien, la proposition révisée sera communiquée aux experts du Sous-Comité sous la forme d</w:t>
      </w:r>
      <w:r>
        <w:rPr>
          <w:lang w:val="fr-FR"/>
        </w:rPr>
        <w:t>’</w:t>
      </w:r>
      <w:r w:rsidRPr="0075319E">
        <w:rPr>
          <w:lang w:val="fr-FR"/>
        </w:rPr>
        <w:t>un document informel.</w:t>
      </w:r>
    </w:p>
    <w:p w14:paraId="54DC2158" w14:textId="77777777" w:rsidR="007F6F44" w:rsidRPr="0075319E" w:rsidRDefault="007F6F44" w:rsidP="007F6F44">
      <w:pPr>
        <w:pStyle w:val="SingleTxtG"/>
        <w:rPr>
          <w:lang w:val="fr-FR"/>
        </w:rPr>
      </w:pPr>
      <w:r w:rsidRPr="0075319E">
        <w:rPr>
          <w:lang w:val="fr-FR"/>
        </w:rPr>
        <w:t>9.</w:t>
      </w:r>
      <w:r w:rsidRPr="0075319E">
        <w:rPr>
          <w:lang w:val="fr-FR"/>
        </w:rPr>
        <w:tab/>
        <w:t>On peut espérer que la proposition révisée sera acceptable pour tous les experts et qu</w:t>
      </w:r>
      <w:r>
        <w:rPr>
          <w:lang w:val="fr-FR"/>
        </w:rPr>
        <w:t>’</w:t>
      </w:r>
      <w:r w:rsidRPr="0075319E">
        <w:rPr>
          <w:lang w:val="fr-FR"/>
        </w:rPr>
        <w:t>il sera envisagé de l</w:t>
      </w:r>
      <w:r>
        <w:rPr>
          <w:lang w:val="fr-FR"/>
        </w:rPr>
        <w:t>’</w:t>
      </w:r>
      <w:r w:rsidRPr="0075319E">
        <w:rPr>
          <w:lang w:val="fr-FR"/>
        </w:rPr>
        <w:t>adopter pour la 24</w:t>
      </w:r>
      <w:r w:rsidRPr="0075319E">
        <w:rPr>
          <w:vertAlign w:val="superscript"/>
          <w:lang w:val="fr-FR"/>
        </w:rPr>
        <w:t>e</w:t>
      </w:r>
      <w:r w:rsidRPr="0075319E">
        <w:rPr>
          <w:lang w:val="fr-FR"/>
        </w:rPr>
        <w:t xml:space="preserve"> édition révisée du </w:t>
      </w:r>
      <w:r w:rsidRPr="0075319E">
        <w:rPr>
          <w:i/>
          <w:iCs/>
          <w:lang w:val="fr-FR"/>
        </w:rPr>
        <w:t>Règlement type</w:t>
      </w:r>
      <w:r w:rsidRPr="0075319E">
        <w:rPr>
          <w:lang w:val="fr-FR"/>
        </w:rPr>
        <w:t>.</w:t>
      </w:r>
    </w:p>
    <w:p w14:paraId="1BF81A11" w14:textId="77777777" w:rsidR="007F6F44" w:rsidRPr="0075319E" w:rsidRDefault="007F6F44" w:rsidP="007F6F44">
      <w:pPr>
        <w:pStyle w:val="H1G"/>
        <w:rPr>
          <w:lang w:val="fr-FR"/>
        </w:rPr>
      </w:pPr>
      <w:r w:rsidRPr="0075319E">
        <w:rPr>
          <w:lang w:val="fr-FR"/>
        </w:rPr>
        <w:tab/>
      </w:r>
      <w:r w:rsidRPr="0075319E">
        <w:rPr>
          <w:lang w:val="fr-FR"/>
        </w:rPr>
        <w:tab/>
      </w:r>
      <w:r w:rsidRPr="0075319E">
        <w:rPr>
          <w:bCs/>
          <w:lang w:val="fr-FR"/>
        </w:rPr>
        <w:t>Norme 3</w:t>
      </w:r>
    </w:p>
    <w:p w14:paraId="180CC3A3" w14:textId="47A472B4" w:rsidR="007F6F44" w:rsidRPr="0075319E" w:rsidRDefault="007F6F44" w:rsidP="007F6F44">
      <w:pPr>
        <w:pStyle w:val="SingleTxtG"/>
        <w:rPr>
          <w:lang w:val="fr-FR"/>
        </w:rPr>
      </w:pPr>
      <w:bookmarkStart w:id="5" w:name="_Hlk161650804"/>
      <w:r w:rsidRPr="0075319E">
        <w:rPr>
          <w:lang w:val="fr-FR"/>
        </w:rPr>
        <w:t>10.</w:t>
      </w:r>
      <w:r w:rsidRPr="0075319E">
        <w:rPr>
          <w:lang w:val="fr-FR"/>
        </w:rPr>
        <w:tab/>
        <w:t>ISO 11119-3:2020/Amd 1:2023, Bouteilles à gaz − Conception, construction et essais des tubes et bouteilles à gaz rechargeables en matériau composite − Partie 3 : Tubes et bouteilles à gaz entièrement bobinés en matériau composite renforcés de fibres d</w:t>
      </w:r>
      <w:r>
        <w:rPr>
          <w:lang w:val="fr-FR"/>
        </w:rPr>
        <w:t>’</w:t>
      </w:r>
      <w:r w:rsidRPr="0075319E">
        <w:rPr>
          <w:lang w:val="fr-FR"/>
        </w:rPr>
        <w:t>une contenance allant jusqu</w:t>
      </w:r>
      <w:r>
        <w:rPr>
          <w:lang w:val="fr-FR"/>
        </w:rPr>
        <w:t>’</w:t>
      </w:r>
      <w:r w:rsidRPr="0075319E">
        <w:rPr>
          <w:lang w:val="fr-FR"/>
        </w:rPr>
        <w:t>à 450 l avec liners non métalliques ou métalliques non structuraux, ou sans liners, Amendement 1</w:t>
      </w:r>
      <w:bookmarkEnd w:id="5"/>
      <w:r w:rsidR="00FE35B2">
        <w:rPr>
          <w:lang w:val="fr-FR"/>
        </w:rPr>
        <w:t>.</w:t>
      </w:r>
    </w:p>
    <w:p w14:paraId="3CBA064D" w14:textId="77777777" w:rsidR="007F6F44" w:rsidRPr="0075319E" w:rsidRDefault="007F6F44" w:rsidP="007F6F44">
      <w:pPr>
        <w:pStyle w:val="SingleTxtG"/>
        <w:rPr>
          <w:lang w:val="fr-FR"/>
        </w:rPr>
      </w:pPr>
      <w:r w:rsidRPr="0075319E">
        <w:rPr>
          <w:lang w:val="fr-FR"/>
        </w:rPr>
        <w:t>11.</w:t>
      </w:r>
      <w:r w:rsidRPr="0075319E">
        <w:rPr>
          <w:lang w:val="fr-FR"/>
        </w:rPr>
        <w:tab/>
        <w:t xml:space="preserve">Les observations formulées à la soixante-quatrième session du Sous-Comité sont très </w:t>
      </w:r>
      <w:r>
        <w:rPr>
          <w:lang w:val="fr-FR"/>
        </w:rPr>
        <w:t>semblables</w:t>
      </w:r>
      <w:r w:rsidRPr="0075319E">
        <w:rPr>
          <w:lang w:val="fr-FR"/>
        </w:rPr>
        <w:t xml:space="preserve"> à celles reçues au sujet de la norme ISO 11119-2:2020/Amd 1:2023. </w:t>
      </w:r>
    </w:p>
    <w:p w14:paraId="479099C1" w14:textId="77777777" w:rsidR="007F6F44" w:rsidRPr="0075319E" w:rsidRDefault="007F6F44" w:rsidP="007F6F44">
      <w:pPr>
        <w:pStyle w:val="SingleTxtG"/>
        <w:rPr>
          <w:lang w:val="fr-FR"/>
        </w:rPr>
      </w:pPr>
      <w:r w:rsidRPr="0075319E">
        <w:rPr>
          <w:lang w:val="fr-FR"/>
        </w:rPr>
        <w:t>12.</w:t>
      </w:r>
      <w:r w:rsidRPr="0075319E">
        <w:rPr>
          <w:lang w:val="fr-FR"/>
        </w:rPr>
        <w:tab/>
        <w:t>La même démarche est proposée, c</w:t>
      </w:r>
      <w:r>
        <w:rPr>
          <w:lang w:val="fr-FR"/>
        </w:rPr>
        <w:t>’</w:t>
      </w:r>
      <w:r w:rsidRPr="0075319E">
        <w:rPr>
          <w:lang w:val="fr-FR"/>
        </w:rPr>
        <w:t xml:space="preserve">est-à-dire que le comité </w:t>
      </w:r>
      <w:r>
        <w:rPr>
          <w:lang w:val="fr-FR"/>
        </w:rPr>
        <w:t>concerné de l’</w:t>
      </w:r>
      <w:r w:rsidRPr="0075319E">
        <w:rPr>
          <w:lang w:val="fr-FR"/>
        </w:rPr>
        <w:t>ISO sera consulté sur une nouvelle proposition qui, si elle est satisfaisante, fera l</w:t>
      </w:r>
      <w:r>
        <w:rPr>
          <w:lang w:val="fr-FR"/>
        </w:rPr>
        <w:t>’</w:t>
      </w:r>
      <w:r w:rsidRPr="0075319E">
        <w:rPr>
          <w:lang w:val="fr-FR"/>
        </w:rPr>
        <w:t>objet d</w:t>
      </w:r>
      <w:r>
        <w:rPr>
          <w:lang w:val="fr-FR"/>
        </w:rPr>
        <w:t>’</w:t>
      </w:r>
      <w:r w:rsidRPr="0075319E">
        <w:rPr>
          <w:lang w:val="fr-FR"/>
        </w:rPr>
        <w:t>un document informel à soumettre pour examen à la soixante-cinquième session.</w:t>
      </w:r>
    </w:p>
    <w:p w14:paraId="0E6301BF" w14:textId="11675C87" w:rsidR="007F6F44" w:rsidRDefault="007F6F44" w:rsidP="007F6F44">
      <w:pPr>
        <w:pStyle w:val="SingleTxtG"/>
      </w:pPr>
      <w:r w:rsidRPr="0075319E">
        <w:rPr>
          <w:lang w:val="fr-FR"/>
        </w:rPr>
        <w:t>13.</w:t>
      </w:r>
      <w:r w:rsidRPr="0075319E">
        <w:rPr>
          <w:lang w:val="fr-FR"/>
        </w:rPr>
        <w:tab/>
        <w:t>On peut espérer que la proposition révisée sera acceptable pour tous les experts et qu</w:t>
      </w:r>
      <w:r>
        <w:rPr>
          <w:lang w:val="fr-FR"/>
        </w:rPr>
        <w:t>’</w:t>
      </w:r>
      <w:r w:rsidRPr="0075319E">
        <w:rPr>
          <w:lang w:val="fr-FR"/>
        </w:rPr>
        <w:t>il sera envisagé de l</w:t>
      </w:r>
      <w:r>
        <w:rPr>
          <w:lang w:val="fr-FR"/>
        </w:rPr>
        <w:t>’</w:t>
      </w:r>
      <w:r w:rsidRPr="0075319E">
        <w:rPr>
          <w:lang w:val="fr-FR"/>
        </w:rPr>
        <w:t>adopter pour la 24</w:t>
      </w:r>
      <w:r w:rsidRPr="0075319E">
        <w:rPr>
          <w:vertAlign w:val="superscript"/>
          <w:lang w:val="fr-FR"/>
        </w:rPr>
        <w:t>e</w:t>
      </w:r>
      <w:r w:rsidRPr="0075319E">
        <w:rPr>
          <w:lang w:val="fr-FR"/>
        </w:rPr>
        <w:t xml:space="preserve"> édition révisée du </w:t>
      </w:r>
      <w:r w:rsidRPr="0075319E">
        <w:rPr>
          <w:i/>
          <w:iCs/>
          <w:lang w:val="fr-FR"/>
        </w:rPr>
        <w:t>Règlement type</w:t>
      </w:r>
      <w:r w:rsidRPr="0075319E">
        <w:rPr>
          <w:lang w:val="fr-FR"/>
        </w:rPr>
        <w:t>.</w:t>
      </w:r>
    </w:p>
    <w:p w14:paraId="3F618E0C" w14:textId="2EDC84D1" w:rsidR="00446FE5" w:rsidRPr="007F6F44" w:rsidRDefault="007F6F44" w:rsidP="007F6F44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446FE5" w:rsidRPr="007F6F44" w:rsidSect="007F6F44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8C76E" w14:textId="77777777" w:rsidR="009A7D6E" w:rsidRDefault="009A7D6E" w:rsidP="00F95C08">
      <w:pPr>
        <w:spacing w:line="240" w:lineRule="auto"/>
      </w:pPr>
    </w:p>
  </w:endnote>
  <w:endnote w:type="continuationSeparator" w:id="0">
    <w:p w14:paraId="4AD4BED6" w14:textId="77777777" w:rsidR="009A7D6E" w:rsidRPr="00AC3823" w:rsidRDefault="009A7D6E" w:rsidP="00AC3823">
      <w:pPr>
        <w:pStyle w:val="Pieddepage"/>
      </w:pPr>
    </w:p>
  </w:endnote>
  <w:endnote w:type="continuationNotice" w:id="1">
    <w:p w14:paraId="39A8672A" w14:textId="77777777" w:rsidR="009A7D6E" w:rsidRDefault="009A7D6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B366F" w14:textId="66A2E3E7" w:rsidR="007F6F44" w:rsidRPr="007F6F44" w:rsidRDefault="007F6F44" w:rsidP="007F6F44">
    <w:pPr>
      <w:pStyle w:val="Pieddepage"/>
      <w:tabs>
        <w:tab w:val="right" w:pos="9638"/>
      </w:tabs>
    </w:pPr>
    <w:r w:rsidRPr="007F6F44">
      <w:rPr>
        <w:b/>
        <w:sz w:val="18"/>
      </w:rPr>
      <w:fldChar w:fldCharType="begin"/>
    </w:r>
    <w:r w:rsidRPr="007F6F44">
      <w:rPr>
        <w:b/>
        <w:sz w:val="18"/>
      </w:rPr>
      <w:instrText xml:space="preserve"> PAGE  \* MERGEFORMAT </w:instrText>
    </w:r>
    <w:r w:rsidRPr="007F6F44">
      <w:rPr>
        <w:b/>
        <w:sz w:val="18"/>
      </w:rPr>
      <w:fldChar w:fldCharType="separate"/>
    </w:r>
    <w:r w:rsidRPr="007F6F44">
      <w:rPr>
        <w:b/>
        <w:noProof/>
        <w:sz w:val="18"/>
      </w:rPr>
      <w:t>2</w:t>
    </w:r>
    <w:r w:rsidRPr="007F6F44">
      <w:rPr>
        <w:b/>
        <w:sz w:val="18"/>
      </w:rPr>
      <w:fldChar w:fldCharType="end"/>
    </w:r>
    <w:r>
      <w:rPr>
        <w:b/>
        <w:sz w:val="18"/>
      </w:rPr>
      <w:tab/>
    </w:r>
    <w:r>
      <w:t>GE.24-15783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88A8B" w14:textId="7FC5E951" w:rsidR="007F6F44" w:rsidRPr="007F6F44" w:rsidRDefault="007F6F44" w:rsidP="007F6F44">
    <w:pPr>
      <w:pStyle w:val="Pieddepage"/>
      <w:tabs>
        <w:tab w:val="right" w:pos="9638"/>
      </w:tabs>
      <w:rPr>
        <w:b/>
        <w:sz w:val="18"/>
      </w:rPr>
    </w:pPr>
    <w:r>
      <w:t>GE.24-15783</w:t>
    </w:r>
    <w:r>
      <w:tab/>
    </w:r>
    <w:r w:rsidRPr="007F6F44">
      <w:rPr>
        <w:b/>
        <w:sz w:val="18"/>
      </w:rPr>
      <w:fldChar w:fldCharType="begin"/>
    </w:r>
    <w:r w:rsidRPr="007F6F44">
      <w:rPr>
        <w:b/>
        <w:sz w:val="18"/>
      </w:rPr>
      <w:instrText xml:space="preserve"> PAGE  \* MERGEFORMAT </w:instrText>
    </w:r>
    <w:r w:rsidRPr="007F6F44">
      <w:rPr>
        <w:b/>
        <w:sz w:val="18"/>
      </w:rPr>
      <w:fldChar w:fldCharType="separate"/>
    </w:r>
    <w:r w:rsidRPr="007F6F44">
      <w:rPr>
        <w:b/>
        <w:noProof/>
        <w:sz w:val="18"/>
      </w:rPr>
      <w:t>3</w:t>
    </w:r>
    <w:r w:rsidRPr="007F6F44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E8DC3" w14:textId="722320D9" w:rsidR="0068456F" w:rsidRPr="007F6F44" w:rsidRDefault="007F6F44" w:rsidP="007F6F44">
    <w:pPr>
      <w:pStyle w:val="Pieddepage"/>
      <w:spacing w:before="120"/>
      <w:rPr>
        <w:sz w:val="20"/>
      </w:rPr>
    </w:pPr>
    <w:r>
      <w:rPr>
        <w:sz w:val="20"/>
      </w:rPr>
      <w:t>GE.</w:t>
    </w:r>
    <w:r w:rsidR="0068456F">
      <w:rPr>
        <w:noProof/>
        <w:lang w:eastAsia="fr-CH"/>
      </w:rPr>
      <w:drawing>
        <wp:anchor distT="0" distB="0" distL="114300" distR="114300" simplePos="0" relativeHeight="251659264" behindDoc="0" locked="0" layoutInCell="1" allowOverlap="0" wp14:anchorId="02693DB4" wp14:editId="12D91C91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24-15783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5ECDDF54" wp14:editId="0313EF37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28650" cy="628650"/>
          <wp:effectExtent l="0" t="0" r="0" b="0"/>
          <wp:wrapNone/>
          <wp:docPr id="26786064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041024    041024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8E8D5" w14:textId="77777777" w:rsidR="009A7D6E" w:rsidRPr="00AC3823" w:rsidRDefault="009A7D6E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0ADBF043" w14:textId="77777777" w:rsidR="009A7D6E" w:rsidRPr="00AC3823" w:rsidRDefault="009A7D6E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4784D1CF" w14:textId="77777777" w:rsidR="009A7D6E" w:rsidRPr="00AC3823" w:rsidRDefault="009A7D6E">
      <w:pPr>
        <w:spacing w:line="240" w:lineRule="auto"/>
        <w:rPr>
          <w:sz w:val="2"/>
          <w:szCs w:val="2"/>
        </w:rPr>
      </w:pPr>
    </w:p>
  </w:footnote>
  <w:footnote w:id="2">
    <w:p w14:paraId="45557199" w14:textId="77777777" w:rsidR="007F6F44" w:rsidRPr="009B2789" w:rsidRDefault="007F6F44" w:rsidP="007F6F44">
      <w:pPr>
        <w:pStyle w:val="Notedebasdepage"/>
      </w:pPr>
      <w:r w:rsidRPr="007F6F44">
        <w:rPr>
          <w:sz w:val="20"/>
          <w:szCs w:val="22"/>
          <w:lang w:val="fr-FR"/>
        </w:rPr>
        <w:tab/>
        <w:t>*</w:t>
      </w:r>
      <w:r w:rsidRPr="007F6F44">
        <w:rPr>
          <w:sz w:val="20"/>
          <w:szCs w:val="22"/>
          <w:lang w:val="fr-FR"/>
        </w:rPr>
        <w:tab/>
      </w:r>
      <w:r>
        <w:rPr>
          <w:lang w:val="fr-FR"/>
        </w:rPr>
        <w:t>A/78/6 (Sect. 20), tableau 20.5.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F6E1A" w14:textId="0995D4D2" w:rsidR="007F6F44" w:rsidRPr="007F6F44" w:rsidRDefault="007F6F44">
    <w:pPr>
      <w:pStyle w:val="En-tte"/>
    </w:pPr>
    <w:fldSimple w:instr=" TITLE  \* MERGEFORMAT ">
      <w:r w:rsidR="00C12217">
        <w:t>ST/SG/AC.10/C.3/2024/61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74A88" w14:textId="5AB36D5F" w:rsidR="007F6F44" w:rsidRPr="007F6F44" w:rsidRDefault="007F6F44" w:rsidP="007F6F44">
    <w:pPr>
      <w:pStyle w:val="En-tte"/>
      <w:jc w:val="right"/>
    </w:pPr>
    <w:fldSimple w:instr=" TITLE  \* MERGEFORMAT ">
      <w:r w:rsidR="00C12217">
        <w:t>ST/SG/AC.10/C.3/2024/61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274CD73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981AAA34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FE2C9A28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1493597394">
    <w:abstractNumId w:val="12"/>
  </w:num>
  <w:num w:numId="2" w16cid:durableId="519272830">
    <w:abstractNumId w:val="11"/>
  </w:num>
  <w:num w:numId="3" w16cid:durableId="250697216">
    <w:abstractNumId w:val="10"/>
  </w:num>
  <w:num w:numId="4" w16cid:durableId="1035345753">
    <w:abstractNumId w:val="8"/>
  </w:num>
  <w:num w:numId="5" w16cid:durableId="661549794">
    <w:abstractNumId w:val="3"/>
  </w:num>
  <w:num w:numId="6" w16cid:durableId="2039155388">
    <w:abstractNumId w:val="2"/>
  </w:num>
  <w:num w:numId="7" w16cid:durableId="1785685782">
    <w:abstractNumId w:val="1"/>
  </w:num>
  <w:num w:numId="8" w16cid:durableId="1535074597">
    <w:abstractNumId w:val="0"/>
  </w:num>
  <w:num w:numId="9" w16cid:durableId="1126116703">
    <w:abstractNumId w:val="9"/>
  </w:num>
  <w:num w:numId="10" w16cid:durableId="2139302760">
    <w:abstractNumId w:val="7"/>
  </w:num>
  <w:num w:numId="11" w16cid:durableId="333147987">
    <w:abstractNumId w:val="6"/>
  </w:num>
  <w:num w:numId="12" w16cid:durableId="200090807">
    <w:abstractNumId w:val="5"/>
  </w:num>
  <w:num w:numId="13" w16cid:durableId="1997681159">
    <w:abstractNumId w:val="4"/>
  </w:num>
  <w:num w:numId="14" w16cid:durableId="1621641705">
    <w:abstractNumId w:val="12"/>
  </w:num>
  <w:num w:numId="15" w16cid:durableId="214705038">
    <w:abstractNumId w:val="11"/>
  </w:num>
  <w:num w:numId="16" w16cid:durableId="10542342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6E"/>
    <w:rsid w:val="00017F94"/>
    <w:rsid w:val="00023842"/>
    <w:rsid w:val="000305D3"/>
    <w:rsid w:val="000334F9"/>
    <w:rsid w:val="0007796D"/>
    <w:rsid w:val="000B7790"/>
    <w:rsid w:val="00111F2F"/>
    <w:rsid w:val="00132EA9"/>
    <w:rsid w:val="0014365E"/>
    <w:rsid w:val="00172E49"/>
    <w:rsid w:val="00176178"/>
    <w:rsid w:val="001F525A"/>
    <w:rsid w:val="00223272"/>
    <w:rsid w:val="0024779E"/>
    <w:rsid w:val="00283190"/>
    <w:rsid w:val="002832AC"/>
    <w:rsid w:val="00290CEF"/>
    <w:rsid w:val="002D7C93"/>
    <w:rsid w:val="00441C3B"/>
    <w:rsid w:val="00446FE5"/>
    <w:rsid w:val="00452396"/>
    <w:rsid w:val="004E468C"/>
    <w:rsid w:val="005505B7"/>
    <w:rsid w:val="00573BE5"/>
    <w:rsid w:val="00584DC4"/>
    <w:rsid w:val="00586ED3"/>
    <w:rsid w:val="00596AA9"/>
    <w:rsid w:val="00672721"/>
    <w:rsid w:val="0068456F"/>
    <w:rsid w:val="0071601D"/>
    <w:rsid w:val="007A62E6"/>
    <w:rsid w:val="007F6F44"/>
    <w:rsid w:val="0080684C"/>
    <w:rsid w:val="008123E0"/>
    <w:rsid w:val="00871C75"/>
    <w:rsid w:val="008776DC"/>
    <w:rsid w:val="008B40CD"/>
    <w:rsid w:val="008E2E64"/>
    <w:rsid w:val="009705C8"/>
    <w:rsid w:val="009A7D6E"/>
    <w:rsid w:val="009C1CF4"/>
    <w:rsid w:val="00A30353"/>
    <w:rsid w:val="00A81281"/>
    <w:rsid w:val="00AC3823"/>
    <w:rsid w:val="00AE323C"/>
    <w:rsid w:val="00B00181"/>
    <w:rsid w:val="00B00B0D"/>
    <w:rsid w:val="00B765F7"/>
    <w:rsid w:val="00BA0CA9"/>
    <w:rsid w:val="00C02897"/>
    <w:rsid w:val="00C12217"/>
    <w:rsid w:val="00D3439C"/>
    <w:rsid w:val="00DB1831"/>
    <w:rsid w:val="00DD3BFD"/>
    <w:rsid w:val="00DF6678"/>
    <w:rsid w:val="00EF2E22"/>
    <w:rsid w:val="00F01738"/>
    <w:rsid w:val="00F660DF"/>
    <w:rsid w:val="00F730C8"/>
    <w:rsid w:val="00F95C08"/>
    <w:rsid w:val="00FE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F6BC39"/>
  <w15:docId w15:val="{B4473B2E-942E-4C91-974C-989CD533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DC4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584DC4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584DC4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584DC4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584DC4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584DC4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584DC4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584DC4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link w:val="H1GChar"/>
    <w:qFormat/>
    <w:rsid w:val="00584DC4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584DC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584DC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584DC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link w:val="SingleTxtGChar"/>
    <w:qFormat/>
    <w:rsid w:val="00584DC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584DC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584DC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584DC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584DC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584DC4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584DC4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584DC4"/>
    <w:pPr>
      <w:numPr>
        <w:numId w:val="16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styleId="Appelnotedebasdep">
    <w:name w:val="footnote reference"/>
    <w:aliases w:val="4_G"/>
    <w:basedOn w:val="Policepardfaut"/>
    <w:qFormat/>
    <w:rsid w:val="00584DC4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584DC4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584DC4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584DC4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584DC4"/>
    <w:rPr>
      <w:color w:val="0000FF"/>
      <w:u w:val="none"/>
    </w:rPr>
  </w:style>
  <w:style w:type="paragraph" w:styleId="Notedebasdepage">
    <w:name w:val="footnote text"/>
    <w:aliases w:val="5_G"/>
    <w:basedOn w:val="Normal"/>
    <w:link w:val="NotedebasdepageCar"/>
    <w:qFormat/>
    <w:rsid w:val="00584DC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"/>
    <w:basedOn w:val="Policepardfaut"/>
    <w:link w:val="Notedebasdepage"/>
    <w:rsid w:val="00584DC4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584DC4"/>
  </w:style>
  <w:style w:type="character" w:customStyle="1" w:styleId="NotedefinCar">
    <w:name w:val="Note de fin Car"/>
    <w:aliases w:val="2_G Car"/>
    <w:basedOn w:val="Policepardfaut"/>
    <w:link w:val="Notedefin"/>
    <w:rsid w:val="00584DC4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584DC4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584DC4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2E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2EA9"/>
    <w:rPr>
      <w:rFonts w:ascii="Tahoma" w:hAnsi="Tahoma" w:cs="Tahoma"/>
      <w:sz w:val="16"/>
      <w:szCs w:val="16"/>
      <w:lang w:eastAsia="en-US"/>
    </w:rPr>
  </w:style>
  <w:style w:type="character" w:customStyle="1" w:styleId="H1GChar">
    <w:name w:val="_ H_1_G Char"/>
    <w:link w:val="H1G"/>
    <w:rsid w:val="007F6F44"/>
    <w:rPr>
      <w:rFonts w:ascii="Times New Roman" w:eastAsiaTheme="minorHAnsi" w:hAnsi="Times New Roman" w:cs="Times New Roman"/>
      <w:b/>
      <w:sz w:val="24"/>
      <w:szCs w:val="20"/>
      <w:lang w:eastAsia="en-US"/>
    </w:rPr>
  </w:style>
  <w:style w:type="character" w:customStyle="1" w:styleId="HChGChar">
    <w:name w:val="_ H _Ch_G Char"/>
    <w:link w:val="HChG"/>
    <w:locked/>
    <w:rsid w:val="007F6F44"/>
    <w:rPr>
      <w:rFonts w:ascii="Times New Roman" w:eastAsiaTheme="minorHAnsi" w:hAnsi="Times New Roman" w:cs="Times New Roman"/>
      <w:b/>
      <w:sz w:val="28"/>
      <w:szCs w:val="20"/>
      <w:lang w:eastAsia="en-US"/>
    </w:rPr>
  </w:style>
  <w:style w:type="character" w:customStyle="1" w:styleId="SingleTxtGChar">
    <w:name w:val="_ Single Txt_G Char"/>
    <w:link w:val="SingleTxtG"/>
    <w:rsid w:val="007F6F44"/>
    <w:rPr>
      <w:rFonts w:ascii="Times New Roman" w:eastAsiaTheme="minorHAnsi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S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ée un document." ma:contentTypeScope="" ma:versionID="e18bef637d0f1ddca225288e0d432ec3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a115814b681581b4d823fe6aeb4d21e0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BB08DA-5735-42DF-85DC-CCFDCF7A7A4D}"/>
</file>

<file path=customXml/itemProps2.xml><?xml version="1.0" encoding="utf-8"?>
<ds:datastoreItem xmlns:ds="http://schemas.openxmlformats.org/officeDocument/2006/customXml" ds:itemID="{D540A220-ABA5-403D-9257-2E23895F8C47}"/>
</file>

<file path=docProps/app.xml><?xml version="1.0" encoding="utf-8"?>
<Properties xmlns="http://schemas.openxmlformats.org/officeDocument/2006/extended-properties" xmlns:vt="http://schemas.openxmlformats.org/officeDocument/2006/docPropsVTypes">
  <Template>ST.dotm</Template>
  <TotalTime>1</TotalTime>
  <Pages>2</Pages>
  <Words>534</Words>
  <Characters>4092</Characters>
  <Application>Microsoft Office Word</Application>
  <DocSecurity>0</DocSecurity>
  <Lines>1364</Lines>
  <Paragraphs>385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DCM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ST/SG/AC.10/C.3/2024/61</dc:title>
  <dc:subject/>
  <dc:creator>Maud DARICHE</dc:creator>
  <cp:keywords/>
  <cp:lastModifiedBy>Maud DARICHE</cp:lastModifiedBy>
  <cp:revision>3</cp:revision>
  <cp:lastPrinted>2024-10-04T14:07:00Z</cp:lastPrinted>
  <dcterms:created xsi:type="dcterms:W3CDTF">2024-10-04T14:07:00Z</dcterms:created>
  <dcterms:modified xsi:type="dcterms:W3CDTF">2024-10-04T14:08:00Z</dcterms:modified>
</cp:coreProperties>
</file>