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16491775" w14:textId="77777777" w:rsidTr="006476E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70D52" w14:textId="77777777" w:rsidR="00E52109" w:rsidRPr="002A32CB" w:rsidRDefault="00E52109" w:rsidP="004858F5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6FCC5" w14:textId="77777777" w:rsidR="00E52109" w:rsidRDefault="00E52109" w:rsidP="006476E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C06AE" w14:textId="5FDDB17D" w:rsidR="00E52109" w:rsidRDefault="00947B4E" w:rsidP="00947B4E">
            <w:pPr>
              <w:jc w:val="right"/>
            </w:pPr>
            <w:r w:rsidRPr="00947B4E">
              <w:rPr>
                <w:sz w:val="40"/>
              </w:rPr>
              <w:t>ST</w:t>
            </w:r>
            <w:r>
              <w:t>/SG/AC.10/C.3/2024/61</w:t>
            </w:r>
          </w:p>
        </w:tc>
      </w:tr>
      <w:tr w:rsidR="00E52109" w14:paraId="1DDD3D9A" w14:textId="77777777" w:rsidTr="006476E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15999B" w14:textId="77777777" w:rsidR="00E52109" w:rsidRDefault="00E52109" w:rsidP="006476E1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4CE351B" wp14:editId="45D7FC2A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B28855" w14:textId="77777777" w:rsidR="00E52109" w:rsidRDefault="00D94B05" w:rsidP="006476E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F7BA50" w14:textId="77777777" w:rsidR="00D94B05" w:rsidRDefault="00947B4E" w:rsidP="00947B4E">
            <w:pPr>
              <w:spacing w:before="240" w:line="240" w:lineRule="exact"/>
            </w:pPr>
            <w:r>
              <w:t>Distr.: General</w:t>
            </w:r>
          </w:p>
          <w:p w14:paraId="74032F52" w14:textId="325C132C" w:rsidR="00947B4E" w:rsidRDefault="00814172" w:rsidP="00947B4E">
            <w:pPr>
              <w:spacing w:line="240" w:lineRule="exact"/>
            </w:pPr>
            <w:r>
              <w:t>3</w:t>
            </w:r>
            <w:r w:rsidR="00947B4E">
              <w:t xml:space="preserve"> September 2024</w:t>
            </w:r>
          </w:p>
          <w:p w14:paraId="34461B36" w14:textId="77777777" w:rsidR="00947B4E" w:rsidRDefault="00947B4E" w:rsidP="00947B4E">
            <w:pPr>
              <w:spacing w:line="240" w:lineRule="exact"/>
            </w:pPr>
          </w:p>
          <w:p w14:paraId="2C24E11F" w14:textId="008EC555" w:rsidR="00947B4E" w:rsidRDefault="00947B4E" w:rsidP="00947B4E">
            <w:pPr>
              <w:spacing w:line="240" w:lineRule="exact"/>
            </w:pPr>
            <w:r>
              <w:t>Original: English</w:t>
            </w:r>
          </w:p>
        </w:tc>
      </w:tr>
    </w:tbl>
    <w:p w14:paraId="7D298532" w14:textId="77777777" w:rsidR="00947B4E" w:rsidRPr="006500BA" w:rsidRDefault="00947B4E" w:rsidP="004858F5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14:paraId="3CE7C361" w14:textId="77777777" w:rsidR="00947B4E" w:rsidRPr="006500BA" w:rsidRDefault="00947B4E" w:rsidP="004858F5">
      <w:pPr>
        <w:spacing w:before="120"/>
        <w:rPr>
          <w:rFonts w:ascii="Helv" w:hAnsi="Helv" w:cs="Helv"/>
          <w:b/>
          <w:color w:val="000000"/>
        </w:rPr>
      </w:pPr>
      <w:r w:rsidRPr="006500BA">
        <w:rPr>
          <w:b/>
        </w:rPr>
        <w:t xml:space="preserve">Sub-Committee of Experts on the </w:t>
      </w:r>
      <w:r>
        <w:rPr>
          <w:b/>
        </w:rPr>
        <w:t>Transport of Dangerous Goods</w:t>
      </w:r>
    </w:p>
    <w:p w14:paraId="223F2F97" w14:textId="0906C4F8" w:rsidR="00947B4E" w:rsidRPr="006500BA" w:rsidRDefault="00A85DE0" w:rsidP="004858F5">
      <w:pPr>
        <w:spacing w:before="120"/>
        <w:rPr>
          <w:b/>
        </w:rPr>
      </w:pPr>
      <w:r>
        <w:rPr>
          <w:b/>
        </w:rPr>
        <w:t>Sixty-fifth</w:t>
      </w:r>
      <w:r w:rsidR="00947B4E">
        <w:rPr>
          <w:b/>
        </w:rPr>
        <w:t xml:space="preserve"> </w:t>
      </w:r>
      <w:r w:rsidR="00947B4E" w:rsidRPr="006500BA">
        <w:rPr>
          <w:b/>
        </w:rPr>
        <w:t>session</w:t>
      </w:r>
    </w:p>
    <w:p w14:paraId="6D11750A" w14:textId="5337C111" w:rsidR="00947B4E" w:rsidRPr="006500BA" w:rsidRDefault="00947B4E" w:rsidP="004858F5">
      <w:r w:rsidRPr="006500BA">
        <w:t xml:space="preserve">Geneva, </w:t>
      </w:r>
      <w:r w:rsidR="004D471F">
        <w:t>25 November-3 December 2024</w:t>
      </w:r>
    </w:p>
    <w:p w14:paraId="51C401E2" w14:textId="029F9A25" w:rsidR="00947B4E" w:rsidRPr="006500BA" w:rsidRDefault="00947B4E" w:rsidP="004858F5">
      <w:r w:rsidRPr="006500BA">
        <w:t xml:space="preserve">Item </w:t>
      </w:r>
      <w:r w:rsidR="004D1FFD">
        <w:t xml:space="preserve">5 </w:t>
      </w:r>
      <w:r w:rsidR="00AF472D">
        <w:t>(</w:t>
      </w:r>
      <w:r w:rsidR="009E7D0C">
        <w:t>c)</w:t>
      </w:r>
      <w:r w:rsidR="006F1B84">
        <w:t xml:space="preserve"> </w:t>
      </w:r>
      <w:r w:rsidRPr="006500BA">
        <w:t>of the provisional agenda</w:t>
      </w:r>
    </w:p>
    <w:p w14:paraId="6A6F6B27" w14:textId="77777777" w:rsidR="001C2EB7" w:rsidRDefault="001C2EB7" w:rsidP="001C2EB7">
      <w:pPr>
        <w:rPr>
          <w:b/>
        </w:rPr>
      </w:pPr>
      <w:r w:rsidRPr="007D4E9C">
        <w:rPr>
          <w:b/>
        </w:rPr>
        <w:t>Transport of gases:</w:t>
      </w:r>
      <w:r>
        <w:rPr>
          <w:b/>
        </w:rPr>
        <w:br/>
        <w:t>M</w:t>
      </w:r>
      <w:r w:rsidRPr="007D4E9C">
        <w:rPr>
          <w:b/>
        </w:rPr>
        <w:t>iscellaneous</w:t>
      </w:r>
    </w:p>
    <w:p w14:paraId="78C25698" w14:textId="77777777" w:rsidR="00A4072A" w:rsidRPr="007D4E9C" w:rsidRDefault="00A4072A" w:rsidP="00A4072A">
      <w:pPr>
        <w:pStyle w:val="HChG"/>
      </w:pPr>
      <w:r>
        <w:tab/>
      </w:r>
      <w:r>
        <w:tab/>
      </w:r>
      <w:r w:rsidRPr="007D4E9C">
        <w:t>Updated ISO standards in Class 2</w:t>
      </w:r>
    </w:p>
    <w:p w14:paraId="52810E56" w14:textId="4476086A" w:rsidR="00A4072A" w:rsidRPr="007D4E9C" w:rsidRDefault="00A4072A" w:rsidP="00A4072A">
      <w:pPr>
        <w:pStyle w:val="H1G"/>
        <w:jc w:val="both"/>
      </w:pPr>
      <w:r w:rsidRPr="007D4E9C">
        <w:tab/>
      </w:r>
      <w:r>
        <w:tab/>
      </w:r>
      <w:r w:rsidRPr="007D4E9C">
        <w:t>Transmitted by the International Organisation for Standardisation (ISO)</w:t>
      </w:r>
      <w:r w:rsidR="009B2789" w:rsidRPr="009B2789">
        <w:rPr>
          <w:rStyle w:val="FootnoteReference"/>
          <w:sz w:val="20"/>
        </w:rPr>
        <w:footnoteReference w:customMarkFollows="1" w:id="2"/>
        <w:t>*</w:t>
      </w:r>
    </w:p>
    <w:p w14:paraId="3C0FE2AB" w14:textId="35D26068" w:rsidR="00A4072A" w:rsidRPr="007D4E9C" w:rsidRDefault="00A4072A" w:rsidP="00A4072A">
      <w:pPr>
        <w:pStyle w:val="HChG"/>
      </w:pPr>
      <w:r w:rsidRPr="007D4E9C">
        <w:tab/>
      </w:r>
      <w:r w:rsidR="00332BAB">
        <w:t>I.</w:t>
      </w:r>
      <w:r w:rsidR="00332BAB">
        <w:tab/>
      </w:r>
      <w:r>
        <w:tab/>
      </w:r>
      <w:r w:rsidRPr="007D4E9C">
        <w:t>Introduction</w:t>
      </w:r>
    </w:p>
    <w:p w14:paraId="48778367" w14:textId="6292E5FC" w:rsidR="00A4072A" w:rsidRPr="007D4E9C" w:rsidRDefault="00A4072A" w:rsidP="00A4072A">
      <w:pPr>
        <w:pStyle w:val="SingleTxtG"/>
      </w:pPr>
      <w:r w:rsidRPr="007D4E9C">
        <w:t>1.</w:t>
      </w:r>
      <w:r w:rsidRPr="007D4E9C">
        <w:tab/>
        <w:t>Th</w:t>
      </w:r>
      <w:r>
        <w:t xml:space="preserve">is </w:t>
      </w:r>
      <w:r w:rsidR="00332BAB">
        <w:t xml:space="preserve">document </w:t>
      </w:r>
      <w:r>
        <w:t xml:space="preserve">provides an update with regards to the comments received from </w:t>
      </w:r>
      <w:r w:rsidR="00387780">
        <w:t xml:space="preserve">experts </w:t>
      </w:r>
      <w:r>
        <w:t xml:space="preserve">prior to, and during, the </w:t>
      </w:r>
      <w:bookmarkStart w:id="0" w:name="_Hlk174961506"/>
      <w:r w:rsidR="00332BAB">
        <w:t xml:space="preserve">sixty-fourth session </w:t>
      </w:r>
      <w:r>
        <w:t xml:space="preserve">of the </w:t>
      </w:r>
      <w:r w:rsidRPr="00940881">
        <w:t>Sub-Committee of Experts on the Transport of Dangerous Goods</w:t>
      </w:r>
      <w:bookmarkEnd w:id="0"/>
      <w:r>
        <w:t>, on the following documents:</w:t>
      </w:r>
      <w:r w:rsidRPr="007D4E9C">
        <w:t xml:space="preserve"> </w:t>
      </w:r>
    </w:p>
    <w:p w14:paraId="2BF8D29F" w14:textId="77777777" w:rsidR="00A4072A" w:rsidRPr="007D4E9C" w:rsidRDefault="00A4072A" w:rsidP="00A4072A">
      <w:pPr>
        <w:pStyle w:val="SingleTxtG"/>
      </w:pPr>
      <w:bookmarkStart w:id="1" w:name="_Hlk131398873"/>
      <w:bookmarkStart w:id="2" w:name="_Hlk131592271"/>
      <w:r w:rsidRPr="007D4E9C">
        <w:t>ISO</w:t>
      </w:r>
      <w:r>
        <w:t> </w:t>
      </w:r>
      <w:r w:rsidRPr="007D4E9C">
        <w:t>23876:2022, Gas cylinders – Cylinders and tubes of composite construction – Acoustic emission examination (AT) for periodic inspection and testing</w:t>
      </w:r>
      <w:r>
        <w:t>.</w:t>
      </w:r>
    </w:p>
    <w:bookmarkEnd w:id="1"/>
    <w:p w14:paraId="03B4ED31" w14:textId="77777777" w:rsidR="00A4072A" w:rsidRPr="007D4E9C" w:rsidRDefault="00A4072A" w:rsidP="00A4072A">
      <w:pPr>
        <w:pStyle w:val="SingleTxtG"/>
      </w:pPr>
      <w:r w:rsidRPr="007D4E9C">
        <w:t>ISO</w:t>
      </w:r>
      <w:r>
        <w:t> </w:t>
      </w:r>
      <w:r w:rsidRPr="007D4E9C">
        <w:t>11119-2:2020/</w:t>
      </w:r>
      <w:proofErr w:type="spellStart"/>
      <w:r w:rsidRPr="007D4E9C">
        <w:t>Amd</w:t>
      </w:r>
      <w:proofErr w:type="spellEnd"/>
      <w:r w:rsidRPr="007D4E9C">
        <w:t xml:space="preserve"> 1:2023, Gas cylinders – Design, construction and testing of refillable composite gas cylinders and tubes, Part 2: Fully wrapped fibre reinforced composite gas cylinders and tubes up to 450 l with load-sharing metal liners, Amendment 1</w:t>
      </w:r>
      <w:r>
        <w:t>.</w:t>
      </w:r>
    </w:p>
    <w:p w14:paraId="4EFC1298" w14:textId="77777777" w:rsidR="00A4072A" w:rsidRPr="007D4E9C" w:rsidRDefault="00A4072A" w:rsidP="00A4072A">
      <w:pPr>
        <w:pStyle w:val="SingleTxtG"/>
      </w:pPr>
      <w:bookmarkStart w:id="3" w:name="_Hlk174962288"/>
      <w:r w:rsidRPr="007D4E9C">
        <w:t>ISO</w:t>
      </w:r>
      <w:r>
        <w:t> </w:t>
      </w:r>
      <w:r w:rsidRPr="007D4E9C">
        <w:t>11119-3:2020/</w:t>
      </w:r>
      <w:proofErr w:type="spellStart"/>
      <w:r w:rsidRPr="007D4E9C">
        <w:t>Amd</w:t>
      </w:r>
      <w:proofErr w:type="spellEnd"/>
      <w:r w:rsidRPr="007D4E9C">
        <w:t xml:space="preserve"> 1:2023, Gas cylinders – Design, construction and testing of refillable composite gas cylinders and tubes, Part 3: Fully wrapped fibre reinforced composite gas cylinders and tubes up to 450 l with non-load-sharing metallic or non-metallic liners or without liners, Amendment 1</w:t>
      </w:r>
      <w:r>
        <w:t>.</w:t>
      </w:r>
    </w:p>
    <w:bookmarkEnd w:id="2"/>
    <w:bookmarkEnd w:id="3"/>
    <w:p w14:paraId="1F0355BA" w14:textId="4D615E01" w:rsidR="00C209C7" w:rsidRDefault="00A4072A" w:rsidP="008D37B6">
      <w:pPr>
        <w:pStyle w:val="HChG"/>
      </w:pPr>
      <w:r w:rsidRPr="007D4E9C">
        <w:tab/>
      </w:r>
      <w:r w:rsidR="00C209C7">
        <w:t>II.</w:t>
      </w:r>
      <w:r w:rsidR="00C209C7">
        <w:tab/>
      </w:r>
      <w:r>
        <w:t>Standard</w:t>
      </w:r>
      <w:r w:rsidR="00C209C7">
        <w:t>s</w:t>
      </w:r>
    </w:p>
    <w:p w14:paraId="376227FD" w14:textId="4FED0A4B" w:rsidR="00A4072A" w:rsidRPr="007D4E9C" w:rsidRDefault="00C209C7" w:rsidP="00A4072A">
      <w:pPr>
        <w:pStyle w:val="H1G"/>
      </w:pPr>
      <w:r>
        <w:tab/>
      </w:r>
      <w:r>
        <w:tab/>
      </w:r>
      <w:r>
        <w:tab/>
        <w:t xml:space="preserve">Standard </w:t>
      </w:r>
      <w:r w:rsidR="00A4072A" w:rsidRPr="007D4E9C">
        <w:t>1</w:t>
      </w:r>
    </w:p>
    <w:p w14:paraId="4BA4D56C" w14:textId="77777777" w:rsidR="00A4072A" w:rsidRDefault="00A4072A" w:rsidP="00A4072A">
      <w:pPr>
        <w:pStyle w:val="SingleTxtG"/>
      </w:pPr>
      <w:r w:rsidRPr="007D4E9C">
        <w:t>2.</w:t>
      </w:r>
      <w:r w:rsidRPr="007D4E9C">
        <w:tab/>
      </w:r>
      <w:r w:rsidRPr="00940881">
        <w:t>ISO 23876:2022, Gas cylinders – Cylinders and tubes of composite construction – Acoustic emission examination (AT) for periodic inspection and testing</w:t>
      </w:r>
      <w:r>
        <w:t>.</w:t>
      </w:r>
    </w:p>
    <w:p w14:paraId="0D9C7923" w14:textId="6ED56405" w:rsidR="00A4072A" w:rsidRDefault="00AF4744" w:rsidP="00A4072A">
      <w:pPr>
        <w:pStyle w:val="SingleTxtG"/>
      </w:pPr>
      <w:r>
        <w:t>3.</w:t>
      </w:r>
      <w:r>
        <w:tab/>
      </w:r>
      <w:r w:rsidR="00A4072A" w:rsidRPr="00A0571B">
        <w:t>The representative of ISO withdrew proposal 1 in document ST/SG/AC.10/C.3/2024/11</w:t>
      </w:r>
      <w:r w:rsidR="00A4072A">
        <w:t xml:space="preserve">, during the </w:t>
      </w:r>
      <w:bookmarkStart w:id="4" w:name="_Hlk174961711"/>
      <w:r w:rsidR="00811D69">
        <w:t>sixty-fourth</w:t>
      </w:r>
      <w:r w:rsidR="00811D69" w:rsidRPr="00A0571B">
        <w:t xml:space="preserve"> </w:t>
      </w:r>
      <w:r w:rsidR="00811D69">
        <w:t>s</w:t>
      </w:r>
      <w:r w:rsidR="00811D69" w:rsidRPr="00A0571B">
        <w:t xml:space="preserve">ession </w:t>
      </w:r>
      <w:r w:rsidR="00A4072A" w:rsidRPr="00A0571B">
        <w:t>of the Sub-Committee</w:t>
      </w:r>
      <w:bookmarkEnd w:id="4"/>
      <w:r w:rsidR="00A4072A" w:rsidRPr="00A0571B">
        <w:t xml:space="preserve">. </w:t>
      </w:r>
      <w:r w:rsidR="00A4072A">
        <w:t xml:space="preserve">As a </w:t>
      </w:r>
      <w:r w:rsidR="00A4072A">
        <w:lastRenderedPageBreak/>
        <w:t xml:space="preserve">result, this document will be further reviewed by the relevant ISO Committee and additional feedback will be provided in due course. </w:t>
      </w:r>
    </w:p>
    <w:p w14:paraId="46DFF294" w14:textId="34AC8E4E" w:rsidR="00A4072A" w:rsidRDefault="00CD42C7" w:rsidP="00A4072A">
      <w:pPr>
        <w:pStyle w:val="SingleTxtG"/>
      </w:pPr>
      <w:r>
        <w:t>4.</w:t>
      </w:r>
      <w:r>
        <w:tab/>
      </w:r>
      <w:r w:rsidR="00A4072A">
        <w:t xml:space="preserve">It is not expected that this standard will be published </w:t>
      </w:r>
      <w:r w:rsidR="00A722FB">
        <w:t xml:space="preserve">in 2025 </w:t>
      </w:r>
      <w:r w:rsidR="00A4072A">
        <w:t xml:space="preserve">in the </w:t>
      </w:r>
      <w:r w:rsidR="00CC1C8D">
        <w:t>24</w:t>
      </w:r>
      <w:r w:rsidR="00CC1C8D" w:rsidRPr="008D37B6">
        <w:rPr>
          <w:vertAlign w:val="superscript"/>
        </w:rPr>
        <w:t>th</w:t>
      </w:r>
      <w:r w:rsidR="00CC1C8D">
        <w:t xml:space="preserve"> revised edition</w:t>
      </w:r>
      <w:r w:rsidR="00A4072A">
        <w:t xml:space="preserve"> of the U</w:t>
      </w:r>
      <w:r w:rsidR="00206E04">
        <w:t xml:space="preserve">nited </w:t>
      </w:r>
      <w:r w:rsidR="00A4072A">
        <w:t>N</w:t>
      </w:r>
      <w:r w:rsidR="00206E04">
        <w:t>ations</w:t>
      </w:r>
      <w:r w:rsidR="00A4072A">
        <w:t xml:space="preserve"> </w:t>
      </w:r>
      <w:r w:rsidR="00A4072A" w:rsidRPr="008D37B6">
        <w:rPr>
          <w:i/>
          <w:iCs/>
        </w:rPr>
        <w:t>Model Regulations</w:t>
      </w:r>
      <w:r w:rsidR="00A4072A">
        <w:t>.</w:t>
      </w:r>
    </w:p>
    <w:p w14:paraId="186A00D1" w14:textId="77777777" w:rsidR="00A4072A" w:rsidRPr="007D4E9C" w:rsidRDefault="00A4072A" w:rsidP="00A4072A">
      <w:pPr>
        <w:pStyle w:val="H1G"/>
      </w:pPr>
      <w:r w:rsidRPr="007D4E9C">
        <w:tab/>
      </w:r>
      <w:r w:rsidRPr="007D4E9C">
        <w:tab/>
      </w:r>
      <w:r>
        <w:t>Standard</w:t>
      </w:r>
      <w:r w:rsidRPr="007D4E9C">
        <w:t xml:space="preserve"> 2</w:t>
      </w:r>
    </w:p>
    <w:p w14:paraId="35AE1EBA" w14:textId="5ADC1F20" w:rsidR="00A4072A" w:rsidRDefault="00CD42C7" w:rsidP="00A4072A">
      <w:pPr>
        <w:pStyle w:val="SingleTxtG"/>
      </w:pPr>
      <w:r>
        <w:t>5</w:t>
      </w:r>
      <w:r w:rsidR="00A4072A">
        <w:t>.</w:t>
      </w:r>
      <w:r w:rsidR="00A4072A">
        <w:tab/>
      </w:r>
      <w:r w:rsidR="00A4072A" w:rsidRPr="00940881">
        <w:t>ISO 11119-2:2020/</w:t>
      </w:r>
      <w:proofErr w:type="spellStart"/>
      <w:r w:rsidR="00A4072A" w:rsidRPr="00940881">
        <w:t>Amd</w:t>
      </w:r>
      <w:proofErr w:type="spellEnd"/>
      <w:r w:rsidR="00A4072A" w:rsidRPr="00940881">
        <w:t xml:space="preserve"> 1:2023, Gas cylinders – Design, construction and testing of refillable composite gas cylinders and tubes, Part 2: Fully wrapped fibre reinforced composite gas cylinders and tubes up to 450 l with load-sharing metal liners, Amendment 1</w:t>
      </w:r>
      <w:r w:rsidR="00A4072A">
        <w:t>.</w:t>
      </w:r>
    </w:p>
    <w:p w14:paraId="73DDA660" w14:textId="68C45066" w:rsidR="00A4072A" w:rsidRDefault="00CD42C7" w:rsidP="00A4072A">
      <w:pPr>
        <w:pStyle w:val="SingleTxtG"/>
      </w:pPr>
      <w:r>
        <w:t>6.</w:t>
      </w:r>
      <w:r>
        <w:tab/>
      </w:r>
      <w:r w:rsidR="00A4072A" w:rsidRPr="00A0571B">
        <w:t xml:space="preserve">The </w:t>
      </w:r>
      <w:r w:rsidR="00492693">
        <w:t>expert</w:t>
      </w:r>
      <w:r w:rsidR="00A4072A" w:rsidRPr="00A0571B">
        <w:t xml:space="preserve"> </w:t>
      </w:r>
      <w:r w:rsidR="00492693">
        <w:t>from</w:t>
      </w:r>
      <w:r w:rsidR="00A4072A" w:rsidRPr="00A0571B">
        <w:t xml:space="preserve"> ISO suggested</w:t>
      </w:r>
      <w:r w:rsidR="00A4072A">
        <w:t xml:space="preserve">, during the </w:t>
      </w:r>
      <w:r w:rsidR="00B217DD">
        <w:t>sixty-fourth</w:t>
      </w:r>
      <w:r w:rsidR="00B217DD" w:rsidRPr="00A0571B">
        <w:t xml:space="preserve"> </w:t>
      </w:r>
      <w:r w:rsidR="00B217DD">
        <w:t>s</w:t>
      </w:r>
      <w:r w:rsidR="00B217DD" w:rsidRPr="00A0571B">
        <w:t xml:space="preserve">ession </w:t>
      </w:r>
      <w:r w:rsidR="00A4072A" w:rsidRPr="00A0571B">
        <w:t>of the Sub</w:t>
      </w:r>
      <w:r w:rsidR="005166ED">
        <w:noBreakHyphen/>
      </w:r>
      <w:r w:rsidR="00A4072A" w:rsidRPr="00A0571B">
        <w:t>Committee</w:t>
      </w:r>
      <w:r w:rsidR="00A4072A">
        <w:t xml:space="preserve">, </w:t>
      </w:r>
      <w:r w:rsidR="00A4072A" w:rsidRPr="00A0571B">
        <w:t xml:space="preserve">organizing a virtual meeting to further discuss </w:t>
      </w:r>
      <w:r w:rsidR="00A4072A">
        <w:t>this standard, which was submitted</w:t>
      </w:r>
      <w:r w:rsidR="00A4072A" w:rsidRPr="00A0571B">
        <w:t xml:space="preserve"> in document ST/SG/AC.10/C.3/2024/11</w:t>
      </w:r>
      <w:r w:rsidR="00A4072A">
        <w:t xml:space="preserve">, </w:t>
      </w:r>
      <w:r w:rsidR="00A4072A" w:rsidRPr="00A0571B">
        <w:t xml:space="preserve">and the comments by Germany in informal document INF.34. Interested delegates </w:t>
      </w:r>
      <w:r w:rsidR="00A4072A">
        <w:t>were asked to</w:t>
      </w:r>
      <w:r w:rsidR="00A4072A" w:rsidRPr="00A0571B">
        <w:t xml:space="preserve"> reach out to him about their preferences.</w:t>
      </w:r>
    </w:p>
    <w:p w14:paraId="1944A4CB" w14:textId="3DB53A7A" w:rsidR="00A4072A" w:rsidRDefault="00CD42C7" w:rsidP="00A4072A">
      <w:pPr>
        <w:pStyle w:val="SingleTxtG"/>
      </w:pPr>
      <w:r>
        <w:t>7.</w:t>
      </w:r>
      <w:r>
        <w:tab/>
      </w:r>
      <w:r w:rsidR="00A4072A">
        <w:t xml:space="preserve">The relevant ISO Leadership Team has considered the feedback received from the meeting and intend to provide a proposal to the </w:t>
      </w:r>
      <w:r w:rsidR="00081B24">
        <w:t>sixty-fifth</w:t>
      </w:r>
      <w:r w:rsidR="00A4072A">
        <w:t xml:space="preserve"> </w:t>
      </w:r>
      <w:r w:rsidR="00081B24">
        <w:t>session</w:t>
      </w:r>
      <w:r w:rsidR="00A4072A">
        <w:t xml:space="preserve">, which will be acceptable to the </w:t>
      </w:r>
      <w:r w:rsidR="00F055EE">
        <w:t>experts</w:t>
      </w:r>
      <w:r w:rsidR="00A4072A">
        <w:t xml:space="preserve">. Note that any new proposal will need to be reviewed and voted upon by the </w:t>
      </w:r>
      <w:r w:rsidR="00037AF1">
        <w:t>m</w:t>
      </w:r>
      <w:r w:rsidR="00A4072A">
        <w:t>embership of the relevant ISO Committee.</w:t>
      </w:r>
    </w:p>
    <w:p w14:paraId="7972B338" w14:textId="5E7E8498" w:rsidR="00A4072A" w:rsidRDefault="00CD42C7" w:rsidP="00A4072A">
      <w:pPr>
        <w:pStyle w:val="SingleTxtG"/>
      </w:pPr>
      <w:r>
        <w:t>8.</w:t>
      </w:r>
      <w:r>
        <w:tab/>
      </w:r>
      <w:r w:rsidR="00A4072A">
        <w:t xml:space="preserve">Once this activity has been satisfactorily completed, the revised proposal will be shared with the </w:t>
      </w:r>
      <w:r w:rsidR="00F055EE">
        <w:t xml:space="preserve">experts </w:t>
      </w:r>
      <w:r w:rsidR="00A4072A">
        <w:t xml:space="preserve">of the </w:t>
      </w:r>
      <w:r w:rsidR="00A4072A" w:rsidRPr="0044179B">
        <w:t xml:space="preserve">Sub-Committee </w:t>
      </w:r>
      <w:r w:rsidR="00A4072A">
        <w:t xml:space="preserve">via an </w:t>
      </w:r>
      <w:r w:rsidR="004677EB">
        <w:t xml:space="preserve">informal </w:t>
      </w:r>
      <w:r w:rsidR="00A4072A">
        <w:t>document.</w:t>
      </w:r>
    </w:p>
    <w:p w14:paraId="40526361" w14:textId="458F8274" w:rsidR="00A4072A" w:rsidRPr="0044179B" w:rsidRDefault="00CD42C7" w:rsidP="00A4072A">
      <w:pPr>
        <w:pStyle w:val="SingleTxtG"/>
      </w:pPr>
      <w:r>
        <w:t>9.</w:t>
      </w:r>
      <w:r>
        <w:tab/>
      </w:r>
      <w:r w:rsidR="00A4072A">
        <w:t xml:space="preserve">It is hoped that the revised proposal will be acceptable to all </w:t>
      </w:r>
      <w:r w:rsidR="00387780">
        <w:t xml:space="preserve">experts </w:t>
      </w:r>
      <w:r w:rsidR="00A4072A">
        <w:t xml:space="preserve">and that consideration will be given for the amended proposal to be adopted for the </w:t>
      </w:r>
      <w:r w:rsidR="00E561E9">
        <w:t>24</w:t>
      </w:r>
      <w:r w:rsidR="00E561E9" w:rsidRPr="008D37B6">
        <w:rPr>
          <w:vertAlign w:val="superscript"/>
        </w:rPr>
        <w:t>th</w:t>
      </w:r>
      <w:r w:rsidR="00C7339C">
        <w:t xml:space="preserve"> </w:t>
      </w:r>
      <w:r w:rsidR="00E561E9">
        <w:t>r</w:t>
      </w:r>
      <w:r w:rsidR="00A4072A">
        <w:t>evis</w:t>
      </w:r>
      <w:r w:rsidR="00E561E9">
        <w:t>ed edition</w:t>
      </w:r>
      <w:r w:rsidR="00A4072A">
        <w:t xml:space="preserve"> of the </w:t>
      </w:r>
      <w:r w:rsidR="00A4072A" w:rsidRPr="008D37B6">
        <w:rPr>
          <w:i/>
          <w:iCs/>
        </w:rPr>
        <w:t>Model Regulations</w:t>
      </w:r>
      <w:r w:rsidR="00A4072A">
        <w:t>.</w:t>
      </w:r>
    </w:p>
    <w:p w14:paraId="33BB59C7" w14:textId="77777777" w:rsidR="00A4072A" w:rsidRPr="007D4E9C" w:rsidRDefault="00A4072A" w:rsidP="00A4072A">
      <w:pPr>
        <w:pStyle w:val="H1G"/>
      </w:pPr>
      <w:r w:rsidRPr="007D4E9C">
        <w:tab/>
      </w:r>
      <w:r w:rsidRPr="007D4E9C">
        <w:tab/>
      </w:r>
      <w:r>
        <w:t>Standard</w:t>
      </w:r>
      <w:r w:rsidRPr="007D4E9C">
        <w:t xml:space="preserve"> 3</w:t>
      </w:r>
    </w:p>
    <w:p w14:paraId="35700375" w14:textId="2D8C7DB3" w:rsidR="00A4072A" w:rsidRDefault="00CD42C7" w:rsidP="00A4072A">
      <w:pPr>
        <w:pStyle w:val="SingleTxtG"/>
      </w:pPr>
      <w:bookmarkStart w:id="5" w:name="_Hlk161650804"/>
      <w:r>
        <w:t>10</w:t>
      </w:r>
      <w:r w:rsidR="00A4072A" w:rsidRPr="007D4E9C">
        <w:t>.</w:t>
      </w:r>
      <w:r w:rsidR="00A4072A" w:rsidRPr="007D4E9C">
        <w:tab/>
      </w:r>
      <w:bookmarkEnd w:id="5"/>
      <w:r w:rsidR="00A4072A" w:rsidRPr="0044179B">
        <w:t>ISO 11119-3:2020/</w:t>
      </w:r>
      <w:proofErr w:type="spellStart"/>
      <w:r w:rsidR="00A4072A" w:rsidRPr="0044179B">
        <w:t>Amd</w:t>
      </w:r>
      <w:proofErr w:type="spellEnd"/>
      <w:r w:rsidR="00A4072A" w:rsidRPr="0044179B">
        <w:t xml:space="preserve"> 1:2023, Gas cylinders – Design, construction and testing of refillable composite gas cylinders and tubes, Part 3: Fully wrapped fibre reinforced composite gas cylinders and tubes up to 450 l with non-load-sharing metallic or non-metallic liners or without liners, Amendment 1</w:t>
      </w:r>
      <w:r w:rsidR="00A4072A">
        <w:t>.</w:t>
      </w:r>
    </w:p>
    <w:p w14:paraId="25416304" w14:textId="5197CA19" w:rsidR="00A4072A" w:rsidRDefault="00CD42C7" w:rsidP="00A4072A">
      <w:pPr>
        <w:pStyle w:val="SingleTxtG"/>
      </w:pPr>
      <w:r>
        <w:t>11.</w:t>
      </w:r>
      <w:r>
        <w:tab/>
      </w:r>
      <w:r w:rsidR="00A4072A">
        <w:t xml:space="preserve">The feedback from the </w:t>
      </w:r>
      <w:r w:rsidR="00274B07">
        <w:t>sixty-fourth</w:t>
      </w:r>
      <w:r w:rsidR="00274B07" w:rsidRPr="0044179B">
        <w:t xml:space="preserve"> </w:t>
      </w:r>
      <w:r w:rsidR="00274B07">
        <w:t>s</w:t>
      </w:r>
      <w:r w:rsidR="00274B07" w:rsidRPr="0044179B">
        <w:t xml:space="preserve">ession </w:t>
      </w:r>
      <w:r w:rsidR="00A4072A" w:rsidRPr="0044179B">
        <w:t>of the Sub-Committee</w:t>
      </w:r>
      <w:r w:rsidR="00A4072A">
        <w:t xml:space="preserve">, was very similar to that received on </w:t>
      </w:r>
      <w:r w:rsidR="00655BD1">
        <w:t>s</w:t>
      </w:r>
      <w:r w:rsidR="00A4072A">
        <w:t xml:space="preserve">tandard </w:t>
      </w:r>
      <w:r w:rsidR="00A4072A" w:rsidRPr="0044179B">
        <w:t>ISO 11119-</w:t>
      </w:r>
      <w:r w:rsidR="00A4072A">
        <w:t>2</w:t>
      </w:r>
      <w:r w:rsidR="00A4072A" w:rsidRPr="0044179B">
        <w:t>:2020/</w:t>
      </w:r>
      <w:proofErr w:type="spellStart"/>
      <w:r w:rsidR="00A4072A" w:rsidRPr="0044179B">
        <w:t>Amd</w:t>
      </w:r>
      <w:proofErr w:type="spellEnd"/>
      <w:r w:rsidR="00A4072A" w:rsidRPr="0044179B">
        <w:t xml:space="preserve"> 1:2023</w:t>
      </w:r>
      <w:r w:rsidR="00A4072A">
        <w:t xml:space="preserve">. </w:t>
      </w:r>
    </w:p>
    <w:p w14:paraId="58805D2E" w14:textId="25A1A8B4" w:rsidR="00A4072A" w:rsidRDefault="00CD42C7" w:rsidP="00A4072A">
      <w:pPr>
        <w:pStyle w:val="SingleTxtG"/>
      </w:pPr>
      <w:r>
        <w:t>12.</w:t>
      </w:r>
      <w:r>
        <w:tab/>
      </w:r>
      <w:r w:rsidR="00A4072A">
        <w:t xml:space="preserve">The same activities and way forward are proposed i.e. relevant ISO Committee will be balloted on a new proposal and if satisfactory an </w:t>
      </w:r>
      <w:r w:rsidR="003A3B57">
        <w:t xml:space="preserve">informal </w:t>
      </w:r>
      <w:r w:rsidR="00A4072A">
        <w:t xml:space="preserve">document will be submitted for consideration at the </w:t>
      </w:r>
      <w:r w:rsidR="003A3B57">
        <w:t>sixty-fifth session</w:t>
      </w:r>
      <w:r w:rsidR="00A4072A">
        <w:t>.</w:t>
      </w:r>
    </w:p>
    <w:p w14:paraId="5E48B762" w14:textId="42661185" w:rsidR="00AF5DE1" w:rsidRDefault="00CD42C7" w:rsidP="00A4072A">
      <w:pPr>
        <w:pStyle w:val="SingleTxtG"/>
      </w:pPr>
      <w:r>
        <w:t>13.</w:t>
      </w:r>
      <w:r>
        <w:tab/>
      </w:r>
      <w:r w:rsidR="00A4072A" w:rsidRPr="0044179B">
        <w:t xml:space="preserve">It is hoped that the revised proposal will be acceptable to all </w:t>
      </w:r>
      <w:r w:rsidR="00387780">
        <w:t>e</w:t>
      </w:r>
      <w:r w:rsidR="00387780" w:rsidRPr="0044179B">
        <w:t xml:space="preserve">xperts </w:t>
      </w:r>
      <w:r w:rsidR="00A4072A" w:rsidRPr="0044179B">
        <w:t xml:space="preserve">and that consideration will be given for the amended proposal to be adopted for the </w:t>
      </w:r>
      <w:r w:rsidR="00655BD1">
        <w:t>24</w:t>
      </w:r>
      <w:r w:rsidR="00655BD1" w:rsidRPr="008D37B6">
        <w:rPr>
          <w:vertAlign w:val="superscript"/>
        </w:rPr>
        <w:t>th</w:t>
      </w:r>
      <w:r w:rsidR="00C7339C">
        <w:t xml:space="preserve"> r</w:t>
      </w:r>
      <w:r w:rsidR="00A4072A" w:rsidRPr="0044179B">
        <w:t>evis</w:t>
      </w:r>
      <w:r w:rsidR="00C7339C">
        <w:t>ed edit</w:t>
      </w:r>
      <w:r w:rsidR="00A4072A" w:rsidRPr="0044179B">
        <w:t xml:space="preserve">ion of the </w:t>
      </w:r>
      <w:r w:rsidR="00A4072A" w:rsidRPr="008D37B6">
        <w:rPr>
          <w:i/>
          <w:iCs/>
        </w:rPr>
        <w:t>Model Regulations</w:t>
      </w:r>
      <w:r w:rsidR="00A4072A">
        <w:t>.</w:t>
      </w:r>
    </w:p>
    <w:p w14:paraId="6FE30D12" w14:textId="74796465" w:rsidR="00A4072A" w:rsidRPr="00A4072A" w:rsidRDefault="00A4072A" w:rsidP="00A4072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4072A" w:rsidRPr="00A4072A" w:rsidSect="00947B4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8E8A" w14:textId="77777777" w:rsidR="00A226B3" w:rsidRPr="00C47B2E" w:rsidRDefault="00A226B3" w:rsidP="00C47B2E">
      <w:pPr>
        <w:pStyle w:val="Footer"/>
      </w:pPr>
    </w:p>
  </w:endnote>
  <w:endnote w:type="continuationSeparator" w:id="0">
    <w:p w14:paraId="15CDEB55" w14:textId="77777777" w:rsidR="00A226B3" w:rsidRPr="00C47B2E" w:rsidRDefault="00A226B3" w:rsidP="00C47B2E">
      <w:pPr>
        <w:pStyle w:val="Footer"/>
      </w:pPr>
    </w:p>
  </w:endnote>
  <w:endnote w:type="continuationNotice" w:id="1">
    <w:p w14:paraId="386056FA" w14:textId="77777777" w:rsidR="00A226B3" w:rsidRPr="00C47B2E" w:rsidRDefault="00A226B3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23AD" w14:textId="245883DB" w:rsidR="00D94B05" w:rsidRPr="00947B4E" w:rsidRDefault="00947B4E" w:rsidP="00D85308">
    <w:pPr>
      <w:pStyle w:val="Footer"/>
      <w:tabs>
        <w:tab w:val="right" w:pos="9639"/>
      </w:tabs>
      <w:rPr>
        <w:sz w:val="18"/>
      </w:rPr>
    </w:pPr>
    <w:r w:rsidRPr="00947B4E">
      <w:rPr>
        <w:b/>
        <w:sz w:val="18"/>
      </w:rPr>
      <w:fldChar w:fldCharType="begin"/>
    </w:r>
    <w:r w:rsidRPr="00947B4E">
      <w:rPr>
        <w:b/>
        <w:sz w:val="18"/>
      </w:rPr>
      <w:instrText xml:space="preserve"> PAGE  \* MERGEFORMAT </w:instrText>
    </w:r>
    <w:r w:rsidRPr="00947B4E">
      <w:rPr>
        <w:b/>
        <w:sz w:val="18"/>
      </w:rPr>
      <w:fldChar w:fldCharType="separate"/>
    </w:r>
    <w:r w:rsidRPr="00947B4E">
      <w:rPr>
        <w:b/>
        <w:noProof/>
        <w:sz w:val="18"/>
      </w:rPr>
      <w:t>2</w:t>
    </w:r>
    <w:r w:rsidRPr="00947B4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8B4C" w14:textId="1B861188" w:rsidR="00D94B05" w:rsidRPr="00947B4E" w:rsidRDefault="00947B4E" w:rsidP="00D85308">
    <w:pPr>
      <w:pStyle w:val="Footer"/>
      <w:tabs>
        <w:tab w:val="right" w:pos="9639"/>
      </w:tabs>
      <w:rPr>
        <w:b/>
        <w:bCs/>
        <w:sz w:val="18"/>
      </w:rPr>
    </w:pPr>
    <w:r>
      <w:rPr>
        <w:bCs/>
        <w:sz w:val="18"/>
      </w:rPr>
      <w:tab/>
    </w:r>
    <w:r w:rsidRPr="00947B4E">
      <w:rPr>
        <w:b/>
        <w:bCs/>
        <w:sz w:val="18"/>
      </w:rPr>
      <w:fldChar w:fldCharType="begin"/>
    </w:r>
    <w:r w:rsidRPr="00947B4E">
      <w:rPr>
        <w:b/>
        <w:bCs/>
        <w:sz w:val="18"/>
      </w:rPr>
      <w:instrText xml:space="preserve"> PAGE  \* MERGEFORMAT </w:instrText>
    </w:r>
    <w:r w:rsidRPr="00947B4E">
      <w:rPr>
        <w:b/>
        <w:bCs/>
        <w:sz w:val="18"/>
      </w:rPr>
      <w:fldChar w:fldCharType="separate"/>
    </w:r>
    <w:r w:rsidRPr="00947B4E">
      <w:rPr>
        <w:b/>
        <w:bCs/>
        <w:noProof/>
        <w:sz w:val="18"/>
      </w:rPr>
      <w:t>3</w:t>
    </w:r>
    <w:r w:rsidRPr="00947B4E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1D03" w14:textId="387E3629" w:rsidR="00DB3F61" w:rsidRDefault="00DB3F61" w:rsidP="00DB3F61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CF09683" wp14:editId="14CB14B5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92A72" w14:textId="35B4A88D" w:rsidR="00DB3F61" w:rsidRPr="00DB3F61" w:rsidRDefault="00DB3F61" w:rsidP="00DB3F61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15783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17B3103" wp14:editId="3C14B4C1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6692676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7066" w14:textId="77777777" w:rsidR="00A226B3" w:rsidRPr="00C47B2E" w:rsidRDefault="00A226B3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6CDFE411" w14:textId="77777777" w:rsidR="00A226B3" w:rsidRPr="00C47B2E" w:rsidRDefault="00A226B3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1FD58FF0" w14:textId="77777777" w:rsidR="00A226B3" w:rsidRPr="00C47B2E" w:rsidRDefault="00A226B3" w:rsidP="00C47B2E">
      <w:pPr>
        <w:pStyle w:val="Footer"/>
      </w:pPr>
    </w:p>
  </w:footnote>
  <w:footnote w:id="2">
    <w:p w14:paraId="7F2DB3EE" w14:textId="3705DF33" w:rsidR="009B2789" w:rsidRPr="009B2789" w:rsidRDefault="009B2789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9B2789">
        <w:rPr>
          <w:rStyle w:val="FootnoteReference"/>
          <w:sz w:val="20"/>
        </w:rPr>
        <w:t>*</w:t>
      </w:r>
      <w:r>
        <w:rPr>
          <w:rStyle w:val="FootnoteReference"/>
          <w:sz w:val="20"/>
          <w:vertAlign w:val="baseline"/>
        </w:rPr>
        <w:tab/>
      </w:r>
      <w:r w:rsidRPr="0082113E">
        <w:t>A/78/6 (Sect. 20), table 20.5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CF2" w14:textId="76255150" w:rsidR="00947B4E" w:rsidRPr="00947B4E" w:rsidRDefault="00DB3F61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947B4E">
      <w:t>ST/SG/AC.10/C.3/2024/61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B5FC" w14:textId="11ECF6A0" w:rsidR="00D94B05" w:rsidRPr="00947B4E" w:rsidRDefault="00DB3F61" w:rsidP="00947B4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47B4E">
      <w:t>ST/SG/AC.10/C.3/2024/61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6172172">
    <w:abstractNumId w:val="5"/>
  </w:num>
  <w:num w:numId="2" w16cid:durableId="1073159890">
    <w:abstractNumId w:val="4"/>
  </w:num>
  <w:num w:numId="3" w16cid:durableId="551188904">
    <w:abstractNumId w:val="0"/>
  </w:num>
  <w:num w:numId="4" w16cid:durableId="44254624">
    <w:abstractNumId w:val="6"/>
  </w:num>
  <w:num w:numId="5" w16cid:durableId="1816027029">
    <w:abstractNumId w:val="7"/>
  </w:num>
  <w:num w:numId="6" w16cid:durableId="1836190579">
    <w:abstractNumId w:val="9"/>
  </w:num>
  <w:num w:numId="7" w16cid:durableId="634676252">
    <w:abstractNumId w:val="3"/>
  </w:num>
  <w:num w:numId="8" w16cid:durableId="1039166836">
    <w:abstractNumId w:val="1"/>
  </w:num>
  <w:num w:numId="9" w16cid:durableId="644969981">
    <w:abstractNumId w:val="8"/>
  </w:num>
  <w:num w:numId="10" w16cid:durableId="525103391">
    <w:abstractNumId w:val="1"/>
  </w:num>
  <w:num w:numId="11" w16cid:durableId="297342166">
    <w:abstractNumId w:val="8"/>
  </w:num>
  <w:num w:numId="12" w16cid:durableId="1280380300">
    <w:abstractNumId w:val="2"/>
  </w:num>
  <w:num w:numId="13" w16cid:durableId="198869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4E"/>
    <w:rsid w:val="00037AF1"/>
    <w:rsid w:val="00046E92"/>
    <w:rsid w:val="00063C90"/>
    <w:rsid w:val="00070000"/>
    <w:rsid w:val="00081B24"/>
    <w:rsid w:val="00101B98"/>
    <w:rsid w:val="001514D1"/>
    <w:rsid w:val="001C2EB7"/>
    <w:rsid w:val="001F39EA"/>
    <w:rsid w:val="00206E04"/>
    <w:rsid w:val="00247E2C"/>
    <w:rsid w:val="00274B07"/>
    <w:rsid w:val="002A32CB"/>
    <w:rsid w:val="002D5B2C"/>
    <w:rsid w:val="002D6C53"/>
    <w:rsid w:val="002F5595"/>
    <w:rsid w:val="00332BAB"/>
    <w:rsid w:val="00334F6A"/>
    <w:rsid w:val="00342AC8"/>
    <w:rsid w:val="00343302"/>
    <w:rsid w:val="00387780"/>
    <w:rsid w:val="003979DE"/>
    <w:rsid w:val="003A3B57"/>
    <w:rsid w:val="003B1248"/>
    <w:rsid w:val="003B4550"/>
    <w:rsid w:val="003D2A18"/>
    <w:rsid w:val="00413386"/>
    <w:rsid w:val="00461253"/>
    <w:rsid w:val="004677EB"/>
    <w:rsid w:val="004858F5"/>
    <w:rsid w:val="00492693"/>
    <w:rsid w:val="004A2814"/>
    <w:rsid w:val="004C0622"/>
    <w:rsid w:val="004D1FFD"/>
    <w:rsid w:val="004D471F"/>
    <w:rsid w:val="004F73D0"/>
    <w:rsid w:val="005042C2"/>
    <w:rsid w:val="005166ED"/>
    <w:rsid w:val="0058408D"/>
    <w:rsid w:val="005E716E"/>
    <w:rsid w:val="006476E1"/>
    <w:rsid w:val="00655BD1"/>
    <w:rsid w:val="006604DF"/>
    <w:rsid w:val="00671529"/>
    <w:rsid w:val="00680CD8"/>
    <w:rsid w:val="006B32C9"/>
    <w:rsid w:val="006F1B84"/>
    <w:rsid w:val="006F1EF5"/>
    <w:rsid w:val="0070489D"/>
    <w:rsid w:val="007200A1"/>
    <w:rsid w:val="007268F9"/>
    <w:rsid w:val="00750282"/>
    <w:rsid w:val="00764440"/>
    <w:rsid w:val="0077101B"/>
    <w:rsid w:val="007C52B0"/>
    <w:rsid w:val="007C6033"/>
    <w:rsid w:val="00811D69"/>
    <w:rsid w:val="00814172"/>
    <w:rsid w:val="008147C8"/>
    <w:rsid w:val="0081753A"/>
    <w:rsid w:val="008507DC"/>
    <w:rsid w:val="00857D23"/>
    <w:rsid w:val="008D37B6"/>
    <w:rsid w:val="009411B4"/>
    <w:rsid w:val="00946F1D"/>
    <w:rsid w:val="00947B4E"/>
    <w:rsid w:val="009A0A7F"/>
    <w:rsid w:val="009B2789"/>
    <w:rsid w:val="009D0139"/>
    <w:rsid w:val="009D717D"/>
    <w:rsid w:val="009E7D0C"/>
    <w:rsid w:val="009F5CDC"/>
    <w:rsid w:val="00A072D7"/>
    <w:rsid w:val="00A226B3"/>
    <w:rsid w:val="00A4072A"/>
    <w:rsid w:val="00A436F2"/>
    <w:rsid w:val="00A722FB"/>
    <w:rsid w:val="00A775CF"/>
    <w:rsid w:val="00A85DE0"/>
    <w:rsid w:val="00AD1A9C"/>
    <w:rsid w:val="00AF472D"/>
    <w:rsid w:val="00AF4744"/>
    <w:rsid w:val="00AF5DE1"/>
    <w:rsid w:val="00B06045"/>
    <w:rsid w:val="00B206DD"/>
    <w:rsid w:val="00B217DD"/>
    <w:rsid w:val="00B52EF4"/>
    <w:rsid w:val="00B777AD"/>
    <w:rsid w:val="00C03015"/>
    <w:rsid w:val="00C0358D"/>
    <w:rsid w:val="00C209C7"/>
    <w:rsid w:val="00C35A27"/>
    <w:rsid w:val="00C47B2E"/>
    <w:rsid w:val="00C7339C"/>
    <w:rsid w:val="00CC1C8D"/>
    <w:rsid w:val="00CD42C7"/>
    <w:rsid w:val="00D63CD2"/>
    <w:rsid w:val="00D85308"/>
    <w:rsid w:val="00D87DC2"/>
    <w:rsid w:val="00D93887"/>
    <w:rsid w:val="00D94B05"/>
    <w:rsid w:val="00DB3F61"/>
    <w:rsid w:val="00DC7379"/>
    <w:rsid w:val="00E02C2B"/>
    <w:rsid w:val="00E042FF"/>
    <w:rsid w:val="00E21C27"/>
    <w:rsid w:val="00E26BCF"/>
    <w:rsid w:val="00E52109"/>
    <w:rsid w:val="00E561E9"/>
    <w:rsid w:val="00E75317"/>
    <w:rsid w:val="00EC0CE6"/>
    <w:rsid w:val="00EC7C1D"/>
    <w:rsid w:val="00ED6C48"/>
    <w:rsid w:val="00EE3045"/>
    <w:rsid w:val="00F055EE"/>
    <w:rsid w:val="00F26186"/>
    <w:rsid w:val="00F65F5D"/>
    <w:rsid w:val="00F86A3A"/>
    <w:rsid w:val="00FA42DA"/>
    <w:rsid w:val="00FE2AC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21B0"/>
  <w15:docId w15:val="{D563F892-4FD5-4F14-B5C4-DB14197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79"/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4A281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FA42DA"/>
    <w:pPr>
      <w:numPr>
        <w:numId w:val="1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  <w:rPr>
      <w:rFonts w:eastAsia="Times New Roman"/>
    </w:r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DC7379"/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C0CE6"/>
    <w:rPr>
      <w:color w:val="0000FF"/>
      <w:u w:val="none"/>
    </w:rPr>
  </w:style>
  <w:style w:type="character" w:styleId="FollowedHyperlink">
    <w:name w:val="FollowedHyperlink"/>
    <w:basedOn w:val="DefaultParagraphFont"/>
    <w:rsid w:val="00EC0CE6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1GChar">
    <w:name w:val="_ H_1_G Char"/>
    <w:link w:val="H1G"/>
    <w:rsid w:val="00A4072A"/>
    <w:rPr>
      <w:b/>
      <w:sz w:val="24"/>
    </w:rPr>
  </w:style>
  <w:style w:type="character" w:customStyle="1" w:styleId="HChGChar">
    <w:name w:val="_ H _Ch_G Char"/>
    <w:link w:val="HChG"/>
    <w:locked/>
    <w:rsid w:val="00A4072A"/>
    <w:rPr>
      <w:b/>
      <w:sz w:val="28"/>
    </w:rPr>
  </w:style>
  <w:style w:type="character" w:customStyle="1" w:styleId="SingleTxtGChar">
    <w:name w:val="_ Single Txt_G Char"/>
    <w:link w:val="SingleTxtG"/>
    <w:rsid w:val="00A4072A"/>
  </w:style>
  <w:style w:type="paragraph" w:styleId="Revision">
    <w:name w:val="Revision"/>
    <w:hidden/>
    <w:uiPriority w:val="99"/>
    <w:semiHidden/>
    <w:rsid w:val="00332B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-GARCIA\United%20Nations\UNOG_DCM-Macros%20-%20UNECE\Templates\ST\SGAC10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6D6C7-A69F-4CC1-9C48-E5514C6CF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C699A-3081-464D-8175-18FB791049C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63518F60-7DA2-420D-843C-E28B2BAD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43E8C-62F2-4693-AF82-063E2F3B950E}"/>
</file>

<file path=docProps/app.xml><?xml version="1.0" encoding="utf-8"?>
<Properties xmlns="http://schemas.openxmlformats.org/officeDocument/2006/extended-properties" xmlns:vt="http://schemas.openxmlformats.org/officeDocument/2006/docPropsVTypes">
  <Template>SGAC10_E.dotm</Template>
  <TotalTime>0</TotalTime>
  <Pages>2</Pages>
  <Words>636</Words>
  <Characters>3609</Characters>
  <Application>Microsoft Office Word</Application>
  <DocSecurity>0</DocSecurity>
  <Lines>75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ST/SG/AC.10/C.3/2024/61</dc:title>
  <dc:subject>2415783</dc:subject>
  <dc:creator>Alicia DORCA-GARCIA</dc:creator>
  <cp:keywords/>
  <dc:description/>
  <cp:lastModifiedBy>Pauline Anne Escalante</cp:lastModifiedBy>
  <cp:revision>2</cp:revision>
  <dcterms:created xsi:type="dcterms:W3CDTF">2024-09-03T12:38:00Z</dcterms:created>
  <dcterms:modified xsi:type="dcterms:W3CDTF">2024-09-03T12:38:00Z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