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12018EF9" w14:textId="77777777" w:rsidTr="00F01738">
        <w:trPr>
          <w:trHeight w:hRule="exact" w:val="851"/>
        </w:trPr>
        <w:tc>
          <w:tcPr>
            <w:tcW w:w="1276" w:type="dxa"/>
            <w:tcBorders>
              <w:bottom w:val="single" w:sz="4" w:space="0" w:color="auto"/>
            </w:tcBorders>
          </w:tcPr>
          <w:p w14:paraId="0BF438B9" w14:textId="77777777" w:rsidR="00132EA9" w:rsidRPr="00DB58B5" w:rsidRDefault="00132EA9" w:rsidP="00BA6527"/>
        </w:tc>
        <w:tc>
          <w:tcPr>
            <w:tcW w:w="2268" w:type="dxa"/>
            <w:tcBorders>
              <w:bottom w:val="single" w:sz="4" w:space="0" w:color="auto"/>
            </w:tcBorders>
            <w:vAlign w:val="bottom"/>
          </w:tcPr>
          <w:p w14:paraId="3330D3F8"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340A4DC" w14:textId="7CB0E65C" w:rsidR="00132EA9" w:rsidRPr="00DB58B5" w:rsidRDefault="00BA6527" w:rsidP="00BA6527">
            <w:pPr>
              <w:jc w:val="right"/>
            </w:pPr>
            <w:r w:rsidRPr="00BA6527">
              <w:rPr>
                <w:sz w:val="40"/>
              </w:rPr>
              <w:t>ST</w:t>
            </w:r>
            <w:r>
              <w:t>/SG/AC.10/C.3/2024/60</w:t>
            </w:r>
          </w:p>
        </w:tc>
      </w:tr>
      <w:tr w:rsidR="00132EA9" w:rsidRPr="00DB58B5" w14:paraId="0624DD0D" w14:textId="77777777" w:rsidTr="00F01738">
        <w:trPr>
          <w:trHeight w:hRule="exact" w:val="2835"/>
        </w:trPr>
        <w:tc>
          <w:tcPr>
            <w:tcW w:w="1276" w:type="dxa"/>
            <w:tcBorders>
              <w:top w:val="single" w:sz="4" w:space="0" w:color="auto"/>
              <w:bottom w:val="single" w:sz="12" w:space="0" w:color="auto"/>
            </w:tcBorders>
          </w:tcPr>
          <w:p w14:paraId="60D6B475" w14:textId="77777777" w:rsidR="00132EA9" w:rsidRPr="00DB58B5" w:rsidRDefault="00132EA9" w:rsidP="00F01738">
            <w:pPr>
              <w:spacing w:before="120"/>
              <w:jc w:val="center"/>
            </w:pPr>
            <w:r>
              <w:rPr>
                <w:noProof/>
                <w:lang w:eastAsia="fr-CH"/>
              </w:rPr>
              <w:drawing>
                <wp:inline distT="0" distB="0" distL="0" distR="0" wp14:anchorId="09EE8026" wp14:editId="1DB6F74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7D5C9B7"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5B4656C9" w14:textId="77777777" w:rsidR="00132EA9" w:rsidRDefault="00BA6527" w:rsidP="00F01738">
            <w:pPr>
              <w:spacing w:before="240"/>
            </w:pPr>
            <w:proofErr w:type="spellStart"/>
            <w:r>
              <w:t>Distr</w:t>
            </w:r>
            <w:proofErr w:type="spellEnd"/>
            <w:r>
              <w:t>. générale</w:t>
            </w:r>
          </w:p>
          <w:p w14:paraId="5C226E79" w14:textId="77777777" w:rsidR="00BA6527" w:rsidRDefault="00BA6527" w:rsidP="00BA6527">
            <w:pPr>
              <w:spacing w:line="240" w:lineRule="exact"/>
            </w:pPr>
            <w:r>
              <w:t>22 août 2024</w:t>
            </w:r>
          </w:p>
          <w:p w14:paraId="50140B4E" w14:textId="77777777" w:rsidR="00BA6527" w:rsidRDefault="00BA6527" w:rsidP="00BA6527">
            <w:pPr>
              <w:spacing w:line="240" w:lineRule="exact"/>
            </w:pPr>
            <w:r>
              <w:t>Français</w:t>
            </w:r>
          </w:p>
          <w:p w14:paraId="4FA849D2" w14:textId="49CC9824" w:rsidR="00BA6527" w:rsidRPr="00DB58B5" w:rsidRDefault="00BA6527" w:rsidP="00BA6527">
            <w:pPr>
              <w:spacing w:line="240" w:lineRule="exact"/>
            </w:pPr>
            <w:r>
              <w:t>Original : anglais</w:t>
            </w:r>
          </w:p>
        </w:tc>
      </w:tr>
    </w:tbl>
    <w:p w14:paraId="5810E99B" w14:textId="1976C1DE" w:rsidR="00BA6527" w:rsidRPr="00C1086E" w:rsidRDefault="00BA6527" w:rsidP="00BA6527">
      <w:pPr>
        <w:spacing w:before="120"/>
        <w:rPr>
          <w:b/>
          <w:sz w:val="24"/>
          <w:szCs w:val="24"/>
          <w:lang w:val="fr-FR"/>
        </w:rPr>
      </w:pPr>
      <w:r w:rsidRPr="0080455E">
        <w:rPr>
          <w:b/>
          <w:bCs/>
          <w:sz w:val="24"/>
          <w:szCs w:val="24"/>
          <w:lang w:val="fr-FR"/>
        </w:rPr>
        <w:t>Comité d</w:t>
      </w:r>
      <w:r>
        <w:rPr>
          <w:b/>
          <w:bCs/>
          <w:sz w:val="24"/>
          <w:szCs w:val="24"/>
          <w:lang w:val="fr-FR"/>
        </w:rPr>
        <w:t>’</w:t>
      </w:r>
      <w:r w:rsidRPr="0080455E">
        <w:rPr>
          <w:b/>
          <w:bCs/>
          <w:sz w:val="24"/>
          <w:szCs w:val="24"/>
          <w:lang w:val="fr-FR"/>
        </w:rPr>
        <w:t xml:space="preserve">experts du transport des marchandises dangereuses </w:t>
      </w:r>
      <w:r>
        <w:rPr>
          <w:b/>
          <w:bCs/>
          <w:sz w:val="24"/>
          <w:szCs w:val="24"/>
          <w:lang w:val="fr-FR"/>
        </w:rPr>
        <w:br/>
      </w:r>
      <w:r w:rsidRPr="0080455E">
        <w:rPr>
          <w:b/>
          <w:bCs/>
          <w:sz w:val="24"/>
          <w:szCs w:val="24"/>
          <w:lang w:val="fr-FR"/>
        </w:rPr>
        <w:t xml:space="preserve">et du Système général harmonisé de classification </w:t>
      </w:r>
      <w:r>
        <w:rPr>
          <w:b/>
          <w:bCs/>
          <w:sz w:val="24"/>
          <w:szCs w:val="24"/>
          <w:lang w:val="fr-FR"/>
        </w:rPr>
        <w:br/>
      </w:r>
      <w:r w:rsidRPr="0080455E">
        <w:rPr>
          <w:b/>
          <w:bCs/>
          <w:sz w:val="24"/>
          <w:szCs w:val="24"/>
          <w:lang w:val="fr-FR"/>
        </w:rPr>
        <w:t>et d</w:t>
      </w:r>
      <w:r>
        <w:rPr>
          <w:b/>
          <w:bCs/>
          <w:sz w:val="24"/>
          <w:szCs w:val="24"/>
          <w:lang w:val="fr-FR"/>
        </w:rPr>
        <w:t>’</w:t>
      </w:r>
      <w:r w:rsidRPr="0080455E">
        <w:rPr>
          <w:b/>
          <w:bCs/>
          <w:sz w:val="24"/>
          <w:szCs w:val="24"/>
          <w:lang w:val="fr-FR"/>
        </w:rPr>
        <w:t>étiquetage des produits chimiques</w:t>
      </w:r>
    </w:p>
    <w:p w14:paraId="1BDEB122" w14:textId="77777777" w:rsidR="00BA6527" w:rsidRPr="00C1086E" w:rsidRDefault="00BA6527" w:rsidP="00BA6527">
      <w:pPr>
        <w:spacing w:before="120"/>
        <w:rPr>
          <w:rFonts w:ascii="Helv" w:hAnsi="Helv" w:cs="Helv"/>
          <w:b/>
          <w:color w:val="000000"/>
          <w:lang w:val="fr-FR"/>
        </w:rPr>
      </w:pPr>
      <w:r>
        <w:rPr>
          <w:b/>
          <w:bCs/>
          <w:lang w:val="fr-FR"/>
        </w:rPr>
        <w:t>Sous-Comité d’experts du transport des marchandises dangereuses</w:t>
      </w:r>
    </w:p>
    <w:p w14:paraId="493E2650" w14:textId="77777777" w:rsidR="00BA6527" w:rsidRPr="00C1086E" w:rsidRDefault="00BA6527" w:rsidP="00BA6527">
      <w:pPr>
        <w:spacing w:before="120"/>
        <w:rPr>
          <w:b/>
          <w:lang w:val="fr-FR"/>
        </w:rPr>
      </w:pPr>
      <w:r>
        <w:rPr>
          <w:b/>
          <w:bCs/>
          <w:lang w:val="fr-FR"/>
        </w:rPr>
        <w:t>Soixante-cinquième session</w:t>
      </w:r>
    </w:p>
    <w:p w14:paraId="7050B768" w14:textId="77777777" w:rsidR="00BA6527" w:rsidRPr="00C1086E" w:rsidRDefault="00BA6527" w:rsidP="00BA6527">
      <w:pPr>
        <w:rPr>
          <w:lang w:val="fr-FR"/>
        </w:rPr>
      </w:pPr>
      <w:r>
        <w:rPr>
          <w:lang w:val="fr-FR"/>
        </w:rPr>
        <w:t xml:space="preserve">Genève, 25 novembre-3 décembre 2024 </w:t>
      </w:r>
    </w:p>
    <w:p w14:paraId="639903A5" w14:textId="77777777" w:rsidR="00BA6527" w:rsidRDefault="00BA6527" w:rsidP="00BA6527">
      <w:pPr>
        <w:rPr>
          <w:lang w:val="fr-FR"/>
        </w:rPr>
      </w:pPr>
      <w:r>
        <w:rPr>
          <w:lang w:val="fr-FR"/>
        </w:rPr>
        <w:t xml:space="preserve">Point 2 b) viii) de l’ordre du jour provisoire </w:t>
      </w:r>
    </w:p>
    <w:p w14:paraId="002DBC51" w14:textId="1AA19901" w:rsidR="00BA6527" w:rsidRDefault="00BA6527" w:rsidP="00BA6527">
      <w:pPr>
        <w:rPr>
          <w:b/>
          <w:bCs/>
          <w:lang w:val="fr-FR"/>
        </w:rPr>
      </w:pPr>
      <w:r w:rsidRPr="005505EB">
        <w:rPr>
          <w:b/>
          <w:bCs/>
          <w:lang w:val="fr-FR"/>
        </w:rPr>
        <w:t xml:space="preserve">Recommandations formulées par le Sous-Comité à ses soixante-deuxième, </w:t>
      </w:r>
      <w:r>
        <w:rPr>
          <w:b/>
          <w:bCs/>
          <w:lang w:val="fr-FR"/>
        </w:rPr>
        <w:br/>
      </w:r>
      <w:r w:rsidRPr="005505EB">
        <w:rPr>
          <w:b/>
          <w:bCs/>
          <w:lang w:val="fr-FR"/>
        </w:rPr>
        <w:t>soixante-troisième et soixante-quatrième sessions et questions en suspens</w:t>
      </w:r>
      <w:r>
        <w:rPr>
          <w:b/>
          <w:bCs/>
          <w:lang w:val="fr-FR"/>
        </w:rPr>
        <w:t> :</w:t>
      </w:r>
    </w:p>
    <w:p w14:paraId="759E2E10" w14:textId="60C48B71" w:rsidR="00BA6527" w:rsidRPr="00C1086E" w:rsidRDefault="00BA6527" w:rsidP="00BA6527">
      <w:pPr>
        <w:rPr>
          <w:b/>
          <w:bCs/>
          <w:lang w:val="fr-FR"/>
        </w:rPr>
      </w:pPr>
      <w:r w:rsidRPr="0080455E">
        <w:rPr>
          <w:b/>
          <w:bCs/>
          <w:lang w:val="fr-FR"/>
        </w:rPr>
        <w:t>Explosifs et questions connexes</w:t>
      </w:r>
      <w:r>
        <w:rPr>
          <w:b/>
          <w:bCs/>
          <w:lang w:val="fr-FR"/>
        </w:rPr>
        <w:t> :</w:t>
      </w:r>
      <w:r w:rsidRPr="0080455E">
        <w:rPr>
          <w:b/>
          <w:bCs/>
          <w:lang w:val="fr-FR"/>
        </w:rPr>
        <w:t xml:space="preserve"> Autres questions</w:t>
      </w:r>
    </w:p>
    <w:p w14:paraId="505A1652" w14:textId="44776FAA" w:rsidR="00BA6527" w:rsidRPr="00C1086E" w:rsidRDefault="00BA6527" w:rsidP="00BA6527">
      <w:pPr>
        <w:pStyle w:val="HChG"/>
        <w:rPr>
          <w:lang w:val="fr-FR"/>
        </w:rPr>
      </w:pPr>
      <w:r>
        <w:rPr>
          <w:lang w:val="fr-FR"/>
        </w:rPr>
        <w:tab/>
      </w:r>
      <w:r>
        <w:rPr>
          <w:lang w:val="fr-FR"/>
        </w:rPr>
        <w:tab/>
        <w:t xml:space="preserve">Proposition visant à changer le nom du Groupe de travail </w:t>
      </w:r>
      <w:r>
        <w:rPr>
          <w:lang w:val="fr-FR"/>
        </w:rPr>
        <w:br/>
      </w:r>
      <w:r>
        <w:rPr>
          <w:lang w:val="fr-FR"/>
        </w:rPr>
        <w:t>des explosifs en Groupe de travail des matières énergétiques</w:t>
      </w:r>
    </w:p>
    <w:p w14:paraId="2B172F6B" w14:textId="77777777" w:rsidR="00BA6527" w:rsidRPr="00C1086E" w:rsidRDefault="00BA6527" w:rsidP="00BA6527">
      <w:pPr>
        <w:pStyle w:val="H1G"/>
        <w:rPr>
          <w:lang w:val="fr-FR"/>
        </w:rPr>
      </w:pPr>
      <w:r>
        <w:rPr>
          <w:lang w:val="fr-FR"/>
        </w:rPr>
        <w:tab/>
      </w:r>
      <w:r>
        <w:rPr>
          <w:lang w:val="fr-FR"/>
        </w:rPr>
        <w:tab/>
        <w:t>Communication du Président du Groupe de travail des explosifs</w:t>
      </w:r>
      <w:r w:rsidRPr="00BA6527">
        <w:rPr>
          <w:rStyle w:val="Appelnotedebasdep"/>
          <w:b w:val="0"/>
          <w:bCs/>
          <w:sz w:val="20"/>
          <w:vertAlign w:val="baseline"/>
          <w:lang w:val="fr-FR"/>
        </w:rPr>
        <w:footnoteReference w:customMarkFollows="1" w:id="2"/>
        <w:t>*</w:t>
      </w:r>
    </w:p>
    <w:p w14:paraId="3382D75E" w14:textId="77777777" w:rsidR="00BA6527" w:rsidRPr="00C1086E" w:rsidRDefault="00BA6527" w:rsidP="00BA6527">
      <w:pPr>
        <w:pStyle w:val="HChG"/>
        <w:rPr>
          <w:lang w:val="fr-FR"/>
        </w:rPr>
      </w:pPr>
      <w:r>
        <w:rPr>
          <w:lang w:val="fr-FR"/>
        </w:rPr>
        <w:tab/>
        <w:t>I.</w:t>
      </w:r>
      <w:r>
        <w:rPr>
          <w:lang w:val="fr-FR"/>
        </w:rPr>
        <w:tab/>
        <w:t>Introduction</w:t>
      </w:r>
    </w:p>
    <w:p w14:paraId="3D8CED2B" w14:textId="77777777" w:rsidR="00BA6527" w:rsidRPr="00C1086E" w:rsidRDefault="00BA6527" w:rsidP="00BA6527">
      <w:pPr>
        <w:pStyle w:val="SingleTxtG"/>
        <w:rPr>
          <w:lang w:val="fr-FR"/>
        </w:rPr>
      </w:pPr>
      <w:r>
        <w:rPr>
          <w:lang w:val="fr-FR"/>
        </w:rPr>
        <w:t>1.</w:t>
      </w:r>
      <w:r>
        <w:rPr>
          <w:lang w:val="fr-FR"/>
        </w:rPr>
        <w:tab/>
        <w:t>À la soixante-quatrième session du Sous-Comité d’experts du transport des marchandises dangereuses, les membres du Groupe de travail des explosifs se sont demandé si le nom de leur groupe reflétait bien l’éventail des sujets et des types de matières sur lesquels le Sous-Comité leur demandait de se pencher.</w:t>
      </w:r>
      <w:bookmarkStart w:id="0" w:name="_Hlk174968722"/>
      <w:bookmarkStart w:id="1" w:name="_Hlk174968592"/>
      <w:bookmarkEnd w:id="0"/>
      <w:bookmarkEnd w:id="1"/>
    </w:p>
    <w:p w14:paraId="6273510D" w14:textId="77777777" w:rsidR="00BA6527" w:rsidRPr="00C1086E" w:rsidRDefault="00BA6527" w:rsidP="00BA6527">
      <w:pPr>
        <w:pStyle w:val="HChG"/>
        <w:rPr>
          <w:lang w:val="fr-FR"/>
        </w:rPr>
      </w:pPr>
      <w:r>
        <w:rPr>
          <w:lang w:val="fr-FR"/>
        </w:rPr>
        <w:tab/>
        <w:t>II.</w:t>
      </w:r>
      <w:r>
        <w:rPr>
          <w:lang w:val="fr-FR"/>
        </w:rPr>
        <w:tab/>
        <w:t>Discussion</w:t>
      </w:r>
    </w:p>
    <w:p w14:paraId="7CF95608" w14:textId="47F7ECA4" w:rsidR="00BA6527" w:rsidRPr="00C1086E" w:rsidRDefault="00BA6527" w:rsidP="00BA6527">
      <w:pPr>
        <w:pStyle w:val="SingleTxtG"/>
        <w:rPr>
          <w:lang w:val="fr-FR"/>
        </w:rPr>
      </w:pPr>
      <w:r>
        <w:rPr>
          <w:lang w:val="fr-FR"/>
        </w:rPr>
        <w:t>2.</w:t>
      </w:r>
      <w:r>
        <w:rPr>
          <w:lang w:val="fr-FR"/>
        </w:rPr>
        <w:tab/>
        <w:t>En plus des matières et des objets dont on sait qu’ils seront affectés à la classe</w:t>
      </w:r>
      <w:r>
        <w:rPr>
          <w:lang w:val="fr-FR"/>
        </w:rPr>
        <w:t> </w:t>
      </w:r>
      <w:r>
        <w:rPr>
          <w:lang w:val="fr-FR"/>
        </w:rPr>
        <w:t>1 pour le transport, il est souvent demandé au Groupe de travail des explosifs d’examiner des matières instables et des peroxydes organiques, ainsi que d’autres matières ayant des propriétés énergétiques, notamment certains engrais, oxydants et objets contenant des matière explosibles qui ont été affectés à une classe autre que la classe</w:t>
      </w:r>
      <w:r>
        <w:rPr>
          <w:lang w:val="fr-FR"/>
        </w:rPr>
        <w:t> </w:t>
      </w:r>
      <w:r>
        <w:rPr>
          <w:lang w:val="fr-FR"/>
        </w:rPr>
        <w:t>1.</w:t>
      </w:r>
    </w:p>
    <w:p w14:paraId="046669D8" w14:textId="2D7DC686" w:rsidR="00BA6527" w:rsidRPr="00C1086E" w:rsidRDefault="00BA6527" w:rsidP="00BA6527">
      <w:pPr>
        <w:pStyle w:val="SingleTxtG"/>
        <w:rPr>
          <w:lang w:val="fr-FR"/>
        </w:rPr>
      </w:pPr>
      <w:r>
        <w:rPr>
          <w:lang w:val="fr-FR"/>
        </w:rPr>
        <w:t>3.</w:t>
      </w:r>
      <w:r>
        <w:rPr>
          <w:lang w:val="fr-FR"/>
        </w:rPr>
        <w:tab/>
        <w:t>Les membres du Groupe de travail des explosifs ont déterminé ce qui suit</w:t>
      </w:r>
      <w:r>
        <w:rPr>
          <w:lang w:val="fr-FR"/>
        </w:rPr>
        <w:t> :</w:t>
      </w:r>
    </w:p>
    <w:p w14:paraId="67F73D89" w14:textId="0A7F8C2A" w:rsidR="00BA6527" w:rsidRPr="00C1086E" w:rsidRDefault="00BA6527" w:rsidP="00BA6527">
      <w:pPr>
        <w:pStyle w:val="SingleTxtG"/>
        <w:ind w:firstLine="567"/>
        <w:rPr>
          <w:lang w:val="fr-FR"/>
        </w:rPr>
      </w:pPr>
      <w:r>
        <w:rPr>
          <w:lang w:val="fr-FR"/>
        </w:rPr>
        <w:t>a)</w:t>
      </w:r>
      <w:r>
        <w:rPr>
          <w:lang w:val="fr-FR"/>
        </w:rPr>
        <w:tab/>
        <w:t>Le nom actuel du Groupe de travail ne reflète pas pleinement les contributions que les experts des classes autres que la classe</w:t>
      </w:r>
      <w:r w:rsidR="00CE340E">
        <w:rPr>
          <w:lang w:val="fr-FR"/>
        </w:rPr>
        <w:t> </w:t>
      </w:r>
      <w:r>
        <w:rPr>
          <w:lang w:val="fr-FR"/>
        </w:rPr>
        <w:t>1 apportaient aux travaux du Groupe de travail</w:t>
      </w:r>
      <w:r>
        <w:rPr>
          <w:lang w:val="fr-FR"/>
        </w:rPr>
        <w:t> ;</w:t>
      </w:r>
      <w:r>
        <w:rPr>
          <w:lang w:val="fr-FR"/>
        </w:rPr>
        <w:t xml:space="preserve"> </w:t>
      </w:r>
    </w:p>
    <w:p w14:paraId="1300A835" w14:textId="14085A17" w:rsidR="00BA6527" w:rsidRPr="00C1086E" w:rsidRDefault="00BA6527" w:rsidP="00BA6527">
      <w:pPr>
        <w:pStyle w:val="SingleTxtG"/>
        <w:ind w:firstLine="567"/>
        <w:rPr>
          <w:lang w:val="fr-FR"/>
        </w:rPr>
      </w:pPr>
      <w:r>
        <w:rPr>
          <w:lang w:val="fr-FR"/>
        </w:rPr>
        <w:t>b)</w:t>
      </w:r>
      <w:r>
        <w:rPr>
          <w:lang w:val="fr-FR"/>
        </w:rPr>
        <w:tab/>
        <w:t>Les experts du secteur des marchandises dangereuses au sens large qui participent à la réglementation du transport des matières énergétiques peuvent ne pas se rendre compte des contributions qu’ils pourraient apporter aux travaux du Groupe de travail des explosifs et du Sous-Comité.</w:t>
      </w:r>
    </w:p>
    <w:p w14:paraId="1B41C143" w14:textId="77777777" w:rsidR="00BA6527" w:rsidRPr="00C1086E" w:rsidRDefault="00BA6527" w:rsidP="00BA6527">
      <w:pPr>
        <w:pStyle w:val="HChG"/>
        <w:rPr>
          <w:lang w:val="fr-FR"/>
        </w:rPr>
      </w:pPr>
      <w:r>
        <w:rPr>
          <w:bCs/>
          <w:lang w:val="fr-FR"/>
        </w:rPr>
        <w:lastRenderedPageBreak/>
        <w:tab/>
        <w:t>III.</w:t>
      </w:r>
      <w:r>
        <w:rPr>
          <w:lang w:val="fr-FR"/>
        </w:rPr>
        <w:tab/>
      </w:r>
      <w:r>
        <w:rPr>
          <w:bCs/>
          <w:lang w:val="fr-FR"/>
        </w:rPr>
        <w:t>Proposition</w:t>
      </w:r>
    </w:p>
    <w:p w14:paraId="449FF02C" w14:textId="26D4966B" w:rsidR="00BA6527" w:rsidRPr="00C1086E" w:rsidRDefault="00BA6527" w:rsidP="00BA6527">
      <w:pPr>
        <w:pStyle w:val="SingleTxtG"/>
        <w:rPr>
          <w:lang w:val="fr-FR"/>
        </w:rPr>
      </w:pPr>
      <w:r>
        <w:rPr>
          <w:lang w:val="fr-FR"/>
        </w:rPr>
        <w:t>4.</w:t>
      </w:r>
      <w:r>
        <w:rPr>
          <w:lang w:val="fr-FR"/>
        </w:rPr>
        <w:tab/>
        <w:t>Le Groupe de travail des explosifs propose qu’à l’avenir il porte le nom de Groupe de travail des matières énergétiques, mais qu’il conserve l’acronyme EWG en anglais.</w:t>
      </w:r>
    </w:p>
    <w:p w14:paraId="46CD90BD" w14:textId="77777777" w:rsidR="00BA6527" w:rsidRPr="00C1086E" w:rsidRDefault="00BA6527" w:rsidP="00BA6527">
      <w:pPr>
        <w:pStyle w:val="HChG"/>
        <w:rPr>
          <w:lang w:val="fr-FR"/>
        </w:rPr>
      </w:pPr>
      <w:r>
        <w:rPr>
          <w:bCs/>
          <w:lang w:val="fr-FR"/>
        </w:rPr>
        <w:tab/>
        <w:t>IV.</w:t>
      </w:r>
      <w:r>
        <w:rPr>
          <w:lang w:val="fr-FR"/>
        </w:rPr>
        <w:tab/>
      </w:r>
      <w:r>
        <w:rPr>
          <w:bCs/>
          <w:lang w:val="fr-FR"/>
        </w:rPr>
        <w:t>Objectifs de développement durable (ODD)</w:t>
      </w:r>
    </w:p>
    <w:p w14:paraId="57368ACF" w14:textId="250DCE9D" w:rsidR="00BA6527" w:rsidRPr="00C1086E" w:rsidRDefault="00BA6527" w:rsidP="00BA6527">
      <w:pPr>
        <w:pStyle w:val="SingleTxtG"/>
        <w:rPr>
          <w:b/>
          <w:i/>
          <w:iCs/>
          <w:lang w:val="fr-FR"/>
        </w:rPr>
      </w:pPr>
      <w:r>
        <w:rPr>
          <w:lang w:val="fr-FR"/>
        </w:rPr>
        <w:t>5.</w:t>
      </w:r>
      <w:r>
        <w:rPr>
          <w:lang w:val="fr-FR"/>
        </w:rPr>
        <w:tab/>
        <w:t>Par les travaux qu’il mène, le Groupe de travail des explosifs contribue à la réalisation de l’ODD</w:t>
      </w:r>
      <w:r>
        <w:rPr>
          <w:lang w:val="fr-FR"/>
        </w:rPr>
        <w:t> </w:t>
      </w:r>
      <w:r>
        <w:rPr>
          <w:lang w:val="fr-FR"/>
        </w:rPr>
        <w:t>16 (Paix, justice et institutions efficaces).</w:t>
      </w:r>
    </w:p>
    <w:p w14:paraId="62781378" w14:textId="240986A2" w:rsidR="00BA6527" w:rsidRPr="00C1086E" w:rsidRDefault="00BA6527" w:rsidP="00BA6527">
      <w:pPr>
        <w:pStyle w:val="SingleTxtG"/>
        <w:rPr>
          <w:lang w:val="fr-FR"/>
        </w:rPr>
      </w:pPr>
      <w:r>
        <w:rPr>
          <w:lang w:val="fr-FR"/>
        </w:rPr>
        <w:t>6.</w:t>
      </w:r>
      <w:r>
        <w:rPr>
          <w:lang w:val="fr-FR"/>
        </w:rPr>
        <w:tab/>
        <w:t>Ce changement de nom, qui permettra de mieux définir le rôle du Groupe de travail, contribuera notamment à ce qui suit</w:t>
      </w:r>
      <w:r>
        <w:rPr>
          <w:lang w:val="fr-FR"/>
        </w:rPr>
        <w:t> :</w:t>
      </w:r>
    </w:p>
    <w:p w14:paraId="338FCE7E" w14:textId="1DBC286A" w:rsidR="00BA6527" w:rsidRPr="00C1086E" w:rsidRDefault="00BA6527" w:rsidP="00BA6527">
      <w:pPr>
        <w:pStyle w:val="SingleTxtG"/>
        <w:ind w:firstLine="567"/>
        <w:rPr>
          <w:lang w:val="fr-FR"/>
        </w:rPr>
      </w:pPr>
      <w:r>
        <w:rPr>
          <w:lang w:val="fr-FR"/>
        </w:rPr>
        <w:t>a)</w:t>
      </w:r>
      <w:r>
        <w:rPr>
          <w:lang w:val="fr-FR"/>
        </w:rPr>
        <w:tab/>
        <w:t>Mise en place d’institutions efficaces, responsables et transparentes à tous les niveaux (cible 16.6)</w:t>
      </w:r>
      <w:r>
        <w:rPr>
          <w:lang w:val="fr-FR"/>
        </w:rPr>
        <w:t> ;</w:t>
      </w:r>
      <w:r>
        <w:rPr>
          <w:lang w:val="fr-FR"/>
        </w:rPr>
        <w:t xml:space="preserve"> </w:t>
      </w:r>
    </w:p>
    <w:p w14:paraId="4F40F471" w14:textId="20AB7FCE" w:rsidR="00BA6527" w:rsidRDefault="00BA6527" w:rsidP="00BA6527">
      <w:pPr>
        <w:pStyle w:val="SingleTxtG"/>
        <w:ind w:firstLine="567"/>
      </w:pPr>
      <w:r>
        <w:rPr>
          <w:lang w:val="fr-FR"/>
        </w:rPr>
        <w:t>b)</w:t>
      </w:r>
      <w:r>
        <w:rPr>
          <w:lang w:val="fr-FR"/>
        </w:rPr>
        <w:tab/>
        <w:t>Élargissement et renforcement de la participation des pays en développement aux institutions chargées de la gouvernance au niveau mondial (cible</w:t>
      </w:r>
      <w:r w:rsidR="00CE340E">
        <w:rPr>
          <w:lang w:val="fr-FR"/>
        </w:rPr>
        <w:t> </w:t>
      </w:r>
      <w:r>
        <w:rPr>
          <w:lang w:val="fr-FR"/>
        </w:rPr>
        <w:t>16.8).</w:t>
      </w:r>
    </w:p>
    <w:p w14:paraId="77AA1AAD" w14:textId="7BA8016A" w:rsidR="00446FE5" w:rsidRPr="00BA6527" w:rsidRDefault="00BA6527" w:rsidP="00BA6527">
      <w:pPr>
        <w:pStyle w:val="SingleTxtG"/>
        <w:spacing w:before="240" w:after="0"/>
        <w:jc w:val="center"/>
        <w:rPr>
          <w:u w:val="single"/>
        </w:rPr>
      </w:pPr>
      <w:r>
        <w:rPr>
          <w:u w:val="single"/>
        </w:rPr>
        <w:tab/>
      </w:r>
      <w:r>
        <w:rPr>
          <w:u w:val="single"/>
        </w:rPr>
        <w:tab/>
      </w:r>
      <w:r>
        <w:rPr>
          <w:u w:val="single"/>
        </w:rPr>
        <w:tab/>
      </w:r>
    </w:p>
    <w:sectPr w:rsidR="00446FE5" w:rsidRPr="00BA6527" w:rsidSect="00BA6527">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5262F" w14:textId="77777777" w:rsidR="004C1892" w:rsidRDefault="004C1892" w:rsidP="00F95C08">
      <w:pPr>
        <w:spacing w:line="240" w:lineRule="auto"/>
      </w:pPr>
    </w:p>
  </w:endnote>
  <w:endnote w:type="continuationSeparator" w:id="0">
    <w:p w14:paraId="032E1ED9" w14:textId="77777777" w:rsidR="004C1892" w:rsidRPr="00AC3823" w:rsidRDefault="004C1892" w:rsidP="00AC3823">
      <w:pPr>
        <w:pStyle w:val="Pieddepage"/>
      </w:pPr>
    </w:p>
  </w:endnote>
  <w:endnote w:type="continuationNotice" w:id="1">
    <w:p w14:paraId="1B490FDF" w14:textId="77777777" w:rsidR="004C1892" w:rsidRDefault="004C18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FFBD" w14:textId="023312D5" w:rsidR="00BA6527" w:rsidRPr="00BA6527" w:rsidRDefault="00BA6527" w:rsidP="00BA6527">
    <w:pPr>
      <w:pStyle w:val="Pieddepage"/>
      <w:tabs>
        <w:tab w:val="right" w:pos="9638"/>
      </w:tabs>
    </w:pPr>
    <w:r w:rsidRPr="00BA6527">
      <w:rPr>
        <w:b/>
        <w:sz w:val="18"/>
      </w:rPr>
      <w:fldChar w:fldCharType="begin"/>
    </w:r>
    <w:r w:rsidRPr="00BA6527">
      <w:rPr>
        <w:b/>
        <w:sz w:val="18"/>
      </w:rPr>
      <w:instrText xml:space="preserve"> PAGE  \* MERGEFORMAT </w:instrText>
    </w:r>
    <w:r w:rsidRPr="00BA6527">
      <w:rPr>
        <w:b/>
        <w:sz w:val="18"/>
      </w:rPr>
      <w:fldChar w:fldCharType="separate"/>
    </w:r>
    <w:r w:rsidRPr="00BA6527">
      <w:rPr>
        <w:b/>
        <w:noProof/>
        <w:sz w:val="18"/>
      </w:rPr>
      <w:t>2</w:t>
    </w:r>
    <w:r w:rsidRPr="00BA6527">
      <w:rPr>
        <w:b/>
        <w:sz w:val="18"/>
      </w:rPr>
      <w:fldChar w:fldCharType="end"/>
    </w:r>
    <w:r>
      <w:rPr>
        <w:b/>
        <w:sz w:val="18"/>
      </w:rPr>
      <w:tab/>
    </w:r>
    <w:r>
      <w:t>GE.24-15057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AB149" w14:textId="0EECAFC5" w:rsidR="00BA6527" w:rsidRPr="00BA6527" w:rsidRDefault="00BA6527" w:rsidP="00BA6527">
    <w:pPr>
      <w:pStyle w:val="Pieddepage"/>
      <w:tabs>
        <w:tab w:val="right" w:pos="9638"/>
      </w:tabs>
      <w:rPr>
        <w:b/>
        <w:sz w:val="18"/>
      </w:rPr>
    </w:pPr>
    <w:r>
      <w:t>GE.24-15057</w:t>
    </w:r>
    <w:r>
      <w:tab/>
    </w:r>
    <w:r w:rsidRPr="00BA6527">
      <w:rPr>
        <w:b/>
        <w:sz w:val="18"/>
      </w:rPr>
      <w:fldChar w:fldCharType="begin"/>
    </w:r>
    <w:r w:rsidRPr="00BA6527">
      <w:rPr>
        <w:b/>
        <w:sz w:val="18"/>
      </w:rPr>
      <w:instrText xml:space="preserve"> PAGE  \* MERGEFORMAT </w:instrText>
    </w:r>
    <w:r w:rsidRPr="00BA6527">
      <w:rPr>
        <w:b/>
        <w:sz w:val="18"/>
      </w:rPr>
      <w:fldChar w:fldCharType="separate"/>
    </w:r>
    <w:r w:rsidRPr="00BA6527">
      <w:rPr>
        <w:b/>
        <w:noProof/>
        <w:sz w:val="18"/>
      </w:rPr>
      <w:t>3</w:t>
    </w:r>
    <w:r w:rsidRPr="00BA652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DEEC" w14:textId="35D4B574" w:rsidR="0068456F" w:rsidRPr="00BA6527" w:rsidRDefault="00BA6527" w:rsidP="00BA6527">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30F70C3D" wp14:editId="6C43D42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24-15057  (F)</w:t>
    </w:r>
    <w:r>
      <w:rPr>
        <w:noProof/>
        <w:sz w:val="20"/>
      </w:rPr>
      <w:drawing>
        <wp:anchor distT="0" distB="0" distL="114300" distR="114300" simplePos="0" relativeHeight="251660288" behindDoc="0" locked="0" layoutInCell="1" allowOverlap="1" wp14:anchorId="4AF245E8" wp14:editId="6A8348B2">
          <wp:simplePos x="0" y="0"/>
          <wp:positionH relativeFrom="margin">
            <wp:posOffset>5489575</wp:posOffset>
          </wp:positionH>
          <wp:positionV relativeFrom="margin">
            <wp:posOffset>8891905</wp:posOffset>
          </wp:positionV>
          <wp:extent cx="628650" cy="628650"/>
          <wp:effectExtent l="0" t="0" r="0" b="0"/>
          <wp:wrapNone/>
          <wp:docPr id="15154117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031024    031024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0002B" w14:textId="77777777" w:rsidR="004C1892" w:rsidRPr="00AC3823" w:rsidRDefault="004C1892" w:rsidP="00AC3823">
      <w:pPr>
        <w:pStyle w:val="Pieddepage"/>
        <w:tabs>
          <w:tab w:val="right" w:pos="2155"/>
        </w:tabs>
        <w:spacing w:after="80" w:line="240" w:lineRule="atLeast"/>
        <w:ind w:left="680"/>
        <w:rPr>
          <w:u w:val="single"/>
        </w:rPr>
      </w:pPr>
      <w:r>
        <w:rPr>
          <w:u w:val="single"/>
        </w:rPr>
        <w:tab/>
      </w:r>
    </w:p>
  </w:footnote>
  <w:footnote w:type="continuationSeparator" w:id="0">
    <w:p w14:paraId="3CAF5F0A" w14:textId="77777777" w:rsidR="004C1892" w:rsidRPr="00AC3823" w:rsidRDefault="004C1892" w:rsidP="00AC3823">
      <w:pPr>
        <w:pStyle w:val="Pieddepage"/>
        <w:tabs>
          <w:tab w:val="right" w:pos="2155"/>
        </w:tabs>
        <w:spacing w:after="80" w:line="240" w:lineRule="atLeast"/>
        <w:ind w:left="680"/>
        <w:rPr>
          <w:u w:val="single"/>
        </w:rPr>
      </w:pPr>
      <w:r>
        <w:rPr>
          <w:u w:val="single"/>
        </w:rPr>
        <w:tab/>
      </w:r>
    </w:p>
  </w:footnote>
  <w:footnote w:type="continuationNotice" w:id="1">
    <w:p w14:paraId="0ED6115A" w14:textId="77777777" w:rsidR="004C1892" w:rsidRPr="00AC3823" w:rsidRDefault="004C1892">
      <w:pPr>
        <w:spacing w:line="240" w:lineRule="auto"/>
        <w:rPr>
          <w:sz w:val="2"/>
          <w:szCs w:val="2"/>
        </w:rPr>
      </w:pPr>
    </w:p>
  </w:footnote>
  <w:footnote w:id="2">
    <w:p w14:paraId="01E822AE" w14:textId="77777777" w:rsidR="00BA6527" w:rsidRPr="008B2042" w:rsidRDefault="00BA6527" w:rsidP="00BA6527">
      <w:pPr>
        <w:pStyle w:val="Notedebasdepage"/>
      </w:pPr>
      <w:r>
        <w:rPr>
          <w:lang w:val="fr-FR"/>
        </w:rPr>
        <w:tab/>
      </w:r>
      <w:r w:rsidRPr="00BA6527">
        <w:rPr>
          <w:sz w:val="20"/>
          <w:lang w:val="fr-FR"/>
        </w:rPr>
        <w:t>*</w:t>
      </w:r>
      <w:r>
        <w:rPr>
          <w:lang w:val="fr-FR"/>
        </w:rPr>
        <w:tab/>
        <w:t>A/78/6 (Sect. 20), tableau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72A1" w14:textId="45975327" w:rsidR="00BA6527" w:rsidRPr="00BA6527" w:rsidRDefault="00BA6527">
    <w:pPr>
      <w:pStyle w:val="En-tte"/>
    </w:pPr>
    <w:fldSimple w:instr=" TITLE  \* MERGEFORMAT ">
      <w:r>
        <w:t>ST/SG/AC.10/C.3/2024/60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59213" w14:textId="7965F31B" w:rsidR="00BA6527" w:rsidRPr="00BA6527" w:rsidRDefault="00BA6527" w:rsidP="00BA6527">
    <w:pPr>
      <w:pStyle w:val="En-tte"/>
      <w:jc w:val="right"/>
    </w:pPr>
    <w:fldSimple w:instr=" TITLE  \* MERGEFORMAT ">
      <w:r>
        <w:t>ST/SG/AC.10/C.3/2024/60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369070254">
    <w:abstractNumId w:val="12"/>
  </w:num>
  <w:num w:numId="2" w16cid:durableId="588001747">
    <w:abstractNumId w:val="11"/>
  </w:num>
  <w:num w:numId="3" w16cid:durableId="2023555775">
    <w:abstractNumId w:val="10"/>
  </w:num>
  <w:num w:numId="4" w16cid:durableId="132140018">
    <w:abstractNumId w:val="8"/>
  </w:num>
  <w:num w:numId="5" w16cid:durableId="1581407978">
    <w:abstractNumId w:val="3"/>
  </w:num>
  <w:num w:numId="6" w16cid:durableId="24673893">
    <w:abstractNumId w:val="2"/>
  </w:num>
  <w:num w:numId="7" w16cid:durableId="892353973">
    <w:abstractNumId w:val="1"/>
  </w:num>
  <w:num w:numId="8" w16cid:durableId="1997345167">
    <w:abstractNumId w:val="0"/>
  </w:num>
  <w:num w:numId="9" w16cid:durableId="67532618">
    <w:abstractNumId w:val="9"/>
  </w:num>
  <w:num w:numId="10" w16cid:durableId="1940987550">
    <w:abstractNumId w:val="7"/>
  </w:num>
  <w:num w:numId="11" w16cid:durableId="1330987102">
    <w:abstractNumId w:val="6"/>
  </w:num>
  <w:num w:numId="12" w16cid:durableId="1804107472">
    <w:abstractNumId w:val="5"/>
  </w:num>
  <w:num w:numId="13" w16cid:durableId="889073688">
    <w:abstractNumId w:val="4"/>
  </w:num>
  <w:num w:numId="14" w16cid:durableId="571813444">
    <w:abstractNumId w:val="12"/>
  </w:num>
  <w:num w:numId="15" w16cid:durableId="410126959">
    <w:abstractNumId w:val="11"/>
  </w:num>
  <w:num w:numId="16" w16cid:durableId="720448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92"/>
    <w:rsid w:val="00017F94"/>
    <w:rsid w:val="00023842"/>
    <w:rsid w:val="000305D3"/>
    <w:rsid w:val="000334F9"/>
    <w:rsid w:val="0007796D"/>
    <w:rsid w:val="000B7790"/>
    <w:rsid w:val="00111F2F"/>
    <w:rsid w:val="00132EA9"/>
    <w:rsid w:val="0014365E"/>
    <w:rsid w:val="00172E49"/>
    <w:rsid w:val="00176178"/>
    <w:rsid w:val="001F525A"/>
    <w:rsid w:val="00223272"/>
    <w:rsid w:val="0024779E"/>
    <w:rsid w:val="00283190"/>
    <w:rsid w:val="002832AC"/>
    <w:rsid w:val="002A31F6"/>
    <w:rsid w:val="002D7C93"/>
    <w:rsid w:val="00441C3B"/>
    <w:rsid w:val="00446FE5"/>
    <w:rsid w:val="00452396"/>
    <w:rsid w:val="004C1892"/>
    <w:rsid w:val="004E468C"/>
    <w:rsid w:val="005505B7"/>
    <w:rsid w:val="00573BE5"/>
    <w:rsid w:val="00584DC4"/>
    <w:rsid w:val="00586ED3"/>
    <w:rsid w:val="00596AA9"/>
    <w:rsid w:val="005A14A1"/>
    <w:rsid w:val="0068456F"/>
    <w:rsid w:val="0071601D"/>
    <w:rsid w:val="007A62E6"/>
    <w:rsid w:val="0080684C"/>
    <w:rsid w:val="008123E0"/>
    <w:rsid w:val="00871C75"/>
    <w:rsid w:val="008776DC"/>
    <w:rsid w:val="008B40CD"/>
    <w:rsid w:val="009705C8"/>
    <w:rsid w:val="009C1CF4"/>
    <w:rsid w:val="00A30353"/>
    <w:rsid w:val="00A81281"/>
    <w:rsid w:val="00AC3823"/>
    <w:rsid w:val="00AE323C"/>
    <w:rsid w:val="00B00181"/>
    <w:rsid w:val="00B00B0D"/>
    <w:rsid w:val="00B765F7"/>
    <w:rsid w:val="00BA0CA9"/>
    <w:rsid w:val="00BA6527"/>
    <w:rsid w:val="00C02897"/>
    <w:rsid w:val="00CE340E"/>
    <w:rsid w:val="00D3439C"/>
    <w:rsid w:val="00DB1831"/>
    <w:rsid w:val="00DD3BFD"/>
    <w:rsid w:val="00DF6678"/>
    <w:rsid w:val="00EF2E22"/>
    <w:rsid w:val="00F01738"/>
    <w:rsid w:val="00F12767"/>
    <w:rsid w:val="00F660DF"/>
    <w:rsid w:val="00F730C8"/>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78983"/>
  <w15:docId w15:val="{BC54C59F-21D3-4698-8455-3C5B8313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qFormat/>
    <w:rsid w:val="00BA6527"/>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locked/>
    <w:rsid w:val="00BA6527"/>
    <w:rPr>
      <w:rFonts w:ascii="Times New Roman" w:eastAsiaTheme="minorHAnsi" w:hAnsi="Times New Roman" w:cs="Times New Roman"/>
      <w:sz w:val="20"/>
      <w:szCs w:val="20"/>
      <w:lang w:eastAsia="en-US"/>
    </w:rPr>
  </w:style>
  <w:style w:type="character" w:customStyle="1" w:styleId="H1GChar">
    <w:name w:val="_ H_1_G Char"/>
    <w:link w:val="H1G"/>
    <w:qFormat/>
    <w:rsid w:val="00BA6527"/>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8C97E-E4C6-4DA3-941F-442DABFFE200}">
  <ds:schemaRefs>
    <ds:schemaRef ds:uri="http://schemas.openxmlformats.org/officeDocument/2006/bibliography"/>
  </ds:schemaRefs>
</ds:datastoreItem>
</file>

<file path=customXml/itemProps2.xml><?xml version="1.0" encoding="utf-8"?>
<ds:datastoreItem xmlns:ds="http://schemas.openxmlformats.org/officeDocument/2006/customXml" ds:itemID="{B8449E37-D7E3-4746-908E-6B5B91473507}"/>
</file>

<file path=customXml/itemProps3.xml><?xml version="1.0" encoding="utf-8"?>
<ds:datastoreItem xmlns:ds="http://schemas.openxmlformats.org/officeDocument/2006/customXml" ds:itemID="{26C9C1BE-B7E6-4225-A4FE-B4589A74035F}"/>
</file>

<file path=docProps/app.xml><?xml version="1.0" encoding="utf-8"?>
<Properties xmlns="http://schemas.openxmlformats.org/officeDocument/2006/extended-properties" xmlns:vt="http://schemas.openxmlformats.org/officeDocument/2006/docPropsVTypes">
  <Template>ST.dotm</Template>
  <TotalTime>1</TotalTime>
  <Pages>2</Pages>
  <Words>336</Words>
  <Characters>2579</Characters>
  <Application>Microsoft Office Word</Application>
  <DocSecurity>0</DocSecurity>
  <Lines>859</Lines>
  <Paragraphs>242</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ST/SG/AC.10/C.3/2024/60</dc:title>
  <dc:subject/>
  <dc:creator>Estelle-Delphine DITTA</dc:creator>
  <cp:keywords/>
  <cp:lastModifiedBy>Estelle Ditta</cp:lastModifiedBy>
  <cp:revision>2</cp:revision>
  <cp:lastPrinted>2014-05-14T10:59:00Z</cp:lastPrinted>
  <dcterms:created xsi:type="dcterms:W3CDTF">2024-10-03T07:30:00Z</dcterms:created>
  <dcterms:modified xsi:type="dcterms:W3CDTF">2024-10-03T07:30:00Z</dcterms:modified>
</cp:coreProperties>
</file>