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EB03C04" w14:textId="77777777" w:rsidTr="006476E1">
        <w:trPr>
          <w:trHeight w:val="851"/>
        </w:trPr>
        <w:tc>
          <w:tcPr>
            <w:tcW w:w="1259" w:type="dxa"/>
            <w:tcBorders>
              <w:top w:val="nil"/>
              <w:left w:val="nil"/>
              <w:bottom w:val="single" w:sz="4" w:space="0" w:color="auto"/>
              <w:right w:val="nil"/>
            </w:tcBorders>
          </w:tcPr>
          <w:p w14:paraId="68C630C0" w14:textId="77777777" w:rsidR="00E52109" w:rsidRPr="002A32CB" w:rsidRDefault="00E52109" w:rsidP="004858F5"/>
        </w:tc>
        <w:tc>
          <w:tcPr>
            <w:tcW w:w="2236" w:type="dxa"/>
            <w:tcBorders>
              <w:top w:val="nil"/>
              <w:left w:val="nil"/>
              <w:bottom w:val="single" w:sz="4" w:space="0" w:color="auto"/>
              <w:right w:val="nil"/>
            </w:tcBorders>
            <w:vAlign w:val="bottom"/>
          </w:tcPr>
          <w:p w14:paraId="16493176"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10FB2B13" w14:textId="2986C025" w:rsidR="00E52109" w:rsidRDefault="00813A28" w:rsidP="00813A28">
            <w:pPr>
              <w:jc w:val="right"/>
            </w:pPr>
            <w:r w:rsidRPr="00813A28">
              <w:rPr>
                <w:sz w:val="40"/>
              </w:rPr>
              <w:t>ST</w:t>
            </w:r>
            <w:r>
              <w:t>/SG/AC.10/C.3/2024/60</w:t>
            </w:r>
          </w:p>
        </w:tc>
      </w:tr>
      <w:tr w:rsidR="00E52109" w14:paraId="73B683CE" w14:textId="77777777" w:rsidTr="006476E1">
        <w:trPr>
          <w:trHeight w:val="2835"/>
        </w:trPr>
        <w:tc>
          <w:tcPr>
            <w:tcW w:w="1259" w:type="dxa"/>
            <w:tcBorders>
              <w:top w:val="single" w:sz="4" w:space="0" w:color="auto"/>
              <w:left w:val="nil"/>
              <w:bottom w:val="single" w:sz="12" w:space="0" w:color="auto"/>
              <w:right w:val="nil"/>
            </w:tcBorders>
          </w:tcPr>
          <w:p w14:paraId="19FB1D34" w14:textId="77777777" w:rsidR="00E52109" w:rsidRDefault="00E52109" w:rsidP="006476E1">
            <w:pPr>
              <w:spacing w:before="120"/>
              <w:jc w:val="center"/>
            </w:pPr>
            <w:r>
              <w:rPr>
                <w:noProof/>
                <w:lang w:val="fr-CH" w:eastAsia="fr-CH"/>
              </w:rPr>
              <w:drawing>
                <wp:inline distT="0" distB="0" distL="0" distR="0" wp14:anchorId="4FA9B702" wp14:editId="3CDEA04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19C0CC3"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18359C18" w14:textId="77777777" w:rsidR="00D94B05" w:rsidRDefault="00813A28" w:rsidP="00813A28">
            <w:pPr>
              <w:spacing w:before="240" w:line="240" w:lineRule="exact"/>
            </w:pPr>
            <w:r>
              <w:t>Distr.: General</w:t>
            </w:r>
          </w:p>
          <w:p w14:paraId="697EAD58" w14:textId="70661510" w:rsidR="00813A28" w:rsidRDefault="00813A28" w:rsidP="00813A28">
            <w:pPr>
              <w:spacing w:line="240" w:lineRule="exact"/>
            </w:pPr>
            <w:r>
              <w:t>2</w:t>
            </w:r>
            <w:r w:rsidR="00A23A07">
              <w:t>2</w:t>
            </w:r>
            <w:r>
              <w:t xml:space="preserve"> August 2024</w:t>
            </w:r>
          </w:p>
          <w:p w14:paraId="3EAA2AEC" w14:textId="77777777" w:rsidR="00813A28" w:rsidRDefault="00813A28" w:rsidP="00813A28">
            <w:pPr>
              <w:spacing w:line="240" w:lineRule="exact"/>
            </w:pPr>
          </w:p>
          <w:p w14:paraId="6AA26982" w14:textId="213D7B60" w:rsidR="00813A28" w:rsidRDefault="00813A28" w:rsidP="00813A28">
            <w:pPr>
              <w:spacing w:line="240" w:lineRule="exact"/>
            </w:pPr>
            <w:r>
              <w:t>Original: English</w:t>
            </w:r>
          </w:p>
        </w:tc>
      </w:tr>
    </w:tbl>
    <w:p w14:paraId="0BCD4610" w14:textId="77777777" w:rsidR="00813A28" w:rsidRPr="006500BA" w:rsidRDefault="00813A28"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5D057AA0" w14:textId="77777777" w:rsidR="00813A28" w:rsidRPr="006500BA" w:rsidRDefault="00813A28" w:rsidP="004858F5">
      <w:pPr>
        <w:spacing w:before="120"/>
        <w:rPr>
          <w:rFonts w:ascii="Helv" w:hAnsi="Helv" w:cs="Helv"/>
          <w:b/>
          <w:color w:val="000000"/>
        </w:rPr>
      </w:pPr>
      <w:r w:rsidRPr="006500BA">
        <w:rPr>
          <w:b/>
        </w:rPr>
        <w:t xml:space="preserve">Sub-Committee of Experts on the </w:t>
      </w:r>
      <w:r>
        <w:rPr>
          <w:b/>
        </w:rPr>
        <w:t>Transport of Dangerous Goods</w:t>
      </w:r>
    </w:p>
    <w:p w14:paraId="363E2969" w14:textId="13B28C07" w:rsidR="00813A28" w:rsidRPr="006500BA" w:rsidRDefault="00501098" w:rsidP="004858F5">
      <w:pPr>
        <w:spacing w:before="120"/>
        <w:rPr>
          <w:b/>
        </w:rPr>
      </w:pPr>
      <w:r>
        <w:rPr>
          <w:b/>
        </w:rPr>
        <w:t>Sixty-fifth</w:t>
      </w:r>
      <w:r w:rsidR="00813A28">
        <w:rPr>
          <w:b/>
        </w:rPr>
        <w:t xml:space="preserve"> </w:t>
      </w:r>
      <w:r w:rsidR="00813A28" w:rsidRPr="006500BA">
        <w:rPr>
          <w:b/>
        </w:rPr>
        <w:t>session</w:t>
      </w:r>
    </w:p>
    <w:p w14:paraId="09C78075" w14:textId="56FC4DD5" w:rsidR="00813A28" w:rsidRPr="006500BA" w:rsidRDefault="00813A28" w:rsidP="004858F5">
      <w:r w:rsidRPr="006500BA">
        <w:t xml:space="preserve">Geneva, </w:t>
      </w:r>
      <w:r w:rsidR="00F22F1F">
        <w:t>25 November-3 December 2024</w:t>
      </w:r>
      <w:r>
        <w:t xml:space="preserve"> </w:t>
      </w:r>
    </w:p>
    <w:p w14:paraId="2ADB0E94" w14:textId="758E63EC" w:rsidR="00AF5DE1" w:rsidRPr="00DA3DC3" w:rsidRDefault="00813A28" w:rsidP="00DA3DC3">
      <w:r w:rsidRPr="006500BA">
        <w:t xml:space="preserve">Item </w:t>
      </w:r>
      <w:r w:rsidR="00107980">
        <w:t>2 (b)</w:t>
      </w:r>
      <w:r w:rsidRPr="006500BA">
        <w:t xml:space="preserve"> </w:t>
      </w:r>
      <w:r w:rsidR="008D42FF">
        <w:t xml:space="preserve">(viii) </w:t>
      </w:r>
      <w:r w:rsidRPr="006500BA">
        <w:t>of the provisional agenda</w:t>
      </w:r>
      <w:r w:rsidR="003D789D" w:rsidRPr="002654E1">
        <w:rPr>
          <w:b/>
          <w:bCs/>
        </w:rPr>
        <w:br/>
      </w:r>
      <w:r w:rsidR="00A72B60" w:rsidRPr="007A0653">
        <w:rPr>
          <w:b/>
          <w:bCs/>
        </w:rPr>
        <w:t>Recommendations made by the Sub-Committee at its sixty-second,</w:t>
      </w:r>
      <w:r w:rsidR="007A0653">
        <w:rPr>
          <w:b/>
          <w:bCs/>
        </w:rPr>
        <w:br/>
      </w:r>
      <w:r w:rsidR="00A72B60" w:rsidRPr="007A0653">
        <w:rPr>
          <w:b/>
          <w:bCs/>
        </w:rPr>
        <w:t>sixty-third and sixty-fourth sessions and pending issues</w:t>
      </w:r>
      <w:r w:rsidR="007A0653">
        <w:rPr>
          <w:b/>
          <w:bCs/>
        </w:rPr>
        <w:t>:</w:t>
      </w:r>
      <w:r w:rsidR="007A0653">
        <w:rPr>
          <w:b/>
          <w:bCs/>
        </w:rPr>
        <w:br/>
      </w:r>
      <w:r w:rsidR="0080299E" w:rsidRPr="00DA3DC3">
        <w:rPr>
          <w:b/>
          <w:bCs/>
        </w:rPr>
        <w:t>Explosives and related matters</w:t>
      </w:r>
      <w:r w:rsidR="00DA3DC3" w:rsidRPr="00DA3DC3">
        <w:rPr>
          <w:b/>
          <w:bCs/>
        </w:rPr>
        <w:t>:</w:t>
      </w:r>
      <w:r w:rsidR="00DA3DC3" w:rsidRPr="00DA3DC3">
        <w:rPr>
          <w:b/>
          <w:bCs/>
        </w:rPr>
        <w:br/>
        <w:t>Miscellaneous</w:t>
      </w:r>
    </w:p>
    <w:p w14:paraId="5FBD2CCB" w14:textId="1742E8D2" w:rsidR="00EB64CD" w:rsidRPr="002654E1" w:rsidRDefault="003D789D" w:rsidP="00EB64CD">
      <w:pPr>
        <w:pStyle w:val="HChG"/>
      </w:pPr>
      <w:r>
        <w:tab/>
      </w:r>
      <w:r>
        <w:tab/>
      </w:r>
      <w:r w:rsidR="00EB64CD">
        <w:t>Propos</w:t>
      </w:r>
      <w:r w:rsidR="001A6A75">
        <w:t>al to</w:t>
      </w:r>
      <w:r w:rsidR="00EB64CD">
        <w:t xml:space="preserve"> </w:t>
      </w:r>
      <w:r w:rsidR="001A6A75">
        <w:t>c</w:t>
      </w:r>
      <w:r w:rsidR="00EB64CD">
        <w:t xml:space="preserve">hange </w:t>
      </w:r>
      <w:r w:rsidR="001A6A75">
        <w:t>the</w:t>
      </w:r>
      <w:r w:rsidR="00EB64CD">
        <w:t xml:space="preserve"> name of the Working Group </w:t>
      </w:r>
      <w:r w:rsidR="00FA24BD">
        <w:t xml:space="preserve">on Explosives </w:t>
      </w:r>
      <w:r w:rsidR="0067107B">
        <w:t>in</w:t>
      </w:r>
      <w:r w:rsidR="00EB64CD">
        <w:t>to the</w:t>
      </w:r>
      <w:r w:rsidR="00FA24BD">
        <w:t xml:space="preserve"> </w:t>
      </w:r>
      <w:r w:rsidR="00EB64CD">
        <w:t>Working Group</w:t>
      </w:r>
      <w:r w:rsidR="00FA24BD">
        <w:t xml:space="preserve"> on Energetics</w:t>
      </w:r>
    </w:p>
    <w:p w14:paraId="776C580F" w14:textId="1B265686" w:rsidR="00EB64CD" w:rsidRPr="002654E1" w:rsidRDefault="00EB64CD" w:rsidP="00EB64CD">
      <w:pPr>
        <w:pStyle w:val="H1G"/>
      </w:pPr>
      <w:r w:rsidRPr="002654E1">
        <w:tab/>
      </w:r>
      <w:r w:rsidRPr="002654E1">
        <w:tab/>
        <w:t xml:space="preserve">Transmitted by the </w:t>
      </w:r>
      <w:r>
        <w:t xml:space="preserve">Chair of the </w:t>
      </w:r>
      <w:r w:rsidRPr="001B2D1D">
        <w:t>Working Group</w:t>
      </w:r>
      <w:r w:rsidR="00D63A89">
        <w:t xml:space="preserve"> on Explosives </w:t>
      </w:r>
      <w:r w:rsidR="00B02AED">
        <w:t>(EWG)</w:t>
      </w:r>
      <w:r w:rsidR="008B2042" w:rsidRPr="008B2042">
        <w:rPr>
          <w:rStyle w:val="FootnoteReference"/>
          <w:sz w:val="20"/>
        </w:rPr>
        <w:footnoteReference w:customMarkFollows="1" w:id="2"/>
        <w:t>*</w:t>
      </w:r>
    </w:p>
    <w:p w14:paraId="127B425F" w14:textId="29075054" w:rsidR="00EB64CD" w:rsidRPr="00B575C0" w:rsidRDefault="00DB2B26" w:rsidP="00DB2B26">
      <w:pPr>
        <w:pStyle w:val="HChG"/>
      </w:pPr>
      <w:r>
        <w:tab/>
        <w:t>I.</w:t>
      </w:r>
      <w:r>
        <w:tab/>
      </w:r>
      <w:r w:rsidR="00EB64CD">
        <w:t>Introduction</w:t>
      </w:r>
    </w:p>
    <w:p w14:paraId="1DADE100" w14:textId="1F92F80E" w:rsidR="00EB64CD" w:rsidRDefault="00B02AED" w:rsidP="00B02AED">
      <w:pPr>
        <w:pStyle w:val="SingleTxtG"/>
      </w:pPr>
      <w:r>
        <w:t>1.</w:t>
      </w:r>
      <w:r>
        <w:tab/>
      </w:r>
      <w:r w:rsidR="00EB64CD" w:rsidRPr="00B02AED">
        <w:t>During</w:t>
      </w:r>
      <w:r w:rsidR="00EB64CD">
        <w:t xml:space="preserve"> the </w:t>
      </w:r>
      <w:r w:rsidR="00797378">
        <w:t>s</w:t>
      </w:r>
      <w:r>
        <w:t>ixty</w:t>
      </w:r>
      <w:r w:rsidR="00DB293F">
        <w:t>-fourth</w:t>
      </w:r>
      <w:r w:rsidR="00EB64CD">
        <w:t xml:space="preserve"> </w:t>
      </w:r>
      <w:r w:rsidR="00EB64CD" w:rsidRPr="00B02AED">
        <w:t>session</w:t>
      </w:r>
      <w:r w:rsidR="00EB64CD">
        <w:t xml:space="preserve"> </w:t>
      </w:r>
      <w:r w:rsidR="007C5305">
        <w:t xml:space="preserve">of the </w:t>
      </w:r>
      <w:r w:rsidR="007C5305" w:rsidRPr="00F0487C">
        <w:t>Sub-Committee of Experts on the Transport of Dangerous Goods</w:t>
      </w:r>
      <w:r w:rsidR="00776847">
        <w:t>,</w:t>
      </w:r>
      <w:r w:rsidR="007C5305">
        <w:t xml:space="preserve"> </w:t>
      </w:r>
      <w:r w:rsidR="00EB64CD">
        <w:t xml:space="preserve">the members of the </w:t>
      </w:r>
      <w:bookmarkStart w:id="0" w:name="_Hlk174968722"/>
      <w:r w:rsidR="00EB64CD">
        <w:t xml:space="preserve">Working Group </w:t>
      </w:r>
      <w:r w:rsidR="00D63A89">
        <w:t xml:space="preserve">on Explosives </w:t>
      </w:r>
      <w:bookmarkEnd w:id="0"/>
      <w:r w:rsidR="00EB64CD">
        <w:t xml:space="preserve">(EWG) discussed whether the name of the working group fully reflected the range of topics and types of materials referred to them by the </w:t>
      </w:r>
      <w:bookmarkStart w:id="1" w:name="_Hlk174968592"/>
      <w:r w:rsidR="00EB64CD" w:rsidRPr="00F0487C">
        <w:t>Sub-Committee</w:t>
      </w:r>
      <w:bookmarkEnd w:id="1"/>
      <w:r w:rsidR="00EB64CD">
        <w:t>.</w:t>
      </w:r>
    </w:p>
    <w:p w14:paraId="329D701A" w14:textId="22F57652" w:rsidR="00EB64CD" w:rsidRPr="007A3B01" w:rsidRDefault="00D71E1A" w:rsidP="00D71E1A">
      <w:pPr>
        <w:pStyle w:val="HChG"/>
        <w:rPr>
          <w:b w:val="0"/>
        </w:rPr>
      </w:pPr>
      <w:r>
        <w:tab/>
        <w:t>II.</w:t>
      </w:r>
      <w:r>
        <w:tab/>
      </w:r>
      <w:r w:rsidR="00EB64CD" w:rsidRPr="00D71E1A">
        <w:t>Discussion</w:t>
      </w:r>
    </w:p>
    <w:p w14:paraId="5CE26AA3" w14:textId="3FA5231C" w:rsidR="00EB64CD" w:rsidRPr="00936F92" w:rsidRDefault="00D71E1A" w:rsidP="00D71E1A">
      <w:pPr>
        <w:pStyle w:val="SingleTxtG"/>
        <w:rPr>
          <w:lang w:val="en-US"/>
        </w:rPr>
      </w:pPr>
      <w:r>
        <w:rPr>
          <w:lang w:val="en-US"/>
        </w:rPr>
        <w:t>2</w:t>
      </w:r>
      <w:r w:rsidR="00B02AED" w:rsidRPr="00936F92">
        <w:rPr>
          <w:lang w:val="en-US"/>
        </w:rPr>
        <w:t>.</w:t>
      </w:r>
      <w:r w:rsidR="00B02AED" w:rsidRPr="00936F92">
        <w:rPr>
          <w:lang w:val="en-US"/>
        </w:rPr>
        <w:tab/>
      </w:r>
      <w:r w:rsidR="00EB64CD">
        <w:t>The EWG’s members identified that in addition to substances and articles expected to fall within Class 1 for transport, the EWG is often called upon to consider unstable substances and organic peroxides as well as other materials that have energetic properties. These other materials include some fertilisers, oxidisers and articles containing explosive substances that have been assigned to a class other than Class 1.</w:t>
      </w:r>
    </w:p>
    <w:p w14:paraId="7521DD35" w14:textId="4C545D84" w:rsidR="00EB64CD" w:rsidRPr="007B7ABE" w:rsidRDefault="00D71E1A" w:rsidP="00D71E1A">
      <w:pPr>
        <w:pStyle w:val="SingleTxtG"/>
        <w:rPr>
          <w:lang w:val="en-US"/>
        </w:rPr>
      </w:pPr>
      <w:r>
        <w:rPr>
          <w:lang w:val="en-US"/>
        </w:rPr>
        <w:t>3</w:t>
      </w:r>
      <w:r w:rsidR="00B02AED" w:rsidRPr="007B7ABE">
        <w:rPr>
          <w:lang w:val="en-US"/>
        </w:rPr>
        <w:t>.</w:t>
      </w:r>
      <w:r w:rsidR="00B02AED" w:rsidRPr="007B7ABE">
        <w:rPr>
          <w:lang w:val="en-US"/>
        </w:rPr>
        <w:tab/>
      </w:r>
      <w:r w:rsidR="00EB64CD">
        <w:t xml:space="preserve">The </w:t>
      </w:r>
      <w:r w:rsidR="00EB64CD" w:rsidRPr="00D71E1A">
        <w:t>members</w:t>
      </w:r>
      <w:r w:rsidR="00EB64CD">
        <w:t xml:space="preserve"> of the EWG identified that the current name of the group:</w:t>
      </w:r>
    </w:p>
    <w:p w14:paraId="2F302CF8" w14:textId="24B803E4" w:rsidR="00EB64CD" w:rsidRPr="00612F3F" w:rsidRDefault="004C080D" w:rsidP="004276FE">
      <w:pPr>
        <w:pStyle w:val="SingleTxtG"/>
        <w:rPr>
          <w:lang w:val="en-US"/>
        </w:rPr>
      </w:pPr>
      <w:r>
        <w:tab/>
        <w:t>(a)</w:t>
      </w:r>
      <w:r>
        <w:tab/>
      </w:r>
      <w:r w:rsidR="00EB64CD">
        <w:t>does not fully recognise the contribution that experts in classes other than Class</w:t>
      </w:r>
      <w:r w:rsidR="00DB2B26">
        <w:t> </w:t>
      </w:r>
      <w:r w:rsidR="00EB64CD">
        <w:t>1 make to its work; and</w:t>
      </w:r>
    </w:p>
    <w:p w14:paraId="663A0387" w14:textId="0432C8BB" w:rsidR="00EB64CD" w:rsidRPr="007B7ABE" w:rsidRDefault="004C080D" w:rsidP="004276FE">
      <w:pPr>
        <w:pStyle w:val="SingleTxtG"/>
        <w:rPr>
          <w:lang w:val="en-US"/>
        </w:rPr>
      </w:pPr>
      <w:r>
        <w:tab/>
        <w:t>(b)</w:t>
      </w:r>
      <w:r>
        <w:tab/>
      </w:r>
      <w:r w:rsidR="00EB64CD" w:rsidRPr="00D71E1A">
        <w:t>means</w:t>
      </w:r>
      <w:r w:rsidR="00EB64CD">
        <w:t xml:space="preserve"> that members of the wider dangerous goods community who are involved in regulating the transport of energetic substances may not recognise the contribution that they could make to the work of the EWG and the </w:t>
      </w:r>
      <w:r w:rsidR="00EB64CD" w:rsidRPr="007B7ABE">
        <w:t>Sub-Committee</w:t>
      </w:r>
      <w:r w:rsidR="00D71E1A">
        <w:t>.</w:t>
      </w:r>
    </w:p>
    <w:p w14:paraId="36D6CD47" w14:textId="2AC124D8" w:rsidR="00EB64CD" w:rsidRPr="00A22B95" w:rsidRDefault="00F71071" w:rsidP="004C080D">
      <w:pPr>
        <w:pStyle w:val="HChG"/>
        <w:rPr>
          <w:lang w:val="en-US"/>
        </w:rPr>
      </w:pPr>
      <w:r>
        <w:rPr>
          <w:lang w:val="en-US"/>
        </w:rPr>
        <w:lastRenderedPageBreak/>
        <w:tab/>
        <w:t>III.</w:t>
      </w:r>
      <w:r>
        <w:rPr>
          <w:lang w:val="en-US"/>
        </w:rPr>
        <w:tab/>
      </w:r>
      <w:r w:rsidR="00EB64CD" w:rsidRPr="00A22B95">
        <w:rPr>
          <w:lang w:val="en-US"/>
        </w:rPr>
        <w:t>Proposal</w:t>
      </w:r>
    </w:p>
    <w:p w14:paraId="6B218B44" w14:textId="4D324865" w:rsidR="00EB64CD" w:rsidRPr="00A22B95" w:rsidRDefault="00F71071" w:rsidP="00F71071">
      <w:pPr>
        <w:pStyle w:val="SingleTxtG"/>
        <w:rPr>
          <w:lang w:val="en-US"/>
        </w:rPr>
      </w:pPr>
      <w:r>
        <w:rPr>
          <w:lang w:val="en-US"/>
        </w:rPr>
        <w:t>4</w:t>
      </w:r>
      <w:r w:rsidR="00B02AED">
        <w:rPr>
          <w:lang w:val="en-US"/>
        </w:rPr>
        <w:t>.</w:t>
      </w:r>
      <w:r w:rsidR="00B02AED">
        <w:rPr>
          <w:lang w:val="en-US"/>
        </w:rPr>
        <w:tab/>
      </w:r>
      <w:r w:rsidR="00EB64CD">
        <w:rPr>
          <w:lang w:val="en-US"/>
        </w:rPr>
        <w:t xml:space="preserve">The </w:t>
      </w:r>
      <w:r w:rsidR="00EB64CD" w:rsidRPr="00A22B95">
        <w:rPr>
          <w:lang w:val="en-US"/>
        </w:rPr>
        <w:t>Working Group</w:t>
      </w:r>
      <w:r w:rsidR="00AB5572">
        <w:rPr>
          <w:lang w:val="en-US"/>
        </w:rPr>
        <w:t xml:space="preserve"> on Explosives</w:t>
      </w:r>
      <w:r w:rsidR="00EB64CD" w:rsidRPr="00A22B95">
        <w:rPr>
          <w:lang w:val="en-US"/>
        </w:rPr>
        <w:t xml:space="preserve"> </w:t>
      </w:r>
      <w:r w:rsidR="00EB64CD">
        <w:rPr>
          <w:lang w:val="en-US"/>
        </w:rPr>
        <w:t xml:space="preserve">proposes that in future it is known as the Working Group </w:t>
      </w:r>
      <w:r w:rsidR="004A6C86">
        <w:rPr>
          <w:lang w:val="en-US"/>
        </w:rPr>
        <w:t xml:space="preserve">on Energetics </w:t>
      </w:r>
      <w:r w:rsidR="00EB64CD">
        <w:rPr>
          <w:lang w:val="en-US"/>
        </w:rPr>
        <w:t xml:space="preserve">retaining the same acronym </w:t>
      </w:r>
      <w:r w:rsidR="002D089F">
        <w:rPr>
          <w:lang w:val="en-US"/>
        </w:rPr>
        <w:t>“</w:t>
      </w:r>
      <w:r w:rsidR="00EB64CD">
        <w:rPr>
          <w:lang w:val="en-US"/>
        </w:rPr>
        <w:t>EWG</w:t>
      </w:r>
      <w:r w:rsidR="002D089F">
        <w:rPr>
          <w:lang w:val="en-US"/>
        </w:rPr>
        <w:t>”</w:t>
      </w:r>
      <w:r w:rsidR="00EB64CD">
        <w:rPr>
          <w:lang w:val="en-US"/>
        </w:rPr>
        <w:t>.</w:t>
      </w:r>
    </w:p>
    <w:p w14:paraId="00E8B109" w14:textId="28F144DC" w:rsidR="00EB64CD" w:rsidRPr="00A5030C" w:rsidRDefault="00F71071" w:rsidP="00F71071">
      <w:pPr>
        <w:pStyle w:val="HChG"/>
        <w:rPr>
          <w:lang w:val="en-US"/>
        </w:rPr>
      </w:pPr>
      <w:r>
        <w:tab/>
        <w:t>IV.</w:t>
      </w:r>
      <w:r>
        <w:tab/>
      </w:r>
      <w:r w:rsidR="00EB64CD" w:rsidRPr="00A5030C">
        <w:t>Sustainable</w:t>
      </w:r>
      <w:r w:rsidR="00EB64CD" w:rsidRPr="00A5030C">
        <w:rPr>
          <w:lang w:val="en-US"/>
        </w:rPr>
        <w:t xml:space="preserve"> Development Goals (SDGs)</w:t>
      </w:r>
    </w:p>
    <w:p w14:paraId="79DC4729" w14:textId="79956530" w:rsidR="00EB64CD" w:rsidRPr="004175A5" w:rsidRDefault="004C1F49" w:rsidP="004C1F49">
      <w:pPr>
        <w:pStyle w:val="SingleTxtG"/>
        <w:rPr>
          <w:b/>
          <w:i/>
          <w:iCs/>
          <w:lang w:val="en-US"/>
        </w:rPr>
      </w:pPr>
      <w:r w:rsidRPr="00684771">
        <w:rPr>
          <w:bCs/>
          <w:lang w:val="en-US"/>
        </w:rPr>
        <w:t>5</w:t>
      </w:r>
      <w:r w:rsidR="00B02AED" w:rsidRPr="00684771">
        <w:rPr>
          <w:bCs/>
          <w:lang w:val="en-US"/>
        </w:rPr>
        <w:t>.</w:t>
      </w:r>
      <w:r w:rsidR="00B02AED">
        <w:rPr>
          <w:b/>
          <w:lang w:val="en-US"/>
        </w:rPr>
        <w:tab/>
      </w:r>
      <w:r w:rsidR="00EB64CD">
        <w:rPr>
          <w:lang w:val="en-US"/>
        </w:rPr>
        <w:t xml:space="preserve">The work of the EWG is focused on contributing to </w:t>
      </w:r>
      <w:r w:rsidR="004923BD">
        <w:rPr>
          <w:lang w:val="en-US"/>
        </w:rPr>
        <w:t>S</w:t>
      </w:r>
      <w:r w:rsidR="00EB64CD">
        <w:rPr>
          <w:lang w:val="en-US"/>
        </w:rPr>
        <w:t xml:space="preserve">ustainable </w:t>
      </w:r>
      <w:r w:rsidR="004923BD">
        <w:rPr>
          <w:lang w:val="en-US"/>
        </w:rPr>
        <w:t>D</w:t>
      </w:r>
      <w:r w:rsidR="00EC4EA5">
        <w:rPr>
          <w:lang w:val="en-US"/>
        </w:rPr>
        <w:t xml:space="preserve">evelopment </w:t>
      </w:r>
      <w:r w:rsidR="00054020">
        <w:rPr>
          <w:lang w:val="en-US"/>
        </w:rPr>
        <w:t>G</w:t>
      </w:r>
      <w:r w:rsidR="00EB64CD">
        <w:rPr>
          <w:lang w:val="en-US"/>
        </w:rPr>
        <w:t>oal 16</w:t>
      </w:r>
      <w:r w:rsidR="00054020">
        <w:rPr>
          <w:lang w:val="en-US"/>
        </w:rPr>
        <w:t>,</w:t>
      </w:r>
      <w:r w:rsidR="00283263">
        <w:rPr>
          <w:i/>
          <w:iCs/>
          <w:lang w:val="en-US"/>
        </w:rPr>
        <w:t xml:space="preserve"> Pea</w:t>
      </w:r>
      <w:r w:rsidR="00CB0CFD">
        <w:rPr>
          <w:i/>
          <w:iCs/>
          <w:lang w:val="en-US"/>
        </w:rPr>
        <w:t>ce, justice and strong institutions</w:t>
      </w:r>
      <w:r w:rsidR="00EB64CD" w:rsidRPr="004175A5">
        <w:rPr>
          <w:i/>
          <w:iCs/>
          <w:lang w:val="en-US"/>
        </w:rPr>
        <w:t>.</w:t>
      </w:r>
    </w:p>
    <w:p w14:paraId="12A2E623" w14:textId="3D6AAF44" w:rsidR="00EB64CD" w:rsidRDefault="004C1F49" w:rsidP="004C1F49">
      <w:pPr>
        <w:pStyle w:val="SingleTxtG"/>
      </w:pPr>
      <w:r>
        <w:t>6</w:t>
      </w:r>
      <w:r w:rsidR="00B02AED">
        <w:t>.</w:t>
      </w:r>
      <w:r w:rsidR="00B02AED">
        <w:tab/>
      </w:r>
      <w:r w:rsidR="00EB64CD" w:rsidRPr="00053AFC">
        <w:t xml:space="preserve">In particular </w:t>
      </w:r>
      <w:r w:rsidR="00EB64CD">
        <w:t>by providing greater clarity on the role of the EWG the change of name will</w:t>
      </w:r>
      <w:r w:rsidR="00B6642D">
        <w:t xml:space="preserve"> </w:t>
      </w:r>
      <w:r w:rsidR="00DB7160">
        <w:t xml:space="preserve">contribute to </w:t>
      </w:r>
      <w:r w:rsidR="00E94A49">
        <w:t xml:space="preserve">SDG </w:t>
      </w:r>
      <w:r w:rsidR="00DB7160">
        <w:t>targets</w:t>
      </w:r>
      <w:r w:rsidR="00EB64CD">
        <w:t>:</w:t>
      </w:r>
    </w:p>
    <w:p w14:paraId="0E637D7F" w14:textId="0B238BE8" w:rsidR="00EB64CD" w:rsidRDefault="00EB231B" w:rsidP="004C1F49">
      <w:pPr>
        <w:pStyle w:val="SingleTxtG"/>
      </w:pPr>
      <w:r>
        <w:tab/>
        <w:t>(a)</w:t>
      </w:r>
      <w:r>
        <w:tab/>
      </w:r>
      <w:r w:rsidR="00EB64CD" w:rsidRPr="004276FE">
        <w:rPr>
          <w:i/>
          <w:iCs/>
        </w:rPr>
        <w:t>Develop effective, accountable and transparent institutions at all levels</w:t>
      </w:r>
      <w:r w:rsidR="00EB64CD">
        <w:t xml:space="preserve"> (</w:t>
      </w:r>
      <w:r w:rsidR="00A84C00">
        <w:t>SD</w:t>
      </w:r>
      <w:r w:rsidR="00EB64CD">
        <w:t>G</w:t>
      </w:r>
      <w:r w:rsidR="00A84C00">
        <w:t> </w:t>
      </w:r>
      <w:r w:rsidR="00EB64CD">
        <w:t xml:space="preserve">16.6); and </w:t>
      </w:r>
    </w:p>
    <w:p w14:paraId="329D5A6D" w14:textId="4733846F" w:rsidR="003D789D" w:rsidRDefault="00EB231B" w:rsidP="004C1F49">
      <w:pPr>
        <w:pStyle w:val="SingleTxtG"/>
      </w:pPr>
      <w:r>
        <w:tab/>
        <w:t>(b)</w:t>
      </w:r>
      <w:r>
        <w:tab/>
      </w:r>
      <w:r w:rsidR="00EB64CD" w:rsidRPr="004276FE">
        <w:rPr>
          <w:i/>
          <w:iCs/>
        </w:rPr>
        <w:t>Broaden and strengthen the participation of developing countries in the institutions of global governance</w:t>
      </w:r>
      <w:r w:rsidR="00EB64CD">
        <w:t xml:space="preserve"> (</w:t>
      </w:r>
      <w:r w:rsidR="00A84C00">
        <w:t>SD</w:t>
      </w:r>
      <w:r w:rsidR="00EB64CD">
        <w:t>G</w:t>
      </w:r>
      <w:r w:rsidR="00E5203D">
        <w:t> </w:t>
      </w:r>
      <w:r w:rsidR="00EB64CD">
        <w:t>16.8).</w:t>
      </w:r>
    </w:p>
    <w:p w14:paraId="3739DF37" w14:textId="42350F6E" w:rsidR="00EB64CD" w:rsidRPr="00EB64CD" w:rsidRDefault="00EB64CD" w:rsidP="00EB64CD">
      <w:pPr>
        <w:spacing w:before="240"/>
        <w:jc w:val="center"/>
        <w:rPr>
          <w:u w:val="single"/>
        </w:rPr>
      </w:pPr>
      <w:r>
        <w:rPr>
          <w:u w:val="single"/>
        </w:rPr>
        <w:tab/>
      </w:r>
      <w:r>
        <w:rPr>
          <w:u w:val="single"/>
        </w:rPr>
        <w:tab/>
      </w:r>
      <w:r>
        <w:rPr>
          <w:u w:val="single"/>
        </w:rPr>
        <w:tab/>
      </w:r>
    </w:p>
    <w:sectPr w:rsidR="00EB64CD" w:rsidRPr="00EB64CD" w:rsidSect="00813A28">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045B" w14:textId="77777777" w:rsidR="004C4836" w:rsidRPr="00C47B2E" w:rsidRDefault="004C4836" w:rsidP="00C47B2E">
      <w:pPr>
        <w:pStyle w:val="Footer"/>
      </w:pPr>
    </w:p>
  </w:endnote>
  <w:endnote w:type="continuationSeparator" w:id="0">
    <w:p w14:paraId="3C795C77" w14:textId="77777777" w:rsidR="004C4836" w:rsidRPr="00C47B2E" w:rsidRDefault="004C4836" w:rsidP="00C47B2E">
      <w:pPr>
        <w:pStyle w:val="Footer"/>
      </w:pPr>
    </w:p>
  </w:endnote>
  <w:endnote w:type="continuationNotice" w:id="1">
    <w:p w14:paraId="39FD0361" w14:textId="77777777" w:rsidR="004C4836" w:rsidRPr="00C47B2E" w:rsidRDefault="004C483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5512" w14:textId="3A515468" w:rsidR="00D94B05" w:rsidRPr="00813A28" w:rsidRDefault="00813A28" w:rsidP="00D85308">
    <w:pPr>
      <w:pStyle w:val="Footer"/>
      <w:tabs>
        <w:tab w:val="right" w:pos="9639"/>
      </w:tabs>
      <w:rPr>
        <w:sz w:val="18"/>
      </w:rPr>
    </w:pPr>
    <w:r w:rsidRPr="00813A28">
      <w:rPr>
        <w:b/>
        <w:sz w:val="18"/>
      </w:rPr>
      <w:fldChar w:fldCharType="begin"/>
    </w:r>
    <w:r w:rsidRPr="00813A28">
      <w:rPr>
        <w:b/>
        <w:sz w:val="18"/>
      </w:rPr>
      <w:instrText xml:space="preserve"> PAGE  \* MERGEFORMAT </w:instrText>
    </w:r>
    <w:r w:rsidRPr="00813A28">
      <w:rPr>
        <w:b/>
        <w:sz w:val="18"/>
      </w:rPr>
      <w:fldChar w:fldCharType="separate"/>
    </w:r>
    <w:r w:rsidRPr="00813A28">
      <w:rPr>
        <w:b/>
        <w:noProof/>
        <w:sz w:val="18"/>
      </w:rPr>
      <w:t>2</w:t>
    </w:r>
    <w:r w:rsidRPr="00813A2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2CDF" w14:textId="00BBCA27" w:rsidR="00D94B05" w:rsidRPr="00813A28" w:rsidRDefault="00813A28" w:rsidP="00D85308">
    <w:pPr>
      <w:pStyle w:val="Footer"/>
      <w:tabs>
        <w:tab w:val="right" w:pos="9639"/>
      </w:tabs>
      <w:rPr>
        <w:b/>
        <w:bCs/>
        <w:sz w:val="18"/>
      </w:rPr>
    </w:pPr>
    <w:r>
      <w:rPr>
        <w:bCs/>
        <w:sz w:val="18"/>
      </w:rPr>
      <w:tab/>
    </w:r>
    <w:r w:rsidRPr="00813A28">
      <w:rPr>
        <w:b/>
        <w:bCs/>
        <w:sz w:val="18"/>
      </w:rPr>
      <w:fldChar w:fldCharType="begin"/>
    </w:r>
    <w:r w:rsidRPr="00813A28">
      <w:rPr>
        <w:b/>
        <w:bCs/>
        <w:sz w:val="18"/>
      </w:rPr>
      <w:instrText xml:space="preserve"> PAGE  \* MERGEFORMAT </w:instrText>
    </w:r>
    <w:r w:rsidRPr="00813A28">
      <w:rPr>
        <w:b/>
        <w:bCs/>
        <w:sz w:val="18"/>
      </w:rPr>
      <w:fldChar w:fldCharType="separate"/>
    </w:r>
    <w:r w:rsidRPr="00813A28">
      <w:rPr>
        <w:b/>
        <w:bCs/>
        <w:noProof/>
        <w:sz w:val="18"/>
      </w:rPr>
      <w:t>3</w:t>
    </w:r>
    <w:r w:rsidRPr="00813A2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AF5C" w14:textId="18C4E33B" w:rsidR="00D94B05" w:rsidRDefault="00BB4425" w:rsidP="00BB4425">
    <w:pPr>
      <w:pStyle w:val="Footer"/>
      <w:rPr>
        <w:rFonts w:asciiTheme="majorBidi" w:hAnsiTheme="majorBidi" w:cstheme="majorBidi"/>
        <w:sz w:val="20"/>
      </w:rPr>
    </w:pPr>
    <w:r>
      <w:rPr>
        <w:rFonts w:asciiTheme="majorBidi" w:hAnsiTheme="majorBidi" w:cstheme="majorBidi"/>
        <w:noProof/>
        <w:sz w:val="20"/>
      </w:rPr>
      <w:drawing>
        <wp:anchor distT="0" distB="0" distL="114300" distR="114300" simplePos="0" relativeHeight="251662336" behindDoc="0" locked="0" layoutInCell="1" allowOverlap="1" wp14:anchorId="2AC84788" wp14:editId="7AEED59D">
          <wp:simplePos x="0" y="0"/>
          <wp:positionH relativeFrom="column">
            <wp:posOffset>5562559</wp:posOffset>
          </wp:positionH>
          <wp:positionV relativeFrom="paragraph">
            <wp:posOffset>-200169</wp:posOffset>
          </wp:positionV>
          <wp:extent cx="571500" cy="571500"/>
          <wp:effectExtent l="0" t="0" r="0" b="0"/>
          <wp:wrapNone/>
          <wp:docPr id="126765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109">
      <w:rPr>
        <w:noProof/>
        <w:lang w:val="fr-CH" w:eastAsia="fr-CH"/>
      </w:rPr>
      <w:drawing>
        <wp:anchor distT="0" distB="0" distL="114300" distR="114300" simplePos="0" relativeHeight="251659264" behindDoc="0" locked="1" layoutInCell="1" allowOverlap="1" wp14:anchorId="4E3EA8E8" wp14:editId="7A5480A9">
          <wp:simplePos x="0" y="0"/>
          <wp:positionH relativeFrom="margin">
            <wp:posOffset>4583430</wp:posOffset>
          </wp:positionH>
          <wp:positionV relativeFrom="margin">
            <wp:posOffset>9286240</wp:posOffset>
          </wp:positionV>
          <wp:extent cx="923925" cy="228600"/>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B4425" w14:textId="5034E869" w:rsidR="00BB4425" w:rsidRPr="00BB4425" w:rsidRDefault="00BB4425" w:rsidP="00BB4425">
    <w:pPr>
      <w:pStyle w:val="Footer"/>
      <w:ind w:right="1134"/>
      <w:rPr>
        <w:rFonts w:asciiTheme="majorBidi" w:hAnsiTheme="majorBidi" w:cstheme="majorBidi"/>
        <w:sz w:val="20"/>
      </w:rPr>
    </w:pPr>
    <w:r>
      <w:rPr>
        <w:rFonts w:asciiTheme="majorBidi" w:hAnsiTheme="majorBidi" w:cstheme="majorBidi"/>
        <w:sz w:val="20"/>
      </w:rPr>
      <w:t>GE.24-15057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2FEB" w14:textId="77777777" w:rsidR="004C4836" w:rsidRPr="00C47B2E" w:rsidRDefault="004C4836" w:rsidP="00C47B2E">
      <w:pPr>
        <w:tabs>
          <w:tab w:val="right" w:pos="2155"/>
        </w:tabs>
        <w:spacing w:after="80" w:line="240" w:lineRule="auto"/>
        <w:ind w:left="680"/>
      </w:pPr>
      <w:r>
        <w:rPr>
          <w:u w:val="single"/>
        </w:rPr>
        <w:tab/>
      </w:r>
    </w:p>
  </w:footnote>
  <w:footnote w:type="continuationSeparator" w:id="0">
    <w:p w14:paraId="54EE2D2E" w14:textId="77777777" w:rsidR="004C4836" w:rsidRPr="00C47B2E" w:rsidRDefault="004C4836" w:rsidP="005E716E">
      <w:pPr>
        <w:tabs>
          <w:tab w:val="right" w:pos="2155"/>
        </w:tabs>
        <w:spacing w:after="80" w:line="240" w:lineRule="auto"/>
        <w:ind w:left="680"/>
      </w:pPr>
      <w:r>
        <w:rPr>
          <w:u w:val="single"/>
        </w:rPr>
        <w:tab/>
      </w:r>
    </w:p>
  </w:footnote>
  <w:footnote w:type="continuationNotice" w:id="1">
    <w:p w14:paraId="7C00C842" w14:textId="77777777" w:rsidR="004C4836" w:rsidRPr="00C47B2E" w:rsidRDefault="004C4836" w:rsidP="00C47B2E">
      <w:pPr>
        <w:pStyle w:val="Footer"/>
      </w:pPr>
    </w:p>
  </w:footnote>
  <w:footnote w:id="2">
    <w:p w14:paraId="10C69751" w14:textId="353A9B2B" w:rsidR="008B2042" w:rsidRPr="008B2042" w:rsidRDefault="008B2042">
      <w:pPr>
        <w:pStyle w:val="FootnoteText"/>
        <w:rPr>
          <w:lang w:val="fr-CH"/>
        </w:rPr>
      </w:pPr>
      <w:r>
        <w:rPr>
          <w:rStyle w:val="FootnoteReference"/>
        </w:rPr>
        <w:tab/>
      </w:r>
      <w:r w:rsidRPr="00DC7BBC">
        <w:rPr>
          <w:rStyle w:val="FootnoteReference"/>
          <w:sz w:val="20"/>
        </w:rPr>
        <w:t>*</w:t>
      </w:r>
      <w:r>
        <w:rPr>
          <w:rStyle w:val="FootnoteReference"/>
          <w:sz w:val="20"/>
          <w:vertAlign w:val="baseline"/>
        </w:rPr>
        <w:tab/>
      </w:r>
      <w:r w:rsidR="00DC7BBC" w:rsidRPr="0082113E">
        <w:t>A/78/6 (Sect. 20), table 20.5</w:t>
      </w:r>
      <w:r w:rsidR="00DC7BB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1CCD" w14:textId="08FE3D0E" w:rsidR="00813A28" w:rsidRPr="00813A28" w:rsidRDefault="002F3D87">
    <w:pPr>
      <w:pStyle w:val="Header"/>
    </w:pPr>
    <w:r>
      <w:fldChar w:fldCharType="begin"/>
    </w:r>
    <w:r>
      <w:instrText xml:space="preserve"> TITLE  \* MERGEFORMAT </w:instrText>
    </w:r>
    <w:r>
      <w:fldChar w:fldCharType="separate"/>
    </w:r>
    <w:r w:rsidR="00813A28">
      <w:t>ST/SG/AC.10/C.3/2024/60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B815" w14:textId="0DD89D57" w:rsidR="00D94B05" w:rsidRPr="00813A28" w:rsidRDefault="002F3D87" w:rsidP="00813A28">
    <w:pPr>
      <w:pStyle w:val="Header"/>
      <w:jc w:val="right"/>
    </w:pPr>
    <w:r>
      <w:fldChar w:fldCharType="begin"/>
    </w:r>
    <w:r>
      <w:instrText xml:space="preserve"> TITLE  \* MERGEFORMAT </w:instrText>
    </w:r>
    <w:r>
      <w:fldChar w:fldCharType="separate"/>
    </w:r>
    <w:r w:rsidR="00813A28">
      <w:t>ST/SG/AC.10/C.3/2024/60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315CE"/>
    <w:multiLevelType w:val="hybridMultilevel"/>
    <w:tmpl w:val="7EAC0002"/>
    <w:lvl w:ilvl="0" w:tplc="08090001">
      <w:start w:val="1"/>
      <w:numFmt w:val="bullet"/>
      <w:lvlText w:val=""/>
      <w:lvlJc w:val="left"/>
      <w:pPr>
        <w:ind w:left="2241" w:hanging="555"/>
      </w:pPr>
      <w:rPr>
        <w:rFonts w:ascii="Symbol" w:hAnsi="Symbol" w:hint="default"/>
        <w:sz w:val="20"/>
        <w:szCs w:val="20"/>
      </w:rPr>
    </w:lvl>
    <w:lvl w:ilvl="1" w:tplc="FFFFFFFF">
      <w:start w:val="1"/>
      <w:numFmt w:val="lowerLetter"/>
      <w:lvlText w:val="%2."/>
      <w:lvlJc w:val="left"/>
      <w:pPr>
        <w:ind w:left="2766" w:hanging="360"/>
      </w:pPr>
    </w:lvl>
    <w:lvl w:ilvl="2" w:tplc="FFFFFFFF">
      <w:start w:val="1"/>
      <w:numFmt w:val="lowerRoman"/>
      <w:lvlText w:val="%3."/>
      <w:lvlJc w:val="right"/>
      <w:pPr>
        <w:ind w:left="3486" w:hanging="180"/>
      </w:pPr>
    </w:lvl>
    <w:lvl w:ilvl="3" w:tplc="FFFFFFFF" w:tentative="1">
      <w:start w:val="1"/>
      <w:numFmt w:val="decimal"/>
      <w:lvlText w:val="%4."/>
      <w:lvlJc w:val="left"/>
      <w:pPr>
        <w:ind w:left="4206" w:hanging="360"/>
      </w:pPr>
    </w:lvl>
    <w:lvl w:ilvl="4" w:tplc="FFFFFFFF" w:tentative="1">
      <w:start w:val="1"/>
      <w:numFmt w:val="lowerLetter"/>
      <w:lvlText w:val="%5."/>
      <w:lvlJc w:val="left"/>
      <w:pPr>
        <w:ind w:left="4926" w:hanging="360"/>
      </w:pPr>
    </w:lvl>
    <w:lvl w:ilvl="5" w:tplc="FFFFFFFF" w:tentative="1">
      <w:start w:val="1"/>
      <w:numFmt w:val="lowerRoman"/>
      <w:lvlText w:val="%6."/>
      <w:lvlJc w:val="right"/>
      <w:pPr>
        <w:ind w:left="5646" w:hanging="180"/>
      </w:pPr>
    </w:lvl>
    <w:lvl w:ilvl="6" w:tplc="FFFFFFFF" w:tentative="1">
      <w:start w:val="1"/>
      <w:numFmt w:val="decimal"/>
      <w:lvlText w:val="%7."/>
      <w:lvlJc w:val="left"/>
      <w:pPr>
        <w:ind w:left="6366" w:hanging="360"/>
      </w:pPr>
    </w:lvl>
    <w:lvl w:ilvl="7" w:tplc="FFFFFFFF" w:tentative="1">
      <w:start w:val="1"/>
      <w:numFmt w:val="lowerLetter"/>
      <w:lvlText w:val="%8."/>
      <w:lvlJc w:val="left"/>
      <w:pPr>
        <w:ind w:left="7086" w:hanging="360"/>
      </w:pPr>
    </w:lvl>
    <w:lvl w:ilvl="8" w:tplc="FFFFFFFF" w:tentative="1">
      <w:start w:val="1"/>
      <w:numFmt w:val="lowerRoman"/>
      <w:lvlText w:val="%9."/>
      <w:lvlJc w:val="right"/>
      <w:pPr>
        <w:ind w:left="7806"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45DE5"/>
    <w:multiLevelType w:val="hybridMultilevel"/>
    <w:tmpl w:val="66E24BF4"/>
    <w:lvl w:ilvl="0" w:tplc="63B2FBFC">
      <w:start w:val="1"/>
      <w:numFmt w:val="decimal"/>
      <w:lvlText w:val="%1."/>
      <w:lvlJc w:val="left"/>
      <w:pPr>
        <w:ind w:left="1689" w:hanging="555"/>
      </w:pPr>
      <w:rPr>
        <w:rFonts w:hint="default"/>
        <w:sz w:val="20"/>
        <w:szCs w:val="2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3191CEF"/>
    <w:multiLevelType w:val="hybridMultilevel"/>
    <w:tmpl w:val="6AACC356"/>
    <w:lvl w:ilvl="0" w:tplc="E3389DD4">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6"/>
  </w:num>
  <w:num w:numId="2" w16cid:durableId="1073159890">
    <w:abstractNumId w:val="5"/>
  </w:num>
  <w:num w:numId="3" w16cid:durableId="551188904">
    <w:abstractNumId w:val="0"/>
  </w:num>
  <w:num w:numId="4" w16cid:durableId="44254624">
    <w:abstractNumId w:val="9"/>
  </w:num>
  <w:num w:numId="5" w16cid:durableId="1816027029">
    <w:abstractNumId w:val="10"/>
  </w:num>
  <w:num w:numId="6" w16cid:durableId="1836190579">
    <w:abstractNumId w:val="12"/>
  </w:num>
  <w:num w:numId="7" w16cid:durableId="634676252">
    <w:abstractNumId w:val="4"/>
  </w:num>
  <w:num w:numId="8" w16cid:durableId="1039166836">
    <w:abstractNumId w:val="1"/>
  </w:num>
  <w:num w:numId="9" w16cid:durableId="644969981">
    <w:abstractNumId w:val="11"/>
  </w:num>
  <w:num w:numId="10" w16cid:durableId="525103391">
    <w:abstractNumId w:val="1"/>
  </w:num>
  <w:num w:numId="11" w16cid:durableId="297342166">
    <w:abstractNumId w:val="11"/>
  </w:num>
  <w:num w:numId="12" w16cid:durableId="1280380300">
    <w:abstractNumId w:val="3"/>
  </w:num>
  <w:num w:numId="13" w16cid:durableId="1988699530">
    <w:abstractNumId w:val="3"/>
  </w:num>
  <w:num w:numId="14" w16cid:durableId="345912723">
    <w:abstractNumId w:val="7"/>
  </w:num>
  <w:num w:numId="15" w16cid:durableId="602229392">
    <w:abstractNumId w:val="2"/>
  </w:num>
  <w:num w:numId="16" w16cid:durableId="1874686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28"/>
    <w:rsid w:val="00046E92"/>
    <w:rsid w:val="00054020"/>
    <w:rsid w:val="00063C90"/>
    <w:rsid w:val="00070000"/>
    <w:rsid w:val="000A0B4D"/>
    <w:rsid w:val="00101B98"/>
    <w:rsid w:val="00107980"/>
    <w:rsid w:val="001514D1"/>
    <w:rsid w:val="00153DE1"/>
    <w:rsid w:val="001A6A75"/>
    <w:rsid w:val="00247E2C"/>
    <w:rsid w:val="00283263"/>
    <w:rsid w:val="002A32CB"/>
    <w:rsid w:val="002B3CEC"/>
    <w:rsid w:val="002D089F"/>
    <w:rsid w:val="002D5B2C"/>
    <w:rsid w:val="002D6C53"/>
    <w:rsid w:val="002F3D87"/>
    <w:rsid w:val="002F5595"/>
    <w:rsid w:val="00334F6A"/>
    <w:rsid w:val="00342AC8"/>
    <w:rsid w:val="00343302"/>
    <w:rsid w:val="00382AB8"/>
    <w:rsid w:val="003979DE"/>
    <w:rsid w:val="003B1248"/>
    <w:rsid w:val="003B4550"/>
    <w:rsid w:val="003D2A18"/>
    <w:rsid w:val="003D789D"/>
    <w:rsid w:val="00413386"/>
    <w:rsid w:val="004175A5"/>
    <w:rsid w:val="004276FE"/>
    <w:rsid w:val="00461253"/>
    <w:rsid w:val="004858F5"/>
    <w:rsid w:val="004923BD"/>
    <w:rsid w:val="004A2814"/>
    <w:rsid w:val="004A6C86"/>
    <w:rsid w:val="004A6D9F"/>
    <w:rsid w:val="004C0622"/>
    <w:rsid w:val="004C080D"/>
    <w:rsid w:val="004C1F49"/>
    <w:rsid w:val="004C4836"/>
    <w:rsid w:val="004F73D0"/>
    <w:rsid w:val="00501098"/>
    <w:rsid w:val="005042C2"/>
    <w:rsid w:val="005A0E92"/>
    <w:rsid w:val="005E716E"/>
    <w:rsid w:val="006476E1"/>
    <w:rsid w:val="006604DF"/>
    <w:rsid w:val="0067107B"/>
    <w:rsid w:val="00671529"/>
    <w:rsid w:val="00684771"/>
    <w:rsid w:val="006F1EF5"/>
    <w:rsid w:val="0070489D"/>
    <w:rsid w:val="007200A1"/>
    <w:rsid w:val="007264E6"/>
    <w:rsid w:val="007268F9"/>
    <w:rsid w:val="00750282"/>
    <w:rsid w:val="00764440"/>
    <w:rsid w:val="0077101B"/>
    <w:rsid w:val="00776847"/>
    <w:rsid w:val="00797378"/>
    <w:rsid w:val="007A0653"/>
    <w:rsid w:val="007C52B0"/>
    <w:rsid w:val="007C5305"/>
    <w:rsid w:val="007C6033"/>
    <w:rsid w:val="007D603B"/>
    <w:rsid w:val="0080299E"/>
    <w:rsid w:val="00813A28"/>
    <w:rsid w:val="008147C8"/>
    <w:rsid w:val="0081753A"/>
    <w:rsid w:val="0084047B"/>
    <w:rsid w:val="00857D23"/>
    <w:rsid w:val="00884B69"/>
    <w:rsid w:val="008933EE"/>
    <w:rsid w:val="008B2042"/>
    <w:rsid w:val="008D42FF"/>
    <w:rsid w:val="009411B4"/>
    <w:rsid w:val="00946F1D"/>
    <w:rsid w:val="009A0A7F"/>
    <w:rsid w:val="009A5AEF"/>
    <w:rsid w:val="009C3A40"/>
    <w:rsid w:val="009D0139"/>
    <w:rsid w:val="009D717D"/>
    <w:rsid w:val="009F5CDC"/>
    <w:rsid w:val="00A072D7"/>
    <w:rsid w:val="00A23A07"/>
    <w:rsid w:val="00A72B60"/>
    <w:rsid w:val="00A775CF"/>
    <w:rsid w:val="00A84C00"/>
    <w:rsid w:val="00AB5572"/>
    <w:rsid w:val="00AD1A9C"/>
    <w:rsid w:val="00AF5DE1"/>
    <w:rsid w:val="00B02AED"/>
    <w:rsid w:val="00B06045"/>
    <w:rsid w:val="00B206DD"/>
    <w:rsid w:val="00B24B9A"/>
    <w:rsid w:val="00B52EF4"/>
    <w:rsid w:val="00B6642D"/>
    <w:rsid w:val="00B777AD"/>
    <w:rsid w:val="00BB4425"/>
    <w:rsid w:val="00C03015"/>
    <w:rsid w:val="00C0358D"/>
    <w:rsid w:val="00C350E9"/>
    <w:rsid w:val="00C35A27"/>
    <w:rsid w:val="00C47B2E"/>
    <w:rsid w:val="00CB0CFD"/>
    <w:rsid w:val="00D63A89"/>
    <w:rsid w:val="00D63CD2"/>
    <w:rsid w:val="00D71E1A"/>
    <w:rsid w:val="00D85308"/>
    <w:rsid w:val="00D87DC2"/>
    <w:rsid w:val="00D93887"/>
    <w:rsid w:val="00D94287"/>
    <w:rsid w:val="00D94B05"/>
    <w:rsid w:val="00DA3DC3"/>
    <w:rsid w:val="00DB293F"/>
    <w:rsid w:val="00DB2B26"/>
    <w:rsid w:val="00DB7160"/>
    <w:rsid w:val="00DC7379"/>
    <w:rsid w:val="00DC7BBC"/>
    <w:rsid w:val="00E02C2B"/>
    <w:rsid w:val="00E21C27"/>
    <w:rsid w:val="00E26BCF"/>
    <w:rsid w:val="00E5203D"/>
    <w:rsid w:val="00E52109"/>
    <w:rsid w:val="00E75317"/>
    <w:rsid w:val="00E94A49"/>
    <w:rsid w:val="00EB231B"/>
    <w:rsid w:val="00EB64CD"/>
    <w:rsid w:val="00EC0CE6"/>
    <w:rsid w:val="00EC4EA5"/>
    <w:rsid w:val="00EC7C1D"/>
    <w:rsid w:val="00ED6C48"/>
    <w:rsid w:val="00EE3045"/>
    <w:rsid w:val="00F22F1F"/>
    <w:rsid w:val="00F26186"/>
    <w:rsid w:val="00F65F5D"/>
    <w:rsid w:val="00F71071"/>
    <w:rsid w:val="00F86A3A"/>
    <w:rsid w:val="00FA24BD"/>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52D4A"/>
  <w15:docId w15:val="{6605216A-99BA-421C-96CB-82E91EF8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next w:val="Normal"/>
    <w:link w:val="BodyTextChar"/>
    <w:semiHidden/>
    <w:rsid w:val="00EB64CD"/>
    <w:pPr>
      <w:suppressAutoHyphens/>
    </w:pPr>
    <w:rPr>
      <w:rFonts w:eastAsia="Times New Roman"/>
      <w:lang w:eastAsia="en-US"/>
    </w:rPr>
  </w:style>
  <w:style w:type="character" w:customStyle="1" w:styleId="BodyTextChar">
    <w:name w:val="Body Text Char"/>
    <w:basedOn w:val="DefaultParagraphFont"/>
    <w:link w:val="BodyText"/>
    <w:semiHidden/>
    <w:rsid w:val="00EB64CD"/>
    <w:rPr>
      <w:rFonts w:eastAsia="Times New Roman"/>
      <w:lang w:eastAsia="en-US"/>
    </w:rPr>
  </w:style>
  <w:style w:type="character" w:customStyle="1" w:styleId="HChGChar">
    <w:name w:val="_ H _Ch_G Char"/>
    <w:link w:val="HChG"/>
    <w:qFormat/>
    <w:rsid w:val="00EB64CD"/>
    <w:rPr>
      <w:b/>
      <w:sz w:val="28"/>
    </w:rPr>
  </w:style>
  <w:style w:type="paragraph" w:styleId="ListParagraph">
    <w:name w:val="List Paragraph"/>
    <w:basedOn w:val="Normal"/>
    <w:uiPriority w:val="34"/>
    <w:qFormat/>
    <w:rsid w:val="00EB64CD"/>
    <w:pPr>
      <w:spacing w:line="240" w:lineRule="auto"/>
      <w:ind w:left="720"/>
      <w:jc w:val="both"/>
    </w:pPr>
    <w:rPr>
      <w:rFonts w:eastAsia="Times New Roman"/>
      <w:sz w:val="24"/>
      <w:szCs w:val="24"/>
      <w:lang w:val="en-US" w:eastAsia="en-US"/>
    </w:rPr>
  </w:style>
  <w:style w:type="character" w:customStyle="1" w:styleId="SingleTxtGChar">
    <w:name w:val="_ Single Txt_G Char"/>
    <w:link w:val="SingleTxtG"/>
    <w:qFormat/>
    <w:locked/>
    <w:rsid w:val="00EB64CD"/>
  </w:style>
  <w:style w:type="character" w:customStyle="1" w:styleId="H1GChar">
    <w:name w:val="_ H_1_G Char"/>
    <w:link w:val="H1G"/>
    <w:qFormat/>
    <w:rsid w:val="00EB64CD"/>
    <w:rPr>
      <w:b/>
      <w:sz w:val="24"/>
    </w:rPr>
  </w:style>
  <w:style w:type="paragraph" w:styleId="Revision">
    <w:name w:val="Revision"/>
    <w:hidden/>
    <w:uiPriority w:val="99"/>
    <w:semiHidden/>
    <w:rsid w:val="005A0E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5188A-7209-43E2-8EF5-CAF16BA3011A}"/>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397</Words>
  <Characters>2169</Characters>
  <Application>Microsoft Office Word</Application>
  <DocSecurity>0</DocSecurity>
  <Lines>53</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ST/SG/AC.10/C.3/2024/60</dc:title>
  <dc:subject>2415057</dc:subject>
  <dc:creator>Alicia DORCA-GARCIA</dc:creator>
  <cp:keywords/>
  <dc:description/>
  <cp:lastModifiedBy>Maria Rosario GATMAYTAN</cp:lastModifiedBy>
  <cp:revision>2</cp:revision>
  <dcterms:created xsi:type="dcterms:W3CDTF">2024-10-02T13:21:00Z</dcterms:created>
  <dcterms:modified xsi:type="dcterms:W3CDTF">2024-10-02T13:21:00Z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