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FF2FEAB" w14:textId="77777777" w:rsidTr="006476E1">
        <w:trPr>
          <w:trHeight w:val="851"/>
        </w:trPr>
        <w:tc>
          <w:tcPr>
            <w:tcW w:w="1259" w:type="dxa"/>
            <w:tcBorders>
              <w:top w:val="nil"/>
              <w:left w:val="nil"/>
              <w:bottom w:val="single" w:sz="4" w:space="0" w:color="auto"/>
              <w:right w:val="nil"/>
            </w:tcBorders>
          </w:tcPr>
          <w:p w14:paraId="2A1B0D4D" w14:textId="77777777" w:rsidR="00E52109" w:rsidRPr="002A32CB" w:rsidRDefault="00E52109" w:rsidP="004858F5"/>
        </w:tc>
        <w:tc>
          <w:tcPr>
            <w:tcW w:w="2236" w:type="dxa"/>
            <w:tcBorders>
              <w:top w:val="nil"/>
              <w:left w:val="nil"/>
              <w:bottom w:val="single" w:sz="4" w:space="0" w:color="auto"/>
              <w:right w:val="nil"/>
            </w:tcBorders>
            <w:vAlign w:val="bottom"/>
          </w:tcPr>
          <w:p w14:paraId="6ADA03DC"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8D2F44D" w14:textId="79B15EFC" w:rsidR="00E52109" w:rsidRDefault="00E75CAC" w:rsidP="00E75CAC">
            <w:pPr>
              <w:jc w:val="right"/>
            </w:pPr>
            <w:r w:rsidRPr="00E75CAC">
              <w:rPr>
                <w:sz w:val="40"/>
              </w:rPr>
              <w:t>ST</w:t>
            </w:r>
            <w:r>
              <w:t>/SG/AC.10/C.3/2024/59</w:t>
            </w:r>
          </w:p>
        </w:tc>
      </w:tr>
      <w:tr w:rsidR="00E52109" w14:paraId="773BBCA4" w14:textId="77777777" w:rsidTr="006476E1">
        <w:trPr>
          <w:trHeight w:val="2835"/>
        </w:trPr>
        <w:tc>
          <w:tcPr>
            <w:tcW w:w="1259" w:type="dxa"/>
            <w:tcBorders>
              <w:top w:val="single" w:sz="4" w:space="0" w:color="auto"/>
              <w:left w:val="nil"/>
              <w:bottom w:val="single" w:sz="12" w:space="0" w:color="auto"/>
              <w:right w:val="nil"/>
            </w:tcBorders>
          </w:tcPr>
          <w:p w14:paraId="0820D804" w14:textId="77777777" w:rsidR="00E52109" w:rsidRDefault="00E52109" w:rsidP="006476E1">
            <w:pPr>
              <w:spacing w:before="120"/>
              <w:jc w:val="center"/>
            </w:pPr>
            <w:r>
              <w:rPr>
                <w:noProof/>
                <w:lang w:val="fr-CH" w:eastAsia="fr-CH"/>
              </w:rPr>
              <w:drawing>
                <wp:inline distT="0" distB="0" distL="0" distR="0" wp14:anchorId="04A10CA6" wp14:editId="316EF8F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F0BC886"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62CEAFCA" w14:textId="77777777" w:rsidR="00D94B05" w:rsidRDefault="00E75CAC" w:rsidP="00E75CAC">
            <w:pPr>
              <w:spacing w:before="240" w:line="240" w:lineRule="exact"/>
            </w:pPr>
            <w:r>
              <w:t>Distr.: General</w:t>
            </w:r>
          </w:p>
          <w:p w14:paraId="59BFB25D" w14:textId="4A293C3E" w:rsidR="00E75CAC" w:rsidRDefault="007B3357" w:rsidP="00E75CAC">
            <w:pPr>
              <w:spacing w:line="240" w:lineRule="exact"/>
            </w:pPr>
            <w:r>
              <w:t>2</w:t>
            </w:r>
            <w:r w:rsidR="0072779D">
              <w:t>2</w:t>
            </w:r>
            <w:r w:rsidR="00E75CAC">
              <w:t xml:space="preserve"> August 2024</w:t>
            </w:r>
          </w:p>
          <w:p w14:paraId="3A158DA0" w14:textId="77777777" w:rsidR="00E75CAC" w:rsidRDefault="00E75CAC" w:rsidP="00E75CAC">
            <w:pPr>
              <w:spacing w:line="240" w:lineRule="exact"/>
            </w:pPr>
          </w:p>
          <w:p w14:paraId="3218A9ED" w14:textId="67E70120" w:rsidR="00E75CAC" w:rsidRDefault="00E75CAC" w:rsidP="00E75CAC">
            <w:pPr>
              <w:spacing w:line="240" w:lineRule="exact"/>
            </w:pPr>
            <w:r>
              <w:t>Original: English</w:t>
            </w:r>
          </w:p>
        </w:tc>
      </w:tr>
    </w:tbl>
    <w:p w14:paraId="11420B9A" w14:textId="77777777" w:rsidR="006B02B5" w:rsidRPr="006500BA" w:rsidRDefault="006B02B5"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2DC3C287" w14:textId="77777777" w:rsidR="006B02B5" w:rsidRPr="006500BA" w:rsidRDefault="006B02B5" w:rsidP="004858F5">
      <w:pPr>
        <w:spacing w:before="120"/>
        <w:rPr>
          <w:rFonts w:ascii="Helv" w:hAnsi="Helv" w:cs="Helv"/>
          <w:b/>
          <w:color w:val="000000"/>
        </w:rPr>
      </w:pPr>
      <w:r w:rsidRPr="006500BA">
        <w:rPr>
          <w:b/>
        </w:rPr>
        <w:t xml:space="preserve">Sub-Committee of Experts on the </w:t>
      </w:r>
      <w:r>
        <w:rPr>
          <w:b/>
        </w:rPr>
        <w:t>Transport of Dangerous Goods</w:t>
      </w:r>
    </w:p>
    <w:p w14:paraId="4A0A8CA2" w14:textId="70281468" w:rsidR="006B02B5" w:rsidRPr="006500BA" w:rsidRDefault="006B02B5" w:rsidP="004858F5">
      <w:pPr>
        <w:spacing w:before="120"/>
        <w:rPr>
          <w:b/>
        </w:rPr>
      </w:pPr>
      <w:r>
        <w:rPr>
          <w:b/>
        </w:rPr>
        <w:t xml:space="preserve">Sixty-fifth </w:t>
      </w:r>
      <w:r w:rsidRPr="006500BA">
        <w:rPr>
          <w:b/>
        </w:rPr>
        <w:t>session</w:t>
      </w:r>
    </w:p>
    <w:p w14:paraId="11C209A8" w14:textId="23B13B49" w:rsidR="006B02B5" w:rsidRPr="006500BA" w:rsidRDefault="006B02B5" w:rsidP="004858F5">
      <w:r w:rsidRPr="006500BA">
        <w:t xml:space="preserve">Geneva, </w:t>
      </w:r>
      <w:r>
        <w:t>25 November-3 December 2024</w:t>
      </w:r>
    </w:p>
    <w:p w14:paraId="5BF92D99" w14:textId="0A2E2D73" w:rsidR="006B02B5" w:rsidRPr="006500BA" w:rsidRDefault="006B02B5" w:rsidP="004858F5">
      <w:r w:rsidRPr="006500BA">
        <w:t xml:space="preserve">Item </w:t>
      </w:r>
      <w:r w:rsidR="00D05F29">
        <w:t>5 (a)</w:t>
      </w:r>
      <w:r w:rsidRPr="006500BA">
        <w:t xml:space="preserve"> of the provisional agenda</w:t>
      </w:r>
    </w:p>
    <w:p w14:paraId="0A2848A4" w14:textId="1D09BD62" w:rsidR="00AF5DE1" w:rsidRDefault="00CB2075" w:rsidP="004858F5">
      <w:pPr>
        <w:rPr>
          <w:b/>
          <w:bCs/>
        </w:rPr>
      </w:pPr>
      <w:r w:rsidRPr="00AA1A3E">
        <w:rPr>
          <w:b/>
          <w:bCs/>
        </w:rPr>
        <w:t>Transport of gases:</w:t>
      </w:r>
      <w:r w:rsidR="00147793" w:rsidRPr="00AA1A3E">
        <w:rPr>
          <w:b/>
          <w:bCs/>
        </w:rPr>
        <w:br/>
      </w:r>
      <w:r w:rsidR="00AA1A3E" w:rsidRPr="00AA1A3E">
        <w:rPr>
          <w:b/>
          <w:bCs/>
        </w:rPr>
        <w:t>Global recognition of UN and non-UN pressure receptacles</w:t>
      </w:r>
    </w:p>
    <w:p w14:paraId="04486516" w14:textId="214289E7" w:rsidR="00C030D9" w:rsidRPr="00731C4C" w:rsidRDefault="00C030D9" w:rsidP="00C030D9">
      <w:pPr>
        <w:pStyle w:val="HChG"/>
      </w:pPr>
      <w:r>
        <w:tab/>
      </w:r>
      <w:r>
        <w:tab/>
        <w:t>A</w:t>
      </w:r>
      <w:r w:rsidRPr="00C5066A">
        <w:t xml:space="preserve">cetylene </w:t>
      </w:r>
      <w:r>
        <w:t>C</w:t>
      </w:r>
      <w:r w:rsidRPr="00C5066A">
        <w:t xml:space="preserve">ylinder </w:t>
      </w:r>
      <w:r>
        <w:t>M</w:t>
      </w:r>
      <w:r w:rsidRPr="00C5066A">
        <w:t>arking</w:t>
      </w:r>
    </w:p>
    <w:p w14:paraId="7479CF1C" w14:textId="5749391C" w:rsidR="00AA1A3E" w:rsidRDefault="00C030D9" w:rsidP="00C030D9">
      <w:pPr>
        <w:pStyle w:val="H1G"/>
      </w:pPr>
      <w:r>
        <w:tab/>
      </w:r>
      <w:r>
        <w:tab/>
        <w:t xml:space="preserve">Transmitted by </w:t>
      </w:r>
      <w:r w:rsidR="002D09F6">
        <w:t>the European Industrial Gases Association (EIGA)</w:t>
      </w:r>
      <w:r w:rsidR="00AC522D" w:rsidRPr="00512CB4">
        <w:rPr>
          <w:rStyle w:val="FootnoteReference"/>
          <w:sz w:val="20"/>
        </w:rPr>
        <w:footnoteReference w:customMarkFollows="1" w:id="2"/>
        <w:t>*</w:t>
      </w:r>
    </w:p>
    <w:p w14:paraId="6934B12A" w14:textId="5C9E96A7" w:rsidR="0091005C" w:rsidRDefault="0091005C" w:rsidP="0091005C">
      <w:pPr>
        <w:pStyle w:val="HChG"/>
      </w:pPr>
      <w:r>
        <w:tab/>
        <w:t>I.</w:t>
      </w:r>
      <w:r>
        <w:tab/>
      </w:r>
      <w:r w:rsidRPr="0040588D">
        <w:t>Introduction</w:t>
      </w:r>
    </w:p>
    <w:p w14:paraId="257D873B" w14:textId="38A83D57" w:rsidR="0091005C" w:rsidRPr="002847BC" w:rsidRDefault="0091005C" w:rsidP="0091005C">
      <w:pPr>
        <w:pStyle w:val="SingleTxtG"/>
      </w:pPr>
      <w:r w:rsidRPr="002847BC">
        <w:t>1.</w:t>
      </w:r>
      <w:r w:rsidRPr="002847BC">
        <w:tab/>
      </w:r>
      <w:r>
        <w:t xml:space="preserve">In the sixty-fourth session of the </w:t>
      </w:r>
      <w:r w:rsidRPr="000F5343">
        <w:t>Sub-Committee of Experts on the Transport of Dangerous Goods</w:t>
      </w:r>
      <w:r>
        <w:t xml:space="preserve">, EIGA presented </w:t>
      </w:r>
      <w:r w:rsidR="00004743">
        <w:t xml:space="preserve">informal document </w:t>
      </w:r>
      <w:r w:rsidRPr="001B1F0E">
        <w:t>INF.13</w:t>
      </w:r>
      <w:r>
        <w:t xml:space="preserve"> on acetylene cylinder marking.</w:t>
      </w:r>
    </w:p>
    <w:p w14:paraId="5BB99648" w14:textId="548DC222" w:rsidR="0091005C" w:rsidRDefault="0091005C" w:rsidP="0091005C">
      <w:pPr>
        <w:pStyle w:val="SingleTxtG"/>
      </w:pPr>
      <w:r>
        <w:t>2.</w:t>
      </w:r>
      <w:r>
        <w:tab/>
        <w:t xml:space="preserve">While there </w:t>
      </w:r>
      <w:r w:rsidRPr="0091005C">
        <w:t>was</w:t>
      </w:r>
      <w:r w:rsidRPr="000E126C">
        <w:t xml:space="preserve"> general support on the proposal</w:t>
      </w:r>
      <w:r>
        <w:t>, s</w:t>
      </w:r>
      <w:r w:rsidRPr="000E126C">
        <w:t xml:space="preserve">ome experts </w:t>
      </w:r>
      <w:r>
        <w:t>stated</w:t>
      </w:r>
      <w:r w:rsidRPr="000E126C">
        <w:t xml:space="preserve"> a preference for a regular text instead of a note</w:t>
      </w:r>
      <w:r>
        <w:t xml:space="preserve"> in case the intent was a </w:t>
      </w:r>
      <w:r w:rsidRPr="000E126C">
        <w:t>permanent solution</w:t>
      </w:r>
      <w:r>
        <w:t xml:space="preserve"> and not a transitional measure</w:t>
      </w:r>
      <w:r w:rsidRPr="000E126C">
        <w:t>.</w:t>
      </w:r>
    </w:p>
    <w:p w14:paraId="79C73CAB" w14:textId="0F31BD3B" w:rsidR="0091005C" w:rsidRDefault="0091005C" w:rsidP="0091005C">
      <w:pPr>
        <w:pStyle w:val="SingleTxtG"/>
      </w:pPr>
      <w:r>
        <w:t>3.</w:t>
      </w:r>
      <w:r>
        <w:tab/>
        <w:t xml:space="preserve">Furthermore, it was stated by some experts that, where possible, the required marking should be </w:t>
      </w:r>
      <w:r w:rsidRPr="0091005C">
        <w:t>applied</w:t>
      </w:r>
      <w:r>
        <w:t xml:space="preserve"> and that only for cylinders where the additional marking cannot be applied, an allowance should be given to not apply the marks.</w:t>
      </w:r>
    </w:p>
    <w:p w14:paraId="6B6F5744" w14:textId="4C19BD0B" w:rsidR="0091005C" w:rsidRDefault="0091005C" w:rsidP="0091005C">
      <w:pPr>
        <w:pStyle w:val="SingleTxtG"/>
      </w:pPr>
      <w:r>
        <w:t>4.</w:t>
      </w:r>
      <w:r>
        <w:tab/>
        <w:t>It was</w:t>
      </w:r>
      <w:r w:rsidRPr="000E126C">
        <w:t xml:space="preserve"> concluded </w:t>
      </w:r>
      <w:r w:rsidRPr="0091005C">
        <w:t>that</w:t>
      </w:r>
      <w:r>
        <w:t xml:space="preserve"> EIGA</w:t>
      </w:r>
      <w:r w:rsidRPr="000E126C">
        <w:t xml:space="preserve"> would prepare </w:t>
      </w:r>
      <w:proofErr w:type="spellStart"/>
      <w:proofErr w:type="gramStart"/>
      <w:r w:rsidRPr="000E126C">
        <w:t>a</w:t>
      </w:r>
      <w:proofErr w:type="spellEnd"/>
      <w:proofErr w:type="gramEnd"/>
      <w:r>
        <w:t xml:space="preserve"> </w:t>
      </w:r>
      <w:r w:rsidR="00B65D67">
        <w:t>official</w:t>
      </w:r>
      <w:r>
        <w:t xml:space="preserve"> document taking into</w:t>
      </w:r>
      <w:r w:rsidRPr="000E126C">
        <w:t xml:space="preserve"> account the</w:t>
      </w:r>
      <w:r>
        <w:t xml:space="preserve"> </w:t>
      </w:r>
      <w:r w:rsidRPr="000E126C">
        <w:t>comments</w:t>
      </w:r>
      <w:r w:rsidR="00A07A3F" w:rsidRPr="00A07A3F">
        <w:t xml:space="preserve"> </w:t>
      </w:r>
      <w:r w:rsidR="00A07A3F">
        <w:t>received</w:t>
      </w:r>
      <w:r w:rsidRPr="000E126C">
        <w:t>.</w:t>
      </w:r>
    </w:p>
    <w:p w14:paraId="2973C251" w14:textId="5C6ACFFF" w:rsidR="0091005C" w:rsidRPr="007B6447" w:rsidRDefault="0091005C" w:rsidP="0091005C">
      <w:pPr>
        <w:pStyle w:val="SingleTxtG"/>
      </w:pPr>
      <w:r w:rsidRPr="007B6447">
        <w:t>5.</w:t>
      </w:r>
      <w:r w:rsidRPr="007B6447">
        <w:tab/>
      </w:r>
      <w:r w:rsidRPr="0091005C">
        <w:t>Considering</w:t>
      </w:r>
      <w:r>
        <w:t xml:space="preserve"> the above, EIGA would like to propose new provisions for the marking of acetylene cylinders.</w:t>
      </w:r>
    </w:p>
    <w:p w14:paraId="58F26595" w14:textId="656490AB" w:rsidR="0091005C" w:rsidRDefault="0091005C" w:rsidP="0091005C">
      <w:pPr>
        <w:pStyle w:val="HChG"/>
      </w:pPr>
      <w:r>
        <w:tab/>
        <w:t>II.</w:t>
      </w:r>
      <w:r>
        <w:tab/>
      </w:r>
      <w:r w:rsidRPr="0091005C">
        <w:t>Proposal</w:t>
      </w:r>
      <w:r w:rsidR="0032038A">
        <w:t>s</w:t>
      </w:r>
    </w:p>
    <w:p w14:paraId="6D70FC4D" w14:textId="2300B533" w:rsidR="0032038A" w:rsidRPr="0032038A" w:rsidRDefault="0032038A" w:rsidP="00286253">
      <w:pPr>
        <w:pStyle w:val="H1G"/>
      </w:pPr>
      <w:r>
        <w:tab/>
      </w:r>
      <w:r w:rsidR="00286253">
        <w:t>A.</w:t>
      </w:r>
      <w:r w:rsidR="00286253">
        <w:tab/>
      </w:r>
      <w:r>
        <w:t>Proposal 1</w:t>
      </w:r>
    </w:p>
    <w:p w14:paraId="662FDBE5" w14:textId="31753622" w:rsidR="0091005C" w:rsidRPr="004B7653" w:rsidRDefault="0091005C" w:rsidP="0091005C">
      <w:pPr>
        <w:pStyle w:val="SingleTxtG"/>
        <w:rPr>
          <w:lang w:val="en-US"/>
        </w:rPr>
      </w:pPr>
      <w:r w:rsidRPr="004B7653">
        <w:rPr>
          <w:lang w:val="en-US"/>
        </w:rPr>
        <w:t>6.</w:t>
      </w:r>
      <w:r w:rsidRPr="004B7653">
        <w:rPr>
          <w:lang w:val="en-US"/>
        </w:rPr>
        <w:tab/>
      </w:r>
      <w:r w:rsidRPr="0091005C">
        <w:t>EIGA</w:t>
      </w:r>
      <w:r w:rsidRPr="004B7653">
        <w:rPr>
          <w:lang w:val="en-US"/>
        </w:rPr>
        <w:t xml:space="preserve"> proposes to add </w:t>
      </w:r>
      <w:r w:rsidR="000F260E">
        <w:rPr>
          <w:lang w:val="en-US"/>
        </w:rPr>
        <w:t xml:space="preserve">the </w:t>
      </w:r>
      <w:r w:rsidRPr="004B7653">
        <w:rPr>
          <w:lang w:val="en-US"/>
        </w:rPr>
        <w:t xml:space="preserve">new text below </w:t>
      </w:r>
      <w:r w:rsidR="002211DF">
        <w:rPr>
          <w:lang w:val="en-US"/>
        </w:rPr>
        <w:t xml:space="preserve">in </w:t>
      </w:r>
      <w:r w:rsidRPr="004B7653">
        <w:rPr>
          <w:lang w:val="en-US"/>
        </w:rPr>
        <w:t xml:space="preserve">6.2.2.7.3 (k)(iii) as follows (new text </w:t>
      </w:r>
      <w:r w:rsidR="00054735">
        <w:rPr>
          <w:lang w:val="en-US"/>
        </w:rPr>
        <w:t xml:space="preserve">is </w:t>
      </w:r>
      <w:r w:rsidRPr="004B7653">
        <w:rPr>
          <w:lang w:val="en-US"/>
        </w:rPr>
        <w:t>underlined):</w:t>
      </w:r>
    </w:p>
    <w:p w14:paraId="5513C711" w14:textId="711EB5B2" w:rsidR="0091005C" w:rsidRPr="00BD2865" w:rsidRDefault="00BD2865" w:rsidP="00BD2865">
      <w:pPr>
        <w:pStyle w:val="SingleTxtG"/>
        <w:rPr>
          <w:i/>
          <w:iCs/>
        </w:rPr>
      </w:pPr>
      <w:r>
        <w:rPr>
          <w:i/>
          <w:iCs/>
        </w:rPr>
        <w:tab/>
      </w:r>
      <w:r w:rsidR="00D95438" w:rsidRPr="00CB1972">
        <w:t>“</w:t>
      </w:r>
      <w:r w:rsidR="0091005C" w:rsidRPr="00BD2865">
        <w:rPr>
          <w:i/>
          <w:iCs/>
        </w:rPr>
        <w:t>(k)</w:t>
      </w:r>
      <w:r w:rsidR="0091005C" w:rsidRPr="00BD2865">
        <w:rPr>
          <w:i/>
          <w:iCs/>
        </w:rPr>
        <w:tab/>
        <w:t>In the case of cylinders for UN</w:t>
      </w:r>
      <w:r w:rsidR="00795B4D">
        <w:rPr>
          <w:i/>
          <w:iCs/>
        </w:rPr>
        <w:t> </w:t>
      </w:r>
      <w:r w:rsidR="0091005C" w:rsidRPr="00BD2865">
        <w:rPr>
          <w:i/>
          <w:iCs/>
        </w:rPr>
        <w:t>1001 acetylene, dissolved:</w:t>
      </w:r>
    </w:p>
    <w:p w14:paraId="72C8C013" w14:textId="24C97D04" w:rsidR="0091005C" w:rsidRPr="00BD2865" w:rsidRDefault="00BD2865" w:rsidP="00BD2865">
      <w:pPr>
        <w:pStyle w:val="SingleTxtG"/>
        <w:ind w:left="1701"/>
        <w:rPr>
          <w:i/>
          <w:iCs/>
        </w:rPr>
      </w:pPr>
      <w:r>
        <w:rPr>
          <w:i/>
          <w:iCs/>
        </w:rPr>
        <w:lastRenderedPageBreak/>
        <w:tab/>
      </w:r>
      <w:r w:rsidR="0091005C" w:rsidRPr="00BD2865">
        <w:rPr>
          <w:i/>
          <w:iCs/>
        </w:rPr>
        <w:t>(</w:t>
      </w:r>
      <w:proofErr w:type="spellStart"/>
      <w:r w:rsidR="0091005C" w:rsidRPr="00BD2865">
        <w:rPr>
          <w:i/>
          <w:iCs/>
        </w:rPr>
        <w:t>i</w:t>
      </w:r>
      <w:proofErr w:type="spellEnd"/>
      <w:r w:rsidR="0091005C" w:rsidRPr="00BD2865">
        <w:rPr>
          <w:i/>
          <w:iCs/>
        </w:rPr>
        <w:t>)</w:t>
      </w:r>
      <w:r w:rsidR="0091005C" w:rsidRPr="00BD2865">
        <w:rPr>
          <w:i/>
          <w:iCs/>
        </w:rPr>
        <w:tab/>
      </w:r>
      <w:r w:rsidR="0091005C" w:rsidRPr="00BD2865">
        <w:rPr>
          <w:i/>
          <w:iCs/>
        </w:rPr>
        <w:tab/>
        <w:t xml:space="preserve">the tare in kilograms consisting of the total of the mass of the empty cylinder shell, the service equipment (including porous material) not removed during filling, any coating, the </w:t>
      </w:r>
      <w:proofErr w:type="gramStart"/>
      <w:r w:rsidR="0091005C" w:rsidRPr="00BD2865">
        <w:rPr>
          <w:i/>
          <w:iCs/>
        </w:rPr>
        <w:t>solvent</w:t>
      </w:r>
      <w:proofErr w:type="gramEnd"/>
      <w:r w:rsidR="0091005C" w:rsidRPr="00BD2865">
        <w:rPr>
          <w:i/>
          <w:iCs/>
        </w:rPr>
        <w:t xml:space="preserve"> and the saturation gas expressed to three significant figures rounded down to the last digit followed by the letters "KG". At least one decimal shall be shown after the decimal point. For pressure receptacles of less than 1 kg, the mass shall be expressed to two significant figures rounded down to the last </w:t>
      </w:r>
      <w:proofErr w:type="gramStart"/>
      <w:r w:rsidR="0091005C" w:rsidRPr="00BD2865">
        <w:rPr>
          <w:i/>
          <w:iCs/>
        </w:rPr>
        <w:t>digit;</w:t>
      </w:r>
      <w:proofErr w:type="gramEnd"/>
    </w:p>
    <w:p w14:paraId="1A7D7E22" w14:textId="430B7B0C" w:rsidR="0091005C" w:rsidRPr="00BD2865" w:rsidRDefault="003439D3" w:rsidP="00BD2865">
      <w:pPr>
        <w:pStyle w:val="SingleTxtG"/>
        <w:ind w:left="1701"/>
        <w:rPr>
          <w:i/>
          <w:iCs/>
        </w:rPr>
      </w:pPr>
      <w:r>
        <w:rPr>
          <w:i/>
          <w:iCs/>
        </w:rPr>
        <w:tab/>
      </w:r>
      <w:r w:rsidR="0091005C" w:rsidRPr="00BD2865">
        <w:rPr>
          <w:i/>
          <w:iCs/>
        </w:rPr>
        <w:t>(ii)</w:t>
      </w:r>
      <w:r w:rsidR="0091005C" w:rsidRPr="00BD2865">
        <w:rPr>
          <w:i/>
          <w:iCs/>
        </w:rPr>
        <w:tab/>
        <w:t xml:space="preserve">the identity of the porous material (e.g.: name or trademark); and </w:t>
      </w:r>
    </w:p>
    <w:p w14:paraId="5B5CA11D" w14:textId="2A7C4EC2" w:rsidR="0091005C" w:rsidRPr="00BD2865" w:rsidRDefault="003439D3" w:rsidP="00BD2865">
      <w:pPr>
        <w:pStyle w:val="SingleTxtG"/>
        <w:ind w:left="1701"/>
        <w:rPr>
          <w:i/>
          <w:iCs/>
          <w:lang w:val="en-US"/>
        </w:rPr>
      </w:pPr>
      <w:r>
        <w:rPr>
          <w:i/>
          <w:iCs/>
        </w:rPr>
        <w:tab/>
      </w:r>
      <w:r w:rsidR="0091005C" w:rsidRPr="00BD2865">
        <w:rPr>
          <w:i/>
          <w:iCs/>
        </w:rPr>
        <w:t>(iii)</w:t>
      </w:r>
      <w:r w:rsidR="0091005C" w:rsidRPr="00BD2865">
        <w:rPr>
          <w:i/>
          <w:iCs/>
        </w:rPr>
        <w:tab/>
        <w:t>the total mass of the filled acetylene cylinder in kilograms followed by the letters "KG</w:t>
      </w:r>
      <w:proofErr w:type="gramStart"/>
      <w:r w:rsidR="0091005C" w:rsidRPr="00BD2865">
        <w:rPr>
          <w:i/>
          <w:iCs/>
        </w:rPr>
        <w:t>";</w:t>
      </w:r>
      <w:proofErr w:type="gramEnd"/>
    </w:p>
    <w:p w14:paraId="0B9DA94F" w14:textId="0CF270DC" w:rsidR="0091005C" w:rsidRPr="00BD2865" w:rsidRDefault="0091005C" w:rsidP="00BD2865">
      <w:pPr>
        <w:pStyle w:val="SingleTxtG"/>
        <w:ind w:left="1701"/>
        <w:rPr>
          <w:i/>
          <w:iCs/>
          <w:u w:val="single"/>
          <w:lang w:val="en-US"/>
        </w:rPr>
      </w:pPr>
      <w:r w:rsidRPr="00BD2865">
        <w:rPr>
          <w:i/>
          <w:iCs/>
          <w:u w:val="single"/>
          <w:lang w:val="en-US"/>
        </w:rPr>
        <w:t>Acetylene cylinders constructed in accordance with the twenty-first revised edition of the Model Regulations may continue to be used without the application of the marks detailed in (ii) and (iii) when the marking can neither be applied on the cylinder shoulder nor applied on any neck ring</w:t>
      </w:r>
      <w:r w:rsidRPr="00D95438">
        <w:rPr>
          <w:i/>
          <w:iCs/>
          <w:lang w:val="en-US"/>
        </w:rPr>
        <w:t>.</w:t>
      </w:r>
      <w:r w:rsidR="00D95438" w:rsidRPr="00C825AA">
        <w:rPr>
          <w:lang w:val="en-US"/>
        </w:rPr>
        <w:t>”</w:t>
      </w:r>
    </w:p>
    <w:p w14:paraId="3A74F206" w14:textId="3D54D09B" w:rsidR="0091005C" w:rsidRPr="00BD2865" w:rsidRDefault="0091005C" w:rsidP="00651FFD">
      <w:pPr>
        <w:pStyle w:val="SingleTxtG"/>
        <w:rPr>
          <w:lang w:val="en-US"/>
        </w:rPr>
      </w:pPr>
      <w:r w:rsidRPr="00BD2865">
        <w:rPr>
          <w:lang w:val="en-US"/>
        </w:rPr>
        <w:t>7.</w:t>
      </w:r>
      <w:r w:rsidRPr="00BD2865">
        <w:rPr>
          <w:lang w:val="en-US"/>
        </w:rPr>
        <w:tab/>
        <w:t xml:space="preserve">EIGA proposes to add </w:t>
      </w:r>
      <w:r w:rsidR="000114D6">
        <w:rPr>
          <w:lang w:val="en-US"/>
        </w:rPr>
        <w:t xml:space="preserve">the </w:t>
      </w:r>
      <w:r w:rsidRPr="00651FFD">
        <w:t>new</w:t>
      </w:r>
      <w:r w:rsidRPr="00BD2865">
        <w:rPr>
          <w:lang w:val="en-US"/>
        </w:rPr>
        <w:t xml:space="preserve"> text below </w:t>
      </w:r>
      <w:r w:rsidR="000114D6">
        <w:rPr>
          <w:lang w:val="en-US"/>
        </w:rPr>
        <w:t xml:space="preserve">in </w:t>
      </w:r>
      <w:r w:rsidRPr="00BD2865">
        <w:rPr>
          <w:lang w:val="en-US"/>
        </w:rPr>
        <w:t xml:space="preserve">6.2.2.7.3 (l)(iii) as follows (new text </w:t>
      </w:r>
      <w:r w:rsidR="00054735">
        <w:rPr>
          <w:lang w:val="en-US"/>
        </w:rPr>
        <w:t xml:space="preserve">is </w:t>
      </w:r>
      <w:r w:rsidRPr="00BD2865">
        <w:rPr>
          <w:lang w:val="en-US"/>
        </w:rPr>
        <w:t>underlined):</w:t>
      </w:r>
    </w:p>
    <w:p w14:paraId="33759E1B" w14:textId="7BF147FB" w:rsidR="0091005C" w:rsidRPr="00281755" w:rsidRDefault="00281755" w:rsidP="00281755">
      <w:pPr>
        <w:pStyle w:val="SingleTxtG"/>
        <w:rPr>
          <w:i/>
          <w:iCs/>
        </w:rPr>
      </w:pPr>
      <w:r w:rsidRPr="00281755">
        <w:rPr>
          <w:i/>
          <w:iCs/>
        </w:rPr>
        <w:tab/>
      </w:r>
      <w:r w:rsidR="00CB1972" w:rsidRPr="00CB1972">
        <w:t>“</w:t>
      </w:r>
      <w:r w:rsidR="0091005C" w:rsidRPr="00281755">
        <w:rPr>
          <w:i/>
          <w:iCs/>
        </w:rPr>
        <w:t>(l)</w:t>
      </w:r>
      <w:r w:rsidR="0091005C" w:rsidRPr="00281755">
        <w:rPr>
          <w:i/>
          <w:iCs/>
        </w:rPr>
        <w:tab/>
        <w:t>In the case of cylinders for UN</w:t>
      </w:r>
      <w:r w:rsidR="00795B4D" w:rsidRPr="00281755">
        <w:rPr>
          <w:i/>
          <w:iCs/>
        </w:rPr>
        <w:t> </w:t>
      </w:r>
      <w:r w:rsidR="0091005C" w:rsidRPr="00281755">
        <w:rPr>
          <w:i/>
          <w:iCs/>
        </w:rPr>
        <w:t>3374 acetylene, solvent free:</w:t>
      </w:r>
    </w:p>
    <w:p w14:paraId="423F480D" w14:textId="1232E686" w:rsidR="0091005C" w:rsidRPr="00BD2865" w:rsidRDefault="00C6538E" w:rsidP="00281755">
      <w:pPr>
        <w:pStyle w:val="SingleTxtG"/>
        <w:ind w:left="1701"/>
        <w:rPr>
          <w:i/>
          <w:iCs/>
          <w:lang w:val="en-US"/>
        </w:rPr>
      </w:pPr>
      <w:r>
        <w:rPr>
          <w:i/>
          <w:iCs/>
        </w:rPr>
        <w:tab/>
      </w:r>
      <w:r w:rsidR="0091005C" w:rsidRPr="00BD2865">
        <w:rPr>
          <w:i/>
          <w:iCs/>
        </w:rPr>
        <w:t>(</w:t>
      </w:r>
      <w:proofErr w:type="spellStart"/>
      <w:r w:rsidR="0091005C" w:rsidRPr="00BD2865">
        <w:rPr>
          <w:i/>
          <w:iCs/>
        </w:rPr>
        <w:t>i</w:t>
      </w:r>
      <w:proofErr w:type="spellEnd"/>
      <w:r w:rsidR="0091005C" w:rsidRPr="00BD2865">
        <w:rPr>
          <w:i/>
          <w:iCs/>
        </w:rPr>
        <w:t>)</w:t>
      </w:r>
      <w:r w:rsidR="0091005C" w:rsidRPr="00BD2865">
        <w:rPr>
          <w:i/>
          <w:iCs/>
        </w:rPr>
        <w:tab/>
        <w:t xml:space="preserve">the tare in kilograms consisting of the total of the mass of the empty cylinder shell, the service equipment (including porous material) not removed during filling and any coating expressed to three significant figures rounded down to the last digit followed by the letters "KG". At least one decimal shall be shown after the decimal point. For pressure receptacles of less than 1 kg, the mass shall be expressed to two significant figures rounded down to the last </w:t>
      </w:r>
      <w:proofErr w:type="gramStart"/>
      <w:r w:rsidR="0091005C" w:rsidRPr="00BD2865">
        <w:rPr>
          <w:i/>
          <w:iCs/>
        </w:rPr>
        <w:t>digit</w:t>
      </w:r>
      <w:r w:rsidR="0091005C" w:rsidRPr="00BD2865">
        <w:rPr>
          <w:i/>
          <w:iCs/>
          <w:lang w:val="en-US"/>
        </w:rPr>
        <w:t>;</w:t>
      </w:r>
      <w:proofErr w:type="gramEnd"/>
    </w:p>
    <w:p w14:paraId="10BBF730" w14:textId="5C1F7925" w:rsidR="0091005C" w:rsidRPr="00BD2865" w:rsidRDefault="00C6538E" w:rsidP="00281755">
      <w:pPr>
        <w:pStyle w:val="SingleTxtG"/>
        <w:ind w:left="1701"/>
        <w:rPr>
          <w:i/>
          <w:iCs/>
          <w:lang w:val="en-US"/>
        </w:rPr>
      </w:pPr>
      <w:r>
        <w:rPr>
          <w:i/>
          <w:iCs/>
        </w:rPr>
        <w:tab/>
      </w:r>
      <w:r w:rsidR="0091005C" w:rsidRPr="00BD2865">
        <w:rPr>
          <w:i/>
          <w:iCs/>
        </w:rPr>
        <w:t>(ii)</w:t>
      </w:r>
      <w:r w:rsidR="0091005C" w:rsidRPr="00BD2865">
        <w:rPr>
          <w:i/>
          <w:iCs/>
          <w:lang w:val="en-US"/>
        </w:rPr>
        <w:tab/>
      </w:r>
      <w:r w:rsidR="0091005C" w:rsidRPr="00BD2865">
        <w:rPr>
          <w:i/>
          <w:iCs/>
        </w:rPr>
        <w:t>the identity of the porous material (e.g.: name or trademark); and</w:t>
      </w:r>
    </w:p>
    <w:p w14:paraId="1606A576" w14:textId="08195C6E" w:rsidR="0091005C" w:rsidRPr="00BD2865" w:rsidRDefault="00C6538E" w:rsidP="00281755">
      <w:pPr>
        <w:pStyle w:val="SingleTxtG"/>
        <w:ind w:left="1701"/>
        <w:rPr>
          <w:i/>
          <w:iCs/>
          <w:lang w:val="en-US"/>
        </w:rPr>
      </w:pPr>
      <w:r>
        <w:rPr>
          <w:i/>
          <w:iCs/>
          <w:lang w:val="en-US"/>
        </w:rPr>
        <w:tab/>
      </w:r>
      <w:r w:rsidR="0091005C" w:rsidRPr="00BD2865">
        <w:rPr>
          <w:i/>
          <w:iCs/>
          <w:lang w:val="en-US"/>
        </w:rPr>
        <w:t>(iii)</w:t>
      </w:r>
      <w:r w:rsidR="0091005C" w:rsidRPr="00BD2865">
        <w:rPr>
          <w:i/>
          <w:iCs/>
          <w:lang w:val="en-US"/>
        </w:rPr>
        <w:tab/>
      </w:r>
      <w:r w:rsidR="0091005C" w:rsidRPr="00BD2865">
        <w:rPr>
          <w:i/>
          <w:iCs/>
        </w:rPr>
        <w:t>the total mass of the filled acetylene cylinder in kilograms followed by the letters "KG</w:t>
      </w:r>
      <w:proofErr w:type="gramStart"/>
      <w:r w:rsidR="0091005C" w:rsidRPr="00BD2865">
        <w:rPr>
          <w:i/>
          <w:iCs/>
        </w:rPr>
        <w:t>";</w:t>
      </w:r>
      <w:proofErr w:type="gramEnd"/>
    </w:p>
    <w:p w14:paraId="18065C1D" w14:textId="097A4B4E" w:rsidR="0091005C" w:rsidRPr="004B7653" w:rsidRDefault="0091005C" w:rsidP="005A7891">
      <w:pPr>
        <w:pStyle w:val="SingleTxtG"/>
        <w:tabs>
          <w:tab w:val="clear" w:pos="1701"/>
        </w:tabs>
        <w:ind w:left="1701"/>
        <w:rPr>
          <w:i/>
          <w:iCs/>
          <w:u w:val="single"/>
          <w:lang w:val="en-US"/>
        </w:rPr>
      </w:pPr>
      <w:r w:rsidRPr="00BD2865">
        <w:rPr>
          <w:i/>
          <w:iCs/>
          <w:u w:val="single"/>
          <w:lang w:val="en-US"/>
        </w:rPr>
        <w:t>Acetylene cylinders constructed in accordance with the twenty-first revised edition of the Model Regulations may continue to be used without the application of the marks detailed in (ii) and (iii) when the marking can neither be applied on the cylinder shoulder nor applied on any neck ring</w:t>
      </w:r>
      <w:r w:rsidRPr="00CB1972">
        <w:rPr>
          <w:lang w:val="en-US"/>
        </w:rPr>
        <w:t>.</w:t>
      </w:r>
      <w:r w:rsidR="00CB1972" w:rsidRPr="00CB1972">
        <w:rPr>
          <w:lang w:val="en-US"/>
        </w:rPr>
        <w:t>”</w:t>
      </w:r>
    </w:p>
    <w:p w14:paraId="2B2A5A2D" w14:textId="3BB19E5F" w:rsidR="0091005C" w:rsidRDefault="0032038A" w:rsidP="00286253">
      <w:pPr>
        <w:pStyle w:val="H1G"/>
      </w:pPr>
      <w:r>
        <w:tab/>
      </w:r>
      <w:r w:rsidR="00286253">
        <w:t>B.</w:t>
      </w:r>
      <w:r w:rsidR="00286253">
        <w:tab/>
      </w:r>
      <w:r>
        <w:t>Proposal 2</w:t>
      </w:r>
    </w:p>
    <w:p w14:paraId="12D2440C" w14:textId="7C8C8687" w:rsidR="0091005C" w:rsidRDefault="0091005C" w:rsidP="00BD2865">
      <w:pPr>
        <w:pStyle w:val="SingleTxtG"/>
        <w:rPr>
          <w:lang w:val="en-US"/>
        </w:rPr>
      </w:pPr>
      <w:r>
        <w:rPr>
          <w:lang w:val="en-US"/>
        </w:rPr>
        <w:t>8.</w:t>
      </w:r>
      <w:r>
        <w:rPr>
          <w:lang w:val="en-US"/>
        </w:rPr>
        <w:tab/>
        <w:t xml:space="preserve">As a </w:t>
      </w:r>
      <w:r w:rsidRPr="00BD2865">
        <w:t>consequential</w:t>
      </w:r>
      <w:r>
        <w:rPr>
          <w:lang w:val="en-US"/>
        </w:rPr>
        <w:t xml:space="preserve"> amendment to Proposal 1, EIGA proposes to modify the note </w:t>
      </w:r>
      <w:r w:rsidRPr="002A16D9">
        <w:rPr>
          <w:lang w:val="en-US"/>
        </w:rPr>
        <w:t>under 6.2.2.7.3</w:t>
      </w:r>
      <w:r>
        <w:rPr>
          <w:lang w:val="en-US"/>
        </w:rPr>
        <w:t xml:space="preserve"> as follows to reflect the text proposed above </w:t>
      </w:r>
      <w:r w:rsidRPr="009B102E">
        <w:rPr>
          <w:lang w:val="en-US"/>
        </w:rPr>
        <w:t xml:space="preserve">(new text </w:t>
      </w:r>
      <w:r w:rsidR="00B63791">
        <w:rPr>
          <w:lang w:val="en-US"/>
        </w:rPr>
        <w:t xml:space="preserve">is </w:t>
      </w:r>
      <w:r w:rsidRPr="009B102E">
        <w:rPr>
          <w:lang w:val="en-US"/>
        </w:rPr>
        <w:t>underlined, deleted text stricken through):</w:t>
      </w:r>
    </w:p>
    <w:p w14:paraId="27892FB7" w14:textId="51036208" w:rsidR="0091005C" w:rsidRPr="00BD2865" w:rsidRDefault="00584B89" w:rsidP="00BD2865">
      <w:pPr>
        <w:pStyle w:val="SingleTxtG"/>
        <w:rPr>
          <w:i/>
          <w:iCs/>
        </w:rPr>
      </w:pPr>
      <w:r w:rsidRPr="00584B89">
        <w:t>“</w:t>
      </w:r>
      <w:r w:rsidR="0091005C" w:rsidRPr="00BD2865">
        <w:rPr>
          <w:b/>
          <w:bCs/>
          <w:i/>
          <w:iCs/>
        </w:rPr>
        <w:t xml:space="preserve">NOTE: </w:t>
      </w:r>
      <w:r w:rsidR="0091005C" w:rsidRPr="00BD2865">
        <w:rPr>
          <w:i/>
          <w:iCs/>
        </w:rPr>
        <w:t>Acetylene cylinders constructed in accordance with the twenty-first revised edition of the Model Regulations which are not marked in accordance with 6.2.2.7.3 (k) or (l) applicable in the twenty-second revised edition of the Model Regulations, may continue to be used until the next periodic inspection and test two years after the coming into force of the twenty-</w:t>
      </w:r>
      <w:proofErr w:type="spellStart"/>
      <w:r w:rsidR="0091005C" w:rsidRPr="00BD2865">
        <w:rPr>
          <w:i/>
          <w:iCs/>
          <w:strike/>
        </w:rPr>
        <w:t>third</w:t>
      </w:r>
      <w:r w:rsidR="0091005C" w:rsidRPr="00BD2865">
        <w:rPr>
          <w:i/>
          <w:iCs/>
          <w:u w:val="single"/>
        </w:rPr>
        <w:t>fo</w:t>
      </w:r>
      <w:r w:rsidR="00163CF2">
        <w:rPr>
          <w:i/>
          <w:iCs/>
          <w:u w:val="single"/>
        </w:rPr>
        <w:t>u</w:t>
      </w:r>
      <w:r w:rsidR="0091005C" w:rsidRPr="00BD2865">
        <w:rPr>
          <w:i/>
          <w:iCs/>
          <w:u w:val="single"/>
        </w:rPr>
        <w:t>rth</w:t>
      </w:r>
      <w:proofErr w:type="spellEnd"/>
      <w:r w:rsidR="0091005C" w:rsidRPr="00BD2865">
        <w:rPr>
          <w:i/>
          <w:iCs/>
        </w:rPr>
        <w:t xml:space="preserve"> revised edition of the Model Regulation where they have to be marked according to the twenty-</w:t>
      </w:r>
      <w:proofErr w:type="spellStart"/>
      <w:r w:rsidR="0091005C" w:rsidRPr="00BD2865">
        <w:rPr>
          <w:i/>
          <w:iCs/>
          <w:strike/>
        </w:rPr>
        <w:t>third</w:t>
      </w:r>
      <w:r w:rsidR="0091005C" w:rsidRPr="00BD2865">
        <w:rPr>
          <w:i/>
          <w:iCs/>
          <w:u w:val="single"/>
        </w:rPr>
        <w:t>fourth</w:t>
      </w:r>
      <w:proofErr w:type="spellEnd"/>
      <w:r w:rsidR="0091005C" w:rsidRPr="00BD2865">
        <w:rPr>
          <w:i/>
          <w:iCs/>
        </w:rPr>
        <w:t xml:space="preserve"> revised edition of the Model Regulations or be taken out of operation.</w:t>
      </w:r>
      <w:r w:rsidRPr="00584B89">
        <w:t>”</w:t>
      </w:r>
    </w:p>
    <w:p w14:paraId="54F85187" w14:textId="4628228C" w:rsidR="0091005C" w:rsidRPr="001F3E26" w:rsidRDefault="00BD2865" w:rsidP="00BD2865">
      <w:pPr>
        <w:pStyle w:val="HChG"/>
      </w:pPr>
      <w:r>
        <w:tab/>
        <w:t>I</w:t>
      </w:r>
      <w:r w:rsidR="0032038A">
        <w:t>II</w:t>
      </w:r>
      <w:r>
        <w:t>.</w:t>
      </w:r>
      <w:r>
        <w:tab/>
      </w:r>
      <w:r w:rsidR="0091005C" w:rsidRPr="001F3E26">
        <w:t>Justification</w:t>
      </w:r>
    </w:p>
    <w:p w14:paraId="555C7DE9" w14:textId="24056367" w:rsidR="0091005C" w:rsidRPr="001F3E26" w:rsidRDefault="0091005C" w:rsidP="00BD2865">
      <w:pPr>
        <w:pStyle w:val="SingleTxtG"/>
      </w:pPr>
      <w:r w:rsidRPr="001F3E26">
        <w:t>9.</w:t>
      </w:r>
      <w:r w:rsidRPr="001F3E26">
        <w:tab/>
        <w:t>The change</w:t>
      </w:r>
      <w:r>
        <w:t>s</w:t>
      </w:r>
      <w:r w:rsidRPr="001F3E26">
        <w:t xml:space="preserve"> proposed </w:t>
      </w:r>
      <w:r>
        <w:t>have</w:t>
      </w:r>
      <w:r w:rsidRPr="001F3E26">
        <w:t xml:space="preserve"> no safety </w:t>
      </w:r>
      <w:r w:rsidRPr="00BD2865">
        <w:t>implications</w:t>
      </w:r>
      <w:r w:rsidRPr="001F3E26">
        <w:t>.</w:t>
      </w:r>
    </w:p>
    <w:p w14:paraId="6E920080" w14:textId="297E4020" w:rsidR="002D09F6" w:rsidRDefault="00FB6E60" w:rsidP="00BD2865">
      <w:pPr>
        <w:pStyle w:val="SingleTxtG"/>
      </w:pPr>
      <w:r>
        <w:t>10.</w:t>
      </w:r>
      <w:r>
        <w:tab/>
      </w:r>
      <w:r w:rsidR="0091005C" w:rsidRPr="001F3E26">
        <w:t>Safety risks due to improper marking on the shells of acetylene cylinders would be avoided.</w:t>
      </w:r>
    </w:p>
    <w:p w14:paraId="1853AE49" w14:textId="5D51DCB1" w:rsidR="0091005C" w:rsidRPr="0091005C" w:rsidRDefault="0091005C" w:rsidP="0091005C">
      <w:pPr>
        <w:spacing w:before="240"/>
        <w:jc w:val="center"/>
        <w:rPr>
          <w:u w:val="single"/>
        </w:rPr>
      </w:pPr>
      <w:r>
        <w:rPr>
          <w:u w:val="single"/>
        </w:rPr>
        <w:tab/>
      </w:r>
      <w:r>
        <w:rPr>
          <w:u w:val="single"/>
        </w:rPr>
        <w:tab/>
      </w:r>
      <w:r>
        <w:rPr>
          <w:u w:val="single"/>
        </w:rPr>
        <w:tab/>
      </w:r>
    </w:p>
    <w:sectPr w:rsidR="0091005C" w:rsidRPr="0091005C" w:rsidSect="00E75CAC">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7094" w14:textId="77777777" w:rsidR="001C659D" w:rsidRPr="00C47B2E" w:rsidRDefault="001C659D" w:rsidP="00C47B2E">
      <w:pPr>
        <w:pStyle w:val="Footer"/>
      </w:pPr>
    </w:p>
  </w:endnote>
  <w:endnote w:type="continuationSeparator" w:id="0">
    <w:p w14:paraId="2AC1CD64" w14:textId="77777777" w:rsidR="001C659D" w:rsidRPr="00C47B2E" w:rsidRDefault="001C659D" w:rsidP="00C47B2E">
      <w:pPr>
        <w:pStyle w:val="Footer"/>
      </w:pPr>
    </w:p>
  </w:endnote>
  <w:endnote w:type="continuationNotice" w:id="1">
    <w:p w14:paraId="2EDBBD47" w14:textId="77777777" w:rsidR="001C659D" w:rsidRPr="00C47B2E" w:rsidRDefault="001C659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80C" w14:textId="6DEBE13D" w:rsidR="00D94B05" w:rsidRPr="00E75CAC" w:rsidRDefault="00E75CAC" w:rsidP="00D85308">
    <w:pPr>
      <w:pStyle w:val="Footer"/>
      <w:tabs>
        <w:tab w:val="right" w:pos="9639"/>
      </w:tabs>
      <w:rPr>
        <w:sz w:val="18"/>
      </w:rPr>
    </w:pPr>
    <w:r w:rsidRPr="00E75CAC">
      <w:rPr>
        <w:b/>
        <w:sz w:val="18"/>
      </w:rPr>
      <w:fldChar w:fldCharType="begin"/>
    </w:r>
    <w:r w:rsidRPr="00E75CAC">
      <w:rPr>
        <w:b/>
        <w:sz w:val="18"/>
      </w:rPr>
      <w:instrText xml:space="preserve"> PAGE  \* MERGEFORMAT </w:instrText>
    </w:r>
    <w:r w:rsidRPr="00E75CAC">
      <w:rPr>
        <w:b/>
        <w:sz w:val="18"/>
      </w:rPr>
      <w:fldChar w:fldCharType="separate"/>
    </w:r>
    <w:r w:rsidRPr="00E75CAC">
      <w:rPr>
        <w:b/>
        <w:noProof/>
        <w:sz w:val="18"/>
      </w:rPr>
      <w:t>2</w:t>
    </w:r>
    <w:r w:rsidRPr="00E75CA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20A7" w14:textId="097BDE51" w:rsidR="00D94B05" w:rsidRPr="00E75CAC" w:rsidRDefault="00E75CAC" w:rsidP="00D85308">
    <w:pPr>
      <w:pStyle w:val="Footer"/>
      <w:tabs>
        <w:tab w:val="right" w:pos="9639"/>
      </w:tabs>
      <w:rPr>
        <w:b/>
        <w:bCs/>
        <w:sz w:val="18"/>
      </w:rPr>
    </w:pPr>
    <w:r>
      <w:rPr>
        <w:bCs/>
        <w:sz w:val="18"/>
      </w:rPr>
      <w:tab/>
    </w:r>
    <w:r w:rsidRPr="00E75CAC">
      <w:rPr>
        <w:b/>
        <w:bCs/>
        <w:sz w:val="18"/>
      </w:rPr>
      <w:fldChar w:fldCharType="begin"/>
    </w:r>
    <w:r w:rsidRPr="00E75CAC">
      <w:rPr>
        <w:b/>
        <w:bCs/>
        <w:sz w:val="18"/>
      </w:rPr>
      <w:instrText xml:space="preserve"> PAGE  \* MERGEFORMAT </w:instrText>
    </w:r>
    <w:r w:rsidRPr="00E75CAC">
      <w:rPr>
        <w:b/>
        <w:bCs/>
        <w:sz w:val="18"/>
      </w:rPr>
      <w:fldChar w:fldCharType="separate"/>
    </w:r>
    <w:r w:rsidRPr="00E75CAC">
      <w:rPr>
        <w:b/>
        <w:bCs/>
        <w:noProof/>
        <w:sz w:val="18"/>
      </w:rPr>
      <w:t>3</w:t>
    </w:r>
    <w:r w:rsidRPr="00E75CA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6404" w14:textId="206C45C8" w:rsidR="002C1FD9" w:rsidRDefault="002C1FD9" w:rsidP="002C1FD9">
    <w:pPr>
      <w:pStyle w:val="Footer"/>
    </w:pPr>
    <w:r w:rsidRPr="0027112F">
      <w:rPr>
        <w:noProof/>
        <w:lang w:val="en-US"/>
      </w:rPr>
      <w:drawing>
        <wp:anchor distT="0" distB="0" distL="114300" distR="114300" simplePos="0" relativeHeight="251659264" behindDoc="0" locked="1" layoutInCell="1" allowOverlap="1" wp14:anchorId="74BDC6B8" wp14:editId="2F7D827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AD856F5" w14:textId="54B87A2F" w:rsidR="002C1FD9" w:rsidRPr="002C1FD9" w:rsidRDefault="002C1FD9" w:rsidP="002C1FD9">
    <w:pPr>
      <w:pStyle w:val="Footer"/>
      <w:ind w:right="1134"/>
      <w:rPr>
        <w:sz w:val="20"/>
      </w:rPr>
    </w:pPr>
    <w:r>
      <w:rPr>
        <w:sz w:val="20"/>
      </w:rPr>
      <w:t>GE.24-</w:t>
    </w:r>
    <w:proofErr w:type="gramStart"/>
    <w:r>
      <w:rPr>
        <w:sz w:val="20"/>
      </w:rPr>
      <w:t>15052  (</w:t>
    </w:r>
    <w:proofErr w:type="gramEnd"/>
    <w:r>
      <w:rPr>
        <w:sz w:val="20"/>
      </w:rPr>
      <w:t>E)</w:t>
    </w:r>
    <w:r>
      <w:rPr>
        <w:noProof/>
        <w:sz w:val="20"/>
      </w:rPr>
      <w:drawing>
        <wp:anchor distT="0" distB="0" distL="114300" distR="114300" simplePos="0" relativeHeight="251660288" behindDoc="0" locked="0" layoutInCell="1" allowOverlap="1" wp14:anchorId="7E78D228" wp14:editId="0D24AB30">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CFC0" w14:textId="77777777" w:rsidR="001C659D" w:rsidRPr="00C47B2E" w:rsidRDefault="001C659D" w:rsidP="00C47B2E">
      <w:pPr>
        <w:tabs>
          <w:tab w:val="right" w:pos="2155"/>
        </w:tabs>
        <w:spacing w:after="80" w:line="240" w:lineRule="auto"/>
        <w:ind w:left="680"/>
      </w:pPr>
      <w:r>
        <w:rPr>
          <w:u w:val="single"/>
        </w:rPr>
        <w:tab/>
      </w:r>
    </w:p>
  </w:footnote>
  <w:footnote w:type="continuationSeparator" w:id="0">
    <w:p w14:paraId="447CF34E" w14:textId="77777777" w:rsidR="001C659D" w:rsidRPr="00C47B2E" w:rsidRDefault="001C659D" w:rsidP="005E716E">
      <w:pPr>
        <w:tabs>
          <w:tab w:val="right" w:pos="2155"/>
        </w:tabs>
        <w:spacing w:after="80" w:line="240" w:lineRule="auto"/>
        <w:ind w:left="680"/>
      </w:pPr>
      <w:r>
        <w:rPr>
          <w:u w:val="single"/>
        </w:rPr>
        <w:tab/>
      </w:r>
    </w:p>
  </w:footnote>
  <w:footnote w:type="continuationNotice" w:id="1">
    <w:p w14:paraId="6A60187E" w14:textId="77777777" w:rsidR="001C659D" w:rsidRPr="00C47B2E" w:rsidRDefault="001C659D" w:rsidP="00C47B2E">
      <w:pPr>
        <w:pStyle w:val="Footer"/>
      </w:pPr>
    </w:p>
  </w:footnote>
  <w:footnote w:id="2">
    <w:p w14:paraId="2F20D5FE" w14:textId="1F1B9E98" w:rsidR="00AC522D" w:rsidRPr="00AC522D" w:rsidRDefault="00AC522D" w:rsidP="002211DF">
      <w:pPr>
        <w:rPr>
          <w:lang w:val="fr-CH"/>
        </w:rPr>
      </w:pPr>
      <w:r>
        <w:rPr>
          <w:rStyle w:val="FootnoteReference"/>
        </w:rPr>
        <w:tab/>
      </w:r>
      <w:r w:rsidRPr="00512CB4">
        <w:rPr>
          <w:rStyle w:val="FootnoteReference"/>
          <w:sz w:val="20"/>
        </w:rPr>
        <w:t>*</w:t>
      </w:r>
      <w:r>
        <w:rPr>
          <w:rStyle w:val="FootnoteReference"/>
          <w:sz w:val="20"/>
          <w:vertAlign w:val="baseline"/>
        </w:rPr>
        <w:tab/>
      </w:r>
      <w:r w:rsidR="003109C3" w:rsidRPr="0082113E">
        <w:t>A/78/6 (Sect. 20), table 20.5</w:t>
      </w:r>
      <w:r w:rsidR="003439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790D" w14:textId="73055561" w:rsidR="00E75CAC" w:rsidRPr="00E75CAC" w:rsidRDefault="00374DA7">
    <w:pPr>
      <w:pStyle w:val="Header"/>
    </w:pPr>
    <w:r>
      <w:fldChar w:fldCharType="begin"/>
    </w:r>
    <w:r>
      <w:instrText xml:space="preserve"> TITLE  \* MERGEFORMAT </w:instrText>
    </w:r>
    <w:r>
      <w:fldChar w:fldCharType="separate"/>
    </w:r>
    <w:r w:rsidR="00E75CAC">
      <w:t>ST/SG/AC.10/C.3/2024/59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F1C3" w14:textId="2095A53C" w:rsidR="00D94B05" w:rsidRPr="00E75CAC" w:rsidRDefault="00374DA7" w:rsidP="00E75CAC">
    <w:pPr>
      <w:pStyle w:val="Header"/>
      <w:jc w:val="right"/>
    </w:pPr>
    <w:r>
      <w:fldChar w:fldCharType="begin"/>
    </w:r>
    <w:r>
      <w:instrText xml:space="preserve"> TITLE  \* MERGEFORMAT </w:instrText>
    </w:r>
    <w:r>
      <w:fldChar w:fldCharType="separate"/>
    </w:r>
    <w:r w:rsidR="00E75CAC">
      <w:t>ST/SG/AC.10/C.3/2024/59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718E8"/>
    <w:multiLevelType w:val="hybridMultilevel"/>
    <w:tmpl w:val="86F251BE"/>
    <w:lvl w:ilvl="0" w:tplc="A9A83660">
      <w:start w:val="1"/>
      <w:numFmt w:val="decimal"/>
      <w:lvlText w:val="%1."/>
      <w:lvlJc w:val="left"/>
      <w:pPr>
        <w:ind w:left="1494" w:hanging="360"/>
      </w:pPr>
      <w:rPr>
        <w:rFonts w:hint="default"/>
      </w:rPr>
    </w:lvl>
    <w:lvl w:ilvl="1" w:tplc="20000019">
      <w:start w:val="1"/>
      <w:numFmt w:val="lowerLetter"/>
      <w:lvlText w:val="%2."/>
      <w:lvlJc w:val="left"/>
      <w:pPr>
        <w:ind w:left="2214" w:hanging="360"/>
      </w:pPr>
    </w:lvl>
    <w:lvl w:ilvl="2" w:tplc="2000001B">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60BB4"/>
    <w:multiLevelType w:val="hybridMultilevel"/>
    <w:tmpl w:val="16D0ACEA"/>
    <w:lvl w:ilvl="0" w:tplc="EE7A4BB6">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6"/>
  </w:num>
  <w:num w:numId="2" w16cid:durableId="1073159890">
    <w:abstractNumId w:val="4"/>
  </w:num>
  <w:num w:numId="3" w16cid:durableId="551188904">
    <w:abstractNumId w:val="0"/>
  </w:num>
  <w:num w:numId="4" w16cid:durableId="44254624">
    <w:abstractNumId w:val="8"/>
  </w:num>
  <w:num w:numId="5" w16cid:durableId="1816027029">
    <w:abstractNumId w:val="9"/>
  </w:num>
  <w:num w:numId="6" w16cid:durableId="1836190579">
    <w:abstractNumId w:val="11"/>
  </w:num>
  <w:num w:numId="7" w16cid:durableId="634676252">
    <w:abstractNumId w:val="3"/>
  </w:num>
  <w:num w:numId="8" w16cid:durableId="1039166836">
    <w:abstractNumId w:val="1"/>
  </w:num>
  <w:num w:numId="9" w16cid:durableId="644969981">
    <w:abstractNumId w:val="10"/>
  </w:num>
  <w:num w:numId="10" w16cid:durableId="525103391">
    <w:abstractNumId w:val="1"/>
  </w:num>
  <w:num w:numId="11" w16cid:durableId="297342166">
    <w:abstractNumId w:val="10"/>
  </w:num>
  <w:num w:numId="12" w16cid:durableId="1280380300">
    <w:abstractNumId w:val="2"/>
  </w:num>
  <w:num w:numId="13" w16cid:durableId="1988699530">
    <w:abstractNumId w:val="2"/>
  </w:num>
  <w:num w:numId="14" w16cid:durableId="1966932371">
    <w:abstractNumId w:val="5"/>
  </w:num>
  <w:num w:numId="15" w16cid:durableId="1431927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AC"/>
    <w:rsid w:val="00004743"/>
    <w:rsid w:val="000114D6"/>
    <w:rsid w:val="00046E92"/>
    <w:rsid w:val="00054735"/>
    <w:rsid w:val="00063C90"/>
    <w:rsid w:val="00070000"/>
    <w:rsid w:val="000F260E"/>
    <w:rsid w:val="00101B98"/>
    <w:rsid w:val="00147793"/>
    <w:rsid w:val="001514D1"/>
    <w:rsid w:val="00163CF2"/>
    <w:rsid w:val="001A58CE"/>
    <w:rsid w:val="001C659D"/>
    <w:rsid w:val="002211DF"/>
    <w:rsid w:val="00247E2C"/>
    <w:rsid w:val="00281755"/>
    <w:rsid w:val="00286253"/>
    <w:rsid w:val="002A32CB"/>
    <w:rsid w:val="002C1FD9"/>
    <w:rsid w:val="002D09F6"/>
    <w:rsid w:val="002D5B2C"/>
    <w:rsid w:val="002D6C53"/>
    <w:rsid w:val="002F5595"/>
    <w:rsid w:val="003109C3"/>
    <w:rsid w:val="0032038A"/>
    <w:rsid w:val="00334F6A"/>
    <w:rsid w:val="00342AC8"/>
    <w:rsid w:val="00343302"/>
    <w:rsid w:val="003439D3"/>
    <w:rsid w:val="00374DA7"/>
    <w:rsid w:val="003979DE"/>
    <w:rsid w:val="003B1248"/>
    <w:rsid w:val="003B4550"/>
    <w:rsid w:val="003D2A18"/>
    <w:rsid w:val="003D43ED"/>
    <w:rsid w:val="00413386"/>
    <w:rsid w:val="00461253"/>
    <w:rsid w:val="004858F5"/>
    <w:rsid w:val="004A2814"/>
    <w:rsid w:val="004C0622"/>
    <w:rsid w:val="004F73D0"/>
    <w:rsid w:val="005042C2"/>
    <w:rsid w:val="00512CB4"/>
    <w:rsid w:val="00584B89"/>
    <w:rsid w:val="005A7891"/>
    <w:rsid w:val="005E716E"/>
    <w:rsid w:val="006476E1"/>
    <w:rsid w:val="00651FFD"/>
    <w:rsid w:val="006604DF"/>
    <w:rsid w:val="00671529"/>
    <w:rsid w:val="006B02B5"/>
    <w:rsid w:val="006F1EF5"/>
    <w:rsid w:val="0070489D"/>
    <w:rsid w:val="007200A1"/>
    <w:rsid w:val="007268F9"/>
    <w:rsid w:val="0072779D"/>
    <w:rsid w:val="00750282"/>
    <w:rsid w:val="00764440"/>
    <w:rsid w:val="0077101B"/>
    <w:rsid w:val="00795B4D"/>
    <w:rsid w:val="007B3357"/>
    <w:rsid w:val="007C52B0"/>
    <w:rsid w:val="007C6033"/>
    <w:rsid w:val="008147C8"/>
    <w:rsid w:val="0081753A"/>
    <w:rsid w:val="00857D23"/>
    <w:rsid w:val="00883791"/>
    <w:rsid w:val="0091005C"/>
    <w:rsid w:val="009411B4"/>
    <w:rsid w:val="00946F1D"/>
    <w:rsid w:val="009A0A7F"/>
    <w:rsid w:val="009D0139"/>
    <w:rsid w:val="009D717D"/>
    <w:rsid w:val="009F5CDC"/>
    <w:rsid w:val="00A072D7"/>
    <w:rsid w:val="00A07A3F"/>
    <w:rsid w:val="00A775CF"/>
    <w:rsid w:val="00AA1A3E"/>
    <w:rsid w:val="00AC522D"/>
    <w:rsid w:val="00AD1A9C"/>
    <w:rsid w:val="00AF5DE1"/>
    <w:rsid w:val="00B06045"/>
    <w:rsid w:val="00B206DD"/>
    <w:rsid w:val="00B52EF4"/>
    <w:rsid w:val="00B63791"/>
    <w:rsid w:val="00B65D67"/>
    <w:rsid w:val="00B777AD"/>
    <w:rsid w:val="00BD2865"/>
    <w:rsid w:val="00C03015"/>
    <w:rsid w:val="00C030D9"/>
    <w:rsid w:val="00C0358D"/>
    <w:rsid w:val="00C35A27"/>
    <w:rsid w:val="00C47B2E"/>
    <w:rsid w:val="00C6538E"/>
    <w:rsid w:val="00C825AA"/>
    <w:rsid w:val="00CB1972"/>
    <w:rsid w:val="00CB2075"/>
    <w:rsid w:val="00D05F29"/>
    <w:rsid w:val="00D63CD2"/>
    <w:rsid w:val="00D71054"/>
    <w:rsid w:val="00D85308"/>
    <w:rsid w:val="00D87DC2"/>
    <w:rsid w:val="00D93887"/>
    <w:rsid w:val="00D94B05"/>
    <w:rsid w:val="00D95438"/>
    <w:rsid w:val="00DB76C3"/>
    <w:rsid w:val="00DC1E6E"/>
    <w:rsid w:val="00DC7379"/>
    <w:rsid w:val="00E02C2B"/>
    <w:rsid w:val="00E21C27"/>
    <w:rsid w:val="00E26BCF"/>
    <w:rsid w:val="00E52109"/>
    <w:rsid w:val="00E75317"/>
    <w:rsid w:val="00E75CAC"/>
    <w:rsid w:val="00EC0CE6"/>
    <w:rsid w:val="00EC7C1D"/>
    <w:rsid w:val="00ED6C48"/>
    <w:rsid w:val="00EE3045"/>
    <w:rsid w:val="00F26186"/>
    <w:rsid w:val="00F35A01"/>
    <w:rsid w:val="00F65F5D"/>
    <w:rsid w:val="00F86A3A"/>
    <w:rsid w:val="00FA42DA"/>
    <w:rsid w:val="00FB6E60"/>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943A1"/>
  <w15:docId w15:val="{DD18B947-F099-4077-B4EC-1D4E1A17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C030D9"/>
    <w:rPr>
      <w:b/>
      <w:sz w:val="28"/>
    </w:rPr>
  </w:style>
  <w:style w:type="character" w:customStyle="1" w:styleId="SingleTxtGChar">
    <w:name w:val="_ Single Txt_G Char"/>
    <w:link w:val="SingleTxtG"/>
    <w:qFormat/>
    <w:rsid w:val="0091005C"/>
  </w:style>
  <w:style w:type="paragraph" w:customStyle="1" w:styleId="Default">
    <w:name w:val="Default"/>
    <w:rsid w:val="0091005C"/>
    <w:pPr>
      <w:autoSpaceDE w:val="0"/>
      <w:autoSpaceDN w:val="0"/>
      <w:adjustRightInd w:val="0"/>
      <w:spacing w:line="240" w:lineRule="auto"/>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5E9B2-D587-4374-B12E-6B42CF63FEF7}"/>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738</Words>
  <Characters>3874</Characters>
  <Application>Microsoft Office Word</Application>
  <DocSecurity>0</DocSecurity>
  <Lines>85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ST/SG/AC.10/C.3/2024/59</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ST/SG/AC.10/C.3/2024/59</dc:title>
  <dc:subject>2415052</dc:subject>
  <dc:creator>Alicia DORCA-GARCIA</dc:creator>
  <cp:keywords/>
  <dc:description/>
  <cp:lastModifiedBy>Pauline Anne Escalante</cp:lastModifiedBy>
  <cp:revision>2</cp:revision>
  <dcterms:created xsi:type="dcterms:W3CDTF">2024-08-22T09:08:00Z</dcterms:created>
  <dcterms:modified xsi:type="dcterms:W3CDTF">2024-08-22T09:08:00Z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