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E52109" w14:paraId="17DB07A2" w14:textId="77777777" w:rsidTr="006476E1">
        <w:trPr>
          <w:trHeight w:val="851"/>
        </w:trPr>
        <w:tc>
          <w:tcPr>
            <w:tcW w:w="1259" w:type="dxa"/>
            <w:tcBorders>
              <w:top w:val="nil"/>
              <w:left w:val="nil"/>
              <w:bottom w:val="single" w:sz="4" w:space="0" w:color="auto"/>
              <w:right w:val="nil"/>
            </w:tcBorders>
          </w:tcPr>
          <w:p w14:paraId="38AE9459" w14:textId="77777777" w:rsidR="00E52109" w:rsidRPr="002A32CB" w:rsidRDefault="00E52109" w:rsidP="004858F5"/>
        </w:tc>
        <w:tc>
          <w:tcPr>
            <w:tcW w:w="2236" w:type="dxa"/>
            <w:tcBorders>
              <w:top w:val="nil"/>
              <w:left w:val="nil"/>
              <w:bottom w:val="single" w:sz="4" w:space="0" w:color="auto"/>
              <w:right w:val="nil"/>
            </w:tcBorders>
            <w:vAlign w:val="bottom"/>
          </w:tcPr>
          <w:p w14:paraId="1C7DE0D8" w14:textId="77777777" w:rsidR="00E52109" w:rsidRDefault="00E52109" w:rsidP="006476E1">
            <w:pPr>
              <w:spacing w:after="80" w:line="300" w:lineRule="exact"/>
              <w:rPr>
                <w:sz w:val="28"/>
                <w:szCs w:val="28"/>
              </w:rPr>
            </w:pPr>
            <w:r>
              <w:rPr>
                <w:sz w:val="28"/>
                <w:szCs w:val="28"/>
              </w:rPr>
              <w:t>United Nations</w:t>
            </w:r>
          </w:p>
        </w:tc>
        <w:tc>
          <w:tcPr>
            <w:tcW w:w="6144" w:type="dxa"/>
            <w:gridSpan w:val="2"/>
            <w:tcBorders>
              <w:top w:val="nil"/>
              <w:left w:val="nil"/>
              <w:bottom w:val="single" w:sz="4" w:space="0" w:color="auto"/>
              <w:right w:val="nil"/>
            </w:tcBorders>
            <w:vAlign w:val="bottom"/>
          </w:tcPr>
          <w:p w14:paraId="24276F06" w14:textId="3E532052" w:rsidR="00E52109" w:rsidRDefault="00C97177" w:rsidP="00C97177">
            <w:pPr>
              <w:jc w:val="right"/>
            </w:pPr>
            <w:r w:rsidRPr="00C97177">
              <w:rPr>
                <w:sz w:val="40"/>
              </w:rPr>
              <w:t>ST</w:t>
            </w:r>
            <w:r>
              <w:t>/SG/AC.10/C.3/2024/106</w:t>
            </w:r>
          </w:p>
        </w:tc>
      </w:tr>
      <w:tr w:rsidR="00E52109" w14:paraId="2A75F8B2" w14:textId="77777777" w:rsidTr="006476E1">
        <w:trPr>
          <w:trHeight w:val="2835"/>
        </w:trPr>
        <w:tc>
          <w:tcPr>
            <w:tcW w:w="1259" w:type="dxa"/>
            <w:tcBorders>
              <w:top w:val="single" w:sz="4" w:space="0" w:color="auto"/>
              <w:left w:val="nil"/>
              <w:bottom w:val="single" w:sz="12" w:space="0" w:color="auto"/>
              <w:right w:val="nil"/>
            </w:tcBorders>
          </w:tcPr>
          <w:p w14:paraId="48C08C25" w14:textId="77777777" w:rsidR="00E52109" w:rsidRDefault="00E52109" w:rsidP="006476E1">
            <w:pPr>
              <w:spacing w:before="120"/>
              <w:jc w:val="center"/>
            </w:pPr>
            <w:r>
              <w:rPr>
                <w:noProof/>
                <w:lang w:val="fr-CH" w:eastAsia="fr-CH"/>
              </w:rPr>
              <w:drawing>
                <wp:inline distT="0" distB="0" distL="0" distR="0" wp14:anchorId="48F2DC42" wp14:editId="27F89B82">
                  <wp:extent cx="714375" cy="590550"/>
                  <wp:effectExtent l="0" t="0" r="9525"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450" w:type="dxa"/>
            <w:gridSpan w:val="2"/>
            <w:tcBorders>
              <w:top w:val="single" w:sz="4" w:space="0" w:color="auto"/>
              <w:left w:val="nil"/>
              <w:bottom w:val="single" w:sz="12" w:space="0" w:color="auto"/>
              <w:right w:val="nil"/>
            </w:tcBorders>
          </w:tcPr>
          <w:p w14:paraId="1DCD4D6C" w14:textId="77777777" w:rsidR="00E52109" w:rsidRDefault="00D94B05" w:rsidP="006476E1">
            <w:pPr>
              <w:spacing w:before="120" w:line="420" w:lineRule="exact"/>
              <w:rPr>
                <w:b/>
                <w:sz w:val="40"/>
                <w:szCs w:val="40"/>
              </w:rPr>
            </w:pPr>
            <w:r>
              <w:rPr>
                <w:b/>
                <w:sz w:val="40"/>
                <w:szCs w:val="40"/>
              </w:rPr>
              <w:t>Secretariat</w:t>
            </w:r>
          </w:p>
        </w:tc>
        <w:tc>
          <w:tcPr>
            <w:tcW w:w="2930" w:type="dxa"/>
            <w:tcBorders>
              <w:top w:val="single" w:sz="4" w:space="0" w:color="auto"/>
              <w:left w:val="nil"/>
              <w:bottom w:val="single" w:sz="12" w:space="0" w:color="auto"/>
              <w:right w:val="nil"/>
            </w:tcBorders>
          </w:tcPr>
          <w:p w14:paraId="63D87FE2" w14:textId="77777777" w:rsidR="00D94B05" w:rsidRDefault="00C97177" w:rsidP="00C97177">
            <w:pPr>
              <w:spacing w:before="240" w:line="240" w:lineRule="exact"/>
            </w:pPr>
            <w:r>
              <w:t>Distr.: General</w:t>
            </w:r>
          </w:p>
          <w:p w14:paraId="372B4E79" w14:textId="0F9265A0" w:rsidR="00C97177" w:rsidRDefault="00454848" w:rsidP="00C97177">
            <w:pPr>
              <w:spacing w:line="240" w:lineRule="exact"/>
            </w:pPr>
            <w:r w:rsidRPr="00454848">
              <w:t>13</w:t>
            </w:r>
            <w:r w:rsidR="00C97177" w:rsidRPr="00454848">
              <w:t xml:space="preserve"> September 2024</w:t>
            </w:r>
          </w:p>
          <w:p w14:paraId="09E03550" w14:textId="77777777" w:rsidR="00C97177" w:rsidRDefault="00C97177" w:rsidP="00C97177">
            <w:pPr>
              <w:spacing w:line="240" w:lineRule="exact"/>
            </w:pPr>
          </w:p>
          <w:p w14:paraId="681FE3E0" w14:textId="7969E7DF" w:rsidR="00C97177" w:rsidRDefault="00C97177" w:rsidP="00C97177">
            <w:pPr>
              <w:spacing w:line="240" w:lineRule="exact"/>
            </w:pPr>
            <w:r>
              <w:t>Original: English</w:t>
            </w:r>
          </w:p>
        </w:tc>
      </w:tr>
    </w:tbl>
    <w:p w14:paraId="20DEFB41" w14:textId="77777777" w:rsidR="00C97177" w:rsidRPr="006500BA" w:rsidRDefault="00C97177" w:rsidP="00C97177">
      <w:pPr>
        <w:spacing w:before="120"/>
        <w:rPr>
          <w:b/>
          <w:sz w:val="24"/>
          <w:szCs w:val="24"/>
        </w:rPr>
      </w:pPr>
      <w:r w:rsidRPr="006500BA">
        <w:rPr>
          <w:b/>
          <w:sz w:val="24"/>
          <w:szCs w:val="24"/>
        </w:rPr>
        <w:t>Committee of Experts on the Transport of Dangerous Goods</w:t>
      </w:r>
      <w:r w:rsidRPr="006500BA">
        <w:rPr>
          <w:b/>
          <w:sz w:val="24"/>
          <w:szCs w:val="24"/>
        </w:rPr>
        <w:br/>
        <w:t>and on the Globally Harmonized System of Classification</w:t>
      </w:r>
      <w:r w:rsidRPr="006500BA">
        <w:rPr>
          <w:b/>
          <w:sz w:val="24"/>
          <w:szCs w:val="24"/>
        </w:rPr>
        <w:br/>
        <w:t>and Labelling of Chemicals</w:t>
      </w:r>
    </w:p>
    <w:p w14:paraId="2559C0C2" w14:textId="77777777" w:rsidR="00C97177" w:rsidRPr="006500BA" w:rsidRDefault="00C97177" w:rsidP="00C97177">
      <w:pPr>
        <w:spacing w:before="120"/>
        <w:rPr>
          <w:rFonts w:ascii="Helv" w:hAnsi="Helv" w:cs="Helv"/>
          <w:b/>
          <w:color w:val="000000"/>
        </w:rPr>
      </w:pPr>
      <w:r w:rsidRPr="006500BA">
        <w:rPr>
          <w:b/>
        </w:rPr>
        <w:t xml:space="preserve">Sub-Committee of Experts on the </w:t>
      </w:r>
      <w:r>
        <w:rPr>
          <w:b/>
        </w:rPr>
        <w:t>Transport of Dangerous Goods</w:t>
      </w:r>
    </w:p>
    <w:p w14:paraId="7F44ABA3" w14:textId="77777777" w:rsidR="00C97177" w:rsidRPr="006500BA" w:rsidRDefault="00C97177" w:rsidP="00C97177">
      <w:pPr>
        <w:spacing w:before="120"/>
        <w:rPr>
          <w:b/>
        </w:rPr>
      </w:pPr>
      <w:r>
        <w:rPr>
          <w:b/>
        </w:rPr>
        <w:t xml:space="preserve">Sixty-fifth </w:t>
      </w:r>
      <w:r w:rsidRPr="006500BA">
        <w:rPr>
          <w:b/>
        </w:rPr>
        <w:t>session</w:t>
      </w:r>
    </w:p>
    <w:p w14:paraId="08799244" w14:textId="77777777" w:rsidR="00C97177" w:rsidRPr="006500BA" w:rsidRDefault="00C97177" w:rsidP="00C97177">
      <w:r w:rsidRPr="006500BA">
        <w:t xml:space="preserve">Geneva, </w:t>
      </w:r>
      <w:r>
        <w:t>25 November-3 December 2024</w:t>
      </w:r>
    </w:p>
    <w:p w14:paraId="3AECEC88" w14:textId="77777777" w:rsidR="00C97177" w:rsidRPr="00A7222C" w:rsidRDefault="00C97177" w:rsidP="00C97177">
      <w:r w:rsidRPr="00A7222C">
        <w:t>Item 3 of the provisional agenda</w:t>
      </w:r>
    </w:p>
    <w:p w14:paraId="2E3AEF3B" w14:textId="77777777" w:rsidR="00C97177" w:rsidRDefault="00C97177" w:rsidP="00C97177">
      <w:pPr>
        <w:rPr>
          <w:b/>
          <w:bCs/>
        </w:rPr>
      </w:pPr>
      <w:r w:rsidRPr="00A7222C">
        <w:rPr>
          <w:b/>
          <w:bCs/>
        </w:rPr>
        <w:t xml:space="preserve">Listing, </w:t>
      </w:r>
      <w:proofErr w:type="gramStart"/>
      <w:r w:rsidRPr="00A7222C">
        <w:rPr>
          <w:b/>
          <w:bCs/>
        </w:rPr>
        <w:t>classification</w:t>
      </w:r>
      <w:proofErr w:type="gramEnd"/>
      <w:r w:rsidRPr="00A7222C">
        <w:rPr>
          <w:b/>
          <w:bCs/>
        </w:rPr>
        <w:t xml:space="preserve"> and packing</w:t>
      </w:r>
    </w:p>
    <w:p w14:paraId="37C7D6B8" w14:textId="6B6F76D5" w:rsidR="00C97177" w:rsidRPr="00105BF9" w:rsidRDefault="00C97177" w:rsidP="00C97177">
      <w:pPr>
        <w:pStyle w:val="HChG"/>
        <w:rPr>
          <w:b w:val="0"/>
          <w:lang w:val="en-US"/>
        </w:rPr>
      </w:pPr>
      <w:r>
        <w:rPr>
          <w:lang w:val="en-US"/>
        </w:rPr>
        <w:tab/>
      </w:r>
      <w:r>
        <w:rPr>
          <w:lang w:val="en-US"/>
        </w:rPr>
        <w:tab/>
      </w:r>
      <w:r w:rsidRPr="00105BF9">
        <w:rPr>
          <w:lang w:val="en-US"/>
        </w:rPr>
        <w:t xml:space="preserve">Classification and transport of UN 2372 </w:t>
      </w:r>
      <w:r w:rsidR="00416657">
        <w:rPr>
          <w:lang w:val="en-US"/>
        </w:rPr>
        <w:t>(</w:t>
      </w:r>
      <w:r w:rsidRPr="00105BF9">
        <w:rPr>
          <w:lang w:val="en-US"/>
        </w:rPr>
        <w:t>1,2-</w:t>
      </w:r>
      <w:r w:rsidR="00FE4610" w:rsidRPr="00105BF9">
        <w:rPr>
          <w:lang w:val="en-US"/>
        </w:rPr>
        <w:t>di-(</w:t>
      </w:r>
      <w:proofErr w:type="spellStart"/>
      <w:r w:rsidR="00FE4610" w:rsidRPr="00105BF9">
        <w:rPr>
          <w:lang w:val="en-US"/>
        </w:rPr>
        <w:t>dimethylamino</w:t>
      </w:r>
      <w:proofErr w:type="spellEnd"/>
      <w:r w:rsidR="00FE4610" w:rsidRPr="00105BF9">
        <w:rPr>
          <w:lang w:val="en-US"/>
        </w:rPr>
        <w:t>) ethane</w:t>
      </w:r>
      <w:r w:rsidR="00416657">
        <w:rPr>
          <w:lang w:val="en-US"/>
        </w:rPr>
        <w:t>)</w:t>
      </w:r>
      <w:r w:rsidR="006621F3">
        <w:rPr>
          <w:lang w:val="en-US"/>
        </w:rPr>
        <w:t xml:space="preserve"> </w:t>
      </w:r>
    </w:p>
    <w:p w14:paraId="08851748" w14:textId="142BD708" w:rsidR="00C97177" w:rsidRDefault="00C97177" w:rsidP="00C97177">
      <w:pPr>
        <w:pStyle w:val="H1G"/>
        <w:rPr>
          <w:vertAlign w:val="superscript"/>
          <w:lang w:val="en-US"/>
        </w:rPr>
      </w:pPr>
      <w:r w:rsidRPr="00105BF9">
        <w:rPr>
          <w:lang w:val="en-US"/>
        </w:rPr>
        <w:tab/>
      </w:r>
      <w:r w:rsidRPr="00105BF9">
        <w:rPr>
          <w:lang w:val="en-US"/>
        </w:rPr>
        <w:tab/>
      </w:r>
      <w:r w:rsidRPr="00CD33CA">
        <w:rPr>
          <w:lang w:val="en-US"/>
        </w:rPr>
        <w:t>Transmitted by the expert from Belgium</w:t>
      </w:r>
      <w:r w:rsidR="00BE3CCF" w:rsidRPr="006621F3">
        <w:rPr>
          <w:rStyle w:val="FootnoteReference"/>
          <w:sz w:val="20"/>
          <w:vertAlign w:val="baseline"/>
          <w:lang w:val="en-US"/>
        </w:rPr>
        <w:footnoteReference w:customMarkFollows="1" w:id="2"/>
        <w:t>*</w:t>
      </w:r>
      <w:r w:rsidRPr="00CD33CA">
        <w:rPr>
          <w:vertAlign w:val="superscript"/>
          <w:lang w:val="en-US"/>
        </w:rPr>
        <w:t>*</w:t>
      </w:r>
    </w:p>
    <w:p w14:paraId="74DACEBD" w14:textId="266003B3" w:rsidR="00C97177" w:rsidRDefault="00C97177" w:rsidP="00C97177">
      <w:pPr>
        <w:pStyle w:val="HChG"/>
      </w:pPr>
      <w:r>
        <w:tab/>
      </w:r>
      <w:r>
        <w:tab/>
        <w:t>Introduction</w:t>
      </w:r>
    </w:p>
    <w:p w14:paraId="093A2199" w14:textId="55510686" w:rsidR="00C97177" w:rsidRPr="00FB6327" w:rsidRDefault="00C97177" w:rsidP="00C97177">
      <w:pPr>
        <w:pStyle w:val="SingleTxtG"/>
      </w:pPr>
      <w:r>
        <w:t>1.</w:t>
      </w:r>
      <w:r>
        <w:tab/>
        <w:t xml:space="preserve">During the sixty-second and sixty-fourth session of </w:t>
      </w:r>
      <w:r w:rsidR="00FE4610">
        <w:t xml:space="preserve">the </w:t>
      </w:r>
      <w:r>
        <w:t>Sub-Committee Belgium</w:t>
      </w:r>
      <w:r w:rsidR="00CD0F6D">
        <w:t>,</w:t>
      </w:r>
      <w:r>
        <w:t xml:space="preserve"> presented </w:t>
      </w:r>
      <w:r w:rsidR="00FE4610">
        <w:t xml:space="preserve">informal </w:t>
      </w:r>
      <w:r>
        <w:t xml:space="preserve">document  </w:t>
      </w:r>
      <w:hyperlink r:id="rId12">
        <w:r w:rsidRPr="29BBFBDC">
          <w:rPr>
            <w:rStyle w:val="Hyperlink"/>
          </w:rPr>
          <w:t>INF.18</w:t>
        </w:r>
      </w:hyperlink>
      <w:r>
        <w:t xml:space="preserve"> and </w:t>
      </w:r>
      <w:r w:rsidR="00FE4610">
        <w:t xml:space="preserve">document </w:t>
      </w:r>
      <w:hyperlink r:id="rId13">
        <w:r w:rsidRPr="29BBFBDC">
          <w:rPr>
            <w:rStyle w:val="Hyperlink"/>
          </w:rPr>
          <w:t>ST/SG/AC.10/C.3/2024/46</w:t>
        </w:r>
      </w:hyperlink>
      <w:r w:rsidR="00CD0F6D">
        <w:rPr>
          <w:rStyle w:val="Hyperlink"/>
        </w:rPr>
        <w:t xml:space="preserve"> </w:t>
      </w:r>
      <w:r>
        <w:t xml:space="preserve">respectively. In those documents it was explained that there are scientific data showing that UN 2372 </w:t>
      </w:r>
      <w:r w:rsidR="00416657">
        <w:t>(</w:t>
      </w:r>
      <w:r>
        <w:t>1,2-DI-(DIMETHYLAMINO) ETHANE</w:t>
      </w:r>
      <w:r w:rsidR="00416657">
        <w:t>)</w:t>
      </w:r>
      <w:r>
        <w:t xml:space="preserve">, which is currently classified in Class 3, packing group </w:t>
      </w:r>
      <w:r w:rsidR="00416657">
        <w:t xml:space="preserve">(PG) </w:t>
      </w:r>
      <w:r>
        <w:t>II also has corrosive properties. Hence it was proposed to add corrosivity as a subsidiary hazard for this entry and amend the transport conditions accordingly following the Guiding Principles.</w:t>
      </w:r>
    </w:p>
    <w:p w14:paraId="1627A4A8" w14:textId="237C54B6" w:rsidR="00C97177" w:rsidRDefault="00C97177" w:rsidP="00C97177">
      <w:pPr>
        <w:pStyle w:val="SingleTxtG"/>
      </w:pPr>
      <w:r>
        <w:t>2.</w:t>
      </w:r>
      <w:r>
        <w:tab/>
        <w:t xml:space="preserve">During the discussion on </w:t>
      </w:r>
      <w:hyperlink r:id="rId14">
        <w:r w:rsidRPr="29BBFBDC">
          <w:rPr>
            <w:rStyle w:val="Hyperlink"/>
          </w:rPr>
          <w:t>ST/SG/AC.10/C.3/2024/46</w:t>
        </w:r>
      </w:hyperlink>
      <w:r>
        <w:t xml:space="preserve"> at the sixty-fourth session, several comments were received and it was noted in the report that a further analysis of the corrosivity as well as the toxicity hazard was needed. In addition, it was emphasized to be cautious with amending the assigned portable tank codes since this might have a big impact on industry without evidence of a safety problem.</w:t>
      </w:r>
    </w:p>
    <w:p w14:paraId="09E46BBE" w14:textId="77777777" w:rsidR="00C97177" w:rsidRDefault="00C97177" w:rsidP="00C97177">
      <w:pPr>
        <w:pStyle w:val="SingleTxtG"/>
      </w:pPr>
      <w:r>
        <w:t>3.</w:t>
      </w:r>
      <w:r>
        <w:tab/>
        <w:t>After further consultation with interested experts, Belgium brings forward this document with additional proposals to reclassify UN 2372 according to the available scientific data as well as amend the transport conditions accordingly.</w:t>
      </w:r>
    </w:p>
    <w:p w14:paraId="1B062008" w14:textId="3E0116B2" w:rsidR="00C97177" w:rsidRPr="00C40FFB" w:rsidRDefault="00C97177" w:rsidP="00C97177">
      <w:pPr>
        <w:pStyle w:val="HChG"/>
      </w:pPr>
      <w:r>
        <w:tab/>
        <w:t>I.</w:t>
      </w:r>
      <w:r>
        <w:tab/>
      </w:r>
      <w:r w:rsidRPr="00C40FFB">
        <w:t xml:space="preserve">Corrosivity </w:t>
      </w:r>
      <w:r w:rsidR="00A27002">
        <w:t>h</w:t>
      </w:r>
      <w:r w:rsidRPr="00C40FFB">
        <w:t>azard</w:t>
      </w:r>
    </w:p>
    <w:p w14:paraId="55079BBC" w14:textId="0605FD0A" w:rsidR="00C97177" w:rsidRDefault="00C97177" w:rsidP="00C97177">
      <w:pPr>
        <w:pStyle w:val="SingleTxtG"/>
      </w:pPr>
      <w:r>
        <w:t>4.</w:t>
      </w:r>
      <w:r>
        <w:tab/>
        <w:t xml:space="preserve">One comment received during the sixty-fourth session highlighted that there are data available in the </w:t>
      </w:r>
      <w:r w:rsidR="004C5FCC">
        <w:t>European Chemicals Agency (</w:t>
      </w:r>
      <w:r w:rsidRPr="00415EC5">
        <w:t>ECHA</w:t>
      </w:r>
      <w:r w:rsidR="004C5FCC">
        <w:t>)</w:t>
      </w:r>
      <w:r w:rsidR="004C5FCC" w:rsidRPr="00415EC5" w:rsidDel="004C5FCC">
        <w:rPr>
          <w:rStyle w:val="FootnoteReference"/>
        </w:rPr>
        <w:t xml:space="preserve"> </w:t>
      </w:r>
      <w:r w:rsidRPr="00415EC5">
        <w:t>database</w:t>
      </w:r>
      <w:r w:rsidRPr="00415EC5">
        <w:rPr>
          <w:rStyle w:val="FootnoteReference"/>
        </w:rPr>
        <w:footnoteReference w:id="3"/>
      </w:r>
      <w:r w:rsidRPr="00415EC5">
        <w:t xml:space="preserve"> that would lead to a PGI for </w:t>
      </w:r>
      <w:proofErr w:type="gramStart"/>
      <w:r w:rsidRPr="00415EC5">
        <w:t>corrosivity</w:t>
      </w:r>
      <w:proofErr w:type="gramEnd"/>
      <w:r w:rsidRPr="00415EC5">
        <w:t xml:space="preserve"> and the question was raised why</w:t>
      </w:r>
      <w:r>
        <w:t xml:space="preserve"> these data were not taken into account. As different data from different studies that lead to a different packing group are available, </w:t>
      </w:r>
      <w:r>
        <w:lastRenderedPageBreak/>
        <w:t xml:space="preserve">Belgium made the choice to consider primarily data in line with the requirements of 2.8.3.2 of the </w:t>
      </w:r>
      <w:r w:rsidRPr="00926574">
        <w:rPr>
          <w:i/>
          <w:iCs/>
        </w:rPr>
        <w:t>Model Regulations</w:t>
      </w:r>
      <w:r>
        <w:t xml:space="preserve">. The study set-up of the 2000 study mentioned specifically in </w:t>
      </w:r>
      <w:hyperlink r:id="rId15">
        <w:r w:rsidRPr="29BBFBDC">
          <w:rPr>
            <w:rStyle w:val="Hyperlink"/>
          </w:rPr>
          <w:t>ST/SG/AC.10/C.3/2024/46</w:t>
        </w:r>
      </w:hyperlink>
      <w:r>
        <w:t xml:space="preserve"> is in line with the requirements of OECD Guideline 404 and thus with 2.8.3.2 of the </w:t>
      </w:r>
      <w:r w:rsidRPr="00926574">
        <w:rPr>
          <w:i/>
          <w:iCs/>
        </w:rPr>
        <w:t>Model Regulations</w:t>
      </w:r>
      <w:r>
        <w:t xml:space="preserve"> (see annex I). It was considered reasonable to give priority to data obtained in line with the requirements of the </w:t>
      </w:r>
      <w:r w:rsidRPr="00926574">
        <w:rPr>
          <w:i/>
          <w:iCs/>
        </w:rPr>
        <w:t>Model Regulations</w:t>
      </w:r>
      <w:r>
        <w:t xml:space="preserve"> to base our proposal on. This study shows that UN 2372 meets the criteria for inclusion in PGII for corrosivity.</w:t>
      </w:r>
    </w:p>
    <w:p w14:paraId="1FEE6A6B" w14:textId="75AF7FAD" w:rsidR="00C97177" w:rsidRDefault="00C97177" w:rsidP="00C97177">
      <w:pPr>
        <w:pStyle w:val="SingleTxtG"/>
      </w:pPr>
      <w:r>
        <w:t>5.</w:t>
      </w:r>
      <w:r>
        <w:tab/>
        <w:t>It must also be mentioned that according to the precedence of hazards table in 2.0.3.3, Class 3, PGII takes precedence over both Class 8, PGII and PGIII. However, in case UN 2372 is classified in PGI for Class 8, the corrosivity hazard takes precedence and as such UN 2372 would need to be reclassified as a Class 8, PGI substance and the Class 3 flammability would become a subsidiary hazard.</w:t>
      </w:r>
    </w:p>
    <w:p w14:paraId="18754CA9" w14:textId="77777777" w:rsidR="00C97177" w:rsidRDefault="00C97177" w:rsidP="00C97177">
      <w:pPr>
        <w:pStyle w:val="SingleTxtG"/>
      </w:pPr>
      <w:r>
        <w:t>6.</w:t>
      </w:r>
      <w:r>
        <w:tab/>
        <w:t xml:space="preserve">Reclassifying UN 2372 as a Class 8, PGI substance would also have a huge impact on the transport conditions since according to the guiding principles, transport in IBCs would no longer be allowed and the portable tank instruction would change from T4 to T10. </w:t>
      </w:r>
      <w:proofErr w:type="gramStart"/>
      <w:r>
        <w:t>Thus</w:t>
      </w:r>
      <w:proofErr w:type="gramEnd"/>
      <w:r>
        <w:t xml:space="preserve"> severely impacting the current practices of industry without any evidence of a safety problem. Before taking such a decision, a very careful and thorough detailed analysis of all available data is necessary. Such analysis, in cooperation with interest experts, is currently being undertaken, the results of which will be provided in an informal document for the 65</w:t>
      </w:r>
      <w:r w:rsidRPr="00A72221">
        <w:rPr>
          <w:vertAlign w:val="superscript"/>
        </w:rPr>
        <w:t>th</w:t>
      </w:r>
      <w:r>
        <w:t xml:space="preserve"> session of the Sub-Committee.</w:t>
      </w:r>
    </w:p>
    <w:p w14:paraId="670AB54D" w14:textId="77777777" w:rsidR="00C97177" w:rsidRDefault="00C97177" w:rsidP="00C97177">
      <w:pPr>
        <w:pStyle w:val="SingleTxtG"/>
      </w:pPr>
      <w:r>
        <w:t>7.</w:t>
      </w:r>
      <w:r>
        <w:tab/>
        <w:t xml:space="preserve">Nevertheless, this provides yet another piece of evidence that UN 2372 possesses corrosive properties according to the criteria of the </w:t>
      </w:r>
      <w:r w:rsidRPr="00926574">
        <w:rPr>
          <w:i/>
          <w:iCs/>
        </w:rPr>
        <w:t>Model Regulations</w:t>
      </w:r>
      <w:r>
        <w:t>. Also, it was written in the report of the previous session that the Sub-Committee agreed in principle to the proposal to add corrosivity as a subsidiary hazard. As such, pending further analyses of all available test-data and information, the proposal to add Class 8 as a subsidiary hazard is maintained.</w:t>
      </w:r>
    </w:p>
    <w:p w14:paraId="20DA36DF" w14:textId="68C1FF30" w:rsidR="00C97177" w:rsidRPr="00C40FFB" w:rsidRDefault="00C97177" w:rsidP="00C97177">
      <w:pPr>
        <w:pStyle w:val="HChG"/>
      </w:pPr>
      <w:r>
        <w:tab/>
        <w:t>II.</w:t>
      </w:r>
      <w:r>
        <w:tab/>
      </w:r>
      <w:r w:rsidRPr="00C40FFB">
        <w:t>Toxicity Hazard</w:t>
      </w:r>
    </w:p>
    <w:p w14:paraId="6E77D210" w14:textId="2E99BA6F" w:rsidR="00C97177" w:rsidRDefault="00C97177" w:rsidP="00C97177">
      <w:pPr>
        <w:pStyle w:val="SingleTxtG"/>
      </w:pPr>
      <w:r>
        <w:t>8.</w:t>
      </w:r>
      <w:r>
        <w:tab/>
        <w:t xml:space="preserve">Some experts had also suggested during the sixty-second session that there are scientific data available pointing to a toxicity hazard for UN 2372. Nevertheless, as concerns oral toxicity, it was explained in document </w:t>
      </w:r>
      <w:hyperlink r:id="rId16">
        <w:r w:rsidRPr="29BBFBDC">
          <w:rPr>
            <w:rStyle w:val="Hyperlink"/>
          </w:rPr>
          <w:t>ST/SG/AC.10/C.3/2024/46</w:t>
        </w:r>
      </w:hyperlink>
      <w:r>
        <w:t xml:space="preserve"> that there are also more recent data available indicating that UN</w:t>
      </w:r>
      <w:r w:rsidR="00FF13B1">
        <w:t> </w:t>
      </w:r>
      <w:r>
        <w:t>2372 is not toxic through the oral route. However, there was still doubt on whether UN</w:t>
      </w:r>
      <w:r w:rsidR="00FF13B1">
        <w:t> </w:t>
      </w:r>
      <w:r>
        <w:t>2372 can be toxic by inhalation, especially since not enough data were obtained.</w:t>
      </w:r>
    </w:p>
    <w:p w14:paraId="05C2B3D7" w14:textId="7AF3B4D1" w:rsidR="00C97177" w:rsidRDefault="00C97177" w:rsidP="00C97177">
      <w:pPr>
        <w:pStyle w:val="SingleTxtG"/>
      </w:pPr>
      <w:r>
        <w:t>9.</w:t>
      </w:r>
      <w:r>
        <w:tab/>
        <w:t>During the sixty-fourth session further data on the volatility of UN 2372 as well as further data on the LC</w:t>
      </w:r>
      <w:r w:rsidRPr="00B30224">
        <w:rPr>
          <w:vertAlign w:val="subscript"/>
        </w:rPr>
        <w:t>50</w:t>
      </w:r>
      <w:r>
        <w:t xml:space="preserve"> for inhalation toxicity were provided. A further analysis by interested experts was performed (see annex II) and it was concluded that UN 2372 indeed meets the criteria for toxicity by inhalation of </w:t>
      </w:r>
      <w:r w:rsidR="00B03BCB">
        <w:t>vapours</w:t>
      </w:r>
      <w:r>
        <w:t xml:space="preserve"> according to </w:t>
      </w:r>
      <w:r w:rsidRPr="003A1DA3">
        <w:t>2.6.2.2.4.3</w:t>
      </w:r>
      <w:r>
        <w:t xml:space="preserve"> of the </w:t>
      </w:r>
      <w:r w:rsidRPr="00926574">
        <w:rPr>
          <w:i/>
          <w:iCs/>
        </w:rPr>
        <w:t>Model Regulations</w:t>
      </w:r>
      <w:r>
        <w:t xml:space="preserve">. </w:t>
      </w:r>
    </w:p>
    <w:p w14:paraId="1979F4AF" w14:textId="7DB4C51A" w:rsidR="00C97177" w:rsidRPr="00AC6C16" w:rsidRDefault="00C97177" w:rsidP="00C97177">
      <w:pPr>
        <w:pStyle w:val="SingleTxtG"/>
      </w:pPr>
      <w:r>
        <w:t>10.</w:t>
      </w:r>
      <w:r>
        <w:tab/>
        <w:t xml:space="preserve">In addition, during recent exchanges with national </w:t>
      </w:r>
      <w:proofErr w:type="gramStart"/>
      <w:r>
        <w:t>stakeholders</w:t>
      </w:r>
      <w:proofErr w:type="gramEnd"/>
      <w:r>
        <w:t xml:space="preserve"> emphasis was put to the fact that their </w:t>
      </w:r>
      <w:r w:rsidR="003F3CFF">
        <w:t>parent</w:t>
      </w:r>
      <w:r>
        <w:t xml:space="preserve"> company </w:t>
      </w:r>
      <w:r w:rsidR="003F3CFF">
        <w:t xml:space="preserve">in the United States of America </w:t>
      </w:r>
      <w:r>
        <w:t xml:space="preserve">had changed their </w:t>
      </w:r>
      <w:r w:rsidR="003F3CFF">
        <w:t>Safety Data Sheet</w:t>
      </w:r>
      <w:r>
        <w:t xml:space="preserve"> based on the test data for </w:t>
      </w:r>
      <w:r w:rsidRPr="00AC6C16">
        <w:t xml:space="preserve">oral toxicity mentioned in the </w:t>
      </w:r>
      <w:r w:rsidR="00960EA6" w:rsidRPr="00FC7257">
        <w:t xml:space="preserve">National </w:t>
      </w:r>
      <w:proofErr w:type="spellStart"/>
      <w:r w:rsidR="00960EA6" w:rsidRPr="00FC7257">
        <w:t>Center</w:t>
      </w:r>
      <w:proofErr w:type="spellEnd"/>
      <w:r w:rsidR="00960EA6" w:rsidRPr="00FC7257">
        <w:t xml:space="preserve"> for Biotechnology, United States of America</w:t>
      </w:r>
      <w:r w:rsidR="00960EA6" w:rsidRPr="00AC6C16">
        <w:t xml:space="preserve"> </w:t>
      </w:r>
      <w:r w:rsidR="00960EA6">
        <w:t>(</w:t>
      </w:r>
      <w:r w:rsidRPr="00AC6C16">
        <w:t>NCBI</w:t>
      </w:r>
      <w:r w:rsidR="00960EA6">
        <w:t>)</w:t>
      </w:r>
      <w:r w:rsidR="00426F80" w:rsidRPr="00AC6C16" w:rsidDel="00426F80">
        <w:rPr>
          <w:rStyle w:val="FootnoteReference"/>
        </w:rPr>
        <w:t xml:space="preserve"> </w:t>
      </w:r>
      <w:r w:rsidRPr="00AC6C16">
        <w:t>-database</w:t>
      </w:r>
      <w:r w:rsidRPr="00AC6C16">
        <w:rPr>
          <w:rStyle w:val="FootnoteReference"/>
        </w:rPr>
        <w:footnoteReference w:id="4"/>
      </w:r>
      <w:r w:rsidRPr="00AC6C16">
        <w:t xml:space="preserve"> (268</w:t>
      </w:r>
      <w:r w:rsidR="00426F80">
        <w:t> </w:t>
      </w:r>
      <w:r w:rsidRPr="00AC6C16">
        <w:t>mg/kg).</w:t>
      </w:r>
    </w:p>
    <w:p w14:paraId="76AC8C2D" w14:textId="13B2668F" w:rsidR="00C97177" w:rsidRDefault="00C97177" w:rsidP="00C97177">
      <w:pPr>
        <w:pStyle w:val="SingleTxtG"/>
      </w:pPr>
      <w:r>
        <w:t>11.</w:t>
      </w:r>
      <w:r>
        <w:tab/>
      </w:r>
      <w:r w:rsidRPr="008F34DF">
        <w:t>National classification experts on the oth</w:t>
      </w:r>
      <w:r>
        <w:t xml:space="preserve">er hand pointed out that the study mentioned in the </w:t>
      </w:r>
      <w:r w:rsidRPr="00415EC5">
        <w:t xml:space="preserve">ECHA-database </w:t>
      </w:r>
      <w:r>
        <w:t>that resulted in an LD</w:t>
      </w:r>
      <w:r w:rsidRPr="00736241">
        <w:rPr>
          <w:vertAlign w:val="subscript"/>
        </w:rPr>
        <w:t>50</w:t>
      </w:r>
      <w:r>
        <w:t xml:space="preserve">-value of 550 mg/kg from and hence leading to the conclusion that the substance is not orally toxic, had a 95 % confidence interval of </w:t>
      </w:r>
      <w:r w:rsidRPr="007E6775">
        <w:t>196.4 -884 mg/kg</w:t>
      </w:r>
      <w:r>
        <w:t xml:space="preserve">. As such providing little certainty that UN 2372 is not toxic according to the criteria for oral toxicity in 2.6.2.2.4.1 of the </w:t>
      </w:r>
      <w:r w:rsidR="00960EA6" w:rsidRPr="00960EA6">
        <w:rPr>
          <w:i/>
          <w:iCs/>
        </w:rPr>
        <w:t xml:space="preserve">Model </w:t>
      </w:r>
      <w:r w:rsidRPr="00960EA6">
        <w:rPr>
          <w:i/>
          <w:iCs/>
        </w:rPr>
        <w:t>Regulations</w:t>
      </w:r>
      <w:r>
        <w:t xml:space="preserve"> (minimal LD</w:t>
      </w:r>
      <w:r w:rsidRPr="00A53FCE">
        <w:rPr>
          <w:vertAlign w:val="subscript"/>
        </w:rPr>
        <w:t>50</w:t>
      </w:r>
      <w:r>
        <w:t xml:space="preserve"> = 300 mg/kg).</w:t>
      </w:r>
    </w:p>
    <w:p w14:paraId="548A99CD" w14:textId="62511255" w:rsidR="00C97177" w:rsidRDefault="00C97177" w:rsidP="00C97177">
      <w:pPr>
        <w:pStyle w:val="SingleTxtG"/>
      </w:pPr>
      <w:r>
        <w:t>12.</w:t>
      </w:r>
      <w:r>
        <w:tab/>
        <w:t xml:space="preserve">Taking into account the additional data on inhalation toxicity provided during the sixty-fourth session of the </w:t>
      </w:r>
      <w:r w:rsidR="00960EA6">
        <w:t>Sub-Committee</w:t>
      </w:r>
      <w:r>
        <w:t xml:space="preserve">, the conflicting data on oral toxicity that are available and doubt on the data showing UN 2372 is not orally toxic, as well as the fact that </w:t>
      </w:r>
      <w:r>
        <w:lastRenderedPageBreak/>
        <w:t>users are already considering UN 2372 as toxic, it is concluded that UN</w:t>
      </w:r>
      <w:r w:rsidR="00426F80">
        <w:t> </w:t>
      </w:r>
      <w:r>
        <w:t xml:space="preserve">2372 indeed possesses toxic properties according to the criteria of the </w:t>
      </w:r>
      <w:r w:rsidRPr="00960EA6">
        <w:rPr>
          <w:i/>
          <w:iCs/>
        </w:rPr>
        <w:t>Model Regulations</w:t>
      </w:r>
      <w:r>
        <w:t>.</w:t>
      </w:r>
    </w:p>
    <w:p w14:paraId="643B2643" w14:textId="5576BECE" w:rsidR="00C97177" w:rsidRPr="008F34DF" w:rsidRDefault="00C97177" w:rsidP="00C97177">
      <w:pPr>
        <w:pStyle w:val="SingleTxtG"/>
      </w:pPr>
      <w:r>
        <w:t>13.</w:t>
      </w:r>
      <w:r>
        <w:tab/>
        <w:t xml:space="preserve">As concerns classification in packing groups for toxicity, the data for oral toxicity point to </w:t>
      </w:r>
      <w:r w:rsidR="002765A5">
        <w:t>PG</w:t>
      </w:r>
      <w:r>
        <w:t xml:space="preserve">III and as concerns inhalation toxicity to </w:t>
      </w:r>
      <w:r w:rsidR="002765A5">
        <w:t>PG</w:t>
      </w:r>
      <w:r>
        <w:t>II at most.</w:t>
      </w:r>
    </w:p>
    <w:p w14:paraId="4C37BB8B" w14:textId="4782D454" w:rsidR="00C97177" w:rsidRDefault="00C97177" w:rsidP="00C97177">
      <w:pPr>
        <w:pStyle w:val="SingleTxtG"/>
      </w:pPr>
      <w:r>
        <w:t>14.</w:t>
      </w:r>
      <w:r>
        <w:tab/>
        <w:t>According to the precedence of hazards table in 2.0.3.3, Class 3 PGII takes precedence over Class 6, PGII and a reclassification to another class for its main hazard is not necessary. In addition, when following the principles outlined in the Guiding Principles adding Division</w:t>
      </w:r>
      <w:r w:rsidR="002765A5">
        <w:t> </w:t>
      </w:r>
      <w:r>
        <w:t>6.1 as a subsidiary hazard would not result in any other changes to the transport conditions besides changing the assigned portable tank code from T4 to T7, which was already proposed based on the addition of corrosivity as subsidiary hazard.</w:t>
      </w:r>
    </w:p>
    <w:p w14:paraId="1122B038" w14:textId="01187F26" w:rsidR="00C97177" w:rsidRPr="00C40FFB" w:rsidRDefault="00C97177" w:rsidP="00C97177">
      <w:pPr>
        <w:pStyle w:val="HChG"/>
      </w:pPr>
      <w:r>
        <w:tab/>
      </w:r>
      <w:r w:rsidR="002765A5">
        <w:t>III.</w:t>
      </w:r>
      <w:r>
        <w:tab/>
      </w:r>
      <w:r w:rsidRPr="00C40FFB">
        <w:t>Portable tank instruction</w:t>
      </w:r>
    </w:p>
    <w:p w14:paraId="7ACF1D52" w14:textId="5E6FA794" w:rsidR="00C97177" w:rsidRDefault="00C97177" w:rsidP="00C97177">
      <w:pPr>
        <w:pStyle w:val="SingleTxtG"/>
      </w:pPr>
      <w:r>
        <w:t>15.</w:t>
      </w:r>
      <w:r>
        <w:tab/>
        <w:t xml:space="preserve">In documents </w:t>
      </w:r>
      <w:hyperlink r:id="rId17">
        <w:r w:rsidRPr="29BBFBDC">
          <w:rPr>
            <w:rStyle w:val="Hyperlink"/>
          </w:rPr>
          <w:t>TDG/62/INF.18</w:t>
        </w:r>
      </w:hyperlink>
      <w:r>
        <w:t xml:space="preserve"> and </w:t>
      </w:r>
      <w:hyperlink r:id="rId18">
        <w:r w:rsidRPr="29BBFBDC">
          <w:rPr>
            <w:rStyle w:val="Hyperlink"/>
          </w:rPr>
          <w:t>ST/SG/AC.10/C.3/2024/46</w:t>
        </w:r>
      </w:hyperlink>
      <w:r>
        <w:t xml:space="preserve"> it was proposed to change the assigned portable tank code in column 10 of the Dangerous Goods List for UN</w:t>
      </w:r>
      <w:r w:rsidR="002765A5">
        <w:t> </w:t>
      </w:r>
      <w:r>
        <w:t xml:space="preserve">2372 from T4 to T7 as outlined in </w:t>
      </w:r>
      <w:r w:rsidR="002765A5">
        <w:t>t</w:t>
      </w:r>
      <w:r>
        <w:t>able 4.3 of the Guiding Principles for a Class 3 PGII substance with a Division 6.1 or Class 8 subsidiary hazard. During the discussions, it was stressed that portable tanks have a long lifetime and hence changing the portable tank code might have a substantial impact on the industry in the absence of any evidence of a safety problem during transport.</w:t>
      </w:r>
    </w:p>
    <w:p w14:paraId="76A4CFD7" w14:textId="77777777" w:rsidR="00C97177" w:rsidRDefault="00C97177" w:rsidP="00C97177">
      <w:pPr>
        <w:pStyle w:val="SingleTxtG"/>
      </w:pPr>
      <w:r>
        <w:t>16.</w:t>
      </w:r>
      <w:r>
        <w:tab/>
        <w:t xml:space="preserve">Further analysis has revealed that the main difference between a T4 and T7 tank is that the minimum test pressure for a T4 tank is 2,65 bar, while the required minimum test pressure for a T7 tank is 4 bar. The other requirements in table in 4.2.5.2.6 (minimum shell thickness, bottom </w:t>
      </w:r>
      <w:proofErr w:type="gramStart"/>
      <w:r>
        <w:t>openings</w:t>
      </w:r>
      <w:proofErr w:type="gramEnd"/>
      <w:r>
        <w:t xml:space="preserve"> and pressure relief devices) are exactly the same for T4 and T7 tanks.</w:t>
      </w:r>
    </w:p>
    <w:p w14:paraId="2BC67174" w14:textId="7C7CC213" w:rsidR="00C97177" w:rsidRDefault="00C97177" w:rsidP="00C97177">
      <w:pPr>
        <w:pStyle w:val="SingleTxtG"/>
      </w:pPr>
      <w:r>
        <w:t>17.</w:t>
      </w:r>
      <w:r>
        <w:tab/>
        <w:t>During consultation with the tank experts from our inspection bodies, it was explained that changing the tank code from T4 to T7 for these portable tanks would have more consequences than just testing these portable tanks at a higher pressure:</w:t>
      </w:r>
    </w:p>
    <w:p w14:paraId="76FB3CD7" w14:textId="00A27F15" w:rsidR="00C97177" w:rsidRDefault="003B1321" w:rsidP="00926574">
      <w:pPr>
        <w:pStyle w:val="Bullet1G"/>
        <w:numPr>
          <w:ilvl w:val="0"/>
          <w:numId w:val="0"/>
        </w:numPr>
        <w:ind w:left="1701"/>
      </w:pPr>
      <w:r>
        <w:t>(a)</w:t>
      </w:r>
      <w:r>
        <w:tab/>
      </w:r>
      <w:r w:rsidR="00C97177">
        <w:t>The safety valves would need to be set at a higher opening pressure.</w:t>
      </w:r>
    </w:p>
    <w:p w14:paraId="1F59EBCF" w14:textId="588DC788" w:rsidR="00C97177" w:rsidRDefault="003B1321" w:rsidP="00926574">
      <w:pPr>
        <w:pStyle w:val="Bullet1G"/>
        <w:numPr>
          <w:ilvl w:val="0"/>
          <w:numId w:val="0"/>
        </w:numPr>
        <w:ind w:left="1701"/>
      </w:pPr>
      <w:r>
        <w:t>(b)</w:t>
      </w:r>
      <w:r>
        <w:tab/>
      </w:r>
      <w:r w:rsidR="00C97177">
        <w:t>The marking on the tank and tank plate would need to be changed.</w:t>
      </w:r>
    </w:p>
    <w:p w14:paraId="57B826A9" w14:textId="7530F7D5" w:rsidR="00C97177" w:rsidRDefault="003B1321" w:rsidP="00926574">
      <w:pPr>
        <w:pStyle w:val="Bullet1G"/>
        <w:numPr>
          <w:ilvl w:val="0"/>
          <w:numId w:val="0"/>
        </w:numPr>
        <w:ind w:left="1701"/>
      </w:pPr>
      <w:r>
        <w:t>(c)</w:t>
      </w:r>
      <w:r>
        <w:tab/>
      </w:r>
      <w:r w:rsidR="00C97177">
        <w:t xml:space="preserve">A revision of the type approvals would need to be done to ensure that there is no need for a higher wall thickness of the tanks, since the test pressure needs to be </w:t>
      </w:r>
      <w:proofErr w:type="gramStart"/>
      <w:r w:rsidR="00C97177">
        <w:t>taken into account</w:t>
      </w:r>
      <w:proofErr w:type="gramEnd"/>
      <w:r w:rsidR="00C97177">
        <w:t xml:space="preserve"> when calculating the wall thickness. Nevertheless, it was also thought that in this case, the standard minimum wall thickness in reference steel according to 6.7.2.4.2 – 6.7.2.4.4 will be the limiting factor.</w:t>
      </w:r>
    </w:p>
    <w:p w14:paraId="4EAFFFA7" w14:textId="5BD80D4B" w:rsidR="00C97177" w:rsidRDefault="003B1321" w:rsidP="00C97177">
      <w:pPr>
        <w:pStyle w:val="SingleTxtG"/>
      </w:pPr>
      <w:r>
        <w:tab/>
      </w:r>
      <w:r w:rsidR="00C97177">
        <w:t xml:space="preserve">Nevertheless, it was suggested that </w:t>
      </w:r>
      <w:r>
        <w:t xml:space="preserve">five </w:t>
      </w:r>
      <w:r w:rsidR="00C97177">
        <w:t xml:space="preserve">years would be a reasonable transition period for performing the necessary adaptions and revisions. As such, one of the options proposed is to change the tank code assigned to UN 2372 with a transition period of </w:t>
      </w:r>
      <w:r>
        <w:t xml:space="preserve">five </w:t>
      </w:r>
      <w:r w:rsidR="00C97177">
        <w:t>(+</w:t>
      </w:r>
      <w:r>
        <w:t>two</w:t>
      </w:r>
      <w:r w:rsidR="00C97177">
        <w:t>) years (Proposal 3, option 2).</w:t>
      </w:r>
    </w:p>
    <w:p w14:paraId="50EF96D6" w14:textId="77777777" w:rsidR="00C97177" w:rsidRDefault="00C97177" w:rsidP="00C97177">
      <w:pPr>
        <w:pStyle w:val="SingleTxtG"/>
      </w:pPr>
      <w:r>
        <w:t>18.</w:t>
      </w:r>
      <w:r>
        <w:tab/>
      </w:r>
      <w:proofErr w:type="spellStart"/>
      <w:r>
        <w:t>Intersessionally</w:t>
      </w:r>
      <w:proofErr w:type="spellEnd"/>
      <w:r>
        <w:t>, emphasis was also put on portable tank special provision TP28 which allows a deviation from the test pressure and allows transport in portable tanks with a minimum test pressure of 2,65 bar. This means either T3, T4 or T5 portable tanks, depending on the other portable tank requirements in 4.2.5.2.6. In the specific case of UN 2372, assigning TP28 as a portable tank special provision would leave the possibility to further transport in T4 portable tanks, as is currently required.</w:t>
      </w:r>
    </w:p>
    <w:p w14:paraId="127A8289" w14:textId="0A82E19F" w:rsidR="00C97177" w:rsidRDefault="00C97177" w:rsidP="00C97177">
      <w:pPr>
        <w:pStyle w:val="SingleTxtG"/>
      </w:pPr>
      <w:r>
        <w:t>19.</w:t>
      </w:r>
      <w:r>
        <w:tab/>
        <w:t xml:space="preserve">TP28 is already assigned to several other entries in the </w:t>
      </w:r>
      <w:r w:rsidR="00B57792">
        <w:t xml:space="preserve">dangerous goods list </w:t>
      </w:r>
      <w:r>
        <w:t xml:space="preserve">(~80) that have T7 assigned as portable tank instruction and that are either classified in Class 3, PGII (e.g. UN 1224 </w:t>
      </w:r>
      <w:r w:rsidRPr="00F02EB7">
        <w:t>KETONES, LIQUID, N.O.S.</w:t>
      </w:r>
      <w:r>
        <w:t>) and even to Class 3 PGI substances (e.g. UN 1863 FUEL, AVIATION, TURBINE ENGINE) as well as a substantial number of substances classified in Division 6.1 (e.g.</w:t>
      </w:r>
      <w:r w:rsidRPr="00D851A4">
        <w:t xml:space="preserve"> </w:t>
      </w:r>
      <w:r>
        <w:t xml:space="preserve">UN 3250, CHLOROACETIC ACID, MOLTEN, PG II, Class 8 subsidiary hazard) or Class 8 (e.g. UN </w:t>
      </w:r>
      <w:r w:rsidRPr="00557289">
        <w:t xml:space="preserve">2798 </w:t>
      </w:r>
      <w:r>
        <w:t>PHENYLPHOSPHORUS DICHLORIDE, PGII). TP28 is also assigned to some entries with T8 as portable tank instruction.</w:t>
      </w:r>
    </w:p>
    <w:p w14:paraId="00EE7FBD" w14:textId="24F0F690" w:rsidR="00C97177" w:rsidRDefault="00C97177" w:rsidP="00C97177">
      <w:pPr>
        <w:pStyle w:val="SingleTxtG"/>
      </w:pPr>
      <w:r>
        <w:lastRenderedPageBreak/>
        <w:t>20.</w:t>
      </w:r>
      <w:r>
        <w:tab/>
        <w:t xml:space="preserve">Even though the Guiding Principles prescribe the use of T7 portable tanks, assigning TP28 to UN 2372 in the </w:t>
      </w:r>
      <w:r w:rsidR="00B57792">
        <w:t xml:space="preserve">dangerous goods </w:t>
      </w:r>
      <w:r>
        <w:t>list would leave the possibility to further transport UN</w:t>
      </w:r>
      <w:r w:rsidR="00B57792">
        <w:t> </w:t>
      </w:r>
      <w:r>
        <w:t>2372 in T4 portable tanks. Given the solid safety record of transport of UN 2372, there is no obvious practical reason to strictly forbid transport in T4 portable tanks. In addition, this would also limit the impact on industry after the reclassification of this substance. As such, one of the options proposed is to assign T7 to this substance, but also assign TP28 (Proposal 3, option 1).</w:t>
      </w:r>
    </w:p>
    <w:p w14:paraId="58A73174" w14:textId="4B2FCB7A" w:rsidR="00C97177" w:rsidRDefault="00C97177" w:rsidP="00C97177">
      <w:pPr>
        <w:pStyle w:val="SingleTxtG"/>
      </w:pPr>
      <w:r>
        <w:t>21.</w:t>
      </w:r>
      <w:r>
        <w:tab/>
        <w:t xml:space="preserve">If the Sub-Committee would </w:t>
      </w:r>
      <w:proofErr w:type="gramStart"/>
      <w:r>
        <w:t>be of the opinion that</w:t>
      </w:r>
      <w:proofErr w:type="gramEnd"/>
      <w:r>
        <w:t xml:space="preserve"> amending the portable tank instruction for UN 2372 to be in line with the Guiding Principles is not a suitable approach, it is alternatively proposed to keep the current portable tank provision T4 and provide a clarification in the Guiding Principles to reflect the reasoning applied (see proposal 3, option 3).</w:t>
      </w:r>
    </w:p>
    <w:p w14:paraId="21210709" w14:textId="76F59FDD" w:rsidR="00C97177" w:rsidRDefault="00C97177" w:rsidP="00C97177">
      <w:pPr>
        <w:pStyle w:val="HChG"/>
        <w:rPr>
          <w:lang w:val="en-US"/>
        </w:rPr>
      </w:pPr>
      <w:r>
        <w:tab/>
        <w:t>I</w:t>
      </w:r>
      <w:r w:rsidR="006002FC">
        <w:t>V</w:t>
      </w:r>
      <w:r>
        <w:t>.</w:t>
      </w:r>
      <w:r>
        <w:tab/>
        <w:t>P</w:t>
      </w:r>
      <w:r w:rsidRPr="00200CA0">
        <w:t>roposal</w:t>
      </w:r>
      <w:r w:rsidRPr="001A7A1A">
        <w:rPr>
          <w:lang w:val="en-US"/>
        </w:rPr>
        <w:t>s</w:t>
      </w:r>
    </w:p>
    <w:p w14:paraId="0B17A5AF" w14:textId="039DE702" w:rsidR="00C97177" w:rsidRPr="0062316F" w:rsidRDefault="00C97177" w:rsidP="00C97177">
      <w:pPr>
        <w:pStyle w:val="H1G"/>
        <w:rPr>
          <w:lang w:val="en-US"/>
        </w:rPr>
      </w:pPr>
      <w:r>
        <w:rPr>
          <w:lang w:val="en-US"/>
        </w:rPr>
        <w:tab/>
        <w:t>A.</w:t>
      </w:r>
      <w:r>
        <w:rPr>
          <w:lang w:val="en-US"/>
        </w:rPr>
        <w:tab/>
      </w:r>
      <w:r w:rsidRPr="0062316F">
        <w:rPr>
          <w:lang w:val="en-US"/>
        </w:rPr>
        <w:t xml:space="preserve">Proposals 1 </w:t>
      </w:r>
      <w:r w:rsidR="003C6836">
        <w:rPr>
          <w:lang w:val="en-US"/>
        </w:rPr>
        <w:t>and</w:t>
      </w:r>
      <w:r w:rsidR="003C6836" w:rsidRPr="0062316F">
        <w:rPr>
          <w:lang w:val="en-US"/>
        </w:rPr>
        <w:t xml:space="preserve"> </w:t>
      </w:r>
      <w:r w:rsidRPr="0062316F">
        <w:rPr>
          <w:lang w:val="en-US"/>
        </w:rPr>
        <w:t>2</w:t>
      </w:r>
    </w:p>
    <w:p w14:paraId="253BF402" w14:textId="77777777" w:rsidR="00C97177" w:rsidRDefault="00C97177" w:rsidP="00C97177">
      <w:pPr>
        <w:pStyle w:val="SingleTxtG"/>
      </w:pPr>
      <w:r>
        <w:t>22.</w:t>
      </w:r>
      <w:r>
        <w:tab/>
        <w:t xml:space="preserve">Proposal 1: </w:t>
      </w:r>
      <w:r w:rsidRPr="00184512">
        <w:t>Add corrosivity as</w:t>
      </w:r>
      <w:r>
        <w:t xml:space="preserve"> a subsidiary hazard for UN 2372.</w:t>
      </w:r>
    </w:p>
    <w:p w14:paraId="080CA481" w14:textId="77777777" w:rsidR="00C97177" w:rsidRDefault="00C97177" w:rsidP="00C97177">
      <w:pPr>
        <w:pStyle w:val="SingleTxtG"/>
      </w:pPr>
      <w:r>
        <w:t>23.</w:t>
      </w:r>
      <w:r>
        <w:tab/>
        <w:t>Proposal 2: Add toxicity as a subsidiary hazard for UN 2372.</w:t>
      </w:r>
    </w:p>
    <w:p w14:paraId="680FB00B" w14:textId="77777777" w:rsidR="00C97177" w:rsidRDefault="00C97177" w:rsidP="00C97177">
      <w:pPr>
        <w:pStyle w:val="SingleTxtG"/>
        <w:spacing w:after="240"/>
      </w:pPr>
      <w:r>
        <w:t>24.</w:t>
      </w:r>
      <w:r>
        <w:tab/>
        <w:t xml:space="preserve">If these proposals are accepted the entry in the Dangerous Goods List for UN 2372 would read as follows (new text in </w:t>
      </w:r>
      <w:r w:rsidRPr="00051F5D">
        <w:rPr>
          <w:b/>
          <w:u w:val="single"/>
        </w:rPr>
        <w:t>bold</w:t>
      </w:r>
      <w:r>
        <w:t xml:space="preserve"> and </w:t>
      </w:r>
      <w:r w:rsidRPr="00051F5D">
        <w:rPr>
          <w:b/>
          <w:u w:val="single"/>
        </w:rPr>
        <w:t>underlined</w:t>
      </w:r>
      <w:r>
        <w:t>).</w:t>
      </w:r>
    </w:p>
    <w:tbl>
      <w:tblPr>
        <w:tblStyle w:val="Grilledutableau1"/>
        <w:tblpPr w:leftFromText="141" w:rightFromText="141" w:vertAnchor="text" w:horzAnchor="margin" w:tblpX="562" w:tblpY="-31"/>
        <w:tblW w:w="8926" w:type="dxa"/>
        <w:tblLayout w:type="fixed"/>
        <w:tblLook w:val="04A0" w:firstRow="1" w:lastRow="0" w:firstColumn="1" w:lastColumn="0" w:noHBand="0" w:noVBand="1"/>
      </w:tblPr>
      <w:tblGrid>
        <w:gridCol w:w="709"/>
        <w:gridCol w:w="2405"/>
        <w:gridCol w:w="425"/>
        <w:gridCol w:w="425"/>
        <w:gridCol w:w="474"/>
        <w:gridCol w:w="329"/>
        <w:gridCol w:w="520"/>
        <w:gridCol w:w="523"/>
        <w:gridCol w:w="902"/>
        <w:gridCol w:w="796"/>
        <w:gridCol w:w="567"/>
        <w:gridCol w:w="851"/>
      </w:tblGrid>
      <w:tr w:rsidR="00C97177" w:rsidRPr="00200CA0" w14:paraId="26DF2FF4" w14:textId="77777777" w:rsidTr="00176405">
        <w:trPr>
          <w:trHeight w:val="1335"/>
        </w:trPr>
        <w:tc>
          <w:tcPr>
            <w:tcW w:w="709" w:type="dxa"/>
            <w:vMerge w:val="restart"/>
            <w:textDirection w:val="btLr"/>
            <w:vAlign w:val="center"/>
          </w:tcPr>
          <w:p w14:paraId="3CE18544" w14:textId="77777777" w:rsidR="00C97177" w:rsidRPr="00AA4B2E" w:rsidRDefault="00C97177" w:rsidP="00176405">
            <w:pPr>
              <w:suppressAutoHyphens w:val="0"/>
              <w:spacing w:line="240" w:lineRule="auto"/>
              <w:ind w:left="113" w:right="113"/>
              <w:jc w:val="center"/>
            </w:pPr>
            <w:r w:rsidRPr="00AA4B2E">
              <w:t>UN No.</w:t>
            </w:r>
          </w:p>
        </w:tc>
        <w:tc>
          <w:tcPr>
            <w:tcW w:w="2405" w:type="dxa"/>
            <w:vMerge w:val="restart"/>
            <w:textDirection w:val="btLr"/>
            <w:vAlign w:val="center"/>
          </w:tcPr>
          <w:p w14:paraId="32C2516E" w14:textId="77777777" w:rsidR="00C97177" w:rsidRPr="00AA4B2E" w:rsidRDefault="00C97177" w:rsidP="00176405">
            <w:pPr>
              <w:suppressAutoHyphens w:val="0"/>
              <w:spacing w:line="240" w:lineRule="auto"/>
              <w:ind w:left="113" w:right="113"/>
              <w:jc w:val="center"/>
            </w:pPr>
            <w:r w:rsidRPr="00AA4B2E">
              <w:t>Name and description</w:t>
            </w:r>
          </w:p>
        </w:tc>
        <w:tc>
          <w:tcPr>
            <w:tcW w:w="425" w:type="dxa"/>
            <w:vMerge w:val="restart"/>
            <w:textDirection w:val="btLr"/>
            <w:vAlign w:val="center"/>
          </w:tcPr>
          <w:p w14:paraId="63BAA6A0" w14:textId="77777777" w:rsidR="00C97177" w:rsidRPr="00AA4B2E" w:rsidRDefault="00C97177" w:rsidP="00176405">
            <w:pPr>
              <w:suppressAutoHyphens w:val="0"/>
              <w:spacing w:line="240" w:lineRule="auto"/>
              <w:ind w:left="113" w:right="113"/>
              <w:jc w:val="center"/>
            </w:pPr>
            <w:r w:rsidRPr="00AA4B2E">
              <w:t>Class or division</w:t>
            </w:r>
          </w:p>
        </w:tc>
        <w:tc>
          <w:tcPr>
            <w:tcW w:w="425" w:type="dxa"/>
            <w:vMerge w:val="restart"/>
            <w:textDirection w:val="btLr"/>
            <w:vAlign w:val="center"/>
          </w:tcPr>
          <w:p w14:paraId="0A9734C6" w14:textId="77777777" w:rsidR="00C97177" w:rsidRPr="00AA4B2E" w:rsidRDefault="00C97177" w:rsidP="00176405">
            <w:pPr>
              <w:suppressAutoHyphens w:val="0"/>
              <w:spacing w:line="240" w:lineRule="auto"/>
              <w:ind w:left="113" w:right="113"/>
              <w:jc w:val="center"/>
            </w:pPr>
            <w:r w:rsidRPr="00AA4B2E">
              <w:t>Subsidiary hazard</w:t>
            </w:r>
          </w:p>
        </w:tc>
        <w:tc>
          <w:tcPr>
            <w:tcW w:w="474" w:type="dxa"/>
            <w:vMerge w:val="restart"/>
            <w:textDirection w:val="btLr"/>
            <w:vAlign w:val="center"/>
          </w:tcPr>
          <w:p w14:paraId="65D051F1" w14:textId="77777777" w:rsidR="00C97177" w:rsidRPr="00AA4B2E" w:rsidRDefault="00C97177" w:rsidP="00176405">
            <w:pPr>
              <w:suppressAutoHyphens w:val="0"/>
              <w:spacing w:line="240" w:lineRule="auto"/>
              <w:ind w:left="113" w:right="113"/>
              <w:jc w:val="center"/>
            </w:pPr>
            <w:r w:rsidRPr="00AA4B2E">
              <w:t>UN packing group</w:t>
            </w:r>
          </w:p>
        </w:tc>
        <w:tc>
          <w:tcPr>
            <w:tcW w:w="329" w:type="dxa"/>
            <w:vMerge w:val="restart"/>
            <w:textDirection w:val="btLr"/>
            <w:vAlign w:val="center"/>
          </w:tcPr>
          <w:p w14:paraId="03E4655E" w14:textId="77777777" w:rsidR="00C97177" w:rsidRPr="00AA4B2E" w:rsidRDefault="00C97177" w:rsidP="00176405">
            <w:pPr>
              <w:suppressAutoHyphens w:val="0"/>
              <w:spacing w:line="240" w:lineRule="auto"/>
              <w:ind w:left="113" w:right="113"/>
              <w:jc w:val="center"/>
            </w:pPr>
            <w:r w:rsidRPr="00AA4B2E">
              <w:t>Special provisions</w:t>
            </w:r>
          </w:p>
        </w:tc>
        <w:tc>
          <w:tcPr>
            <w:tcW w:w="1043" w:type="dxa"/>
            <w:gridSpan w:val="2"/>
            <w:vMerge w:val="restart"/>
            <w:textDirection w:val="btLr"/>
            <w:vAlign w:val="center"/>
          </w:tcPr>
          <w:p w14:paraId="6C118051" w14:textId="77777777" w:rsidR="00C97177" w:rsidRPr="00AA4B2E" w:rsidRDefault="00C97177" w:rsidP="00176405">
            <w:pPr>
              <w:suppressAutoHyphens w:val="0"/>
              <w:spacing w:line="240" w:lineRule="auto"/>
              <w:ind w:left="113" w:right="113"/>
              <w:jc w:val="center"/>
            </w:pPr>
            <w:r w:rsidRPr="00AA4B2E">
              <w:t>Limited and excepted quantities</w:t>
            </w:r>
          </w:p>
        </w:tc>
        <w:tc>
          <w:tcPr>
            <w:tcW w:w="1698" w:type="dxa"/>
            <w:gridSpan w:val="2"/>
            <w:textDirection w:val="btLr"/>
            <w:vAlign w:val="center"/>
          </w:tcPr>
          <w:p w14:paraId="767493F7" w14:textId="77777777" w:rsidR="00C97177" w:rsidRPr="00AA4B2E" w:rsidRDefault="00C97177" w:rsidP="00176405">
            <w:pPr>
              <w:suppressAutoHyphens w:val="0"/>
              <w:spacing w:line="240" w:lineRule="auto"/>
              <w:ind w:left="113" w:right="113"/>
              <w:jc w:val="center"/>
            </w:pPr>
            <w:proofErr w:type="spellStart"/>
            <w:r w:rsidRPr="00AA4B2E">
              <w:t>Packagings</w:t>
            </w:r>
            <w:proofErr w:type="spellEnd"/>
            <w:r w:rsidRPr="00AA4B2E">
              <w:t xml:space="preserve"> and IBCs</w:t>
            </w:r>
          </w:p>
        </w:tc>
        <w:tc>
          <w:tcPr>
            <w:tcW w:w="1418" w:type="dxa"/>
            <w:gridSpan w:val="2"/>
            <w:textDirection w:val="btLr"/>
            <w:vAlign w:val="center"/>
          </w:tcPr>
          <w:p w14:paraId="715D6456" w14:textId="77777777" w:rsidR="00C97177" w:rsidRPr="00AA4B2E" w:rsidRDefault="00C97177" w:rsidP="00176405">
            <w:pPr>
              <w:suppressAutoHyphens w:val="0"/>
              <w:spacing w:line="240" w:lineRule="auto"/>
              <w:ind w:left="113" w:right="113"/>
              <w:jc w:val="center"/>
            </w:pPr>
            <w:r w:rsidRPr="00AA4B2E">
              <w:t>Portable tanks and bulk containers</w:t>
            </w:r>
          </w:p>
        </w:tc>
      </w:tr>
      <w:tr w:rsidR="00176405" w:rsidRPr="00200CA0" w14:paraId="0647668F" w14:textId="77777777" w:rsidTr="00176405">
        <w:trPr>
          <w:trHeight w:val="1474"/>
        </w:trPr>
        <w:tc>
          <w:tcPr>
            <w:tcW w:w="709" w:type="dxa"/>
            <w:vMerge/>
            <w:textDirection w:val="btLr"/>
            <w:vAlign w:val="center"/>
          </w:tcPr>
          <w:p w14:paraId="5B3F6F18" w14:textId="77777777" w:rsidR="00C97177" w:rsidRPr="00AA4B2E" w:rsidRDefault="00C97177" w:rsidP="00176405">
            <w:pPr>
              <w:suppressAutoHyphens w:val="0"/>
              <w:spacing w:line="240" w:lineRule="auto"/>
              <w:ind w:left="113" w:right="113"/>
              <w:jc w:val="center"/>
            </w:pPr>
          </w:p>
        </w:tc>
        <w:tc>
          <w:tcPr>
            <w:tcW w:w="2405" w:type="dxa"/>
            <w:vMerge/>
            <w:textDirection w:val="btLr"/>
            <w:vAlign w:val="center"/>
          </w:tcPr>
          <w:p w14:paraId="2B95C230" w14:textId="77777777" w:rsidR="00C97177" w:rsidRPr="00AA4B2E" w:rsidRDefault="00C97177" w:rsidP="00176405">
            <w:pPr>
              <w:suppressAutoHyphens w:val="0"/>
              <w:spacing w:line="240" w:lineRule="auto"/>
              <w:ind w:left="113" w:right="113"/>
              <w:jc w:val="center"/>
            </w:pPr>
          </w:p>
        </w:tc>
        <w:tc>
          <w:tcPr>
            <w:tcW w:w="425" w:type="dxa"/>
            <w:vMerge/>
            <w:textDirection w:val="btLr"/>
            <w:vAlign w:val="center"/>
          </w:tcPr>
          <w:p w14:paraId="2B477671" w14:textId="77777777" w:rsidR="00C97177" w:rsidRPr="00AA4B2E" w:rsidRDefault="00C97177" w:rsidP="00176405">
            <w:pPr>
              <w:suppressAutoHyphens w:val="0"/>
              <w:spacing w:line="240" w:lineRule="auto"/>
              <w:ind w:left="113" w:right="113"/>
              <w:jc w:val="center"/>
            </w:pPr>
          </w:p>
        </w:tc>
        <w:tc>
          <w:tcPr>
            <w:tcW w:w="425" w:type="dxa"/>
            <w:vMerge/>
            <w:textDirection w:val="btLr"/>
            <w:vAlign w:val="center"/>
          </w:tcPr>
          <w:p w14:paraId="6F97A012" w14:textId="77777777" w:rsidR="00C97177" w:rsidRPr="00AA4B2E" w:rsidRDefault="00C97177" w:rsidP="00176405">
            <w:pPr>
              <w:suppressAutoHyphens w:val="0"/>
              <w:spacing w:line="240" w:lineRule="auto"/>
              <w:ind w:left="113" w:right="113"/>
              <w:jc w:val="center"/>
            </w:pPr>
          </w:p>
        </w:tc>
        <w:tc>
          <w:tcPr>
            <w:tcW w:w="474" w:type="dxa"/>
            <w:vMerge/>
            <w:textDirection w:val="btLr"/>
            <w:vAlign w:val="center"/>
          </w:tcPr>
          <w:p w14:paraId="26E4B645" w14:textId="77777777" w:rsidR="00C97177" w:rsidRPr="00AA4B2E" w:rsidRDefault="00C97177" w:rsidP="00176405">
            <w:pPr>
              <w:suppressAutoHyphens w:val="0"/>
              <w:spacing w:line="240" w:lineRule="auto"/>
              <w:ind w:left="113" w:right="113"/>
              <w:jc w:val="center"/>
            </w:pPr>
          </w:p>
        </w:tc>
        <w:tc>
          <w:tcPr>
            <w:tcW w:w="329" w:type="dxa"/>
            <w:vMerge/>
            <w:textDirection w:val="btLr"/>
            <w:vAlign w:val="center"/>
          </w:tcPr>
          <w:p w14:paraId="2F3145EA" w14:textId="77777777" w:rsidR="00C97177" w:rsidRPr="00AA4B2E" w:rsidRDefault="00C97177" w:rsidP="00176405">
            <w:pPr>
              <w:suppressAutoHyphens w:val="0"/>
              <w:spacing w:line="240" w:lineRule="auto"/>
              <w:ind w:left="113" w:right="113"/>
              <w:jc w:val="center"/>
            </w:pPr>
          </w:p>
        </w:tc>
        <w:tc>
          <w:tcPr>
            <w:tcW w:w="1043" w:type="dxa"/>
            <w:gridSpan w:val="2"/>
            <w:vMerge/>
            <w:textDirection w:val="btLr"/>
            <w:vAlign w:val="center"/>
          </w:tcPr>
          <w:p w14:paraId="1053FB7A" w14:textId="77777777" w:rsidR="00C97177" w:rsidRPr="00AA4B2E" w:rsidRDefault="00C97177" w:rsidP="00176405">
            <w:pPr>
              <w:suppressAutoHyphens w:val="0"/>
              <w:spacing w:line="240" w:lineRule="auto"/>
              <w:ind w:left="113" w:right="113"/>
              <w:jc w:val="center"/>
            </w:pPr>
          </w:p>
        </w:tc>
        <w:tc>
          <w:tcPr>
            <w:tcW w:w="902" w:type="dxa"/>
            <w:textDirection w:val="btLr"/>
            <w:vAlign w:val="center"/>
          </w:tcPr>
          <w:p w14:paraId="00E32628" w14:textId="77777777" w:rsidR="00C97177" w:rsidRPr="00AA4B2E" w:rsidRDefault="00C97177" w:rsidP="00176405">
            <w:pPr>
              <w:suppressAutoHyphens w:val="0"/>
              <w:spacing w:line="240" w:lineRule="auto"/>
              <w:ind w:left="113" w:right="113"/>
              <w:jc w:val="center"/>
            </w:pPr>
            <w:r w:rsidRPr="00AA4B2E">
              <w:t>Packing instruction</w:t>
            </w:r>
          </w:p>
        </w:tc>
        <w:tc>
          <w:tcPr>
            <w:tcW w:w="796" w:type="dxa"/>
            <w:textDirection w:val="btLr"/>
            <w:vAlign w:val="center"/>
          </w:tcPr>
          <w:p w14:paraId="253B6DCD" w14:textId="77777777" w:rsidR="00C97177" w:rsidRPr="00AA4B2E" w:rsidRDefault="00C97177" w:rsidP="00176405">
            <w:pPr>
              <w:suppressAutoHyphens w:val="0"/>
              <w:spacing w:line="240" w:lineRule="auto"/>
              <w:ind w:left="113" w:right="113"/>
              <w:jc w:val="center"/>
            </w:pPr>
            <w:r w:rsidRPr="00AA4B2E">
              <w:t>Special packing provisions</w:t>
            </w:r>
          </w:p>
        </w:tc>
        <w:tc>
          <w:tcPr>
            <w:tcW w:w="567" w:type="dxa"/>
            <w:textDirection w:val="btLr"/>
            <w:vAlign w:val="center"/>
          </w:tcPr>
          <w:p w14:paraId="73F01DD3" w14:textId="77777777" w:rsidR="00C97177" w:rsidRPr="00AA4B2E" w:rsidRDefault="00C97177" w:rsidP="00176405">
            <w:pPr>
              <w:suppressAutoHyphens w:val="0"/>
              <w:spacing w:line="240" w:lineRule="auto"/>
              <w:ind w:left="113" w:right="113"/>
              <w:jc w:val="center"/>
            </w:pPr>
            <w:r w:rsidRPr="00AA4B2E">
              <w:t>Instructions</w:t>
            </w:r>
          </w:p>
        </w:tc>
        <w:tc>
          <w:tcPr>
            <w:tcW w:w="851" w:type="dxa"/>
            <w:textDirection w:val="btLr"/>
            <w:vAlign w:val="center"/>
          </w:tcPr>
          <w:p w14:paraId="5DB51083" w14:textId="77777777" w:rsidR="00C97177" w:rsidRPr="00AA4B2E" w:rsidRDefault="00C97177" w:rsidP="00176405">
            <w:pPr>
              <w:suppressAutoHyphens w:val="0"/>
              <w:spacing w:line="240" w:lineRule="auto"/>
              <w:ind w:left="113" w:right="113"/>
              <w:jc w:val="center"/>
            </w:pPr>
            <w:r w:rsidRPr="00AA4B2E">
              <w:t>Special provisions</w:t>
            </w:r>
          </w:p>
        </w:tc>
      </w:tr>
      <w:tr w:rsidR="00176405" w:rsidRPr="00200CA0" w14:paraId="681A1D55" w14:textId="77777777" w:rsidTr="00176405">
        <w:tc>
          <w:tcPr>
            <w:tcW w:w="709" w:type="dxa"/>
          </w:tcPr>
          <w:p w14:paraId="7C361DD0" w14:textId="77777777" w:rsidR="00C97177" w:rsidRPr="00AA4B2E" w:rsidRDefault="00C97177" w:rsidP="00176405">
            <w:pPr>
              <w:suppressAutoHyphens w:val="0"/>
              <w:spacing w:line="240" w:lineRule="auto"/>
              <w:jc w:val="center"/>
            </w:pPr>
            <w:r w:rsidRPr="00AA4B2E">
              <w:t>(1)</w:t>
            </w:r>
          </w:p>
        </w:tc>
        <w:tc>
          <w:tcPr>
            <w:tcW w:w="2405" w:type="dxa"/>
          </w:tcPr>
          <w:p w14:paraId="4322B8A9" w14:textId="77777777" w:rsidR="00C97177" w:rsidRPr="00AA4B2E" w:rsidRDefault="00C97177" w:rsidP="00176405">
            <w:pPr>
              <w:suppressAutoHyphens w:val="0"/>
              <w:spacing w:line="240" w:lineRule="auto"/>
              <w:jc w:val="center"/>
            </w:pPr>
            <w:r w:rsidRPr="00AA4B2E">
              <w:t>(2)</w:t>
            </w:r>
          </w:p>
        </w:tc>
        <w:tc>
          <w:tcPr>
            <w:tcW w:w="425" w:type="dxa"/>
          </w:tcPr>
          <w:p w14:paraId="26130E3A" w14:textId="77777777" w:rsidR="00C97177" w:rsidRPr="00AA4B2E" w:rsidRDefault="00C97177" w:rsidP="00176405">
            <w:pPr>
              <w:suppressAutoHyphens w:val="0"/>
              <w:spacing w:line="240" w:lineRule="auto"/>
              <w:jc w:val="center"/>
            </w:pPr>
            <w:r w:rsidRPr="00AA4B2E">
              <w:t>(3)</w:t>
            </w:r>
          </w:p>
        </w:tc>
        <w:tc>
          <w:tcPr>
            <w:tcW w:w="425" w:type="dxa"/>
          </w:tcPr>
          <w:p w14:paraId="441590F3" w14:textId="77777777" w:rsidR="00C97177" w:rsidRPr="00AA4B2E" w:rsidRDefault="00C97177" w:rsidP="00176405">
            <w:pPr>
              <w:suppressAutoHyphens w:val="0"/>
              <w:spacing w:line="240" w:lineRule="auto"/>
              <w:jc w:val="center"/>
            </w:pPr>
            <w:r w:rsidRPr="00AA4B2E">
              <w:t>(4)</w:t>
            </w:r>
          </w:p>
        </w:tc>
        <w:tc>
          <w:tcPr>
            <w:tcW w:w="474" w:type="dxa"/>
          </w:tcPr>
          <w:p w14:paraId="0A6697DE" w14:textId="77777777" w:rsidR="00C97177" w:rsidRPr="00AA4B2E" w:rsidRDefault="00C97177" w:rsidP="00176405">
            <w:pPr>
              <w:suppressAutoHyphens w:val="0"/>
              <w:spacing w:line="240" w:lineRule="auto"/>
              <w:jc w:val="center"/>
            </w:pPr>
            <w:r w:rsidRPr="00AA4B2E">
              <w:t>(5)</w:t>
            </w:r>
          </w:p>
        </w:tc>
        <w:tc>
          <w:tcPr>
            <w:tcW w:w="329" w:type="dxa"/>
          </w:tcPr>
          <w:p w14:paraId="1CDCCE1B" w14:textId="77777777" w:rsidR="00C97177" w:rsidRPr="00AA4B2E" w:rsidRDefault="00C97177" w:rsidP="00176405">
            <w:pPr>
              <w:suppressAutoHyphens w:val="0"/>
              <w:spacing w:line="240" w:lineRule="auto"/>
              <w:jc w:val="center"/>
            </w:pPr>
            <w:r w:rsidRPr="00AA4B2E">
              <w:t>(6)</w:t>
            </w:r>
          </w:p>
        </w:tc>
        <w:tc>
          <w:tcPr>
            <w:tcW w:w="520" w:type="dxa"/>
          </w:tcPr>
          <w:p w14:paraId="5DDBACF6" w14:textId="77777777" w:rsidR="00C97177" w:rsidRPr="00AA4B2E" w:rsidRDefault="00C97177" w:rsidP="00176405">
            <w:pPr>
              <w:suppressAutoHyphens w:val="0"/>
              <w:spacing w:line="240" w:lineRule="auto"/>
              <w:jc w:val="center"/>
            </w:pPr>
            <w:r w:rsidRPr="00AA4B2E">
              <w:t>(7a)</w:t>
            </w:r>
          </w:p>
        </w:tc>
        <w:tc>
          <w:tcPr>
            <w:tcW w:w="523" w:type="dxa"/>
          </w:tcPr>
          <w:p w14:paraId="4F873A53" w14:textId="77777777" w:rsidR="00C97177" w:rsidRPr="00AA4B2E" w:rsidRDefault="00C97177" w:rsidP="00176405">
            <w:pPr>
              <w:suppressAutoHyphens w:val="0"/>
              <w:spacing w:line="240" w:lineRule="auto"/>
              <w:jc w:val="center"/>
            </w:pPr>
            <w:r w:rsidRPr="00AA4B2E">
              <w:t>(7b)</w:t>
            </w:r>
          </w:p>
        </w:tc>
        <w:tc>
          <w:tcPr>
            <w:tcW w:w="902" w:type="dxa"/>
          </w:tcPr>
          <w:p w14:paraId="11D55DA5" w14:textId="77777777" w:rsidR="00C97177" w:rsidRPr="00AA4B2E" w:rsidRDefault="00C97177" w:rsidP="00176405">
            <w:pPr>
              <w:suppressAutoHyphens w:val="0"/>
              <w:spacing w:line="240" w:lineRule="auto"/>
              <w:jc w:val="center"/>
            </w:pPr>
            <w:r w:rsidRPr="00AA4B2E">
              <w:t>(8)</w:t>
            </w:r>
          </w:p>
        </w:tc>
        <w:tc>
          <w:tcPr>
            <w:tcW w:w="796" w:type="dxa"/>
          </w:tcPr>
          <w:p w14:paraId="41762E1A" w14:textId="77777777" w:rsidR="00C97177" w:rsidRPr="00AA4B2E" w:rsidRDefault="00C97177" w:rsidP="00176405">
            <w:pPr>
              <w:suppressAutoHyphens w:val="0"/>
              <w:spacing w:line="240" w:lineRule="auto"/>
              <w:jc w:val="center"/>
            </w:pPr>
            <w:r w:rsidRPr="00AA4B2E">
              <w:t>(9)</w:t>
            </w:r>
          </w:p>
        </w:tc>
        <w:tc>
          <w:tcPr>
            <w:tcW w:w="567" w:type="dxa"/>
          </w:tcPr>
          <w:p w14:paraId="6DD366E5" w14:textId="77777777" w:rsidR="00C97177" w:rsidRPr="00AA4B2E" w:rsidRDefault="00C97177" w:rsidP="00176405">
            <w:pPr>
              <w:suppressAutoHyphens w:val="0"/>
              <w:spacing w:line="240" w:lineRule="auto"/>
              <w:jc w:val="center"/>
            </w:pPr>
            <w:r w:rsidRPr="00AA4B2E">
              <w:t>(10)</w:t>
            </w:r>
          </w:p>
        </w:tc>
        <w:tc>
          <w:tcPr>
            <w:tcW w:w="851" w:type="dxa"/>
          </w:tcPr>
          <w:p w14:paraId="621F5C05" w14:textId="77777777" w:rsidR="00C97177" w:rsidRPr="00AA4B2E" w:rsidRDefault="00C97177" w:rsidP="00176405">
            <w:pPr>
              <w:suppressAutoHyphens w:val="0"/>
              <w:spacing w:line="240" w:lineRule="auto"/>
              <w:jc w:val="center"/>
            </w:pPr>
            <w:r w:rsidRPr="00AA4B2E">
              <w:t>(11)</w:t>
            </w:r>
          </w:p>
        </w:tc>
      </w:tr>
      <w:tr w:rsidR="00176405" w:rsidRPr="00200CA0" w14:paraId="7720E1DD" w14:textId="77777777" w:rsidTr="00176405">
        <w:tc>
          <w:tcPr>
            <w:tcW w:w="709" w:type="dxa"/>
            <w:vAlign w:val="center"/>
          </w:tcPr>
          <w:p w14:paraId="4CE426D6" w14:textId="77777777" w:rsidR="00C97177" w:rsidRPr="00AA4B2E" w:rsidRDefault="00C97177" w:rsidP="00176405">
            <w:pPr>
              <w:suppressAutoHyphens w:val="0"/>
              <w:spacing w:line="240" w:lineRule="auto"/>
              <w:jc w:val="center"/>
            </w:pPr>
            <w:r w:rsidRPr="00AA4B2E">
              <w:t>2372</w:t>
            </w:r>
          </w:p>
        </w:tc>
        <w:tc>
          <w:tcPr>
            <w:tcW w:w="2405" w:type="dxa"/>
            <w:vAlign w:val="center"/>
          </w:tcPr>
          <w:p w14:paraId="67B2BB3A" w14:textId="77777777" w:rsidR="00C97177" w:rsidRPr="00AA4B2E" w:rsidRDefault="00C97177" w:rsidP="00176405">
            <w:pPr>
              <w:suppressAutoHyphens w:val="0"/>
              <w:spacing w:line="240" w:lineRule="auto"/>
              <w:ind w:left="144"/>
            </w:pPr>
            <w:r w:rsidRPr="00AA4B2E">
              <w:t xml:space="preserve">1,2-DI-(DIMETHYLAMINO) </w:t>
            </w:r>
            <w:r w:rsidRPr="00AA4B2E">
              <w:br/>
              <w:t>ETHANE</w:t>
            </w:r>
          </w:p>
        </w:tc>
        <w:tc>
          <w:tcPr>
            <w:tcW w:w="425" w:type="dxa"/>
            <w:vAlign w:val="center"/>
          </w:tcPr>
          <w:p w14:paraId="4EC597F4" w14:textId="77777777" w:rsidR="00C97177" w:rsidRPr="00AA4B2E" w:rsidRDefault="00C97177" w:rsidP="00176405">
            <w:pPr>
              <w:suppressAutoHyphens w:val="0"/>
              <w:spacing w:line="240" w:lineRule="auto"/>
              <w:jc w:val="center"/>
            </w:pPr>
            <w:r w:rsidRPr="00AA4B2E">
              <w:t>3</w:t>
            </w:r>
          </w:p>
        </w:tc>
        <w:tc>
          <w:tcPr>
            <w:tcW w:w="425" w:type="dxa"/>
            <w:vAlign w:val="center"/>
          </w:tcPr>
          <w:p w14:paraId="0D635D76" w14:textId="48F9890D" w:rsidR="00C97177" w:rsidRPr="00AA4B2E" w:rsidRDefault="00C97177" w:rsidP="00176405">
            <w:pPr>
              <w:suppressAutoHyphens w:val="0"/>
              <w:spacing w:line="240" w:lineRule="auto"/>
              <w:jc w:val="center"/>
              <w:rPr>
                <w:b/>
                <w:bCs/>
                <w:u w:val="single"/>
              </w:rPr>
            </w:pPr>
            <w:r w:rsidRPr="00AA4B2E">
              <w:rPr>
                <w:b/>
                <w:bCs/>
                <w:u w:val="single"/>
              </w:rPr>
              <w:t>6.1</w:t>
            </w:r>
            <w:r w:rsidR="003C6836">
              <w:rPr>
                <w:b/>
                <w:bCs/>
                <w:u w:val="single"/>
              </w:rPr>
              <w:br/>
            </w:r>
            <w:r w:rsidRPr="00AA4B2E">
              <w:rPr>
                <w:b/>
                <w:bCs/>
                <w:u w:val="single"/>
              </w:rPr>
              <w:t>8</w:t>
            </w:r>
          </w:p>
        </w:tc>
        <w:tc>
          <w:tcPr>
            <w:tcW w:w="474" w:type="dxa"/>
            <w:vAlign w:val="center"/>
          </w:tcPr>
          <w:p w14:paraId="380527F9" w14:textId="77777777" w:rsidR="00C97177" w:rsidRPr="00AA4B2E" w:rsidRDefault="00C97177" w:rsidP="00176405">
            <w:pPr>
              <w:suppressAutoHyphens w:val="0"/>
              <w:spacing w:line="240" w:lineRule="auto"/>
              <w:jc w:val="center"/>
            </w:pPr>
            <w:r w:rsidRPr="00AA4B2E">
              <w:t>II</w:t>
            </w:r>
          </w:p>
        </w:tc>
        <w:tc>
          <w:tcPr>
            <w:tcW w:w="329" w:type="dxa"/>
            <w:vAlign w:val="center"/>
          </w:tcPr>
          <w:p w14:paraId="38DB4676" w14:textId="77777777" w:rsidR="00C97177" w:rsidRPr="00AA4B2E" w:rsidRDefault="00C97177" w:rsidP="00176405">
            <w:pPr>
              <w:suppressAutoHyphens w:val="0"/>
              <w:spacing w:line="240" w:lineRule="auto"/>
              <w:jc w:val="center"/>
            </w:pPr>
          </w:p>
        </w:tc>
        <w:tc>
          <w:tcPr>
            <w:tcW w:w="520" w:type="dxa"/>
            <w:vAlign w:val="center"/>
          </w:tcPr>
          <w:p w14:paraId="4F2AEFE3" w14:textId="77777777" w:rsidR="00C97177" w:rsidRPr="00AA4B2E" w:rsidRDefault="00C97177" w:rsidP="00176405">
            <w:pPr>
              <w:suppressAutoHyphens w:val="0"/>
              <w:spacing w:line="240" w:lineRule="auto"/>
              <w:jc w:val="center"/>
            </w:pPr>
            <w:r w:rsidRPr="00AA4B2E">
              <w:t>1L</w:t>
            </w:r>
          </w:p>
        </w:tc>
        <w:tc>
          <w:tcPr>
            <w:tcW w:w="523" w:type="dxa"/>
            <w:vAlign w:val="center"/>
          </w:tcPr>
          <w:p w14:paraId="3D41BB32" w14:textId="77777777" w:rsidR="00C97177" w:rsidRPr="00AA4B2E" w:rsidRDefault="00C97177" w:rsidP="00176405">
            <w:pPr>
              <w:suppressAutoHyphens w:val="0"/>
              <w:spacing w:line="240" w:lineRule="auto"/>
              <w:jc w:val="center"/>
            </w:pPr>
            <w:r w:rsidRPr="00AA4B2E">
              <w:t>E2</w:t>
            </w:r>
          </w:p>
        </w:tc>
        <w:tc>
          <w:tcPr>
            <w:tcW w:w="902" w:type="dxa"/>
            <w:vAlign w:val="center"/>
          </w:tcPr>
          <w:p w14:paraId="1DB73DF0" w14:textId="77777777" w:rsidR="00C97177" w:rsidRPr="00AA4B2E" w:rsidRDefault="00C97177" w:rsidP="00176405">
            <w:pPr>
              <w:suppressAutoHyphens w:val="0"/>
              <w:spacing w:line="240" w:lineRule="auto"/>
              <w:jc w:val="center"/>
            </w:pPr>
            <w:r w:rsidRPr="00AA4B2E">
              <w:t>P001</w:t>
            </w:r>
            <w:r w:rsidRPr="00AA4B2E">
              <w:br/>
              <w:t>IBC02</w:t>
            </w:r>
          </w:p>
        </w:tc>
        <w:tc>
          <w:tcPr>
            <w:tcW w:w="796" w:type="dxa"/>
            <w:vAlign w:val="center"/>
          </w:tcPr>
          <w:p w14:paraId="19CFF2B0" w14:textId="77777777" w:rsidR="00C97177" w:rsidRPr="00AA4B2E" w:rsidRDefault="00C97177" w:rsidP="00176405">
            <w:pPr>
              <w:suppressAutoHyphens w:val="0"/>
              <w:spacing w:line="240" w:lineRule="auto"/>
              <w:jc w:val="center"/>
            </w:pPr>
          </w:p>
        </w:tc>
        <w:tc>
          <w:tcPr>
            <w:tcW w:w="567" w:type="dxa"/>
            <w:vAlign w:val="center"/>
          </w:tcPr>
          <w:p w14:paraId="599DFCE3" w14:textId="77777777" w:rsidR="00C97177" w:rsidRPr="00AA4B2E" w:rsidRDefault="00C97177" w:rsidP="00176405">
            <w:pPr>
              <w:suppressAutoHyphens w:val="0"/>
              <w:spacing w:line="240" w:lineRule="auto"/>
              <w:jc w:val="center"/>
              <w:rPr>
                <w:u w:val="single"/>
              </w:rPr>
            </w:pPr>
            <w:r w:rsidRPr="00AA4B2E">
              <w:t>T4</w:t>
            </w:r>
          </w:p>
        </w:tc>
        <w:tc>
          <w:tcPr>
            <w:tcW w:w="851" w:type="dxa"/>
            <w:vAlign w:val="center"/>
          </w:tcPr>
          <w:p w14:paraId="1CFB7E16" w14:textId="77777777" w:rsidR="00C97177" w:rsidRPr="00AA4B2E" w:rsidRDefault="00C97177" w:rsidP="00176405">
            <w:pPr>
              <w:suppressAutoHyphens w:val="0"/>
              <w:spacing w:line="240" w:lineRule="auto"/>
              <w:jc w:val="center"/>
            </w:pPr>
            <w:r w:rsidRPr="00AA4B2E">
              <w:t>TP1</w:t>
            </w:r>
          </w:p>
        </w:tc>
      </w:tr>
    </w:tbl>
    <w:p w14:paraId="4385CD40" w14:textId="77777777" w:rsidR="00C97177" w:rsidRPr="001A7A1A" w:rsidRDefault="00C97177" w:rsidP="00C97177">
      <w:pPr>
        <w:pStyle w:val="H1G"/>
        <w:rPr>
          <w:lang w:val="en-US"/>
        </w:rPr>
      </w:pPr>
      <w:r>
        <w:rPr>
          <w:lang w:val="en-US"/>
        </w:rPr>
        <w:tab/>
        <w:t>B.</w:t>
      </w:r>
      <w:r>
        <w:rPr>
          <w:lang w:val="en-US"/>
        </w:rPr>
        <w:tab/>
        <w:t>Proposal 3</w:t>
      </w:r>
    </w:p>
    <w:p w14:paraId="7F1FF4BA" w14:textId="0B51D713" w:rsidR="00C97177" w:rsidRDefault="00C97177" w:rsidP="00C97177">
      <w:pPr>
        <w:pStyle w:val="H23G"/>
        <w:rPr>
          <w:lang w:val="en-US"/>
        </w:rPr>
      </w:pPr>
      <w:r>
        <w:rPr>
          <w:lang w:val="en-US"/>
        </w:rPr>
        <w:tab/>
      </w:r>
      <w:r w:rsidR="007A7D45">
        <w:rPr>
          <w:lang w:val="en-US"/>
        </w:rPr>
        <w:t>1.</w:t>
      </w:r>
      <w:r>
        <w:rPr>
          <w:lang w:val="en-US"/>
        </w:rPr>
        <w:tab/>
        <w:t>Option</w:t>
      </w:r>
      <w:r w:rsidRPr="001A7A1A">
        <w:rPr>
          <w:lang w:val="en-US"/>
        </w:rPr>
        <w:t xml:space="preserve"> 1</w:t>
      </w:r>
      <w:r>
        <w:rPr>
          <w:lang w:val="en-US"/>
        </w:rPr>
        <w:t>:</w:t>
      </w:r>
    </w:p>
    <w:p w14:paraId="07FC73AB" w14:textId="77777777" w:rsidR="00C97177" w:rsidRDefault="00C97177" w:rsidP="00C97177">
      <w:pPr>
        <w:pStyle w:val="SingleTxtG"/>
      </w:pPr>
      <w:r>
        <w:t>25.</w:t>
      </w:r>
      <w:r>
        <w:tab/>
        <w:t>Amend the portable tank instruction for UN 2372 from T4 to T7 and introduce portable tank special provision TP28.</w:t>
      </w:r>
    </w:p>
    <w:p w14:paraId="7AEE1067" w14:textId="5BB3E97A" w:rsidR="00C97177" w:rsidRDefault="00C97177" w:rsidP="00C97177">
      <w:pPr>
        <w:pStyle w:val="SingleTxtG"/>
      </w:pPr>
      <w:bookmarkStart w:id="0" w:name="_Hlk172117401"/>
      <w:r>
        <w:t>26.</w:t>
      </w:r>
      <w:r>
        <w:tab/>
        <w:t xml:space="preserve">If proposals 1 </w:t>
      </w:r>
      <w:r w:rsidR="00910D01">
        <w:t xml:space="preserve">and </w:t>
      </w:r>
      <w:r>
        <w:t xml:space="preserve">2, as well as option 1 from proposal 3 are accepted, the entry for UN 2372 in the Dangerous Goods List would read as follows (new text in </w:t>
      </w:r>
      <w:r w:rsidRPr="00EA5E1B">
        <w:rPr>
          <w:b/>
          <w:bCs/>
          <w:u w:val="single"/>
        </w:rPr>
        <w:t>bold</w:t>
      </w:r>
      <w:r>
        <w:t xml:space="preserve"> and </w:t>
      </w:r>
      <w:r w:rsidRPr="00EA5E1B">
        <w:rPr>
          <w:b/>
          <w:bCs/>
          <w:u w:val="single"/>
        </w:rPr>
        <w:t>underlined</w:t>
      </w:r>
      <w:r>
        <w:t xml:space="preserve">, deleted text in </w:t>
      </w:r>
      <w:r w:rsidRPr="00EA5E1B">
        <w:rPr>
          <w:b/>
          <w:bCs/>
          <w:strike/>
        </w:rPr>
        <w:t>bold</w:t>
      </w:r>
      <w:r>
        <w:t xml:space="preserve"> and </w:t>
      </w:r>
      <w:r w:rsidRPr="00EA5E1B">
        <w:rPr>
          <w:b/>
          <w:bCs/>
          <w:strike/>
        </w:rPr>
        <w:t>stricken trough</w:t>
      </w:r>
      <w:r>
        <w:t>):</w:t>
      </w:r>
    </w:p>
    <w:bookmarkEnd w:id="0"/>
    <w:p w14:paraId="19F842D8" w14:textId="77777777" w:rsidR="00C97177" w:rsidRPr="00543914" w:rsidRDefault="00C97177" w:rsidP="00C97177">
      <w:pPr>
        <w:pStyle w:val="ListParagraph"/>
        <w:rPr>
          <w:sz w:val="20"/>
          <w:szCs w:val="20"/>
        </w:rPr>
      </w:pPr>
    </w:p>
    <w:tbl>
      <w:tblPr>
        <w:tblStyle w:val="Grilledutableau1"/>
        <w:tblpPr w:leftFromText="141" w:rightFromText="141" w:vertAnchor="text" w:horzAnchor="margin" w:tblpY="-31"/>
        <w:tblW w:w="9634" w:type="dxa"/>
        <w:tblLayout w:type="fixed"/>
        <w:tblLook w:val="04A0" w:firstRow="1" w:lastRow="0" w:firstColumn="1" w:lastColumn="0" w:noHBand="0" w:noVBand="1"/>
      </w:tblPr>
      <w:tblGrid>
        <w:gridCol w:w="561"/>
        <w:gridCol w:w="2978"/>
        <w:gridCol w:w="468"/>
        <w:gridCol w:w="390"/>
        <w:gridCol w:w="391"/>
        <w:gridCol w:w="493"/>
        <w:gridCol w:w="520"/>
        <w:gridCol w:w="523"/>
        <w:gridCol w:w="902"/>
        <w:gridCol w:w="707"/>
        <w:gridCol w:w="851"/>
        <w:gridCol w:w="850"/>
      </w:tblGrid>
      <w:tr w:rsidR="00C97177" w:rsidRPr="00200CA0" w14:paraId="7498DC43" w14:textId="77777777" w:rsidTr="001B5E72">
        <w:trPr>
          <w:trHeight w:val="1335"/>
        </w:trPr>
        <w:tc>
          <w:tcPr>
            <w:tcW w:w="561" w:type="dxa"/>
            <w:vMerge w:val="restart"/>
            <w:textDirection w:val="btLr"/>
            <w:vAlign w:val="center"/>
          </w:tcPr>
          <w:p w14:paraId="64292305" w14:textId="77777777" w:rsidR="00C97177" w:rsidRPr="00543914" w:rsidRDefault="00C97177" w:rsidP="001B5E72">
            <w:pPr>
              <w:suppressAutoHyphens w:val="0"/>
              <w:spacing w:line="240" w:lineRule="auto"/>
              <w:ind w:left="113" w:right="113"/>
              <w:jc w:val="center"/>
            </w:pPr>
            <w:r w:rsidRPr="00543914">
              <w:lastRenderedPageBreak/>
              <w:t>UN No.</w:t>
            </w:r>
          </w:p>
        </w:tc>
        <w:tc>
          <w:tcPr>
            <w:tcW w:w="2978" w:type="dxa"/>
            <w:vMerge w:val="restart"/>
            <w:textDirection w:val="btLr"/>
            <w:vAlign w:val="center"/>
          </w:tcPr>
          <w:p w14:paraId="19316CC2" w14:textId="77777777" w:rsidR="00C97177" w:rsidRPr="00543914" w:rsidRDefault="00C97177" w:rsidP="001B5E72">
            <w:pPr>
              <w:suppressAutoHyphens w:val="0"/>
              <w:spacing w:line="240" w:lineRule="auto"/>
              <w:ind w:left="113" w:right="113"/>
              <w:jc w:val="center"/>
            </w:pPr>
            <w:r w:rsidRPr="00543914">
              <w:t>Name and description</w:t>
            </w:r>
          </w:p>
        </w:tc>
        <w:tc>
          <w:tcPr>
            <w:tcW w:w="468" w:type="dxa"/>
            <w:vMerge w:val="restart"/>
            <w:textDirection w:val="btLr"/>
            <w:vAlign w:val="center"/>
          </w:tcPr>
          <w:p w14:paraId="1825FE35" w14:textId="77777777" w:rsidR="00C97177" w:rsidRPr="00543914" w:rsidRDefault="00C97177" w:rsidP="001B5E72">
            <w:pPr>
              <w:suppressAutoHyphens w:val="0"/>
              <w:spacing w:line="240" w:lineRule="auto"/>
              <w:ind w:left="113" w:right="113"/>
              <w:jc w:val="center"/>
            </w:pPr>
            <w:r w:rsidRPr="00543914">
              <w:t>Class or division</w:t>
            </w:r>
          </w:p>
        </w:tc>
        <w:tc>
          <w:tcPr>
            <w:tcW w:w="390" w:type="dxa"/>
            <w:vMerge w:val="restart"/>
            <w:textDirection w:val="btLr"/>
            <w:vAlign w:val="center"/>
          </w:tcPr>
          <w:p w14:paraId="049605C8" w14:textId="77777777" w:rsidR="00C97177" w:rsidRPr="00543914" w:rsidRDefault="00C97177" w:rsidP="001B5E72">
            <w:pPr>
              <w:suppressAutoHyphens w:val="0"/>
              <w:spacing w:line="240" w:lineRule="auto"/>
              <w:ind w:left="113" w:right="113"/>
              <w:jc w:val="center"/>
            </w:pPr>
            <w:r w:rsidRPr="00543914">
              <w:t>Subsidiary hazard</w:t>
            </w:r>
          </w:p>
        </w:tc>
        <w:tc>
          <w:tcPr>
            <w:tcW w:w="391" w:type="dxa"/>
            <w:vMerge w:val="restart"/>
            <w:textDirection w:val="btLr"/>
            <w:vAlign w:val="center"/>
          </w:tcPr>
          <w:p w14:paraId="0A688AEC" w14:textId="77777777" w:rsidR="00C97177" w:rsidRPr="00543914" w:rsidRDefault="00C97177" w:rsidP="001B5E72">
            <w:pPr>
              <w:suppressAutoHyphens w:val="0"/>
              <w:spacing w:line="240" w:lineRule="auto"/>
              <w:ind w:left="113" w:right="113"/>
              <w:jc w:val="center"/>
            </w:pPr>
            <w:r w:rsidRPr="00543914">
              <w:t>UN packing group</w:t>
            </w:r>
          </w:p>
        </w:tc>
        <w:tc>
          <w:tcPr>
            <w:tcW w:w="493" w:type="dxa"/>
            <w:vMerge w:val="restart"/>
            <w:textDirection w:val="btLr"/>
            <w:vAlign w:val="center"/>
          </w:tcPr>
          <w:p w14:paraId="67A63B3A" w14:textId="77777777" w:rsidR="00C97177" w:rsidRPr="00543914" w:rsidRDefault="00C97177" w:rsidP="001B5E72">
            <w:pPr>
              <w:suppressAutoHyphens w:val="0"/>
              <w:spacing w:line="240" w:lineRule="auto"/>
              <w:ind w:left="113" w:right="113"/>
              <w:jc w:val="center"/>
            </w:pPr>
            <w:r w:rsidRPr="00543914">
              <w:t>Special provisions</w:t>
            </w:r>
          </w:p>
        </w:tc>
        <w:tc>
          <w:tcPr>
            <w:tcW w:w="1043" w:type="dxa"/>
            <w:gridSpan w:val="2"/>
            <w:vMerge w:val="restart"/>
            <w:textDirection w:val="btLr"/>
            <w:vAlign w:val="center"/>
          </w:tcPr>
          <w:p w14:paraId="6F3B0273" w14:textId="77777777" w:rsidR="00C97177" w:rsidRPr="00543914" w:rsidRDefault="00C97177" w:rsidP="001B5E72">
            <w:pPr>
              <w:suppressAutoHyphens w:val="0"/>
              <w:spacing w:line="240" w:lineRule="auto"/>
              <w:ind w:left="113" w:right="113"/>
              <w:jc w:val="center"/>
            </w:pPr>
            <w:r w:rsidRPr="00543914">
              <w:t>Limited and excepted quantities</w:t>
            </w:r>
          </w:p>
        </w:tc>
        <w:tc>
          <w:tcPr>
            <w:tcW w:w="1609" w:type="dxa"/>
            <w:gridSpan w:val="2"/>
            <w:textDirection w:val="btLr"/>
            <w:vAlign w:val="center"/>
          </w:tcPr>
          <w:p w14:paraId="45D9E293" w14:textId="77777777" w:rsidR="00C97177" w:rsidRPr="00543914" w:rsidRDefault="00C97177" w:rsidP="001B5E72">
            <w:pPr>
              <w:suppressAutoHyphens w:val="0"/>
              <w:spacing w:line="240" w:lineRule="auto"/>
              <w:ind w:left="113" w:right="113"/>
              <w:jc w:val="center"/>
            </w:pPr>
            <w:proofErr w:type="spellStart"/>
            <w:r w:rsidRPr="00543914">
              <w:t>Packagings</w:t>
            </w:r>
            <w:proofErr w:type="spellEnd"/>
            <w:r w:rsidRPr="00543914">
              <w:t xml:space="preserve"> and IBCs</w:t>
            </w:r>
          </w:p>
        </w:tc>
        <w:tc>
          <w:tcPr>
            <w:tcW w:w="1701" w:type="dxa"/>
            <w:gridSpan w:val="2"/>
            <w:textDirection w:val="btLr"/>
            <w:vAlign w:val="center"/>
          </w:tcPr>
          <w:p w14:paraId="52D5F15A" w14:textId="77777777" w:rsidR="00C97177" w:rsidRPr="00543914" w:rsidRDefault="00C97177" w:rsidP="001B5E72">
            <w:pPr>
              <w:suppressAutoHyphens w:val="0"/>
              <w:spacing w:line="240" w:lineRule="auto"/>
              <w:ind w:left="113" w:right="113"/>
              <w:jc w:val="center"/>
            </w:pPr>
            <w:r w:rsidRPr="00543914">
              <w:t>Portable tanks and bulk containers</w:t>
            </w:r>
          </w:p>
        </w:tc>
      </w:tr>
      <w:tr w:rsidR="00C97177" w:rsidRPr="00200CA0" w14:paraId="29E840BC" w14:textId="77777777" w:rsidTr="001B5E72">
        <w:trPr>
          <w:trHeight w:val="1474"/>
        </w:trPr>
        <w:tc>
          <w:tcPr>
            <w:tcW w:w="561" w:type="dxa"/>
            <w:vMerge/>
            <w:textDirection w:val="btLr"/>
            <w:vAlign w:val="center"/>
          </w:tcPr>
          <w:p w14:paraId="2746FCFD" w14:textId="77777777" w:rsidR="00C97177" w:rsidRPr="00543914" w:rsidRDefault="00C97177" w:rsidP="001B5E72">
            <w:pPr>
              <w:suppressAutoHyphens w:val="0"/>
              <w:spacing w:line="240" w:lineRule="auto"/>
              <w:ind w:left="113" w:right="113"/>
              <w:jc w:val="center"/>
            </w:pPr>
          </w:p>
        </w:tc>
        <w:tc>
          <w:tcPr>
            <w:tcW w:w="2978" w:type="dxa"/>
            <w:vMerge/>
            <w:textDirection w:val="btLr"/>
            <w:vAlign w:val="center"/>
          </w:tcPr>
          <w:p w14:paraId="6964391E" w14:textId="77777777" w:rsidR="00C97177" w:rsidRPr="00543914" w:rsidRDefault="00C97177" w:rsidP="001B5E72">
            <w:pPr>
              <w:suppressAutoHyphens w:val="0"/>
              <w:spacing w:line="240" w:lineRule="auto"/>
              <w:ind w:left="113" w:right="113"/>
              <w:jc w:val="center"/>
            </w:pPr>
          </w:p>
        </w:tc>
        <w:tc>
          <w:tcPr>
            <w:tcW w:w="468" w:type="dxa"/>
            <w:vMerge/>
            <w:textDirection w:val="btLr"/>
            <w:vAlign w:val="center"/>
          </w:tcPr>
          <w:p w14:paraId="44F0317A" w14:textId="77777777" w:rsidR="00C97177" w:rsidRPr="00543914" w:rsidRDefault="00C97177" w:rsidP="001B5E72">
            <w:pPr>
              <w:suppressAutoHyphens w:val="0"/>
              <w:spacing w:line="240" w:lineRule="auto"/>
              <w:ind w:left="113" w:right="113"/>
              <w:jc w:val="center"/>
            </w:pPr>
          </w:p>
        </w:tc>
        <w:tc>
          <w:tcPr>
            <w:tcW w:w="390" w:type="dxa"/>
            <w:vMerge/>
            <w:textDirection w:val="btLr"/>
            <w:vAlign w:val="center"/>
          </w:tcPr>
          <w:p w14:paraId="4DA6FFA5" w14:textId="77777777" w:rsidR="00C97177" w:rsidRPr="00543914" w:rsidRDefault="00C97177" w:rsidP="001B5E72">
            <w:pPr>
              <w:suppressAutoHyphens w:val="0"/>
              <w:spacing w:line="240" w:lineRule="auto"/>
              <w:ind w:left="113" w:right="113"/>
              <w:jc w:val="center"/>
            </w:pPr>
          </w:p>
        </w:tc>
        <w:tc>
          <w:tcPr>
            <w:tcW w:w="391" w:type="dxa"/>
            <w:vMerge/>
            <w:textDirection w:val="btLr"/>
            <w:vAlign w:val="center"/>
          </w:tcPr>
          <w:p w14:paraId="1AAA2D1E" w14:textId="77777777" w:rsidR="00C97177" w:rsidRPr="00543914" w:rsidRDefault="00C97177" w:rsidP="001B5E72">
            <w:pPr>
              <w:suppressAutoHyphens w:val="0"/>
              <w:spacing w:line="240" w:lineRule="auto"/>
              <w:ind w:left="113" w:right="113"/>
              <w:jc w:val="center"/>
            </w:pPr>
          </w:p>
        </w:tc>
        <w:tc>
          <w:tcPr>
            <w:tcW w:w="493" w:type="dxa"/>
            <w:vMerge/>
            <w:textDirection w:val="btLr"/>
            <w:vAlign w:val="center"/>
          </w:tcPr>
          <w:p w14:paraId="0D919904" w14:textId="77777777" w:rsidR="00C97177" w:rsidRPr="00543914" w:rsidRDefault="00C97177" w:rsidP="001B5E72">
            <w:pPr>
              <w:suppressAutoHyphens w:val="0"/>
              <w:spacing w:line="240" w:lineRule="auto"/>
              <w:ind w:left="113" w:right="113"/>
              <w:jc w:val="center"/>
            </w:pPr>
          </w:p>
        </w:tc>
        <w:tc>
          <w:tcPr>
            <w:tcW w:w="1043" w:type="dxa"/>
            <w:gridSpan w:val="2"/>
            <w:vMerge/>
            <w:textDirection w:val="btLr"/>
            <w:vAlign w:val="center"/>
          </w:tcPr>
          <w:p w14:paraId="25A7DC03" w14:textId="77777777" w:rsidR="00C97177" w:rsidRPr="00543914" w:rsidRDefault="00C97177" w:rsidP="001B5E72">
            <w:pPr>
              <w:suppressAutoHyphens w:val="0"/>
              <w:spacing w:line="240" w:lineRule="auto"/>
              <w:ind w:left="113" w:right="113"/>
              <w:jc w:val="center"/>
            </w:pPr>
          </w:p>
        </w:tc>
        <w:tc>
          <w:tcPr>
            <w:tcW w:w="902" w:type="dxa"/>
            <w:textDirection w:val="btLr"/>
            <w:vAlign w:val="center"/>
          </w:tcPr>
          <w:p w14:paraId="33B0235A" w14:textId="77777777" w:rsidR="00C97177" w:rsidRPr="00543914" w:rsidRDefault="00C97177" w:rsidP="001B5E72">
            <w:pPr>
              <w:suppressAutoHyphens w:val="0"/>
              <w:spacing w:line="240" w:lineRule="auto"/>
              <w:ind w:left="113" w:right="113"/>
              <w:jc w:val="center"/>
            </w:pPr>
            <w:r w:rsidRPr="00543914">
              <w:t>Packing instruction</w:t>
            </w:r>
          </w:p>
        </w:tc>
        <w:tc>
          <w:tcPr>
            <w:tcW w:w="707" w:type="dxa"/>
            <w:textDirection w:val="btLr"/>
            <w:vAlign w:val="center"/>
          </w:tcPr>
          <w:p w14:paraId="0748F962" w14:textId="77777777" w:rsidR="00C97177" w:rsidRPr="00543914" w:rsidRDefault="00C97177" w:rsidP="001B5E72">
            <w:pPr>
              <w:suppressAutoHyphens w:val="0"/>
              <w:spacing w:line="240" w:lineRule="auto"/>
              <w:ind w:left="113" w:right="113"/>
              <w:jc w:val="center"/>
            </w:pPr>
            <w:r w:rsidRPr="00543914">
              <w:t>Special packing provisions</w:t>
            </w:r>
          </w:p>
        </w:tc>
        <w:tc>
          <w:tcPr>
            <w:tcW w:w="851" w:type="dxa"/>
            <w:textDirection w:val="btLr"/>
            <w:vAlign w:val="center"/>
          </w:tcPr>
          <w:p w14:paraId="1593D53C" w14:textId="77777777" w:rsidR="00C97177" w:rsidRPr="00543914" w:rsidRDefault="00C97177" w:rsidP="001B5E72">
            <w:pPr>
              <w:suppressAutoHyphens w:val="0"/>
              <w:spacing w:line="240" w:lineRule="auto"/>
              <w:ind w:left="113" w:right="113"/>
              <w:jc w:val="center"/>
            </w:pPr>
            <w:r w:rsidRPr="00543914">
              <w:t>Instructions</w:t>
            </w:r>
          </w:p>
        </w:tc>
        <w:tc>
          <w:tcPr>
            <w:tcW w:w="850" w:type="dxa"/>
            <w:textDirection w:val="btLr"/>
            <w:vAlign w:val="center"/>
          </w:tcPr>
          <w:p w14:paraId="63680DDA" w14:textId="77777777" w:rsidR="00C97177" w:rsidRPr="00543914" w:rsidRDefault="00C97177" w:rsidP="001B5E72">
            <w:pPr>
              <w:suppressAutoHyphens w:val="0"/>
              <w:spacing w:line="240" w:lineRule="auto"/>
              <w:ind w:left="113" w:right="113"/>
              <w:jc w:val="center"/>
            </w:pPr>
            <w:r w:rsidRPr="00543914">
              <w:t>Special provisions</w:t>
            </w:r>
          </w:p>
        </w:tc>
      </w:tr>
      <w:tr w:rsidR="00C97177" w:rsidRPr="00200CA0" w14:paraId="06FF9BB1" w14:textId="77777777" w:rsidTr="001B5E72">
        <w:tc>
          <w:tcPr>
            <w:tcW w:w="561" w:type="dxa"/>
          </w:tcPr>
          <w:p w14:paraId="4E082C49" w14:textId="77777777" w:rsidR="00C97177" w:rsidRPr="00543914" w:rsidRDefault="00C97177" w:rsidP="001B5E72">
            <w:pPr>
              <w:suppressAutoHyphens w:val="0"/>
              <w:spacing w:line="240" w:lineRule="auto"/>
              <w:jc w:val="center"/>
            </w:pPr>
            <w:r w:rsidRPr="00543914">
              <w:t>(1)</w:t>
            </w:r>
          </w:p>
        </w:tc>
        <w:tc>
          <w:tcPr>
            <w:tcW w:w="2978" w:type="dxa"/>
          </w:tcPr>
          <w:p w14:paraId="2A97CB01" w14:textId="77777777" w:rsidR="00C97177" w:rsidRPr="00543914" w:rsidRDefault="00C97177" w:rsidP="001B5E72">
            <w:pPr>
              <w:suppressAutoHyphens w:val="0"/>
              <w:spacing w:line="240" w:lineRule="auto"/>
              <w:jc w:val="center"/>
            </w:pPr>
            <w:r w:rsidRPr="00543914">
              <w:t>(2)</w:t>
            </w:r>
          </w:p>
        </w:tc>
        <w:tc>
          <w:tcPr>
            <w:tcW w:w="468" w:type="dxa"/>
          </w:tcPr>
          <w:p w14:paraId="1C53C114" w14:textId="77777777" w:rsidR="00C97177" w:rsidRPr="00543914" w:rsidRDefault="00C97177" w:rsidP="001B5E72">
            <w:pPr>
              <w:suppressAutoHyphens w:val="0"/>
              <w:spacing w:line="240" w:lineRule="auto"/>
              <w:jc w:val="center"/>
            </w:pPr>
            <w:r w:rsidRPr="00543914">
              <w:t>(3)</w:t>
            </w:r>
          </w:p>
        </w:tc>
        <w:tc>
          <w:tcPr>
            <w:tcW w:w="390" w:type="dxa"/>
          </w:tcPr>
          <w:p w14:paraId="5422DC54" w14:textId="77777777" w:rsidR="00C97177" w:rsidRPr="00543914" w:rsidRDefault="00C97177" w:rsidP="001B5E72">
            <w:pPr>
              <w:suppressAutoHyphens w:val="0"/>
              <w:spacing w:line="240" w:lineRule="auto"/>
              <w:jc w:val="center"/>
            </w:pPr>
            <w:r w:rsidRPr="00543914">
              <w:t>(4)</w:t>
            </w:r>
          </w:p>
        </w:tc>
        <w:tc>
          <w:tcPr>
            <w:tcW w:w="391" w:type="dxa"/>
          </w:tcPr>
          <w:p w14:paraId="586B67F8" w14:textId="77777777" w:rsidR="00C97177" w:rsidRPr="00543914" w:rsidRDefault="00C97177" w:rsidP="001B5E72">
            <w:pPr>
              <w:suppressAutoHyphens w:val="0"/>
              <w:spacing w:line="240" w:lineRule="auto"/>
              <w:jc w:val="center"/>
            </w:pPr>
            <w:r w:rsidRPr="00543914">
              <w:t>(5)</w:t>
            </w:r>
          </w:p>
        </w:tc>
        <w:tc>
          <w:tcPr>
            <w:tcW w:w="493" w:type="dxa"/>
          </w:tcPr>
          <w:p w14:paraId="2B806CB0" w14:textId="77777777" w:rsidR="00C97177" w:rsidRPr="00543914" w:rsidRDefault="00C97177" w:rsidP="001B5E72">
            <w:pPr>
              <w:suppressAutoHyphens w:val="0"/>
              <w:spacing w:line="240" w:lineRule="auto"/>
              <w:jc w:val="center"/>
            </w:pPr>
            <w:r w:rsidRPr="00543914">
              <w:t>(6)</w:t>
            </w:r>
          </w:p>
        </w:tc>
        <w:tc>
          <w:tcPr>
            <w:tcW w:w="520" w:type="dxa"/>
          </w:tcPr>
          <w:p w14:paraId="78D65C5F" w14:textId="77777777" w:rsidR="00C97177" w:rsidRPr="00543914" w:rsidRDefault="00C97177" w:rsidP="001B5E72">
            <w:pPr>
              <w:suppressAutoHyphens w:val="0"/>
              <w:spacing w:line="240" w:lineRule="auto"/>
              <w:jc w:val="center"/>
            </w:pPr>
            <w:r w:rsidRPr="00543914">
              <w:t>(7a)</w:t>
            </w:r>
          </w:p>
        </w:tc>
        <w:tc>
          <w:tcPr>
            <w:tcW w:w="523" w:type="dxa"/>
          </w:tcPr>
          <w:p w14:paraId="52A2B0CE" w14:textId="77777777" w:rsidR="00C97177" w:rsidRPr="00543914" w:rsidRDefault="00C97177" w:rsidP="001B5E72">
            <w:pPr>
              <w:suppressAutoHyphens w:val="0"/>
              <w:spacing w:line="240" w:lineRule="auto"/>
              <w:jc w:val="center"/>
            </w:pPr>
            <w:r w:rsidRPr="00543914">
              <w:t>(7b)</w:t>
            </w:r>
          </w:p>
        </w:tc>
        <w:tc>
          <w:tcPr>
            <w:tcW w:w="902" w:type="dxa"/>
          </w:tcPr>
          <w:p w14:paraId="4665B843" w14:textId="77777777" w:rsidR="00C97177" w:rsidRPr="00543914" w:rsidRDefault="00C97177" w:rsidP="001B5E72">
            <w:pPr>
              <w:suppressAutoHyphens w:val="0"/>
              <w:spacing w:line="240" w:lineRule="auto"/>
              <w:jc w:val="center"/>
            </w:pPr>
            <w:r w:rsidRPr="00543914">
              <w:t>(8)</w:t>
            </w:r>
          </w:p>
        </w:tc>
        <w:tc>
          <w:tcPr>
            <w:tcW w:w="707" w:type="dxa"/>
          </w:tcPr>
          <w:p w14:paraId="475AAB9F" w14:textId="77777777" w:rsidR="00C97177" w:rsidRPr="00543914" w:rsidRDefault="00C97177" w:rsidP="001B5E72">
            <w:pPr>
              <w:suppressAutoHyphens w:val="0"/>
              <w:spacing w:line="240" w:lineRule="auto"/>
              <w:jc w:val="center"/>
            </w:pPr>
            <w:r w:rsidRPr="00543914">
              <w:t>(9)</w:t>
            </w:r>
          </w:p>
        </w:tc>
        <w:tc>
          <w:tcPr>
            <w:tcW w:w="851" w:type="dxa"/>
          </w:tcPr>
          <w:p w14:paraId="7C76BEF6" w14:textId="77777777" w:rsidR="00C97177" w:rsidRPr="00543914" w:rsidRDefault="00C97177" w:rsidP="001B5E72">
            <w:pPr>
              <w:suppressAutoHyphens w:val="0"/>
              <w:spacing w:line="240" w:lineRule="auto"/>
              <w:jc w:val="center"/>
            </w:pPr>
            <w:r w:rsidRPr="00543914">
              <w:t>(10)</w:t>
            </w:r>
          </w:p>
        </w:tc>
        <w:tc>
          <w:tcPr>
            <w:tcW w:w="850" w:type="dxa"/>
          </w:tcPr>
          <w:p w14:paraId="7288D927" w14:textId="77777777" w:rsidR="00C97177" w:rsidRPr="00543914" w:rsidRDefault="00C97177" w:rsidP="001B5E72">
            <w:pPr>
              <w:suppressAutoHyphens w:val="0"/>
              <w:spacing w:line="240" w:lineRule="auto"/>
              <w:jc w:val="center"/>
            </w:pPr>
            <w:r w:rsidRPr="00543914">
              <w:t>(11)</w:t>
            </w:r>
          </w:p>
        </w:tc>
      </w:tr>
      <w:tr w:rsidR="00C97177" w:rsidRPr="00200CA0" w14:paraId="27118D4D" w14:textId="77777777" w:rsidTr="001B5E72">
        <w:tc>
          <w:tcPr>
            <w:tcW w:w="561" w:type="dxa"/>
            <w:vAlign w:val="center"/>
          </w:tcPr>
          <w:p w14:paraId="170485C8" w14:textId="77777777" w:rsidR="00C97177" w:rsidRPr="00543914" w:rsidRDefault="00C97177" w:rsidP="001B5E72">
            <w:pPr>
              <w:suppressAutoHyphens w:val="0"/>
              <w:spacing w:line="240" w:lineRule="auto"/>
              <w:jc w:val="center"/>
            </w:pPr>
            <w:r w:rsidRPr="00543914">
              <w:t>2372</w:t>
            </w:r>
          </w:p>
        </w:tc>
        <w:tc>
          <w:tcPr>
            <w:tcW w:w="2978" w:type="dxa"/>
            <w:vAlign w:val="center"/>
          </w:tcPr>
          <w:p w14:paraId="238D1124" w14:textId="77777777" w:rsidR="00C97177" w:rsidRPr="00543914" w:rsidRDefault="00C97177" w:rsidP="00926574">
            <w:pPr>
              <w:suppressAutoHyphens w:val="0"/>
              <w:spacing w:line="240" w:lineRule="auto"/>
              <w:ind w:left="2"/>
            </w:pPr>
            <w:r w:rsidRPr="00543914">
              <w:t xml:space="preserve">1,2-DI-(DIMETHYLAMINO) </w:t>
            </w:r>
            <w:r w:rsidRPr="00543914">
              <w:br/>
              <w:t>ETHANE</w:t>
            </w:r>
          </w:p>
        </w:tc>
        <w:tc>
          <w:tcPr>
            <w:tcW w:w="468" w:type="dxa"/>
            <w:vAlign w:val="center"/>
          </w:tcPr>
          <w:p w14:paraId="75D7507E" w14:textId="77777777" w:rsidR="00C97177" w:rsidRPr="00543914" w:rsidRDefault="00C97177" w:rsidP="001B5E72">
            <w:pPr>
              <w:suppressAutoHyphens w:val="0"/>
              <w:spacing w:line="240" w:lineRule="auto"/>
              <w:jc w:val="center"/>
            </w:pPr>
            <w:r w:rsidRPr="00543914">
              <w:t>3</w:t>
            </w:r>
          </w:p>
        </w:tc>
        <w:tc>
          <w:tcPr>
            <w:tcW w:w="390" w:type="dxa"/>
            <w:vAlign w:val="center"/>
          </w:tcPr>
          <w:p w14:paraId="6037D760" w14:textId="3F5BFF9D" w:rsidR="00C97177" w:rsidRPr="00543914" w:rsidRDefault="00C97177" w:rsidP="001B5E72">
            <w:pPr>
              <w:suppressAutoHyphens w:val="0"/>
              <w:spacing w:line="240" w:lineRule="auto"/>
              <w:jc w:val="center"/>
              <w:rPr>
                <w:b/>
                <w:bCs/>
                <w:u w:val="single"/>
              </w:rPr>
            </w:pPr>
            <w:r w:rsidRPr="00543914">
              <w:rPr>
                <w:b/>
                <w:bCs/>
                <w:u w:val="single"/>
              </w:rPr>
              <w:t>6.1</w:t>
            </w:r>
            <w:r w:rsidR="00910D01">
              <w:rPr>
                <w:b/>
                <w:bCs/>
                <w:u w:val="single"/>
              </w:rPr>
              <w:br/>
            </w:r>
            <w:r w:rsidRPr="00543914">
              <w:rPr>
                <w:b/>
                <w:bCs/>
                <w:u w:val="single"/>
              </w:rPr>
              <w:t>8</w:t>
            </w:r>
          </w:p>
        </w:tc>
        <w:tc>
          <w:tcPr>
            <w:tcW w:w="391" w:type="dxa"/>
            <w:vAlign w:val="center"/>
          </w:tcPr>
          <w:p w14:paraId="594E6367" w14:textId="77777777" w:rsidR="00C97177" w:rsidRPr="00543914" w:rsidRDefault="00C97177" w:rsidP="001B5E72">
            <w:pPr>
              <w:suppressAutoHyphens w:val="0"/>
              <w:spacing w:line="240" w:lineRule="auto"/>
              <w:jc w:val="center"/>
            </w:pPr>
            <w:r w:rsidRPr="00543914">
              <w:t>II</w:t>
            </w:r>
          </w:p>
        </w:tc>
        <w:tc>
          <w:tcPr>
            <w:tcW w:w="493" w:type="dxa"/>
            <w:vAlign w:val="center"/>
          </w:tcPr>
          <w:p w14:paraId="2F4844FB" w14:textId="77777777" w:rsidR="00C97177" w:rsidRPr="00543914" w:rsidRDefault="00C97177" w:rsidP="001B5E72">
            <w:pPr>
              <w:suppressAutoHyphens w:val="0"/>
              <w:spacing w:line="240" w:lineRule="auto"/>
              <w:jc w:val="center"/>
            </w:pPr>
          </w:p>
        </w:tc>
        <w:tc>
          <w:tcPr>
            <w:tcW w:w="520" w:type="dxa"/>
            <w:vAlign w:val="center"/>
          </w:tcPr>
          <w:p w14:paraId="028B0D81" w14:textId="77777777" w:rsidR="00C97177" w:rsidRPr="00543914" w:rsidRDefault="00C97177" w:rsidP="001B5E72">
            <w:pPr>
              <w:suppressAutoHyphens w:val="0"/>
              <w:spacing w:line="240" w:lineRule="auto"/>
              <w:jc w:val="center"/>
            </w:pPr>
            <w:r w:rsidRPr="00543914">
              <w:t>1L</w:t>
            </w:r>
          </w:p>
        </w:tc>
        <w:tc>
          <w:tcPr>
            <w:tcW w:w="523" w:type="dxa"/>
            <w:vAlign w:val="center"/>
          </w:tcPr>
          <w:p w14:paraId="2B91C9CF" w14:textId="77777777" w:rsidR="00C97177" w:rsidRPr="00543914" w:rsidRDefault="00C97177" w:rsidP="001B5E72">
            <w:pPr>
              <w:suppressAutoHyphens w:val="0"/>
              <w:spacing w:line="240" w:lineRule="auto"/>
              <w:jc w:val="center"/>
            </w:pPr>
            <w:r w:rsidRPr="00543914">
              <w:t>E2</w:t>
            </w:r>
          </w:p>
        </w:tc>
        <w:tc>
          <w:tcPr>
            <w:tcW w:w="902" w:type="dxa"/>
            <w:vAlign w:val="center"/>
          </w:tcPr>
          <w:p w14:paraId="12F7C9AB" w14:textId="77777777" w:rsidR="00C97177" w:rsidRPr="00543914" w:rsidRDefault="00C97177" w:rsidP="001B5E72">
            <w:pPr>
              <w:suppressAutoHyphens w:val="0"/>
              <w:spacing w:line="240" w:lineRule="auto"/>
              <w:jc w:val="center"/>
            </w:pPr>
            <w:r w:rsidRPr="00543914">
              <w:t>P001</w:t>
            </w:r>
            <w:r w:rsidRPr="00543914">
              <w:br/>
              <w:t>IBC02</w:t>
            </w:r>
          </w:p>
        </w:tc>
        <w:tc>
          <w:tcPr>
            <w:tcW w:w="707" w:type="dxa"/>
            <w:vAlign w:val="center"/>
          </w:tcPr>
          <w:p w14:paraId="470069D5" w14:textId="77777777" w:rsidR="00C97177" w:rsidRPr="00543914" w:rsidRDefault="00C97177" w:rsidP="001B5E72">
            <w:pPr>
              <w:suppressAutoHyphens w:val="0"/>
              <w:spacing w:line="240" w:lineRule="auto"/>
              <w:jc w:val="center"/>
            </w:pPr>
          </w:p>
        </w:tc>
        <w:tc>
          <w:tcPr>
            <w:tcW w:w="851" w:type="dxa"/>
            <w:vAlign w:val="center"/>
          </w:tcPr>
          <w:p w14:paraId="75E8D982" w14:textId="77777777" w:rsidR="00C97177" w:rsidRPr="00543914" w:rsidRDefault="00C97177" w:rsidP="001B5E72">
            <w:pPr>
              <w:suppressAutoHyphens w:val="0"/>
              <w:spacing w:line="240" w:lineRule="auto"/>
              <w:jc w:val="center"/>
              <w:rPr>
                <w:b/>
                <w:bCs/>
                <w:strike/>
                <w:u w:val="single"/>
              </w:rPr>
            </w:pPr>
            <w:r w:rsidRPr="00543914">
              <w:rPr>
                <w:b/>
                <w:bCs/>
                <w:strike/>
              </w:rPr>
              <w:t>T4</w:t>
            </w:r>
            <w:r w:rsidRPr="00543914">
              <w:rPr>
                <w:b/>
                <w:bCs/>
                <w:strike/>
                <w:u w:val="single"/>
              </w:rPr>
              <w:br/>
            </w:r>
            <w:r w:rsidRPr="00543914">
              <w:rPr>
                <w:b/>
                <w:bCs/>
                <w:u w:val="single"/>
              </w:rPr>
              <w:t>T7</w:t>
            </w:r>
          </w:p>
        </w:tc>
        <w:tc>
          <w:tcPr>
            <w:tcW w:w="850" w:type="dxa"/>
            <w:vAlign w:val="center"/>
          </w:tcPr>
          <w:p w14:paraId="00ED34DC" w14:textId="77777777" w:rsidR="00C97177" w:rsidRPr="00543914" w:rsidRDefault="00C97177" w:rsidP="001B5E72">
            <w:pPr>
              <w:suppressAutoHyphens w:val="0"/>
              <w:spacing w:line="240" w:lineRule="auto"/>
              <w:jc w:val="center"/>
            </w:pPr>
            <w:r w:rsidRPr="00543914">
              <w:t>TP1</w:t>
            </w:r>
            <w:r w:rsidRPr="00543914">
              <w:br/>
            </w:r>
            <w:r w:rsidRPr="00543914">
              <w:rPr>
                <w:b/>
                <w:bCs/>
                <w:u w:val="single"/>
              </w:rPr>
              <w:t>TP28</w:t>
            </w:r>
          </w:p>
        </w:tc>
      </w:tr>
    </w:tbl>
    <w:p w14:paraId="67669159" w14:textId="20AEFE0A" w:rsidR="00C97177" w:rsidRPr="00964E01" w:rsidRDefault="00C97177" w:rsidP="00C97177">
      <w:pPr>
        <w:pStyle w:val="H23G"/>
        <w:rPr>
          <w:lang w:val="en-US"/>
        </w:rPr>
      </w:pPr>
      <w:r>
        <w:rPr>
          <w:lang w:val="en-US"/>
        </w:rPr>
        <w:tab/>
      </w:r>
      <w:r w:rsidR="007A7D45">
        <w:rPr>
          <w:lang w:val="en-US"/>
        </w:rPr>
        <w:t>2.</w:t>
      </w:r>
      <w:r>
        <w:rPr>
          <w:lang w:val="en-US"/>
        </w:rPr>
        <w:tab/>
      </w:r>
      <w:r w:rsidRPr="00964E01">
        <w:rPr>
          <w:lang w:val="en-US"/>
        </w:rPr>
        <w:t>Option 2:</w:t>
      </w:r>
    </w:p>
    <w:p w14:paraId="64E2E885" w14:textId="77777777" w:rsidR="00C97177" w:rsidRDefault="00C97177" w:rsidP="00C97177">
      <w:pPr>
        <w:pStyle w:val="SingleTxtG"/>
      </w:pPr>
      <w:r>
        <w:t>27.</w:t>
      </w:r>
      <w:r>
        <w:tab/>
        <w:t>Amend the portable tank instruction for UN 2372 from T4 to T7 and introduce a transitional period of 5 (+2) years in 4.2.6 of the Model Regulations.</w:t>
      </w:r>
    </w:p>
    <w:tbl>
      <w:tblPr>
        <w:tblStyle w:val="Grilledutableau1"/>
        <w:tblpPr w:leftFromText="141" w:rightFromText="141" w:vertAnchor="text" w:horzAnchor="margin" w:tblpXSpec="right" w:tblpY="1116"/>
        <w:tblW w:w="9492" w:type="dxa"/>
        <w:tblLayout w:type="fixed"/>
        <w:tblLook w:val="04A0" w:firstRow="1" w:lastRow="0" w:firstColumn="1" w:lastColumn="0" w:noHBand="0" w:noVBand="1"/>
      </w:tblPr>
      <w:tblGrid>
        <w:gridCol w:w="850"/>
        <w:gridCol w:w="2127"/>
        <w:gridCol w:w="751"/>
        <w:gridCol w:w="390"/>
        <w:gridCol w:w="391"/>
        <w:gridCol w:w="493"/>
        <w:gridCol w:w="520"/>
        <w:gridCol w:w="523"/>
        <w:gridCol w:w="902"/>
        <w:gridCol w:w="902"/>
        <w:gridCol w:w="821"/>
        <w:gridCol w:w="822"/>
      </w:tblGrid>
      <w:tr w:rsidR="00C97177" w:rsidRPr="006B7F5C" w14:paraId="2BA1857A" w14:textId="77777777" w:rsidTr="001B5E72">
        <w:trPr>
          <w:trHeight w:val="1335"/>
        </w:trPr>
        <w:tc>
          <w:tcPr>
            <w:tcW w:w="850" w:type="dxa"/>
            <w:vMerge w:val="restart"/>
            <w:textDirection w:val="btLr"/>
            <w:vAlign w:val="center"/>
          </w:tcPr>
          <w:p w14:paraId="6FFF2F19" w14:textId="77777777" w:rsidR="00C97177" w:rsidRPr="006B7F5C" w:rsidRDefault="00C97177" w:rsidP="001B5E72">
            <w:pPr>
              <w:suppressAutoHyphens w:val="0"/>
              <w:spacing w:line="240" w:lineRule="auto"/>
              <w:ind w:left="113" w:right="113"/>
              <w:jc w:val="center"/>
            </w:pPr>
            <w:r w:rsidRPr="006B7F5C">
              <w:t>UN No.</w:t>
            </w:r>
          </w:p>
        </w:tc>
        <w:tc>
          <w:tcPr>
            <w:tcW w:w="2127" w:type="dxa"/>
            <w:vMerge w:val="restart"/>
            <w:textDirection w:val="btLr"/>
            <w:vAlign w:val="center"/>
          </w:tcPr>
          <w:p w14:paraId="2BBECACB" w14:textId="77777777" w:rsidR="00C97177" w:rsidRPr="006B7F5C" w:rsidRDefault="00C97177" w:rsidP="001B5E72">
            <w:pPr>
              <w:suppressAutoHyphens w:val="0"/>
              <w:spacing w:line="240" w:lineRule="auto"/>
              <w:ind w:left="113" w:right="113"/>
              <w:jc w:val="center"/>
            </w:pPr>
            <w:r w:rsidRPr="006B7F5C">
              <w:t>Name and description</w:t>
            </w:r>
          </w:p>
        </w:tc>
        <w:tc>
          <w:tcPr>
            <w:tcW w:w="751" w:type="dxa"/>
            <w:vMerge w:val="restart"/>
            <w:textDirection w:val="btLr"/>
            <w:vAlign w:val="center"/>
          </w:tcPr>
          <w:p w14:paraId="51769933" w14:textId="77777777" w:rsidR="00C97177" w:rsidRPr="006B7F5C" w:rsidRDefault="00C97177" w:rsidP="001B5E72">
            <w:pPr>
              <w:suppressAutoHyphens w:val="0"/>
              <w:spacing w:line="240" w:lineRule="auto"/>
              <w:ind w:left="113" w:right="113"/>
              <w:jc w:val="center"/>
            </w:pPr>
            <w:r w:rsidRPr="006B7F5C">
              <w:t>Class or division</w:t>
            </w:r>
          </w:p>
        </w:tc>
        <w:tc>
          <w:tcPr>
            <w:tcW w:w="390" w:type="dxa"/>
            <w:vMerge w:val="restart"/>
            <w:textDirection w:val="btLr"/>
            <w:vAlign w:val="center"/>
          </w:tcPr>
          <w:p w14:paraId="4DE00FFE" w14:textId="77777777" w:rsidR="00C97177" w:rsidRPr="006B7F5C" w:rsidRDefault="00C97177" w:rsidP="001B5E72">
            <w:pPr>
              <w:suppressAutoHyphens w:val="0"/>
              <w:spacing w:line="240" w:lineRule="auto"/>
              <w:ind w:left="113" w:right="113"/>
              <w:jc w:val="center"/>
            </w:pPr>
            <w:r w:rsidRPr="006B7F5C">
              <w:t>Subsidiary hazard</w:t>
            </w:r>
          </w:p>
        </w:tc>
        <w:tc>
          <w:tcPr>
            <w:tcW w:w="391" w:type="dxa"/>
            <w:vMerge w:val="restart"/>
            <w:textDirection w:val="btLr"/>
            <w:vAlign w:val="center"/>
          </w:tcPr>
          <w:p w14:paraId="27D274A4" w14:textId="77777777" w:rsidR="00C97177" w:rsidRPr="006B7F5C" w:rsidRDefault="00C97177" w:rsidP="001B5E72">
            <w:pPr>
              <w:suppressAutoHyphens w:val="0"/>
              <w:spacing w:line="240" w:lineRule="auto"/>
              <w:ind w:left="113" w:right="113"/>
              <w:jc w:val="center"/>
            </w:pPr>
            <w:r w:rsidRPr="006B7F5C">
              <w:t>UN packing group</w:t>
            </w:r>
          </w:p>
        </w:tc>
        <w:tc>
          <w:tcPr>
            <w:tcW w:w="493" w:type="dxa"/>
            <w:vMerge w:val="restart"/>
            <w:textDirection w:val="btLr"/>
            <w:vAlign w:val="center"/>
          </w:tcPr>
          <w:p w14:paraId="4FD18A99" w14:textId="77777777" w:rsidR="00C97177" w:rsidRPr="006B7F5C" w:rsidRDefault="00C97177" w:rsidP="001B5E72">
            <w:pPr>
              <w:suppressAutoHyphens w:val="0"/>
              <w:spacing w:line="240" w:lineRule="auto"/>
              <w:ind w:left="113" w:right="113"/>
              <w:jc w:val="center"/>
            </w:pPr>
            <w:r w:rsidRPr="006B7F5C">
              <w:t>Special provisions</w:t>
            </w:r>
          </w:p>
        </w:tc>
        <w:tc>
          <w:tcPr>
            <w:tcW w:w="1043" w:type="dxa"/>
            <w:gridSpan w:val="2"/>
            <w:vMerge w:val="restart"/>
            <w:textDirection w:val="btLr"/>
            <w:vAlign w:val="center"/>
          </w:tcPr>
          <w:p w14:paraId="34BEF350" w14:textId="77777777" w:rsidR="00C97177" w:rsidRPr="006B7F5C" w:rsidRDefault="00C97177" w:rsidP="001B5E72">
            <w:pPr>
              <w:suppressAutoHyphens w:val="0"/>
              <w:spacing w:line="240" w:lineRule="auto"/>
              <w:ind w:left="113" w:right="113"/>
              <w:jc w:val="center"/>
            </w:pPr>
            <w:r w:rsidRPr="006B7F5C">
              <w:t>Limited and excepted quantities</w:t>
            </w:r>
          </w:p>
        </w:tc>
        <w:tc>
          <w:tcPr>
            <w:tcW w:w="1804" w:type="dxa"/>
            <w:gridSpan w:val="2"/>
            <w:textDirection w:val="btLr"/>
            <w:vAlign w:val="center"/>
          </w:tcPr>
          <w:p w14:paraId="1C8914D6" w14:textId="77777777" w:rsidR="00C97177" w:rsidRPr="006B7F5C" w:rsidRDefault="00C97177" w:rsidP="001B5E72">
            <w:pPr>
              <w:suppressAutoHyphens w:val="0"/>
              <w:spacing w:line="240" w:lineRule="auto"/>
              <w:ind w:left="113" w:right="113"/>
              <w:jc w:val="center"/>
            </w:pPr>
            <w:proofErr w:type="spellStart"/>
            <w:r w:rsidRPr="006B7F5C">
              <w:t>Packagings</w:t>
            </w:r>
            <w:proofErr w:type="spellEnd"/>
            <w:r w:rsidRPr="006B7F5C">
              <w:t xml:space="preserve"> and IBCs</w:t>
            </w:r>
          </w:p>
        </w:tc>
        <w:tc>
          <w:tcPr>
            <w:tcW w:w="1643" w:type="dxa"/>
            <w:gridSpan w:val="2"/>
            <w:textDirection w:val="btLr"/>
            <w:vAlign w:val="center"/>
          </w:tcPr>
          <w:p w14:paraId="51F1283D" w14:textId="77777777" w:rsidR="00C97177" w:rsidRPr="006B7F5C" w:rsidRDefault="00C97177" w:rsidP="001B5E72">
            <w:pPr>
              <w:suppressAutoHyphens w:val="0"/>
              <w:spacing w:line="240" w:lineRule="auto"/>
              <w:ind w:left="113" w:right="113"/>
              <w:jc w:val="center"/>
            </w:pPr>
            <w:r w:rsidRPr="006B7F5C">
              <w:t>Portable tanks and bulk containers</w:t>
            </w:r>
          </w:p>
        </w:tc>
      </w:tr>
      <w:tr w:rsidR="00C97177" w:rsidRPr="006B7F5C" w14:paraId="590C9CEA" w14:textId="77777777" w:rsidTr="001B5E72">
        <w:trPr>
          <w:trHeight w:val="1474"/>
        </w:trPr>
        <w:tc>
          <w:tcPr>
            <w:tcW w:w="850" w:type="dxa"/>
            <w:vMerge/>
            <w:textDirection w:val="btLr"/>
            <w:vAlign w:val="center"/>
          </w:tcPr>
          <w:p w14:paraId="6E8A6093" w14:textId="77777777" w:rsidR="00C97177" w:rsidRPr="006B7F5C" w:rsidRDefault="00C97177" w:rsidP="001B5E72">
            <w:pPr>
              <w:suppressAutoHyphens w:val="0"/>
              <w:spacing w:line="240" w:lineRule="auto"/>
              <w:ind w:left="113" w:right="113"/>
              <w:jc w:val="center"/>
            </w:pPr>
          </w:p>
        </w:tc>
        <w:tc>
          <w:tcPr>
            <w:tcW w:w="2127" w:type="dxa"/>
            <w:vMerge/>
            <w:textDirection w:val="btLr"/>
            <w:vAlign w:val="center"/>
          </w:tcPr>
          <w:p w14:paraId="4DA7DDA4" w14:textId="77777777" w:rsidR="00C97177" w:rsidRPr="006B7F5C" w:rsidRDefault="00C97177" w:rsidP="001B5E72">
            <w:pPr>
              <w:suppressAutoHyphens w:val="0"/>
              <w:spacing w:line="240" w:lineRule="auto"/>
              <w:ind w:left="113" w:right="113"/>
              <w:jc w:val="center"/>
            </w:pPr>
          </w:p>
        </w:tc>
        <w:tc>
          <w:tcPr>
            <w:tcW w:w="751" w:type="dxa"/>
            <w:vMerge/>
            <w:textDirection w:val="btLr"/>
            <w:vAlign w:val="center"/>
          </w:tcPr>
          <w:p w14:paraId="3BEEA855" w14:textId="77777777" w:rsidR="00C97177" w:rsidRPr="006B7F5C" w:rsidRDefault="00C97177" w:rsidP="001B5E72">
            <w:pPr>
              <w:suppressAutoHyphens w:val="0"/>
              <w:spacing w:line="240" w:lineRule="auto"/>
              <w:ind w:left="113" w:right="113"/>
              <w:jc w:val="center"/>
            </w:pPr>
          </w:p>
        </w:tc>
        <w:tc>
          <w:tcPr>
            <w:tcW w:w="390" w:type="dxa"/>
            <w:vMerge/>
            <w:textDirection w:val="btLr"/>
            <w:vAlign w:val="center"/>
          </w:tcPr>
          <w:p w14:paraId="4DBC90DB" w14:textId="77777777" w:rsidR="00C97177" w:rsidRPr="006B7F5C" w:rsidRDefault="00C97177" w:rsidP="001B5E72">
            <w:pPr>
              <w:suppressAutoHyphens w:val="0"/>
              <w:spacing w:line="240" w:lineRule="auto"/>
              <w:ind w:left="113" w:right="113"/>
              <w:jc w:val="center"/>
            </w:pPr>
          </w:p>
        </w:tc>
        <w:tc>
          <w:tcPr>
            <w:tcW w:w="391" w:type="dxa"/>
            <w:vMerge/>
            <w:textDirection w:val="btLr"/>
            <w:vAlign w:val="center"/>
          </w:tcPr>
          <w:p w14:paraId="560E0271" w14:textId="77777777" w:rsidR="00C97177" w:rsidRPr="006B7F5C" w:rsidRDefault="00C97177" w:rsidP="001B5E72">
            <w:pPr>
              <w:suppressAutoHyphens w:val="0"/>
              <w:spacing w:line="240" w:lineRule="auto"/>
              <w:ind w:left="113" w:right="113"/>
              <w:jc w:val="center"/>
            </w:pPr>
          </w:p>
        </w:tc>
        <w:tc>
          <w:tcPr>
            <w:tcW w:w="493" w:type="dxa"/>
            <w:vMerge/>
            <w:textDirection w:val="btLr"/>
            <w:vAlign w:val="center"/>
          </w:tcPr>
          <w:p w14:paraId="72807D91" w14:textId="77777777" w:rsidR="00C97177" w:rsidRPr="006B7F5C" w:rsidRDefault="00C97177" w:rsidP="001B5E72">
            <w:pPr>
              <w:suppressAutoHyphens w:val="0"/>
              <w:spacing w:line="240" w:lineRule="auto"/>
              <w:ind w:left="113" w:right="113"/>
              <w:jc w:val="center"/>
            </w:pPr>
          </w:p>
        </w:tc>
        <w:tc>
          <w:tcPr>
            <w:tcW w:w="1043" w:type="dxa"/>
            <w:gridSpan w:val="2"/>
            <w:vMerge/>
            <w:textDirection w:val="btLr"/>
            <w:vAlign w:val="center"/>
          </w:tcPr>
          <w:p w14:paraId="465E1FAF" w14:textId="77777777" w:rsidR="00C97177" w:rsidRPr="006B7F5C" w:rsidRDefault="00C97177" w:rsidP="001B5E72">
            <w:pPr>
              <w:suppressAutoHyphens w:val="0"/>
              <w:spacing w:line="240" w:lineRule="auto"/>
              <w:ind w:left="113" w:right="113"/>
              <w:jc w:val="center"/>
            </w:pPr>
          </w:p>
        </w:tc>
        <w:tc>
          <w:tcPr>
            <w:tcW w:w="902" w:type="dxa"/>
            <w:textDirection w:val="btLr"/>
            <w:vAlign w:val="center"/>
          </w:tcPr>
          <w:p w14:paraId="23F247BB" w14:textId="77777777" w:rsidR="00C97177" w:rsidRPr="006B7F5C" w:rsidRDefault="00C97177" w:rsidP="001B5E72">
            <w:pPr>
              <w:suppressAutoHyphens w:val="0"/>
              <w:spacing w:line="240" w:lineRule="auto"/>
              <w:ind w:left="113" w:right="113"/>
              <w:jc w:val="center"/>
            </w:pPr>
            <w:r w:rsidRPr="006B7F5C">
              <w:t>Packing instruction</w:t>
            </w:r>
          </w:p>
        </w:tc>
        <w:tc>
          <w:tcPr>
            <w:tcW w:w="902" w:type="dxa"/>
            <w:textDirection w:val="btLr"/>
            <w:vAlign w:val="center"/>
          </w:tcPr>
          <w:p w14:paraId="20B68B88" w14:textId="77777777" w:rsidR="00C97177" w:rsidRPr="006B7F5C" w:rsidRDefault="00C97177" w:rsidP="001B5E72">
            <w:pPr>
              <w:suppressAutoHyphens w:val="0"/>
              <w:spacing w:line="240" w:lineRule="auto"/>
              <w:ind w:left="113" w:right="113"/>
              <w:jc w:val="center"/>
            </w:pPr>
            <w:r w:rsidRPr="006B7F5C">
              <w:t>Special packing provisions</w:t>
            </w:r>
          </w:p>
        </w:tc>
        <w:tc>
          <w:tcPr>
            <w:tcW w:w="821" w:type="dxa"/>
            <w:textDirection w:val="btLr"/>
            <w:vAlign w:val="center"/>
          </w:tcPr>
          <w:p w14:paraId="16139589" w14:textId="77777777" w:rsidR="00C97177" w:rsidRPr="006B7F5C" w:rsidRDefault="00C97177" w:rsidP="001B5E72">
            <w:pPr>
              <w:suppressAutoHyphens w:val="0"/>
              <w:spacing w:line="240" w:lineRule="auto"/>
              <w:ind w:left="113" w:right="113"/>
              <w:jc w:val="center"/>
            </w:pPr>
            <w:r w:rsidRPr="006B7F5C">
              <w:t>Instructions</w:t>
            </w:r>
          </w:p>
        </w:tc>
        <w:tc>
          <w:tcPr>
            <w:tcW w:w="822" w:type="dxa"/>
            <w:textDirection w:val="btLr"/>
            <w:vAlign w:val="center"/>
          </w:tcPr>
          <w:p w14:paraId="085C53EF" w14:textId="77777777" w:rsidR="00C97177" w:rsidRPr="006B7F5C" w:rsidRDefault="00C97177" w:rsidP="001B5E72">
            <w:pPr>
              <w:suppressAutoHyphens w:val="0"/>
              <w:spacing w:line="240" w:lineRule="auto"/>
              <w:ind w:left="113" w:right="113"/>
              <w:jc w:val="center"/>
            </w:pPr>
            <w:r w:rsidRPr="006B7F5C">
              <w:t>Special provisions</w:t>
            </w:r>
          </w:p>
        </w:tc>
      </w:tr>
      <w:tr w:rsidR="00C97177" w:rsidRPr="006B7F5C" w14:paraId="51F7BC75" w14:textId="77777777" w:rsidTr="001B5E72">
        <w:tc>
          <w:tcPr>
            <w:tcW w:w="850" w:type="dxa"/>
          </w:tcPr>
          <w:p w14:paraId="53EC9379" w14:textId="77777777" w:rsidR="00C97177" w:rsidRPr="006B7F5C" w:rsidRDefault="00C97177" w:rsidP="001B5E72">
            <w:pPr>
              <w:suppressAutoHyphens w:val="0"/>
              <w:spacing w:line="240" w:lineRule="auto"/>
              <w:jc w:val="center"/>
            </w:pPr>
            <w:r w:rsidRPr="006B7F5C">
              <w:t>(1)</w:t>
            </w:r>
          </w:p>
        </w:tc>
        <w:tc>
          <w:tcPr>
            <w:tcW w:w="2127" w:type="dxa"/>
          </w:tcPr>
          <w:p w14:paraId="35E27A53" w14:textId="77777777" w:rsidR="00C97177" w:rsidRPr="006B7F5C" w:rsidRDefault="00C97177" w:rsidP="001B5E72">
            <w:pPr>
              <w:suppressAutoHyphens w:val="0"/>
              <w:spacing w:line="240" w:lineRule="auto"/>
              <w:jc w:val="center"/>
            </w:pPr>
            <w:r w:rsidRPr="006B7F5C">
              <w:t>(2)</w:t>
            </w:r>
          </w:p>
        </w:tc>
        <w:tc>
          <w:tcPr>
            <w:tcW w:w="751" w:type="dxa"/>
          </w:tcPr>
          <w:p w14:paraId="4C7B952C" w14:textId="77777777" w:rsidR="00C97177" w:rsidRPr="006B7F5C" w:rsidRDefault="00C97177" w:rsidP="001B5E72">
            <w:pPr>
              <w:suppressAutoHyphens w:val="0"/>
              <w:spacing w:line="240" w:lineRule="auto"/>
              <w:jc w:val="center"/>
            </w:pPr>
            <w:r w:rsidRPr="006B7F5C">
              <w:t>(3)</w:t>
            </w:r>
          </w:p>
        </w:tc>
        <w:tc>
          <w:tcPr>
            <w:tcW w:w="390" w:type="dxa"/>
          </w:tcPr>
          <w:p w14:paraId="3C169CB7" w14:textId="77777777" w:rsidR="00C97177" w:rsidRPr="006B7F5C" w:rsidRDefault="00C97177" w:rsidP="001B5E72">
            <w:pPr>
              <w:suppressAutoHyphens w:val="0"/>
              <w:spacing w:line="240" w:lineRule="auto"/>
              <w:jc w:val="center"/>
            </w:pPr>
            <w:r w:rsidRPr="006B7F5C">
              <w:t>(4)</w:t>
            </w:r>
          </w:p>
        </w:tc>
        <w:tc>
          <w:tcPr>
            <w:tcW w:w="391" w:type="dxa"/>
          </w:tcPr>
          <w:p w14:paraId="4A86E941" w14:textId="77777777" w:rsidR="00C97177" w:rsidRPr="006B7F5C" w:rsidRDefault="00C97177" w:rsidP="001B5E72">
            <w:pPr>
              <w:suppressAutoHyphens w:val="0"/>
              <w:spacing w:line="240" w:lineRule="auto"/>
              <w:jc w:val="center"/>
            </w:pPr>
            <w:r w:rsidRPr="006B7F5C">
              <w:t>(5)</w:t>
            </w:r>
          </w:p>
        </w:tc>
        <w:tc>
          <w:tcPr>
            <w:tcW w:w="493" w:type="dxa"/>
          </w:tcPr>
          <w:p w14:paraId="34AF351C" w14:textId="77777777" w:rsidR="00C97177" w:rsidRPr="006B7F5C" w:rsidRDefault="00C97177" w:rsidP="001B5E72">
            <w:pPr>
              <w:suppressAutoHyphens w:val="0"/>
              <w:spacing w:line="240" w:lineRule="auto"/>
              <w:jc w:val="center"/>
            </w:pPr>
            <w:r w:rsidRPr="006B7F5C">
              <w:t>(6)</w:t>
            </w:r>
          </w:p>
        </w:tc>
        <w:tc>
          <w:tcPr>
            <w:tcW w:w="520" w:type="dxa"/>
          </w:tcPr>
          <w:p w14:paraId="40954C7D" w14:textId="77777777" w:rsidR="00C97177" w:rsidRPr="006B7F5C" w:rsidRDefault="00C97177" w:rsidP="001B5E72">
            <w:pPr>
              <w:suppressAutoHyphens w:val="0"/>
              <w:spacing w:line="240" w:lineRule="auto"/>
              <w:jc w:val="center"/>
            </w:pPr>
            <w:r w:rsidRPr="006B7F5C">
              <w:t>(7a)</w:t>
            </w:r>
          </w:p>
        </w:tc>
        <w:tc>
          <w:tcPr>
            <w:tcW w:w="523" w:type="dxa"/>
          </w:tcPr>
          <w:p w14:paraId="3AA41EAB" w14:textId="77777777" w:rsidR="00C97177" w:rsidRPr="006B7F5C" w:rsidRDefault="00C97177" w:rsidP="001B5E72">
            <w:pPr>
              <w:suppressAutoHyphens w:val="0"/>
              <w:spacing w:line="240" w:lineRule="auto"/>
              <w:jc w:val="center"/>
            </w:pPr>
            <w:r w:rsidRPr="006B7F5C">
              <w:t>(7b)</w:t>
            </w:r>
          </w:p>
        </w:tc>
        <w:tc>
          <w:tcPr>
            <w:tcW w:w="902" w:type="dxa"/>
          </w:tcPr>
          <w:p w14:paraId="453955FF" w14:textId="77777777" w:rsidR="00C97177" w:rsidRPr="006B7F5C" w:rsidRDefault="00C97177" w:rsidP="001B5E72">
            <w:pPr>
              <w:suppressAutoHyphens w:val="0"/>
              <w:spacing w:line="240" w:lineRule="auto"/>
              <w:jc w:val="center"/>
            </w:pPr>
            <w:r w:rsidRPr="006B7F5C">
              <w:t>(8)</w:t>
            </w:r>
          </w:p>
        </w:tc>
        <w:tc>
          <w:tcPr>
            <w:tcW w:w="902" w:type="dxa"/>
          </w:tcPr>
          <w:p w14:paraId="43A4E33D" w14:textId="77777777" w:rsidR="00C97177" w:rsidRPr="006B7F5C" w:rsidRDefault="00C97177" w:rsidP="001B5E72">
            <w:pPr>
              <w:suppressAutoHyphens w:val="0"/>
              <w:spacing w:line="240" w:lineRule="auto"/>
              <w:jc w:val="center"/>
            </w:pPr>
            <w:r w:rsidRPr="006B7F5C">
              <w:t>(9)</w:t>
            </w:r>
          </w:p>
        </w:tc>
        <w:tc>
          <w:tcPr>
            <w:tcW w:w="821" w:type="dxa"/>
          </w:tcPr>
          <w:p w14:paraId="27AE7F91" w14:textId="77777777" w:rsidR="00C97177" w:rsidRPr="006B7F5C" w:rsidRDefault="00C97177" w:rsidP="001B5E72">
            <w:pPr>
              <w:suppressAutoHyphens w:val="0"/>
              <w:spacing w:line="240" w:lineRule="auto"/>
              <w:jc w:val="center"/>
            </w:pPr>
            <w:r w:rsidRPr="006B7F5C">
              <w:t>(10)</w:t>
            </w:r>
          </w:p>
        </w:tc>
        <w:tc>
          <w:tcPr>
            <w:tcW w:w="822" w:type="dxa"/>
          </w:tcPr>
          <w:p w14:paraId="6C60A06F" w14:textId="77777777" w:rsidR="00C97177" w:rsidRPr="006B7F5C" w:rsidRDefault="00C97177" w:rsidP="001B5E72">
            <w:pPr>
              <w:suppressAutoHyphens w:val="0"/>
              <w:spacing w:line="240" w:lineRule="auto"/>
              <w:jc w:val="center"/>
            </w:pPr>
            <w:r w:rsidRPr="006B7F5C">
              <w:t>(11)</w:t>
            </w:r>
          </w:p>
        </w:tc>
      </w:tr>
      <w:tr w:rsidR="00C97177" w:rsidRPr="006B7F5C" w14:paraId="1A8F7FF2" w14:textId="77777777" w:rsidTr="001B5E72">
        <w:tc>
          <w:tcPr>
            <w:tcW w:w="850" w:type="dxa"/>
            <w:vAlign w:val="center"/>
          </w:tcPr>
          <w:p w14:paraId="2805B158" w14:textId="77777777" w:rsidR="00C97177" w:rsidRPr="006B7F5C" w:rsidRDefault="00C97177" w:rsidP="001B5E72">
            <w:pPr>
              <w:suppressAutoHyphens w:val="0"/>
              <w:spacing w:line="240" w:lineRule="auto"/>
              <w:jc w:val="center"/>
            </w:pPr>
            <w:r w:rsidRPr="006B7F5C">
              <w:t>2372</w:t>
            </w:r>
          </w:p>
        </w:tc>
        <w:tc>
          <w:tcPr>
            <w:tcW w:w="2127" w:type="dxa"/>
            <w:vAlign w:val="center"/>
          </w:tcPr>
          <w:p w14:paraId="7D713277" w14:textId="77777777" w:rsidR="00C97177" w:rsidRPr="006B7F5C" w:rsidRDefault="00C97177" w:rsidP="001B5E72">
            <w:pPr>
              <w:suppressAutoHyphens w:val="0"/>
              <w:spacing w:line="240" w:lineRule="auto"/>
              <w:ind w:left="133"/>
              <w:jc w:val="center"/>
            </w:pPr>
            <w:r w:rsidRPr="006B7F5C">
              <w:t xml:space="preserve">1,2-DI-(DIMETHYLAMINO) </w:t>
            </w:r>
            <w:r w:rsidRPr="006B7F5C">
              <w:br/>
              <w:t>ETHANE</w:t>
            </w:r>
          </w:p>
        </w:tc>
        <w:tc>
          <w:tcPr>
            <w:tcW w:w="751" w:type="dxa"/>
            <w:vAlign w:val="center"/>
          </w:tcPr>
          <w:p w14:paraId="7AA9F397" w14:textId="77777777" w:rsidR="00C97177" w:rsidRPr="006B7F5C" w:rsidRDefault="00C97177" w:rsidP="001B5E72">
            <w:pPr>
              <w:suppressAutoHyphens w:val="0"/>
              <w:spacing w:line="240" w:lineRule="auto"/>
              <w:jc w:val="center"/>
            </w:pPr>
            <w:r w:rsidRPr="006B7F5C">
              <w:t>3</w:t>
            </w:r>
          </w:p>
        </w:tc>
        <w:tc>
          <w:tcPr>
            <w:tcW w:w="390" w:type="dxa"/>
            <w:vAlign w:val="center"/>
          </w:tcPr>
          <w:p w14:paraId="64F2EB81" w14:textId="77777777" w:rsidR="00C97177" w:rsidRPr="006B7F5C" w:rsidRDefault="00C97177" w:rsidP="001B5E72">
            <w:pPr>
              <w:suppressAutoHyphens w:val="0"/>
              <w:spacing w:line="240" w:lineRule="auto"/>
              <w:jc w:val="center"/>
              <w:rPr>
                <w:b/>
                <w:bCs/>
                <w:u w:val="single"/>
              </w:rPr>
            </w:pPr>
            <w:r w:rsidRPr="006B7F5C">
              <w:rPr>
                <w:b/>
                <w:bCs/>
                <w:u w:val="single"/>
              </w:rPr>
              <w:t>6.18</w:t>
            </w:r>
          </w:p>
        </w:tc>
        <w:tc>
          <w:tcPr>
            <w:tcW w:w="391" w:type="dxa"/>
            <w:vAlign w:val="center"/>
          </w:tcPr>
          <w:p w14:paraId="5641933F" w14:textId="77777777" w:rsidR="00C97177" w:rsidRPr="006B7F5C" w:rsidRDefault="00C97177" w:rsidP="001B5E72">
            <w:pPr>
              <w:suppressAutoHyphens w:val="0"/>
              <w:spacing w:line="240" w:lineRule="auto"/>
              <w:jc w:val="center"/>
            </w:pPr>
            <w:r w:rsidRPr="006B7F5C">
              <w:t>II</w:t>
            </w:r>
          </w:p>
        </w:tc>
        <w:tc>
          <w:tcPr>
            <w:tcW w:w="493" w:type="dxa"/>
            <w:vAlign w:val="center"/>
          </w:tcPr>
          <w:p w14:paraId="2CBABA7E" w14:textId="77777777" w:rsidR="00C97177" w:rsidRPr="006B7F5C" w:rsidRDefault="00C97177" w:rsidP="001B5E72">
            <w:pPr>
              <w:suppressAutoHyphens w:val="0"/>
              <w:spacing w:line="240" w:lineRule="auto"/>
              <w:jc w:val="center"/>
            </w:pPr>
          </w:p>
        </w:tc>
        <w:tc>
          <w:tcPr>
            <w:tcW w:w="520" w:type="dxa"/>
            <w:vAlign w:val="center"/>
          </w:tcPr>
          <w:p w14:paraId="12914F1D" w14:textId="77777777" w:rsidR="00C97177" w:rsidRPr="006B7F5C" w:rsidRDefault="00C97177" w:rsidP="001B5E72">
            <w:pPr>
              <w:suppressAutoHyphens w:val="0"/>
              <w:spacing w:line="240" w:lineRule="auto"/>
              <w:jc w:val="center"/>
            </w:pPr>
            <w:r w:rsidRPr="006B7F5C">
              <w:t>1L</w:t>
            </w:r>
          </w:p>
        </w:tc>
        <w:tc>
          <w:tcPr>
            <w:tcW w:w="523" w:type="dxa"/>
            <w:vAlign w:val="center"/>
          </w:tcPr>
          <w:p w14:paraId="6B94CF1E" w14:textId="77777777" w:rsidR="00C97177" w:rsidRPr="006B7F5C" w:rsidRDefault="00C97177" w:rsidP="001B5E72">
            <w:pPr>
              <w:suppressAutoHyphens w:val="0"/>
              <w:spacing w:line="240" w:lineRule="auto"/>
              <w:jc w:val="center"/>
            </w:pPr>
            <w:r w:rsidRPr="006B7F5C">
              <w:t>E2</w:t>
            </w:r>
          </w:p>
        </w:tc>
        <w:tc>
          <w:tcPr>
            <w:tcW w:w="902" w:type="dxa"/>
            <w:vAlign w:val="center"/>
          </w:tcPr>
          <w:p w14:paraId="46DAABF5" w14:textId="77777777" w:rsidR="00C97177" w:rsidRPr="006B7F5C" w:rsidRDefault="00C97177" w:rsidP="001B5E72">
            <w:pPr>
              <w:suppressAutoHyphens w:val="0"/>
              <w:spacing w:line="240" w:lineRule="auto"/>
              <w:jc w:val="center"/>
            </w:pPr>
            <w:r w:rsidRPr="006B7F5C">
              <w:t>P001</w:t>
            </w:r>
            <w:r w:rsidRPr="006B7F5C">
              <w:br/>
              <w:t>IBC02</w:t>
            </w:r>
          </w:p>
        </w:tc>
        <w:tc>
          <w:tcPr>
            <w:tcW w:w="902" w:type="dxa"/>
            <w:vAlign w:val="center"/>
          </w:tcPr>
          <w:p w14:paraId="4E03ABCC" w14:textId="77777777" w:rsidR="00C97177" w:rsidRPr="006B7F5C" w:rsidRDefault="00C97177" w:rsidP="001B5E72">
            <w:pPr>
              <w:suppressAutoHyphens w:val="0"/>
              <w:spacing w:line="240" w:lineRule="auto"/>
              <w:jc w:val="center"/>
            </w:pPr>
          </w:p>
        </w:tc>
        <w:tc>
          <w:tcPr>
            <w:tcW w:w="821" w:type="dxa"/>
            <w:vAlign w:val="center"/>
          </w:tcPr>
          <w:p w14:paraId="7DE28A1F" w14:textId="77777777" w:rsidR="00C97177" w:rsidRPr="006B7F5C" w:rsidRDefault="00C97177" w:rsidP="001B5E72">
            <w:pPr>
              <w:suppressAutoHyphens w:val="0"/>
              <w:spacing w:line="240" w:lineRule="auto"/>
              <w:jc w:val="center"/>
              <w:rPr>
                <w:b/>
                <w:bCs/>
                <w:strike/>
                <w:u w:val="single"/>
              </w:rPr>
            </w:pPr>
            <w:r w:rsidRPr="006B7F5C">
              <w:rPr>
                <w:b/>
                <w:bCs/>
                <w:strike/>
              </w:rPr>
              <w:t>T4</w:t>
            </w:r>
            <w:r w:rsidRPr="006B7F5C">
              <w:rPr>
                <w:b/>
                <w:bCs/>
                <w:strike/>
                <w:u w:val="single"/>
              </w:rPr>
              <w:br/>
            </w:r>
            <w:r w:rsidRPr="006B7F5C">
              <w:rPr>
                <w:b/>
                <w:bCs/>
                <w:u w:val="single"/>
              </w:rPr>
              <w:t>T7</w:t>
            </w:r>
          </w:p>
        </w:tc>
        <w:tc>
          <w:tcPr>
            <w:tcW w:w="822" w:type="dxa"/>
            <w:vAlign w:val="center"/>
          </w:tcPr>
          <w:p w14:paraId="76D9BF5E" w14:textId="77777777" w:rsidR="00C97177" w:rsidRPr="006B7F5C" w:rsidRDefault="00C97177" w:rsidP="001B5E72">
            <w:pPr>
              <w:suppressAutoHyphens w:val="0"/>
              <w:spacing w:line="240" w:lineRule="auto"/>
              <w:jc w:val="center"/>
            </w:pPr>
            <w:r w:rsidRPr="006B7F5C">
              <w:t>TP1</w:t>
            </w:r>
          </w:p>
        </w:tc>
      </w:tr>
    </w:tbl>
    <w:p w14:paraId="0E2C3811" w14:textId="04EDD978" w:rsidR="00C97177" w:rsidRDefault="00C97177" w:rsidP="00C97177">
      <w:pPr>
        <w:pStyle w:val="SingleTxtG"/>
      </w:pPr>
      <w:r>
        <w:t>28.</w:t>
      </w:r>
      <w:r>
        <w:tab/>
        <w:t xml:space="preserve">If proposals 1 </w:t>
      </w:r>
      <w:r w:rsidR="00910D01">
        <w:t xml:space="preserve">and </w:t>
      </w:r>
      <w:r>
        <w:t xml:space="preserve">2, as well as option 2 from proposal 3 are accepted, the entry for UN 2372 in the Dangerous Goods List would read as follows (new text in </w:t>
      </w:r>
      <w:r w:rsidRPr="00EA5E1B">
        <w:rPr>
          <w:b/>
          <w:bCs/>
          <w:u w:val="single"/>
        </w:rPr>
        <w:t>bold</w:t>
      </w:r>
      <w:r>
        <w:t xml:space="preserve"> and </w:t>
      </w:r>
      <w:r w:rsidRPr="00EA5E1B">
        <w:rPr>
          <w:b/>
          <w:bCs/>
          <w:u w:val="single"/>
        </w:rPr>
        <w:t>underlined</w:t>
      </w:r>
      <w:r>
        <w:t xml:space="preserve">, deleted text in </w:t>
      </w:r>
      <w:r w:rsidRPr="00EA5E1B">
        <w:rPr>
          <w:b/>
          <w:bCs/>
          <w:strike/>
        </w:rPr>
        <w:t>bold</w:t>
      </w:r>
      <w:r>
        <w:t xml:space="preserve"> and </w:t>
      </w:r>
      <w:r w:rsidRPr="00EA5E1B">
        <w:rPr>
          <w:b/>
          <w:bCs/>
          <w:strike/>
        </w:rPr>
        <w:t>stricken trough</w:t>
      </w:r>
      <w:r>
        <w:t>):</w:t>
      </w:r>
    </w:p>
    <w:p w14:paraId="516F8CC9" w14:textId="77777777" w:rsidR="00C97177" w:rsidRDefault="00C97177" w:rsidP="00C97177"/>
    <w:p w14:paraId="3F78E618" w14:textId="77777777" w:rsidR="00C97177" w:rsidRDefault="00C97177" w:rsidP="00C97177">
      <w:pPr>
        <w:pStyle w:val="SingleTxtG"/>
      </w:pPr>
    </w:p>
    <w:p w14:paraId="1C1FEFDA" w14:textId="77777777" w:rsidR="00C97177" w:rsidRPr="00CD6F4A" w:rsidRDefault="00C97177" w:rsidP="00C97177">
      <w:pPr>
        <w:pStyle w:val="SingleTxtG"/>
      </w:pPr>
      <w:r>
        <w:t>29.</w:t>
      </w:r>
      <w:r>
        <w:tab/>
      </w:r>
      <w:r w:rsidRPr="00CD6F4A">
        <w:t>Add in 4.2.6 of the Model Regulations the following transitional measure:</w:t>
      </w:r>
    </w:p>
    <w:p w14:paraId="10413C77" w14:textId="77777777" w:rsidR="00C97177" w:rsidRPr="00CD6F4A" w:rsidRDefault="00C97177" w:rsidP="00C97177">
      <w:pPr>
        <w:pStyle w:val="SingleTxtG"/>
        <w:ind w:left="1701"/>
      </w:pPr>
      <w:r w:rsidRPr="00CD6F4A">
        <w:t>“Until 31 December 2031 portable tanks with tank code T4 may be used for the transport of UN2372 1,2-DI-(DIMETHYLAMINO) ETHANE”.</w:t>
      </w:r>
    </w:p>
    <w:p w14:paraId="31B95289" w14:textId="60835647" w:rsidR="00C97177" w:rsidRDefault="00C97177" w:rsidP="00C97177">
      <w:pPr>
        <w:pStyle w:val="H23G"/>
        <w:rPr>
          <w:lang w:val="en-US"/>
        </w:rPr>
      </w:pPr>
      <w:r>
        <w:rPr>
          <w:lang w:val="en-US"/>
        </w:rPr>
        <w:tab/>
      </w:r>
      <w:r w:rsidR="007A7D45">
        <w:rPr>
          <w:lang w:val="en-US"/>
        </w:rPr>
        <w:t>3.</w:t>
      </w:r>
      <w:r>
        <w:rPr>
          <w:lang w:val="en-US"/>
        </w:rPr>
        <w:tab/>
      </w:r>
      <w:r w:rsidRPr="007C14A4">
        <w:rPr>
          <w:lang w:val="en-US"/>
        </w:rPr>
        <w:t>Option</w:t>
      </w:r>
      <w:r>
        <w:rPr>
          <w:lang w:val="en-US"/>
        </w:rPr>
        <w:t xml:space="preserve"> 3:</w:t>
      </w:r>
    </w:p>
    <w:p w14:paraId="2DA0192D" w14:textId="77777777" w:rsidR="00C97177" w:rsidRPr="00CD6F4A" w:rsidRDefault="00C97177" w:rsidP="00C97177">
      <w:pPr>
        <w:pStyle w:val="SingleTxtG"/>
      </w:pPr>
      <w:r>
        <w:t>30.</w:t>
      </w:r>
      <w:r>
        <w:tab/>
      </w:r>
      <w:r w:rsidRPr="0099634E">
        <w:t xml:space="preserve">Keep the currently assigned portable tank instruction </w:t>
      </w:r>
      <w:r>
        <w:t xml:space="preserve">(T4) </w:t>
      </w:r>
      <w:r w:rsidRPr="0099634E">
        <w:t>for UN</w:t>
      </w:r>
      <w:r>
        <w:t xml:space="preserve"> </w:t>
      </w:r>
      <w:r w:rsidRPr="0099634E">
        <w:t>2372</w:t>
      </w:r>
      <w:r>
        <w:t xml:space="preserve"> </w:t>
      </w:r>
      <w:r w:rsidRPr="0099634E">
        <w:t xml:space="preserve">so that </w:t>
      </w:r>
      <w:r>
        <w:t xml:space="preserve">the entry for UN 2372 will stay as proposed in paragraph 18 of this </w:t>
      </w:r>
      <w:proofErr w:type="gramStart"/>
      <w:r>
        <w:t>document, if</w:t>
      </w:r>
      <w:proofErr w:type="gramEnd"/>
      <w:r>
        <w:t xml:space="preserve"> proposals 1 and 2 are accepted.</w:t>
      </w:r>
    </w:p>
    <w:p w14:paraId="71F2B128" w14:textId="33BC8186" w:rsidR="00C97177" w:rsidRDefault="00C97177" w:rsidP="00C97177">
      <w:pPr>
        <w:pStyle w:val="SingleTxtG"/>
        <w:rPr>
          <w:iCs/>
        </w:rPr>
      </w:pPr>
      <w:r>
        <w:rPr>
          <w:iCs/>
        </w:rPr>
        <w:t>31.</w:t>
      </w:r>
      <w:r>
        <w:rPr>
          <w:iCs/>
        </w:rPr>
        <w:tab/>
        <w:t>Introduce</w:t>
      </w:r>
      <w:r w:rsidRPr="00436B30">
        <w:rPr>
          <w:iCs/>
        </w:rPr>
        <w:t xml:space="preserve"> a new paragraph </w:t>
      </w:r>
      <w:r>
        <w:rPr>
          <w:iCs/>
        </w:rPr>
        <w:t xml:space="preserve">3 </w:t>
      </w:r>
      <w:r w:rsidRPr="00436B30">
        <w:rPr>
          <w:iCs/>
        </w:rPr>
        <w:t>to part 4, section C of the Guiding principles to accommodate the reasoning applied for this decision</w:t>
      </w:r>
      <w:r>
        <w:rPr>
          <w:iCs/>
          <w:lang w:val="en-US"/>
        </w:rPr>
        <w:t>:</w:t>
      </w:r>
      <w:r>
        <w:rPr>
          <w:iCs/>
        </w:rPr>
        <w:t xml:space="preserve"> </w:t>
      </w:r>
    </w:p>
    <w:p w14:paraId="06833542" w14:textId="77777777" w:rsidR="00C97177" w:rsidRDefault="00C97177" w:rsidP="00C97177">
      <w:pPr>
        <w:pStyle w:val="SingleTxtG"/>
        <w:ind w:left="1701"/>
      </w:pPr>
      <w:r>
        <w:t xml:space="preserve">“3. The Sub-Committee may decide to deviate from the principles outlined in this section for assigning portable tank instructions. A major factor for deciding to deviate from these principles should be experience with safe transport in portable tanks of another type. (e.g. for UN2372, when scientific data showed its corrosive and toxic </w:t>
      </w:r>
      <w:r>
        <w:lastRenderedPageBreak/>
        <w:t>hazard potential, it was decided to keep T4 assigned based on decades of safe transport without incidents).”</w:t>
      </w:r>
    </w:p>
    <w:p w14:paraId="729EE3D7" w14:textId="77777777" w:rsidR="00C97177" w:rsidRPr="00436B30" w:rsidRDefault="00C97177" w:rsidP="00C97177">
      <w:pPr>
        <w:pStyle w:val="SingleTxtG"/>
        <w:rPr>
          <w:iCs/>
        </w:rPr>
      </w:pPr>
      <w:r>
        <w:rPr>
          <w:iCs/>
        </w:rPr>
        <w:t>32.</w:t>
      </w:r>
      <w:r>
        <w:rPr>
          <w:iCs/>
        </w:rPr>
        <w:tab/>
        <w:t>Renumber the current paragraph 3 to part 4, section C of the Guiding Principles as paragraph ‘4’.</w:t>
      </w:r>
    </w:p>
    <w:p w14:paraId="54979827" w14:textId="64D8CE7D" w:rsidR="00C97177" w:rsidRPr="00EB1C77" w:rsidRDefault="00C97177" w:rsidP="00C97177">
      <w:pPr>
        <w:pStyle w:val="HChG"/>
        <w:rPr>
          <w:lang w:val="en-US"/>
        </w:rPr>
      </w:pPr>
      <w:r>
        <w:rPr>
          <w:lang w:val="en-US"/>
        </w:rPr>
        <w:tab/>
        <w:t>V.</w:t>
      </w:r>
      <w:r>
        <w:rPr>
          <w:lang w:val="en-US"/>
        </w:rPr>
        <w:tab/>
      </w:r>
      <w:r w:rsidRPr="00EB1C77">
        <w:rPr>
          <w:lang w:val="en-US"/>
        </w:rPr>
        <w:t>Sustainable Development Goals</w:t>
      </w:r>
    </w:p>
    <w:p w14:paraId="70659E20" w14:textId="56B5037B" w:rsidR="00C97177" w:rsidRDefault="00C97177" w:rsidP="009E4689">
      <w:pPr>
        <w:pStyle w:val="SingleTxtG"/>
        <w:rPr>
          <w:iCs/>
        </w:rPr>
      </w:pPr>
      <w:r w:rsidRPr="009E4689">
        <w:rPr>
          <w:iCs/>
        </w:rPr>
        <w:t>33.</w:t>
      </w:r>
      <w:r w:rsidRPr="009E4689">
        <w:rPr>
          <w:iCs/>
        </w:rPr>
        <w:tab/>
        <w:t xml:space="preserve">This proposal contributes to Sustainable Development Goal 12 “Ensure sustainable consumption and production patterns” and more specifically its target 12.4 “Achieve the environmentally sound management of chemicals and all wastes throughout their life cycle, in accordance with agreed international frameworks, and significantly reduce their release to air, water and soil </w:t>
      </w:r>
      <w:proofErr w:type="gramStart"/>
      <w:r w:rsidRPr="009E4689">
        <w:rPr>
          <w:iCs/>
        </w:rPr>
        <w:t>in order to</w:t>
      </w:r>
      <w:proofErr w:type="gramEnd"/>
      <w:r w:rsidRPr="009E4689">
        <w:rPr>
          <w:iCs/>
        </w:rPr>
        <w:t xml:space="preserve"> minimize their adverse impacts on human health and the environment.</w:t>
      </w:r>
    </w:p>
    <w:p w14:paraId="102E283F" w14:textId="55CAA17F" w:rsidR="009E4689" w:rsidRDefault="009E4689">
      <w:pPr>
        <w:rPr>
          <w:iCs/>
        </w:rPr>
      </w:pPr>
      <w:r>
        <w:rPr>
          <w:iCs/>
        </w:rPr>
        <w:br w:type="page"/>
      </w:r>
    </w:p>
    <w:p w14:paraId="2A3996EF" w14:textId="77777777" w:rsidR="002962DB" w:rsidRDefault="002962DB" w:rsidP="009E4689">
      <w:pPr>
        <w:pStyle w:val="SingleTxtG"/>
        <w:rPr>
          <w:iCs/>
        </w:rPr>
        <w:sectPr w:rsidR="002962DB" w:rsidSect="00C97177">
          <w:headerReference w:type="even" r:id="rId19"/>
          <w:headerReference w:type="default" r:id="rId20"/>
          <w:footerReference w:type="even" r:id="rId21"/>
          <w:footerReference w:type="default" r:id="rId22"/>
          <w:footerReference w:type="first" r:id="rId23"/>
          <w:endnotePr>
            <w:numFmt w:val="decimal"/>
          </w:endnotePr>
          <w:pgSz w:w="11907" w:h="16840" w:code="9"/>
          <w:pgMar w:top="1417" w:right="1134" w:bottom="1134" w:left="1134" w:header="850" w:footer="567" w:gutter="0"/>
          <w:cols w:space="720"/>
          <w:titlePg/>
          <w:docGrid w:linePitch="272"/>
        </w:sectPr>
      </w:pPr>
    </w:p>
    <w:p w14:paraId="59A27035" w14:textId="5274918A" w:rsidR="002962DB" w:rsidRDefault="002962DB">
      <w:pPr>
        <w:rPr>
          <w:iCs/>
        </w:rPr>
      </w:pPr>
    </w:p>
    <w:p w14:paraId="389AF024" w14:textId="77777777" w:rsidR="009E4689" w:rsidRPr="009E4689" w:rsidRDefault="009E4689" w:rsidP="002962DB"/>
    <w:p w14:paraId="5519AAE8" w14:textId="77777777" w:rsidR="00D37047" w:rsidRDefault="00D37047" w:rsidP="00D37047">
      <w:pPr>
        <w:pStyle w:val="SingleTxtG"/>
        <w:spacing w:before="240" w:after="0"/>
        <w:ind w:left="567"/>
        <w:jc w:val="left"/>
        <w:rPr>
          <w:b/>
          <w:bCs/>
          <w:sz w:val="28"/>
          <w:szCs w:val="28"/>
          <w:lang w:val="en-US"/>
        </w:rPr>
      </w:pPr>
      <w:r w:rsidRPr="00CE14A5">
        <w:rPr>
          <w:b/>
          <w:bCs/>
          <w:sz w:val="28"/>
          <w:szCs w:val="28"/>
          <w:lang w:val="en-US"/>
        </w:rPr>
        <w:t xml:space="preserve">Annex I </w:t>
      </w:r>
    </w:p>
    <w:p w14:paraId="54BE7A1F" w14:textId="54AE96FA" w:rsidR="00D37047" w:rsidRPr="00CE14A5" w:rsidRDefault="00D37047" w:rsidP="00D37047">
      <w:pPr>
        <w:pStyle w:val="HChG"/>
        <w:rPr>
          <w:lang w:val="en-US"/>
        </w:rPr>
      </w:pPr>
      <w:r>
        <w:rPr>
          <w:lang w:val="en-US"/>
        </w:rPr>
        <w:tab/>
      </w:r>
      <w:r>
        <w:rPr>
          <w:lang w:val="en-US"/>
        </w:rPr>
        <w:tab/>
      </w:r>
      <w:r w:rsidRPr="00CE14A5">
        <w:rPr>
          <w:lang w:val="en-US"/>
        </w:rPr>
        <w:t xml:space="preserve">Corrosivity studies </w:t>
      </w:r>
      <w:r w:rsidR="007A7D45">
        <w:rPr>
          <w:lang w:val="en-US"/>
        </w:rPr>
        <w:t xml:space="preserve">for </w:t>
      </w:r>
      <w:r w:rsidRPr="00CE14A5">
        <w:rPr>
          <w:lang w:val="en-US"/>
        </w:rPr>
        <w:t>UN</w:t>
      </w:r>
      <w:r>
        <w:rPr>
          <w:lang w:val="en-US"/>
        </w:rPr>
        <w:t xml:space="preserve"> </w:t>
      </w:r>
      <w:r w:rsidRPr="00CE14A5">
        <w:rPr>
          <w:lang w:val="en-US"/>
        </w:rPr>
        <w:t>2372</w:t>
      </w:r>
    </w:p>
    <w:tbl>
      <w:tblPr>
        <w:tblW w:w="13776" w:type="dxa"/>
        <w:tblInd w:w="283" w:type="dxa"/>
        <w:tblLayout w:type="fixed"/>
        <w:tblCellMar>
          <w:left w:w="0" w:type="dxa"/>
          <w:right w:w="0" w:type="dxa"/>
        </w:tblCellMar>
        <w:tblLook w:val="04A0" w:firstRow="1" w:lastRow="0" w:firstColumn="1" w:lastColumn="0" w:noHBand="0" w:noVBand="1"/>
      </w:tblPr>
      <w:tblGrid>
        <w:gridCol w:w="1319"/>
        <w:gridCol w:w="2649"/>
        <w:gridCol w:w="2717"/>
        <w:gridCol w:w="2717"/>
        <w:gridCol w:w="4374"/>
      </w:tblGrid>
      <w:tr w:rsidR="00D37047" w:rsidRPr="00B02352" w14:paraId="19BF10DF" w14:textId="77777777" w:rsidTr="001B5E72">
        <w:trPr>
          <w:tblHeader/>
        </w:trPr>
        <w:tc>
          <w:tcPr>
            <w:tcW w:w="1319" w:type="dxa"/>
            <w:tcBorders>
              <w:top w:val="single" w:sz="4" w:space="0" w:color="auto"/>
              <w:bottom w:val="single" w:sz="12" w:space="0" w:color="auto"/>
            </w:tcBorders>
            <w:shd w:val="clear" w:color="auto" w:fill="auto"/>
            <w:vAlign w:val="bottom"/>
            <w:hideMark/>
          </w:tcPr>
          <w:p w14:paraId="2A5FCA0F" w14:textId="77777777" w:rsidR="00D37047" w:rsidRPr="00B02352" w:rsidRDefault="00D37047" w:rsidP="001B5E72">
            <w:pPr>
              <w:spacing w:before="80" w:after="80" w:line="200" w:lineRule="exact"/>
              <w:ind w:right="113"/>
              <w:rPr>
                <w:i/>
                <w:sz w:val="16"/>
                <w:szCs w:val="24"/>
                <w:lang w:val="en-US" w:eastAsia="fr-BE"/>
              </w:rPr>
            </w:pPr>
            <w:r w:rsidRPr="00B02352">
              <w:rPr>
                <w:i/>
                <w:sz w:val="16"/>
                <w:lang w:val="en-US" w:eastAsia="fr-BE"/>
              </w:rPr>
              <w:t> </w:t>
            </w:r>
          </w:p>
        </w:tc>
        <w:tc>
          <w:tcPr>
            <w:tcW w:w="2649" w:type="dxa"/>
            <w:tcBorders>
              <w:top w:val="single" w:sz="4" w:space="0" w:color="auto"/>
              <w:bottom w:val="single" w:sz="12" w:space="0" w:color="auto"/>
            </w:tcBorders>
            <w:shd w:val="clear" w:color="auto" w:fill="auto"/>
            <w:vAlign w:val="bottom"/>
            <w:hideMark/>
          </w:tcPr>
          <w:p w14:paraId="37D77046" w14:textId="77777777" w:rsidR="00D37047" w:rsidRPr="00B02352" w:rsidRDefault="00D37047" w:rsidP="001B5E72">
            <w:pPr>
              <w:spacing w:before="80" w:after="80" w:line="200" w:lineRule="exact"/>
              <w:ind w:right="113"/>
              <w:rPr>
                <w:i/>
                <w:sz w:val="16"/>
                <w:szCs w:val="24"/>
                <w:lang w:val="fr-BE" w:eastAsia="fr-BE"/>
              </w:rPr>
            </w:pPr>
            <w:r w:rsidRPr="00B02352">
              <w:rPr>
                <w:bCs/>
                <w:i/>
                <w:sz w:val="16"/>
                <w:lang w:val="de-DE" w:eastAsia="fr-BE"/>
              </w:rPr>
              <w:t xml:space="preserve">Study </w:t>
            </w:r>
            <w:proofErr w:type="spellStart"/>
            <w:r w:rsidRPr="00B02352">
              <w:rPr>
                <w:bCs/>
                <w:i/>
                <w:sz w:val="16"/>
                <w:lang w:val="de-DE" w:eastAsia="fr-BE"/>
              </w:rPr>
              <w:t>report</w:t>
            </w:r>
            <w:proofErr w:type="spellEnd"/>
            <w:r w:rsidRPr="00B02352">
              <w:rPr>
                <w:bCs/>
                <w:i/>
                <w:sz w:val="16"/>
                <w:lang w:val="de-DE" w:eastAsia="fr-BE"/>
              </w:rPr>
              <w:t xml:space="preserve"> 2000</w:t>
            </w:r>
            <w:r w:rsidRPr="00B02352">
              <w:rPr>
                <w:i/>
                <w:sz w:val="16"/>
                <w:lang w:val="fr-BE" w:eastAsia="fr-BE"/>
              </w:rPr>
              <w:t> </w:t>
            </w:r>
          </w:p>
        </w:tc>
        <w:tc>
          <w:tcPr>
            <w:tcW w:w="2717" w:type="dxa"/>
            <w:tcBorders>
              <w:top w:val="single" w:sz="4" w:space="0" w:color="auto"/>
              <w:bottom w:val="single" w:sz="12" w:space="0" w:color="auto"/>
            </w:tcBorders>
            <w:shd w:val="clear" w:color="auto" w:fill="auto"/>
            <w:vAlign w:val="bottom"/>
            <w:hideMark/>
          </w:tcPr>
          <w:p w14:paraId="5EFB0A90" w14:textId="77777777" w:rsidR="00D37047" w:rsidRPr="00B02352" w:rsidRDefault="00D37047" w:rsidP="001B5E72">
            <w:pPr>
              <w:spacing w:before="80" w:after="80" w:line="200" w:lineRule="exact"/>
              <w:ind w:right="113"/>
              <w:rPr>
                <w:i/>
                <w:sz w:val="16"/>
                <w:szCs w:val="24"/>
                <w:lang w:val="fr-BE" w:eastAsia="fr-BE"/>
              </w:rPr>
            </w:pPr>
            <w:r w:rsidRPr="00B02352">
              <w:rPr>
                <w:bCs/>
                <w:i/>
                <w:sz w:val="16"/>
                <w:lang w:val="de-DE" w:eastAsia="fr-BE"/>
              </w:rPr>
              <w:t xml:space="preserve">Study </w:t>
            </w:r>
            <w:proofErr w:type="spellStart"/>
            <w:r w:rsidRPr="00B02352">
              <w:rPr>
                <w:bCs/>
                <w:i/>
                <w:sz w:val="16"/>
                <w:lang w:val="de-DE" w:eastAsia="fr-BE"/>
              </w:rPr>
              <w:t>report</w:t>
            </w:r>
            <w:proofErr w:type="spellEnd"/>
            <w:r w:rsidRPr="00B02352">
              <w:rPr>
                <w:bCs/>
                <w:i/>
                <w:sz w:val="16"/>
                <w:lang w:val="de-DE" w:eastAsia="fr-BE"/>
              </w:rPr>
              <w:t xml:space="preserve"> 1989</w:t>
            </w:r>
            <w:r w:rsidRPr="00B02352">
              <w:rPr>
                <w:i/>
                <w:sz w:val="16"/>
                <w:lang w:val="fr-BE" w:eastAsia="fr-BE"/>
              </w:rPr>
              <w:t> </w:t>
            </w:r>
          </w:p>
        </w:tc>
        <w:tc>
          <w:tcPr>
            <w:tcW w:w="2717" w:type="dxa"/>
            <w:tcBorders>
              <w:top w:val="single" w:sz="4" w:space="0" w:color="auto"/>
              <w:bottom w:val="single" w:sz="12" w:space="0" w:color="auto"/>
            </w:tcBorders>
            <w:shd w:val="clear" w:color="auto" w:fill="auto"/>
            <w:vAlign w:val="bottom"/>
            <w:hideMark/>
          </w:tcPr>
          <w:p w14:paraId="5FD12E0C" w14:textId="77777777" w:rsidR="00D37047" w:rsidRPr="00B02352" w:rsidRDefault="00D37047" w:rsidP="001B5E72">
            <w:pPr>
              <w:spacing w:before="80" w:after="80" w:line="200" w:lineRule="exact"/>
              <w:ind w:right="113"/>
              <w:rPr>
                <w:i/>
                <w:sz w:val="16"/>
                <w:szCs w:val="24"/>
                <w:lang w:val="fr-BE" w:eastAsia="fr-BE"/>
              </w:rPr>
            </w:pPr>
            <w:r w:rsidRPr="00B02352">
              <w:rPr>
                <w:bCs/>
                <w:i/>
                <w:sz w:val="16"/>
                <w:lang w:val="de-DE" w:eastAsia="fr-BE"/>
              </w:rPr>
              <w:t xml:space="preserve">Study </w:t>
            </w:r>
            <w:proofErr w:type="spellStart"/>
            <w:r w:rsidRPr="00B02352">
              <w:rPr>
                <w:bCs/>
                <w:i/>
                <w:sz w:val="16"/>
                <w:lang w:val="de-DE" w:eastAsia="fr-BE"/>
              </w:rPr>
              <w:t>report</w:t>
            </w:r>
            <w:proofErr w:type="spellEnd"/>
            <w:r w:rsidRPr="00B02352">
              <w:rPr>
                <w:bCs/>
                <w:i/>
                <w:sz w:val="16"/>
                <w:lang w:val="de-DE" w:eastAsia="fr-BE"/>
              </w:rPr>
              <w:t xml:space="preserve"> 1988</w:t>
            </w:r>
            <w:r w:rsidRPr="00B02352">
              <w:rPr>
                <w:i/>
                <w:sz w:val="16"/>
                <w:lang w:val="fr-BE" w:eastAsia="fr-BE"/>
              </w:rPr>
              <w:t> </w:t>
            </w:r>
          </w:p>
        </w:tc>
        <w:tc>
          <w:tcPr>
            <w:tcW w:w="4374" w:type="dxa"/>
            <w:tcBorders>
              <w:top w:val="single" w:sz="4" w:space="0" w:color="auto"/>
              <w:bottom w:val="single" w:sz="12" w:space="0" w:color="auto"/>
            </w:tcBorders>
            <w:shd w:val="clear" w:color="auto" w:fill="auto"/>
            <w:vAlign w:val="bottom"/>
            <w:hideMark/>
          </w:tcPr>
          <w:p w14:paraId="76E0663C" w14:textId="77777777" w:rsidR="00D37047" w:rsidRPr="00B02352" w:rsidRDefault="00D37047" w:rsidP="001B5E72">
            <w:pPr>
              <w:spacing w:before="80" w:after="80" w:line="200" w:lineRule="exact"/>
              <w:ind w:right="113"/>
              <w:rPr>
                <w:i/>
                <w:sz w:val="16"/>
                <w:szCs w:val="24"/>
                <w:lang w:val="fr-BE" w:eastAsia="fr-BE"/>
              </w:rPr>
            </w:pPr>
            <w:proofErr w:type="gramStart"/>
            <w:r w:rsidRPr="00B02352">
              <w:rPr>
                <w:bCs/>
                <w:i/>
                <w:sz w:val="16"/>
                <w:lang w:val="de-DE" w:eastAsia="fr-BE"/>
              </w:rPr>
              <w:t>OECD Guideline</w:t>
            </w:r>
            <w:proofErr w:type="gramEnd"/>
            <w:r w:rsidRPr="00B02352">
              <w:rPr>
                <w:bCs/>
                <w:i/>
                <w:sz w:val="16"/>
                <w:lang w:val="de-DE" w:eastAsia="fr-BE"/>
              </w:rPr>
              <w:t xml:space="preserve"> 404, last update: 2015</w:t>
            </w:r>
            <w:r w:rsidRPr="00B02352">
              <w:rPr>
                <w:i/>
                <w:sz w:val="16"/>
                <w:lang w:val="fr-BE" w:eastAsia="fr-BE"/>
              </w:rPr>
              <w:t> </w:t>
            </w:r>
          </w:p>
        </w:tc>
      </w:tr>
      <w:tr w:rsidR="00D37047" w:rsidRPr="00B02352" w14:paraId="657FFE49" w14:textId="77777777" w:rsidTr="001B5E72">
        <w:trPr>
          <w:trHeight w:hRule="exact" w:val="113"/>
        </w:trPr>
        <w:tc>
          <w:tcPr>
            <w:tcW w:w="1319" w:type="dxa"/>
            <w:tcBorders>
              <w:top w:val="single" w:sz="12" w:space="0" w:color="auto"/>
            </w:tcBorders>
            <w:shd w:val="clear" w:color="auto" w:fill="auto"/>
          </w:tcPr>
          <w:p w14:paraId="51F70544" w14:textId="77777777" w:rsidR="00D37047" w:rsidRPr="00B02352" w:rsidRDefault="00D37047" w:rsidP="001B5E72">
            <w:pPr>
              <w:spacing w:before="40" w:after="120"/>
              <w:ind w:right="113"/>
              <w:rPr>
                <w:lang w:val="en-US" w:eastAsia="fr-BE"/>
              </w:rPr>
            </w:pPr>
          </w:p>
        </w:tc>
        <w:tc>
          <w:tcPr>
            <w:tcW w:w="2649" w:type="dxa"/>
            <w:tcBorders>
              <w:top w:val="single" w:sz="12" w:space="0" w:color="auto"/>
            </w:tcBorders>
            <w:shd w:val="clear" w:color="auto" w:fill="auto"/>
          </w:tcPr>
          <w:p w14:paraId="0C91DBC5" w14:textId="77777777" w:rsidR="00D37047" w:rsidRPr="00B02352" w:rsidRDefault="00D37047" w:rsidP="001B5E72">
            <w:pPr>
              <w:spacing w:before="40" w:after="120"/>
              <w:ind w:right="113"/>
              <w:rPr>
                <w:b/>
                <w:bCs/>
                <w:lang w:val="de-DE" w:eastAsia="fr-BE"/>
              </w:rPr>
            </w:pPr>
          </w:p>
        </w:tc>
        <w:tc>
          <w:tcPr>
            <w:tcW w:w="2717" w:type="dxa"/>
            <w:tcBorders>
              <w:top w:val="single" w:sz="12" w:space="0" w:color="auto"/>
            </w:tcBorders>
            <w:shd w:val="clear" w:color="auto" w:fill="auto"/>
          </w:tcPr>
          <w:p w14:paraId="52A8D4C7" w14:textId="77777777" w:rsidR="00D37047" w:rsidRPr="00B02352" w:rsidRDefault="00D37047" w:rsidP="001B5E72">
            <w:pPr>
              <w:spacing w:before="40" w:after="120"/>
              <w:ind w:right="113"/>
              <w:rPr>
                <w:b/>
                <w:bCs/>
                <w:lang w:val="de-DE" w:eastAsia="fr-BE"/>
              </w:rPr>
            </w:pPr>
          </w:p>
        </w:tc>
        <w:tc>
          <w:tcPr>
            <w:tcW w:w="2717" w:type="dxa"/>
            <w:tcBorders>
              <w:top w:val="single" w:sz="12" w:space="0" w:color="auto"/>
            </w:tcBorders>
            <w:shd w:val="clear" w:color="auto" w:fill="auto"/>
          </w:tcPr>
          <w:p w14:paraId="31F7C9AF" w14:textId="77777777" w:rsidR="00D37047" w:rsidRPr="00B02352" w:rsidRDefault="00D37047" w:rsidP="001B5E72">
            <w:pPr>
              <w:spacing w:before="40" w:after="120"/>
              <w:ind w:right="113"/>
              <w:rPr>
                <w:b/>
                <w:bCs/>
                <w:lang w:val="de-DE" w:eastAsia="fr-BE"/>
              </w:rPr>
            </w:pPr>
          </w:p>
        </w:tc>
        <w:tc>
          <w:tcPr>
            <w:tcW w:w="4374" w:type="dxa"/>
            <w:tcBorders>
              <w:top w:val="single" w:sz="12" w:space="0" w:color="auto"/>
            </w:tcBorders>
            <w:shd w:val="clear" w:color="auto" w:fill="auto"/>
          </w:tcPr>
          <w:p w14:paraId="0A010DED" w14:textId="77777777" w:rsidR="00D37047" w:rsidRPr="00B02352" w:rsidRDefault="00D37047" w:rsidP="001B5E72">
            <w:pPr>
              <w:spacing w:before="40" w:after="120"/>
              <w:ind w:right="113"/>
              <w:rPr>
                <w:b/>
                <w:bCs/>
                <w:lang w:val="de-DE" w:eastAsia="fr-BE"/>
              </w:rPr>
            </w:pPr>
          </w:p>
        </w:tc>
      </w:tr>
      <w:tr w:rsidR="00D37047" w:rsidRPr="00B02352" w14:paraId="24FD52DE" w14:textId="77777777" w:rsidTr="001B5E72">
        <w:tc>
          <w:tcPr>
            <w:tcW w:w="1319" w:type="dxa"/>
            <w:shd w:val="clear" w:color="auto" w:fill="auto"/>
            <w:hideMark/>
          </w:tcPr>
          <w:p w14:paraId="7A4B1168" w14:textId="77777777" w:rsidR="00D37047" w:rsidRPr="00BB7163" w:rsidRDefault="00D37047" w:rsidP="001B5E72">
            <w:pPr>
              <w:spacing w:before="40" w:after="120"/>
              <w:ind w:right="113"/>
              <w:rPr>
                <w:b/>
                <w:bCs/>
                <w:lang w:val="fr-BE" w:eastAsia="fr-BE"/>
              </w:rPr>
            </w:pPr>
            <w:r w:rsidRPr="00BB7163">
              <w:rPr>
                <w:b/>
                <w:bCs/>
                <w:lang w:val="de-DE" w:eastAsia="fr-BE"/>
              </w:rPr>
              <w:t>Test</w:t>
            </w:r>
            <w:r w:rsidRPr="00BB7163">
              <w:rPr>
                <w:b/>
                <w:bCs/>
                <w:lang w:val="fr-BE" w:eastAsia="fr-BE"/>
              </w:rPr>
              <w:t> </w:t>
            </w:r>
          </w:p>
        </w:tc>
        <w:tc>
          <w:tcPr>
            <w:tcW w:w="2649" w:type="dxa"/>
            <w:shd w:val="clear" w:color="auto" w:fill="auto"/>
            <w:hideMark/>
          </w:tcPr>
          <w:p w14:paraId="2CE7A949" w14:textId="77777777" w:rsidR="00D37047" w:rsidRPr="00B02352" w:rsidRDefault="00D37047" w:rsidP="001B5E72">
            <w:pPr>
              <w:spacing w:before="40" w:after="120"/>
              <w:ind w:right="113"/>
              <w:rPr>
                <w:szCs w:val="24"/>
                <w:lang w:val="fr-BE" w:eastAsia="fr-BE"/>
              </w:rPr>
            </w:pPr>
            <w:r w:rsidRPr="00B02352">
              <w:rPr>
                <w:lang w:val="de-DE" w:eastAsia="fr-BE"/>
              </w:rPr>
              <w:t xml:space="preserve">DOT </w:t>
            </w:r>
            <w:proofErr w:type="spellStart"/>
            <w:r w:rsidRPr="00B02352">
              <w:rPr>
                <w:lang w:val="de-DE" w:eastAsia="fr-BE"/>
              </w:rPr>
              <w:t>skin</w:t>
            </w:r>
            <w:proofErr w:type="spellEnd"/>
            <w:r w:rsidRPr="00B02352">
              <w:rPr>
                <w:lang w:val="de-DE" w:eastAsia="fr-BE"/>
              </w:rPr>
              <w:t xml:space="preserve"> </w:t>
            </w:r>
            <w:proofErr w:type="spellStart"/>
            <w:r w:rsidRPr="00B02352">
              <w:rPr>
                <w:lang w:val="de-DE" w:eastAsia="fr-BE"/>
              </w:rPr>
              <w:t>corrosion</w:t>
            </w:r>
            <w:proofErr w:type="spellEnd"/>
            <w:r w:rsidRPr="00B02352">
              <w:rPr>
                <w:lang w:val="de-DE" w:eastAsia="fr-BE"/>
              </w:rPr>
              <w:t xml:space="preserve"> </w:t>
            </w:r>
            <w:proofErr w:type="spellStart"/>
            <w:r w:rsidRPr="00B02352">
              <w:rPr>
                <w:lang w:val="de-DE" w:eastAsia="fr-BE"/>
              </w:rPr>
              <w:t>test</w:t>
            </w:r>
            <w:proofErr w:type="spellEnd"/>
            <w:r w:rsidRPr="00B02352">
              <w:rPr>
                <w:lang w:val="fr-BE" w:eastAsia="fr-BE"/>
              </w:rPr>
              <w:t> </w:t>
            </w:r>
          </w:p>
        </w:tc>
        <w:tc>
          <w:tcPr>
            <w:tcW w:w="2717" w:type="dxa"/>
            <w:shd w:val="clear" w:color="auto" w:fill="auto"/>
            <w:hideMark/>
          </w:tcPr>
          <w:p w14:paraId="4E561B94" w14:textId="77777777" w:rsidR="00D37047" w:rsidRPr="00B02352" w:rsidRDefault="00D37047" w:rsidP="001B5E72">
            <w:pPr>
              <w:spacing w:before="40" w:after="120"/>
              <w:ind w:right="113"/>
              <w:rPr>
                <w:szCs w:val="24"/>
                <w:lang w:val="fr-BE" w:eastAsia="fr-BE"/>
              </w:rPr>
            </w:pPr>
            <w:r w:rsidRPr="00B02352">
              <w:rPr>
                <w:lang w:val="de-DE" w:eastAsia="fr-BE"/>
              </w:rPr>
              <w:t xml:space="preserve">Skin </w:t>
            </w:r>
            <w:proofErr w:type="spellStart"/>
            <w:r w:rsidRPr="00B02352">
              <w:rPr>
                <w:lang w:val="de-DE" w:eastAsia="fr-BE"/>
              </w:rPr>
              <w:t>corrosion</w:t>
            </w:r>
            <w:proofErr w:type="spellEnd"/>
            <w:r w:rsidRPr="00B02352">
              <w:rPr>
                <w:lang w:val="de-DE" w:eastAsia="fr-BE"/>
              </w:rPr>
              <w:t xml:space="preserve"> </w:t>
            </w:r>
            <w:proofErr w:type="spellStart"/>
            <w:r w:rsidRPr="00B02352">
              <w:rPr>
                <w:lang w:val="de-DE" w:eastAsia="fr-BE"/>
              </w:rPr>
              <w:t>screening</w:t>
            </w:r>
            <w:proofErr w:type="spellEnd"/>
            <w:r w:rsidRPr="00B02352">
              <w:rPr>
                <w:lang w:val="de-DE" w:eastAsia="fr-BE"/>
              </w:rPr>
              <w:t xml:space="preserve"> </w:t>
            </w:r>
            <w:proofErr w:type="spellStart"/>
            <w:r w:rsidRPr="00B02352">
              <w:rPr>
                <w:lang w:val="de-DE" w:eastAsia="fr-BE"/>
              </w:rPr>
              <w:t>method</w:t>
            </w:r>
            <w:proofErr w:type="spellEnd"/>
            <w:r w:rsidRPr="00B02352">
              <w:rPr>
                <w:lang w:val="fr-BE" w:eastAsia="fr-BE"/>
              </w:rPr>
              <w:t> </w:t>
            </w:r>
          </w:p>
        </w:tc>
        <w:tc>
          <w:tcPr>
            <w:tcW w:w="2717" w:type="dxa"/>
            <w:shd w:val="clear" w:color="auto" w:fill="auto"/>
            <w:hideMark/>
          </w:tcPr>
          <w:p w14:paraId="586CD03C" w14:textId="77777777" w:rsidR="00D37047" w:rsidRPr="00B02352" w:rsidRDefault="00D37047" w:rsidP="001B5E72">
            <w:pPr>
              <w:spacing w:before="40" w:after="120"/>
              <w:ind w:right="113"/>
              <w:rPr>
                <w:szCs w:val="24"/>
                <w:lang w:val="fr-BE" w:eastAsia="fr-BE"/>
              </w:rPr>
            </w:pPr>
            <w:r w:rsidRPr="00B02352">
              <w:rPr>
                <w:lang w:val="de-DE" w:eastAsia="fr-BE"/>
              </w:rPr>
              <w:t xml:space="preserve">DOT </w:t>
            </w:r>
            <w:proofErr w:type="spellStart"/>
            <w:r w:rsidRPr="00B02352">
              <w:rPr>
                <w:lang w:val="de-DE" w:eastAsia="fr-BE"/>
              </w:rPr>
              <w:t>skin</w:t>
            </w:r>
            <w:proofErr w:type="spellEnd"/>
            <w:r w:rsidRPr="00B02352">
              <w:rPr>
                <w:lang w:val="de-DE" w:eastAsia="fr-BE"/>
              </w:rPr>
              <w:t xml:space="preserve"> </w:t>
            </w:r>
            <w:proofErr w:type="spellStart"/>
            <w:r w:rsidRPr="00B02352">
              <w:rPr>
                <w:lang w:val="de-DE" w:eastAsia="fr-BE"/>
              </w:rPr>
              <w:t>corrosion</w:t>
            </w:r>
            <w:proofErr w:type="spellEnd"/>
            <w:r w:rsidRPr="00B02352">
              <w:rPr>
                <w:lang w:val="de-DE" w:eastAsia="fr-BE"/>
              </w:rPr>
              <w:t xml:space="preserve"> </w:t>
            </w:r>
            <w:proofErr w:type="spellStart"/>
            <w:r w:rsidRPr="00B02352">
              <w:rPr>
                <w:lang w:val="de-DE" w:eastAsia="fr-BE"/>
              </w:rPr>
              <w:t>test</w:t>
            </w:r>
            <w:proofErr w:type="spellEnd"/>
            <w:r w:rsidRPr="00B02352">
              <w:rPr>
                <w:lang w:val="fr-BE" w:eastAsia="fr-BE"/>
              </w:rPr>
              <w:t> </w:t>
            </w:r>
          </w:p>
        </w:tc>
        <w:tc>
          <w:tcPr>
            <w:tcW w:w="4374" w:type="dxa"/>
            <w:shd w:val="clear" w:color="auto" w:fill="auto"/>
            <w:hideMark/>
          </w:tcPr>
          <w:p w14:paraId="617D74F9" w14:textId="77777777" w:rsidR="00D37047" w:rsidRPr="00B02352" w:rsidRDefault="00D37047" w:rsidP="001B5E72">
            <w:pPr>
              <w:spacing w:before="40" w:after="120"/>
              <w:ind w:right="113"/>
              <w:rPr>
                <w:szCs w:val="24"/>
                <w:lang w:val="en-US" w:eastAsia="fr-BE"/>
              </w:rPr>
            </w:pPr>
            <w:r w:rsidRPr="00B02352">
              <w:rPr>
                <w:lang w:val="en-US" w:eastAsia="fr-BE"/>
              </w:rPr>
              <w:t>In vivo skin corrosion test </w:t>
            </w:r>
          </w:p>
        </w:tc>
      </w:tr>
      <w:tr w:rsidR="00D37047" w:rsidRPr="00B02352" w14:paraId="31EE68C9" w14:textId="77777777" w:rsidTr="001B5E72">
        <w:tc>
          <w:tcPr>
            <w:tcW w:w="1319" w:type="dxa"/>
            <w:shd w:val="clear" w:color="auto" w:fill="auto"/>
            <w:hideMark/>
          </w:tcPr>
          <w:p w14:paraId="2560E365" w14:textId="77777777" w:rsidR="00D37047" w:rsidRPr="00BB7163" w:rsidRDefault="00D37047" w:rsidP="001B5E72">
            <w:pPr>
              <w:spacing w:before="40" w:after="120"/>
              <w:ind w:right="113"/>
              <w:rPr>
                <w:b/>
                <w:bCs/>
                <w:lang w:val="fr-BE" w:eastAsia="fr-BE"/>
              </w:rPr>
            </w:pPr>
            <w:r w:rsidRPr="00BB7163">
              <w:rPr>
                <w:b/>
                <w:bCs/>
                <w:lang w:val="de-DE" w:eastAsia="fr-BE"/>
              </w:rPr>
              <w:t>Time</w:t>
            </w:r>
            <w:r w:rsidRPr="00BB7163">
              <w:rPr>
                <w:b/>
                <w:bCs/>
                <w:lang w:val="fr-BE" w:eastAsia="fr-BE"/>
              </w:rPr>
              <w:t> </w:t>
            </w:r>
          </w:p>
        </w:tc>
        <w:tc>
          <w:tcPr>
            <w:tcW w:w="2649" w:type="dxa"/>
            <w:shd w:val="clear" w:color="auto" w:fill="auto"/>
            <w:hideMark/>
          </w:tcPr>
          <w:p w14:paraId="11005DE1" w14:textId="77777777" w:rsidR="00D37047" w:rsidRPr="00B02352" w:rsidRDefault="00D37047" w:rsidP="001B5E72">
            <w:pPr>
              <w:spacing w:before="40" w:after="120"/>
              <w:ind w:right="113"/>
              <w:rPr>
                <w:szCs w:val="24"/>
                <w:lang w:val="en-US" w:eastAsia="fr-BE"/>
              </w:rPr>
            </w:pPr>
            <w:r w:rsidRPr="00B02352">
              <w:rPr>
                <w:lang w:val="en-US" w:eastAsia="fr-BE"/>
              </w:rPr>
              <w:t>3 minutes, 1 hour, 4 hours </w:t>
            </w:r>
          </w:p>
          <w:p w14:paraId="561E3F74" w14:textId="77777777" w:rsidR="00D37047" w:rsidRPr="00B02352" w:rsidRDefault="00D37047" w:rsidP="001B5E72">
            <w:pPr>
              <w:spacing w:before="40" w:after="120"/>
              <w:ind w:right="113"/>
              <w:rPr>
                <w:szCs w:val="24"/>
                <w:lang w:val="en-US" w:eastAsia="fr-BE"/>
              </w:rPr>
            </w:pPr>
            <w:r w:rsidRPr="00B02352">
              <w:rPr>
                <w:lang w:val="en-US" w:eastAsia="fr-BE"/>
              </w:rPr>
              <w:t xml:space="preserve">Exposure terminated after 1 hour (due to severity </w:t>
            </w:r>
            <w:proofErr w:type="gramStart"/>
            <w:r w:rsidRPr="00B02352">
              <w:rPr>
                <w:lang w:val="en-US" w:eastAsia="fr-BE"/>
              </w:rPr>
              <w:t>of  the</w:t>
            </w:r>
            <w:proofErr w:type="gramEnd"/>
            <w:r w:rsidRPr="00B02352">
              <w:rPr>
                <w:lang w:val="en-US" w:eastAsia="fr-BE"/>
              </w:rPr>
              <w:t xml:space="preserve"> irritation) </w:t>
            </w:r>
          </w:p>
        </w:tc>
        <w:tc>
          <w:tcPr>
            <w:tcW w:w="2717" w:type="dxa"/>
            <w:shd w:val="clear" w:color="auto" w:fill="auto"/>
            <w:hideMark/>
          </w:tcPr>
          <w:p w14:paraId="61752040" w14:textId="77777777" w:rsidR="00D37047" w:rsidRPr="00B02352" w:rsidRDefault="00D37047" w:rsidP="001B5E72">
            <w:pPr>
              <w:spacing w:before="40" w:after="120"/>
              <w:ind w:right="113"/>
              <w:rPr>
                <w:szCs w:val="24"/>
                <w:lang w:val="fr-BE" w:eastAsia="fr-BE"/>
              </w:rPr>
            </w:pPr>
            <w:r w:rsidRPr="00B02352">
              <w:rPr>
                <w:lang w:val="en-US" w:eastAsia="fr-BE"/>
              </w:rPr>
              <w:t>3 minutes</w:t>
            </w:r>
            <w:r w:rsidRPr="00B02352">
              <w:rPr>
                <w:lang w:val="fr-BE" w:eastAsia="fr-BE"/>
              </w:rPr>
              <w:t> </w:t>
            </w:r>
          </w:p>
        </w:tc>
        <w:tc>
          <w:tcPr>
            <w:tcW w:w="2717" w:type="dxa"/>
            <w:shd w:val="clear" w:color="auto" w:fill="auto"/>
            <w:hideMark/>
          </w:tcPr>
          <w:p w14:paraId="656332A8" w14:textId="77777777" w:rsidR="00D37047" w:rsidRPr="00B02352" w:rsidRDefault="00D37047" w:rsidP="001B5E72">
            <w:pPr>
              <w:spacing w:before="40" w:after="120"/>
              <w:ind w:right="113"/>
              <w:rPr>
                <w:szCs w:val="24"/>
                <w:lang w:val="fr-BE" w:eastAsia="fr-BE"/>
              </w:rPr>
            </w:pPr>
            <w:r w:rsidRPr="00B02352">
              <w:rPr>
                <w:lang w:val="en-US" w:eastAsia="fr-BE"/>
              </w:rPr>
              <w:t>1 hour</w:t>
            </w:r>
            <w:r w:rsidRPr="00B02352">
              <w:rPr>
                <w:lang w:val="fr-BE" w:eastAsia="fr-BE"/>
              </w:rPr>
              <w:t> </w:t>
            </w:r>
          </w:p>
        </w:tc>
        <w:tc>
          <w:tcPr>
            <w:tcW w:w="4374" w:type="dxa"/>
            <w:shd w:val="clear" w:color="auto" w:fill="auto"/>
            <w:hideMark/>
          </w:tcPr>
          <w:p w14:paraId="299B3717" w14:textId="77777777" w:rsidR="00D37047" w:rsidRPr="00B02352" w:rsidRDefault="00D37047" w:rsidP="001B5E72">
            <w:pPr>
              <w:spacing w:before="40" w:after="120"/>
              <w:ind w:right="113"/>
              <w:rPr>
                <w:szCs w:val="24"/>
                <w:lang w:val="en-US" w:eastAsia="fr-BE"/>
              </w:rPr>
            </w:pPr>
            <w:r w:rsidRPr="00B02352">
              <w:rPr>
                <w:lang w:val="en-US" w:eastAsia="fr-BE"/>
              </w:rPr>
              <w:t>3 minutes, 1 hour, 4 hours </w:t>
            </w:r>
          </w:p>
          <w:p w14:paraId="429D41F3" w14:textId="77777777" w:rsidR="00D37047" w:rsidRPr="00B02352" w:rsidRDefault="00D37047" w:rsidP="001B5E72">
            <w:pPr>
              <w:spacing w:before="40" w:after="120"/>
              <w:ind w:right="113"/>
              <w:rPr>
                <w:szCs w:val="24"/>
                <w:lang w:val="en-US" w:eastAsia="fr-BE"/>
              </w:rPr>
            </w:pPr>
            <w:r w:rsidRPr="00B02352">
              <w:rPr>
                <w:lang w:val="en-US" w:eastAsia="fr-BE"/>
              </w:rPr>
              <w:t xml:space="preserve">If a corrosive effect is observed after any of the three sequential exposures, the test </w:t>
            </w:r>
            <w:proofErr w:type="gramStart"/>
            <w:r w:rsidRPr="00B02352">
              <w:rPr>
                <w:lang w:val="en-US" w:eastAsia="fr-BE"/>
              </w:rPr>
              <w:t>is</w:t>
            </w:r>
            <w:proofErr w:type="gramEnd"/>
            <w:r w:rsidRPr="00B02352">
              <w:rPr>
                <w:lang w:val="en-US" w:eastAsia="fr-BE"/>
              </w:rPr>
              <w:t> </w:t>
            </w:r>
          </w:p>
          <w:p w14:paraId="25F7E3E4" w14:textId="77777777" w:rsidR="00D37047" w:rsidRPr="00B02352" w:rsidRDefault="00D37047" w:rsidP="001B5E72">
            <w:pPr>
              <w:spacing w:before="40" w:after="120"/>
              <w:ind w:right="113"/>
              <w:rPr>
                <w:szCs w:val="24"/>
                <w:lang w:val="fr-BE" w:eastAsia="fr-BE"/>
              </w:rPr>
            </w:pPr>
            <w:proofErr w:type="gramStart"/>
            <w:r w:rsidRPr="00B02352">
              <w:rPr>
                <w:lang w:val="en-US" w:eastAsia="fr-BE"/>
              </w:rPr>
              <w:t>immediately  terminated</w:t>
            </w:r>
            <w:proofErr w:type="gramEnd"/>
            <w:r w:rsidRPr="00B02352">
              <w:rPr>
                <w:lang w:val="fr-BE" w:eastAsia="fr-BE"/>
              </w:rPr>
              <w:t> </w:t>
            </w:r>
          </w:p>
        </w:tc>
      </w:tr>
      <w:tr w:rsidR="00D37047" w:rsidRPr="00B02352" w14:paraId="6E806142" w14:textId="77777777" w:rsidTr="001B5E72">
        <w:tc>
          <w:tcPr>
            <w:tcW w:w="1319" w:type="dxa"/>
            <w:shd w:val="clear" w:color="auto" w:fill="auto"/>
            <w:hideMark/>
          </w:tcPr>
          <w:p w14:paraId="2236C163" w14:textId="77777777" w:rsidR="00D37047" w:rsidRPr="00BB7163" w:rsidRDefault="00D37047" w:rsidP="001B5E72">
            <w:pPr>
              <w:spacing w:before="40" w:after="120"/>
              <w:ind w:right="113"/>
              <w:rPr>
                <w:b/>
                <w:bCs/>
                <w:lang w:val="fr-BE" w:eastAsia="fr-BE"/>
              </w:rPr>
            </w:pPr>
            <w:proofErr w:type="spellStart"/>
            <w:r w:rsidRPr="00BB7163">
              <w:rPr>
                <w:b/>
                <w:bCs/>
                <w:lang w:val="de-DE" w:eastAsia="fr-BE"/>
              </w:rPr>
              <w:t>species</w:t>
            </w:r>
            <w:proofErr w:type="spellEnd"/>
            <w:r w:rsidRPr="00BB7163">
              <w:rPr>
                <w:b/>
                <w:bCs/>
                <w:lang w:val="fr-BE" w:eastAsia="fr-BE"/>
              </w:rPr>
              <w:t> </w:t>
            </w:r>
          </w:p>
        </w:tc>
        <w:tc>
          <w:tcPr>
            <w:tcW w:w="2649" w:type="dxa"/>
            <w:shd w:val="clear" w:color="auto" w:fill="auto"/>
            <w:hideMark/>
          </w:tcPr>
          <w:p w14:paraId="29A5A8B1" w14:textId="77777777" w:rsidR="00D37047" w:rsidRPr="00B02352" w:rsidRDefault="00D37047" w:rsidP="001B5E72">
            <w:pPr>
              <w:spacing w:before="40" w:after="120"/>
              <w:ind w:right="113"/>
              <w:rPr>
                <w:szCs w:val="24"/>
                <w:lang w:val="en-US" w:eastAsia="fr-BE"/>
              </w:rPr>
            </w:pPr>
            <w:r w:rsidRPr="00B02352">
              <w:rPr>
                <w:lang w:val="en-US" w:eastAsia="fr-BE"/>
              </w:rPr>
              <w:t>New Zealand white rabbit </w:t>
            </w:r>
          </w:p>
          <w:p w14:paraId="53454AD8" w14:textId="77777777" w:rsidR="00D37047" w:rsidRPr="00B02352" w:rsidRDefault="00D37047" w:rsidP="001B5E72">
            <w:pPr>
              <w:spacing w:before="40" w:after="120"/>
              <w:ind w:right="113"/>
              <w:rPr>
                <w:szCs w:val="24"/>
                <w:lang w:val="en-US" w:eastAsia="fr-BE"/>
              </w:rPr>
            </w:pPr>
            <w:r w:rsidRPr="00B02352">
              <w:rPr>
                <w:lang w:val="en-US" w:eastAsia="fr-BE"/>
              </w:rPr>
              <w:t>6 cm2 free of hair </w:t>
            </w:r>
          </w:p>
        </w:tc>
        <w:tc>
          <w:tcPr>
            <w:tcW w:w="2717" w:type="dxa"/>
            <w:shd w:val="clear" w:color="auto" w:fill="auto"/>
            <w:hideMark/>
          </w:tcPr>
          <w:p w14:paraId="24551152" w14:textId="77777777" w:rsidR="00D37047" w:rsidRPr="00B02352" w:rsidRDefault="00D37047" w:rsidP="001B5E72">
            <w:pPr>
              <w:spacing w:before="40" w:after="120"/>
              <w:ind w:right="113"/>
              <w:rPr>
                <w:szCs w:val="24"/>
                <w:lang w:val="en-US" w:eastAsia="fr-BE"/>
              </w:rPr>
            </w:pPr>
            <w:r w:rsidRPr="00B02352">
              <w:rPr>
                <w:lang w:val="en-US" w:eastAsia="fr-BE"/>
              </w:rPr>
              <w:t>New Zealand white rabbit 1x1 inch, free of hair </w:t>
            </w:r>
          </w:p>
        </w:tc>
        <w:tc>
          <w:tcPr>
            <w:tcW w:w="2717" w:type="dxa"/>
            <w:shd w:val="clear" w:color="auto" w:fill="auto"/>
            <w:hideMark/>
          </w:tcPr>
          <w:p w14:paraId="6E8629E3" w14:textId="77777777" w:rsidR="00D37047" w:rsidRPr="00B02352" w:rsidRDefault="00D37047" w:rsidP="001B5E72">
            <w:pPr>
              <w:spacing w:before="40" w:after="120"/>
              <w:ind w:right="113"/>
              <w:rPr>
                <w:szCs w:val="24"/>
                <w:lang w:val="en-US" w:eastAsia="fr-BE"/>
              </w:rPr>
            </w:pPr>
            <w:r w:rsidRPr="00B02352">
              <w:rPr>
                <w:lang w:val="en-US" w:eastAsia="fr-BE"/>
              </w:rPr>
              <w:t>New Zealand white rabbit </w:t>
            </w:r>
          </w:p>
          <w:p w14:paraId="2C01E506" w14:textId="77777777" w:rsidR="00D37047" w:rsidRPr="00B02352" w:rsidRDefault="00D37047" w:rsidP="001B5E72">
            <w:pPr>
              <w:spacing w:before="40" w:after="120"/>
              <w:ind w:right="113"/>
              <w:rPr>
                <w:szCs w:val="24"/>
                <w:lang w:val="en-US" w:eastAsia="fr-BE"/>
              </w:rPr>
            </w:pPr>
            <w:r w:rsidRPr="00B02352">
              <w:rPr>
                <w:lang w:val="en-US" w:eastAsia="fr-BE"/>
              </w:rPr>
              <w:t>1x1 inch, free of hair </w:t>
            </w:r>
          </w:p>
        </w:tc>
        <w:tc>
          <w:tcPr>
            <w:tcW w:w="4374" w:type="dxa"/>
            <w:shd w:val="clear" w:color="auto" w:fill="auto"/>
            <w:hideMark/>
          </w:tcPr>
          <w:p w14:paraId="5FBBDEE2" w14:textId="77777777" w:rsidR="00D37047" w:rsidRPr="00B02352" w:rsidRDefault="00D37047" w:rsidP="001B5E72">
            <w:pPr>
              <w:spacing w:before="40" w:after="120"/>
              <w:ind w:right="113"/>
              <w:rPr>
                <w:szCs w:val="24"/>
                <w:lang w:val="en-US" w:eastAsia="fr-BE"/>
              </w:rPr>
            </w:pPr>
            <w:r w:rsidRPr="00B02352">
              <w:rPr>
                <w:lang w:val="en-US" w:eastAsia="fr-BE"/>
              </w:rPr>
              <w:t>Albino rabbits </w:t>
            </w:r>
          </w:p>
          <w:p w14:paraId="45627DC9" w14:textId="77777777" w:rsidR="00D37047" w:rsidRPr="00B02352" w:rsidRDefault="00D37047" w:rsidP="001B5E72">
            <w:pPr>
              <w:spacing w:before="40" w:after="120"/>
              <w:ind w:right="113"/>
              <w:rPr>
                <w:szCs w:val="24"/>
                <w:lang w:val="en-US" w:eastAsia="fr-BE"/>
              </w:rPr>
            </w:pPr>
            <w:r w:rsidRPr="00B02352">
              <w:rPr>
                <w:lang w:val="en-US" w:eastAsia="fr-BE"/>
              </w:rPr>
              <w:t>6 cm2 free of hair </w:t>
            </w:r>
          </w:p>
        </w:tc>
      </w:tr>
      <w:tr w:rsidR="00D37047" w:rsidRPr="00B02352" w14:paraId="21C7043C" w14:textId="77777777" w:rsidTr="001B5E72">
        <w:tc>
          <w:tcPr>
            <w:tcW w:w="1319" w:type="dxa"/>
            <w:shd w:val="clear" w:color="auto" w:fill="auto"/>
            <w:hideMark/>
          </w:tcPr>
          <w:p w14:paraId="4E2007A1" w14:textId="77777777" w:rsidR="00D37047" w:rsidRPr="00BB7163" w:rsidRDefault="00D37047" w:rsidP="001B5E72">
            <w:pPr>
              <w:spacing w:before="40" w:after="120"/>
              <w:ind w:right="113"/>
              <w:rPr>
                <w:b/>
                <w:bCs/>
                <w:lang w:val="fr-BE" w:eastAsia="fr-BE"/>
              </w:rPr>
            </w:pPr>
            <w:proofErr w:type="spellStart"/>
            <w:r w:rsidRPr="00BB7163">
              <w:rPr>
                <w:b/>
                <w:bCs/>
                <w:lang w:val="de-DE" w:eastAsia="fr-BE"/>
              </w:rPr>
              <w:t>Nr</w:t>
            </w:r>
            <w:proofErr w:type="spellEnd"/>
            <w:r w:rsidRPr="00BB7163">
              <w:rPr>
                <w:b/>
                <w:bCs/>
                <w:lang w:val="de-DE" w:eastAsia="fr-BE"/>
              </w:rPr>
              <w:t xml:space="preserve"> of </w:t>
            </w:r>
            <w:proofErr w:type="spellStart"/>
            <w:r w:rsidRPr="00BB7163">
              <w:rPr>
                <w:b/>
                <w:bCs/>
                <w:lang w:val="de-DE" w:eastAsia="fr-BE"/>
              </w:rPr>
              <w:t>animals</w:t>
            </w:r>
            <w:proofErr w:type="spellEnd"/>
            <w:r w:rsidRPr="00BB7163">
              <w:rPr>
                <w:b/>
                <w:bCs/>
                <w:lang w:val="fr-BE" w:eastAsia="fr-BE"/>
              </w:rPr>
              <w:t> </w:t>
            </w:r>
          </w:p>
        </w:tc>
        <w:tc>
          <w:tcPr>
            <w:tcW w:w="2649" w:type="dxa"/>
            <w:shd w:val="clear" w:color="auto" w:fill="auto"/>
            <w:hideMark/>
          </w:tcPr>
          <w:p w14:paraId="3DD17FA2" w14:textId="77777777" w:rsidR="00D37047" w:rsidRPr="00B02352" w:rsidRDefault="00D37047" w:rsidP="001B5E72">
            <w:pPr>
              <w:spacing w:before="40" w:after="120"/>
              <w:ind w:right="113"/>
              <w:rPr>
                <w:szCs w:val="24"/>
                <w:lang w:val="fr-BE" w:eastAsia="fr-BE"/>
              </w:rPr>
            </w:pPr>
            <w:r w:rsidRPr="00B02352">
              <w:rPr>
                <w:lang w:val="en-US" w:eastAsia="fr-BE"/>
              </w:rPr>
              <w:t>1 male, 2 females</w:t>
            </w:r>
            <w:r w:rsidRPr="00B02352">
              <w:rPr>
                <w:lang w:val="fr-BE" w:eastAsia="fr-BE"/>
              </w:rPr>
              <w:t> </w:t>
            </w:r>
          </w:p>
        </w:tc>
        <w:tc>
          <w:tcPr>
            <w:tcW w:w="2717" w:type="dxa"/>
            <w:shd w:val="clear" w:color="auto" w:fill="auto"/>
            <w:hideMark/>
          </w:tcPr>
          <w:p w14:paraId="291A4305" w14:textId="77777777" w:rsidR="00D37047" w:rsidRPr="00B02352" w:rsidRDefault="00D37047" w:rsidP="001B5E72">
            <w:pPr>
              <w:spacing w:before="40" w:after="120"/>
              <w:ind w:right="113"/>
              <w:rPr>
                <w:szCs w:val="24"/>
                <w:lang w:val="fr-BE" w:eastAsia="fr-BE"/>
              </w:rPr>
            </w:pPr>
            <w:r w:rsidRPr="00B02352">
              <w:rPr>
                <w:lang w:val="en-US" w:eastAsia="fr-BE"/>
              </w:rPr>
              <w:t>3</w:t>
            </w:r>
            <w:r w:rsidRPr="00B02352">
              <w:rPr>
                <w:lang w:val="fr-BE" w:eastAsia="fr-BE"/>
              </w:rPr>
              <w:t> </w:t>
            </w:r>
          </w:p>
        </w:tc>
        <w:tc>
          <w:tcPr>
            <w:tcW w:w="2717" w:type="dxa"/>
            <w:shd w:val="clear" w:color="auto" w:fill="auto"/>
            <w:hideMark/>
          </w:tcPr>
          <w:p w14:paraId="6F89D022" w14:textId="77777777" w:rsidR="00D37047" w:rsidRPr="00B02352" w:rsidRDefault="00D37047" w:rsidP="001B5E72">
            <w:pPr>
              <w:spacing w:before="40" w:after="120"/>
              <w:ind w:right="113"/>
              <w:rPr>
                <w:szCs w:val="24"/>
                <w:lang w:val="fr-BE" w:eastAsia="fr-BE"/>
              </w:rPr>
            </w:pPr>
            <w:r w:rsidRPr="00B02352">
              <w:rPr>
                <w:lang w:val="en-US" w:eastAsia="fr-BE"/>
              </w:rPr>
              <w:t>3</w:t>
            </w:r>
            <w:r w:rsidRPr="00B02352">
              <w:rPr>
                <w:lang w:val="fr-BE" w:eastAsia="fr-BE"/>
              </w:rPr>
              <w:t> </w:t>
            </w:r>
          </w:p>
        </w:tc>
        <w:tc>
          <w:tcPr>
            <w:tcW w:w="4374" w:type="dxa"/>
            <w:shd w:val="clear" w:color="auto" w:fill="auto"/>
            <w:hideMark/>
          </w:tcPr>
          <w:p w14:paraId="1502A6D5" w14:textId="77777777" w:rsidR="00D37047" w:rsidRPr="00B02352" w:rsidRDefault="00D37047" w:rsidP="001B5E72">
            <w:pPr>
              <w:spacing w:before="40" w:after="120"/>
              <w:ind w:right="113"/>
              <w:rPr>
                <w:szCs w:val="24"/>
                <w:lang w:val="fr-BE" w:eastAsia="fr-BE"/>
              </w:rPr>
            </w:pPr>
            <w:r w:rsidRPr="00B02352">
              <w:rPr>
                <w:lang w:val="en-US" w:eastAsia="fr-BE"/>
              </w:rPr>
              <w:t>2 to 3</w:t>
            </w:r>
            <w:r w:rsidRPr="00B02352">
              <w:rPr>
                <w:lang w:val="fr-BE" w:eastAsia="fr-BE"/>
              </w:rPr>
              <w:t> </w:t>
            </w:r>
          </w:p>
        </w:tc>
      </w:tr>
      <w:tr w:rsidR="00D37047" w:rsidRPr="00B02352" w14:paraId="5AC595B9" w14:textId="77777777" w:rsidTr="001B5E72">
        <w:tc>
          <w:tcPr>
            <w:tcW w:w="1319" w:type="dxa"/>
            <w:shd w:val="clear" w:color="auto" w:fill="auto"/>
            <w:hideMark/>
          </w:tcPr>
          <w:p w14:paraId="6AFA36E1" w14:textId="77777777" w:rsidR="00D37047" w:rsidRPr="00BB7163" w:rsidRDefault="00D37047" w:rsidP="001B5E72">
            <w:pPr>
              <w:spacing w:before="40" w:after="120"/>
              <w:ind w:right="113"/>
              <w:rPr>
                <w:b/>
                <w:bCs/>
                <w:lang w:val="fr-BE" w:eastAsia="fr-BE"/>
              </w:rPr>
            </w:pPr>
            <w:proofErr w:type="gramStart"/>
            <w:r w:rsidRPr="00BB7163">
              <w:rPr>
                <w:b/>
                <w:bCs/>
                <w:lang w:val="de-DE" w:eastAsia="fr-BE"/>
              </w:rPr>
              <w:t>Test material</w:t>
            </w:r>
            <w:proofErr w:type="gramEnd"/>
            <w:r w:rsidRPr="00BB7163">
              <w:rPr>
                <w:b/>
                <w:bCs/>
                <w:lang w:val="fr-BE" w:eastAsia="fr-BE"/>
              </w:rPr>
              <w:t> </w:t>
            </w:r>
          </w:p>
        </w:tc>
        <w:tc>
          <w:tcPr>
            <w:tcW w:w="2649" w:type="dxa"/>
            <w:shd w:val="clear" w:color="auto" w:fill="auto"/>
            <w:hideMark/>
          </w:tcPr>
          <w:p w14:paraId="1C1841B6" w14:textId="77777777" w:rsidR="00D37047" w:rsidRPr="00B02352" w:rsidRDefault="00D37047" w:rsidP="001B5E72">
            <w:pPr>
              <w:spacing w:before="40" w:after="120"/>
              <w:ind w:right="113"/>
              <w:rPr>
                <w:szCs w:val="24"/>
                <w:lang w:val="en-US" w:eastAsia="fr-BE"/>
              </w:rPr>
            </w:pPr>
            <w:r w:rsidRPr="00B02352">
              <w:rPr>
                <w:lang w:val="en-US" w:eastAsia="fr-BE"/>
              </w:rPr>
              <w:t>Anhydrous TMEDA clear colorless liquid </w:t>
            </w:r>
          </w:p>
          <w:p w14:paraId="699DB337" w14:textId="77777777" w:rsidR="00D37047" w:rsidRPr="00B02352" w:rsidRDefault="00D37047" w:rsidP="001B5E72">
            <w:pPr>
              <w:spacing w:before="40" w:after="120"/>
              <w:ind w:right="113"/>
              <w:rPr>
                <w:szCs w:val="24"/>
                <w:lang w:val="en-US" w:eastAsia="fr-BE"/>
              </w:rPr>
            </w:pPr>
            <w:r w:rsidRPr="00B02352">
              <w:rPr>
                <w:lang w:val="en-US" w:eastAsia="fr-BE"/>
              </w:rPr>
              <w:t>0,5 ml </w:t>
            </w:r>
          </w:p>
        </w:tc>
        <w:tc>
          <w:tcPr>
            <w:tcW w:w="2717" w:type="dxa"/>
            <w:shd w:val="clear" w:color="auto" w:fill="auto"/>
            <w:hideMark/>
          </w:tcPr>
          <w:p w14:paraId="61F1257D" w14:textId="77777777" w:rsidR="00D37047" w:rsidRPr="00B02352" w:rsidRDefault="00D37047" w:rsidP="001B5E72">
            <w:pPr>
              <w:spacing w:before="40" w:after="120"/>
              <w:ind w:right="113"/>
              <w:rPr>
                <w:szCs w:val="24"/>
                <w:lang w:val="en-US" w:eastAsia="fr-BE"/>
              </w:rPr>
            </w:pPr>
            <w:r w:rsidRPr="00B02352">
              <w:rPr>
                <w:lang w:val="en-US" w:eastAsia="fr-BE"/>
              </w:rPr>
              <w:t>Anhydrous TMEDA </w:t>
            </w:r>
          </w:p>
          <w:p w14:paraId="7B380473" w14:textId="77777777" w:rsidR="00D37047" w:rsidRPr="00B02352" w:rsidRDefault="00D37047" w:rsidP="001B5E72">
            <w:pPr>
              <w:spacing w:before="40" w:after="120"/>
              <w:ind w:right="113"/>
              <w:rPr>
                <w:szCs w:val="24"/>
                <w:lang w:val="en-US" w:eastAsia="fr-BE"/>
              </w:rPr>
            </w:pPr>
            <w:r w:rsidRPr="00B02352">
              <w:rPr>
                <w:lang w:val="en-US" w:eastAsia="fr-BE"/>
              </w:rPr>
              <w:t xml:space="preserve">Clear colorless </w:t>
            </w:r>
            <w:proofErr w:type="gramStart"/>
            <w:r w:rsidRPr="00B02352">
              <w:rPr>
                <w:lang w:val="en-US" w:eastAsia="fr-BE"/>
              </w:rPr>
              <w:t>pale yellow</w:t>
            </w:r>
            <w:proofErr w:type="gramEnd"/>
            <w:r w:rsidRPr="00B02352">
              <w:rPr>
                <w:lang w:val="en-US" w:eastAsia="fr-BE"/>
              </w:rPr>
              <w:t xml:space="preserve"> liquid 0,5 ml </w:t>
            </w:r>
          </w:p>
        </w:tc>
        <w:tc>
          <w:tcPr>
            <w:tcW w:w="2717" w:type="dxa"/>
            <w:shd w:val="clear" w:color="auto" w:fill="auto"/>
            <w:hideMark/>
          </w:tcPr>
          <w:p w14:paraId="2F0F9A07" w14:textId="77777777" w:rsidR="00D37047" w:rsidRPr="00B02352" w:rsidRDefault="00D37047" w:rsidP="001B5E72">
            <w:pPr>
              <w:spacing w:before="40" w:after="120"/>
              <w:ind w:right="113"/>
              <w:rPr>
                <w:szCs w:val="24"/>
                <w:lang w:val="en-US" w:eastAsia="fr-BE"/>
              </w:rPr>
            </w:pPr>
            <w:r w:rsidRPr="00B02352">
              <w:rPr>
                <w:lang w:val="en-US" w:eastAsia="fr-BE"/>
              </w:rPr>
              <w:t xml:space="preserve">Clear colorless </w:t>
            </w:r>
            <w:proofErr w:type="gramStart"/>
            <w:r w:rsidRPr="00B02352">
              <w:rPr>
                <w:lang w:val="en-US" w:eastAsia="fr-BE"/>
              </w:rPr>
              <w:t>pale yellow</w:t>
            </w:r>
            <w:proofErr w:type="gramEnd"/>
            <w:r w:rsidRPr="00B02352">
              <w:rPr>
                <w:lang w:val="en-US" w:eastAsia="fr-BE"/>
              </w:rPr>
              <w:t xml:space="preserve"> liquid 0,5 ml </w:t>
            </w:r>
          </w:p>
        </w:tc>
        <w:tc>
          <w:tcPr>
            <w:tcW w:w="4374" w:type="dxa"/>
            <w:shd w:val="clear" w:color="auto" w:fill="auto"/>
            <w:hideMark/>
          </w:tcPr>
          <w:p w14:paraId="0494C7E7" w14:textId="77777777" w:rsidR="00D37047" w:rsidRPr="00B02352" w:rsidRDefault="00D37047" w:rsidP="001B5E72">
            <w:pPr>
              <w:spacing w:before="40" w:after="120"/>
              <w:ind w:right="113"/>
              <w:rPr>
                <w:szCs w:val="24"/>
                <w:lang w:val="fr-BE" w:eastAsia="fr-BE"/>
              </w:rPr>
            </w:pPr>
            <w:r w:rsidRPr="00B02352">
              <w:rPr>
                <w:lang w:val="en-US" w:eastAsia="fr-BE"/>
              </w:rPr>
              <w:t>Undiluted liquid 0,5 ml</w:t>
            </w:r>
            <w:r w:rsidRPr="00B02352">
              <w:rPr>
                <w:lang w:val="fr-BE" w:eastAsia="fr-BE"/>
              </w:rPr>
              <w:t> </w:t>
            </w:r>
          </w:p>
        </w:tc>
      </w:tr>
      <w:tr w:rsidR="00D37047" w:rsidRPr="00B02352" w14:paraId="0A79501B" w14:textId="77777777" w:rsidTr="001B5E72">
        <w:tc>
          <w:tcPr>
            <w:tcW w:w="1319" w:type="dxa"/>
            <w:shd w:val="clear" w:color="auto" w:fill="auto"/>
            <w:hideMark/>
          </w:tcPr>
          <w:p w14:paraId="690DCBDF" w14:textId="77777777" w:rsidR="00D37047" w:rsidRPr="00BB7163" w:rsidRDefault="00D37047" w:rsidP="001B5E72">
            <w:pPr>
              <w:spacing w:before="40" w:after="120"/>
              <w:ind w:right="113"/>
              <w:rPr>
                <w:b/>
                <w:bCs/>
                <w:lang w:val="fr-BE" w:eastAsia="fr-BE"/>
              </w:rPr>
            </w:pPr>
            <w:r w:rsidRPr="00BB7163">
              <w:rPr>
                <w:b/>
                <w:bCs/>
                <w:lang w:val="en-US" w:eastAsia="fr-BE"/>
              </w:rPr>
              <w:t>Controls</w:t>
            </w:r>
            <w:r w:rsidRPr="00BB7163">
              <w:rPr>
                <w:b/>
                <w:bCs/>
                <w:lang w:val="fr-BE" w:eastAsia="fr-BE"/>
              </w:rPr>
              <w:t> </w:t>
            </w:r>
          </w:p>
        </w:tc>
        <w:tc>
          <w:tcPr>
            <w:tcW w:w="2649" w:type="dxa"/>
            <w:shd w:val="clear" w:color="auto" w:fill="auto"/>
            <w:hideMark/>
          </w:tcPr>
          <w:p w14:paraId="515318E8" w14:textId="77777777" w:rsidR="00D37047" w:rsidRPr="00B02352" w:rsidRDefault="00D37047" w:rsidP="001B5E72">
            <w:pPr>
              <w:spacing w:before="40" w:after="120"/>
              <w:ind w:right="113"/>
              <w:rPr>
                <w:szCs w:val="24"/>
                <w:lang w:val="en-US" w:eastAsia="fr-BE"/>
              </w:rPr>
            </w:pPr>
            <w:r w:rsidRPr="00B02352">
              <w:rPr>
                <w:lang w:val="en-US" w:eastAsia="fr-BE"/>
              </w:rPr>
              <w:t>Untreated skin areas of the test animal serve as control </w:t>
            </w:r>
          </w:p>
        </w:tc>
        <w:tc>
          <w:tcPr>
            <w:tcW w:w="2717" w:type="dxa"/>
            <w:shd w:val="clear" w:color="auto" w:fill="auto"/>
            <w:hideMark/>
          </w:tcPr>
          <w:p w14:paraId="7BEF4F86" w14:textId="77777777" w:rsidR="00D37047" w:rsidRPr="00B02352" w:rsidRDefault="00D37047" w:rsidP="001B5E72">
            <w:pPr>
              <w:spacing w:before="40" w:after="120"/>
              <w:ind w:right="113"/>
              <w:rPr>
                <w:szCs w:val="24"/>
                <w:lang w:val="en-US" w:eastAsia="fr-BE"/>
              </w:rPr>
            </w:pPr>
            <w:r w:rsidRPr="00B02352">
              <w:rPr>
                <w:lang w:val="en-US" w:eastAsia="fr-BE"/>
              </w:rPr>
              <w:t>Untreated skin areas of the test animal serve as control </w:t>
            </w:r>
          </w:p>
        </w:tc>
        <w:tc>
          <w:tcPr>
            <w:tcW w:w="2717" w:type="dxa"/>
            <w:shd w:val="clear" w:color="auto" w:fill="auto"/>
            <w:hideMark/>
          </w:tcPr>
          <w:p w14:paraId="26CAC051" w14:textId="77777777" w:rsidR="00D37047" w:rsidRPr="00B02352" w:rsidRDefault="00D37047" w:rsidP="001B5E72">
            <w:pPr>
              <w:spacing w:before="40" w:after="120"/>
              <w:ind w:right="113"/>
              <w:rPr>
                <w:szCs w:val="24"/>
                <w:lang w:val="en-US" w:eastAsia="fr-BE"/>
              </w:rPr>
            </w:pPr>
            <w:r w:rsidRPr="00B02352">
              <w:rPr>
                <w:lang w:val="en-US" w:eastAsia="fr-BE"/>
              </w:rPr>
              <w:t>Untreated skin areas of the test animal serve as control </w:t>
            </w:r>
          </w:p>
        </w:tc>
        <w:tc>
          <w:tcPr>
            <w:tcW w:w="4374" w:type="dxa"/>
            <w:shd w:val="clear" w:color="auto" w:fill="auto"/>
            <w:hideMark/>
          </w:tcPr>
          <w:p w14:paraId="4B40A7FC" w14:textId="77777777" w:rsidR="00D37047" w:rsidRPr="00B02352" w:rsidRDefault="00D37047" w:rsidP="001B5E72">
            <w:pPr>
              <w:spacing w:before="40" w:after="120"/>
              <w:ind w:right="113"/>
              <w:rPr>
                <w:szCs w:val="24"/>
                <w:lang w:val="en-US" w:eastAsia="fr-BE"/>
              </w:rPr>
            </w:pPr>
            <w:r w:rsidRPr="00B02352">
              <w:rPr>
                <w:lang w:val="en-US" w:eastAsia="fr-BE"/>
              </w:rPr>
              <w:t>Untreated skin areas of the test animal serve as control </w:t>
            </w:r>
          </w:p>
        </w:tc>
      </w:tr>
      <w:tr w:rsidR="00D37047" w:rsidRPr="00B02352" w14:paraId="3F951163" w14:textId="77777777" w:rsidTr="001B5E72">
        <w:tc>
          <w:tcPr>
            <w:tcW w:w="1319" w:type="dxa"/>
            <w:shd w:val="clear" w:color="auto" w:fill="auto"/>
            <w:hideMark/>
          </w:tcPr>
          <w:p w14:paraId="6B02E250" w14:textId="77777777" w:rsidR="00D37047" w:rsidRPr="00BB7163" w:rsidRDefault="00D37047" w:rsidP="001B5E72">
            <w:pPr>
              <w:spacing w:before="40" w:after="120"/>
              <w:ind w:right="113"/>
              <w:rPr>
                <w:b/>
                <w:bCs/>
                <w:lang w:val="fr-BE" w:eastAsia="fr-BE"/>
              </w:rPr>
            </w:pPr>
            <w:r w:rsidRPr="00BB7163">
              <w:rPr>
                <w:b/>
                <w:bCs/>
                <w:lang w:val="en-US" w:eastAsia="fr-BE"/>
              </w:rPr>
              <w:t>Observation period</w:t>
            </w:r>
            <w:r w:rsidRPr="00BB7163">
              <w:rPr>
                <w:b/>
                <w:bCs/>
                <w:lang w:val="fr-BE" w:eastAsia="fr-BE"/>
              </w:rPr>
              <w:t> </w:t>
            </w:r>
          </w:p>
        </w:tc>
        <w:tc>
          <w:tcPr>
            <w:tcW w:w="2649" w:type="dxa"/>
            <w:shd w:val="clear" w:color="auto" w:fill="auto"/>
            <w:hideMark/>
          </w:tcPr>
          <w:p w14:paraId="68B11457" w14:textId="77777777" w:rsidR="00D37047" w:rsidRPr="00B02352" w:rsidRDefault="00D37047" w:rsidP="001B5E72">
            <w:pPr>
              <w:spacing w:before="40" w:after="120"/>
              <w:ind w:right="113"/>
              <w:rPr>
                <w:szCs w:val="24"/>
                <w:lang w:val="fr-BE" w:eastAsia="fr-BE"/>
              </w:rPr>
            </w:pPr>
            <w:r w:rsidRPr="00B02352">
              <w:rPr>
                <w:lang w:val="en-US" w:eastAsia="fr-BE"/>
              </w:rPr>
              <w:t>1 hour, 24 hours</w:t>
            </w:r>
            <w:r w:rsidRPr="00B02352">
              <w:rPr>
                <w:lang w:val="fr-BE" w:eastAsia="fr-BE"/>
              </w:rPr>
              <w:t> </w:t>
            </w:r>
          </w:p>
        </w:tc>
        <w:tc>
          <w:tcPr>
            <w:tcW w:w="2717" w:type="dxa"/>
            <w:shd w:val="clear" w:color="auto" w:fill="auto"/>
            <w:hideMark/>
          </w:tcPr>
          <w:p w14:paraId="6C66426B" w14:textId="77777777" w:rsidR="00D37047" w:rsidRPr="00B02352" w:rsidRDefault="00D37047" w:rsidP="001B5E72">
            <w:pPr>
              <w:spacing w:before="40" w:after="120"/>
              <w:ind w:right="113"/>
              <w:rPr>
                <w:szCs w:val="24"/>
                <w:lang w:val="fr-BE" w:eastAsia="fr-BE"/>
              </w:rPr>
            </w:pPr>
            <w:r w:rsidRPr="00B02352">
              <w:rPr>
                <w:lang w:val="en-US" w:eastAsia="fr-BE"/>
              </w:rPr>
              <w:t>30 minutes, 24 and 48 hours</w:t>
            </w:r>
            <w:r w:rsidRPr="00B02352">
              <w:rPr>
                <w:lang w:val="fr-BE" w:eastAsia="fr-BE"/>
              </w:rPr>
              <w:t> </w:t>
            </w:r>
          </w:p>
        </w:tc>
        <w:tc>
          <w:tcPr>
            <w:tcW w:w="2717" w:type="dxa"/>
            <w:shd w:val="clear" w:color="auto" w:fill="auto"/>
            <w:hideMark/>
          </w:tcPr>
          <w:p w14:paraId="2A0EE388" w14:textId="77777777" w:rsidR="00D37047" w:rsidRPr="00B02352" w:rsidRDefault="00D37047" w:rsidP="001B5E72">
            <w:pPr>
              <w:spacing w:before="40" w:after="120"/>
              <w:ind w:right="113"/>
              <w:rPr>
                <w:szCs w:val="24"/>
                <w:lang w:val="fr-BE" w:eastAsia="fr-BE"/>
              </w:rPr>
            </w:pPr>
            <w:r w:rsidRPr="00B02352">
              <w:rPr>
                <w:lang w:val="en-US" w:eastAsia="fr-BE"/>
              </w:rPr>
              <w:t>30 minutes, 24 and 48 hours</w:t>
            </w:r>
            <w:r w:rsidRPr="00B02352">
              <w:rPr>
                <w:lang w:val="fr-BE" w:eastAsia="fr-BE"/>
              </w:rPr>
              <w:t> </w:t>
            </w:r>
          </w:p>
        </w:tc>
        <w:tc>
          <w:tcPr>
            <w:tcW w:w="4374" w:type="dxa"/>
            <w:shd w:val="clear" w:color="auto" w:fill="auto"/>
            <w:hideMark/>
          </w:tcPr>
          <w:p w14:paraId="183B982C" w14:textId="77777777" w:rsidR="00D37047" w:rsidRPr="00B02352" w:rsidRDefault="00D37047" w:rsidP="001B5E72">
            <w:pPr>
              <w:spacing w:before="40" w:after="120"/>
              <w:ind w:right="113"/>
              <w:rPr>
                <w:szCs w:val="24"/>
                <w:lang w:val="en-US" w:eastAsia="fr-BE"/>
              </w:rPr>
            </w:pPr>
            <w:r w:rsidRPr="00B02352">
              <w:rPr>
                <w:lang w:val="en-US" w:eastAsia="fr-BE"/>
              </w:rPr>
              <w:t xml:space="preserve">Observation 14 days, unless corrosion develops at an earlier time </w:t>
            </w:r>
            <w:proofErr w:type="gramStart"/>
            <w:r w:rsidRPr="00B02352">
              <w:rPr>
                <w:lang w:val="en-US" w:eastAsia="fr-BE"/>
              </w:rPr>
              <w:t>point</w:t>
            </w:r>
            <w:proofErr w:type="gramEnd"/>
            <w:r w:rsidRPr="00B02352">
              <w:rPr>
                <w:lang w:val="en-US" w:eastAsia="fr-BE"/>
              </w:rPr>
              <w:t> </w:t>
            </w:r>
          </w:p>
          <w:p w14:paraId="41499990" w14:textId="77777777" w:rsidR="00D37047" w:rsidRPr="00B02352" w:rsidRDefault="00D37047" w:rsidP="001B5E72">
            <w:pPr>
              <w:spacing w:before="40" w:after="120"/>
              <w:ind w:right="113"/>
              <w:rPr>
                <w:szCs w:val="24"/>
                <w:lang w:val="fr-BE" w:eastAsia="fr-BE"/>
              </w:rPr>
            </w:pPr>
            <w:r w:rsidRPr="00B02352">
              <w:rPr>
                <w:lang w:val="en-US" w:eastAsia="fr-BE"/>
              </w:rPr>
              <w:t>24, 48, 72 hours</w:t>
            </w:r>
            <w:r w:rsidRPr="00B02352">
              <w:rPr>
                <w:lang w:val="fr-BE" w:eastAsia="fr-BE"/>
              </w:rPr>
              <w:t> </w:t>
            </w:r>
          </w:p>
        </w:tc>
      </w:tr>
      <w:tr w:rsidR="00D37047" w:rsidRPr="00B02352" w14:paraId="1544D013" w14:textId="77777777" w:rsidTr="001B5E72">
        <w:tc>
          <w:tcPr>
            <w:tcW w:w="1319" w:type="dxa"/>
            <w:shd w:val="clear" w:color="auto" w:fill="auto"/>
            <w:hideMark/>
          </w:tcPr>
          <w:p w14:paraId="54C8E844" w14:textId="77777777" w:rsidR="00D37047" w:rsidRPr="00BB7163" w:rsidRDefault="00D37047" w:rsidP="001B5E72">
            <w:pPr>
              <w:spacing w:before="40" w:after="120"/>
              <w:ind w:right="113"/>
              <w:rPr>
                <w:b/>
                <w:bCs/>
                <w:lang w:val="fr-BE" w:eastAsia="fr-BE"/>
              </w:rPr>
            </w:pPr>
            <w:r w:rsidRPr="00BB7163">
              <w:rPr>
                <w:b/>
                <w:bCs/>
                <w:lang w:val="en-US" w:eastAsia="fr-BE"/>
              </w:rPr>
              <w:t>Corrosion def</w:t>
            </w:r>
            <w:r w:rsidRPr="00BB7163">
              <w:rPr>
                <w:b/>
                <w:bCs/>
                <w:lang w:val="fr-BE" w:eastAsia="fr-BE"/>
              </w:rPr>
              <w:t> </w:t>
            </w:r>
          </w:p>
        </w:tc>
        <w:tc>
          <w:tcPr>
            <w:tcW w:w="2649" w:type="dxa"/>
            <w:shd w:val="clear" w:color="auto" w:fill="auto"/>
            <w:hideMark/>
          </w:tcPr>
          <w:p w14:paraId="3A8368B9" w14:textId="77777777" w:rsidR="00D37047" w:rsidRPr="00B02352" w:rsidRDefault="00D37047" w:rsidP="001B5E72">
            <w:pPr>
              <w:spacing w:before="40" w:after="120"/>
              <w:ind w:right="113"/>
              <w:rPr>
                <w:szCs w:val="24"/>
                <w:lang w:val="en-US" w:eastAsia="fr-BE"/>
              </w:rPr>
            </w:pPr>
            <w:r w:rsidRPr="00B02352">
              <w:rPr>
                <w:lang w:val="en-US" w:eastAsia="fr-BE"/>
              </w:rPr>
              <w:t>Full thickness necrosis in at least one animal </w:t>
            </w:r>
          </w:p>
        </w:tc>
        <w:tc>
          <w:tcPr>
            <w:tcW w:w="2717" w:type="dxa"/>
            <w:shd w:val="clear" w:color="auto" w:fill="auto"/>
            <w:hideMark/>
          </w:tcPr>
          <w:p w14:paraId="5E5549E3" w14:textId="77777777" w:rsidR="00D37047" w:rsidRPr="00B02352" w:rsidRDefault="00D37047" w:rsidP="001B5E72">
            <w:pPr>
              <w:spacing w:before="40" w:after="120"/>
              <w:ind w:right="113"/>
              <w:rPr>
                <w:szCs w:val="24"/>
                <w:lang w:val="en-US" w:eastAsia="fr-BE"/>
              </w:rPr>
            </w:pPr>
            <w:r w:rsidRPr="00B02352">
              <w:rPr>
                <w:lang w:val="en-US" w:eastAsia="fr-BE"/>
              </w:rPr>
              <w:t>Destruction (= ulceration or necrosis) or irreversible alteration of the tissue </w:t>
            </w:r>
          </w:p>
        </w:tc>
        <w:tc>
          <w:tcPr>
            <w:tcW w:w="2717" w:type="dxa"/>
            <w:shd w:val="clear" w:color="auto" w:fill="auto"/>
            <w:hideMark/>
          </w:tcPr>
          <w:p w14:paraId="09006AA7" w14:textId="77777777" w:rsidR="00D37047" w:rsidRPr="00B02352" w:rsidRDefault="00D37047" w:rsidP="001B5E72">
            <w:pPr>
              <w:spacing w:before="40" w:after="120"/>
              <w:ind w:right="113"/>
              <w:rPr>
                <w:szCs w:val="24"/>
                <w:lang w:val="en-US" w:eastAsia="fr-BE"/>
              </w:rPr>
            </w:pPr>
            <w:r w:rsidRPr="00B02352">
              <w:rPr>
                <w:lang w:val="en-US" w:eastAsia="fr-BE"/>
              </w:rPr>
              <w:t>Destruction (= ulceration or necrosis) or irreversible alteration of the tissue </w:t>
            </w:r>
          </w:p>
        </w:tc>
        <w:tc>
          <w:tcPr>
            <w:tcW w:w="4374" w:type="dxa"/>
            <w:shd w:val="clear" w:color="auto" w:fill="auto"/>
            <w:hideMark/>
          </w:tcPr>
          <w:p w14:paraId="70082C55" w14:textId="77777777" w:rsidR="00D37047" w:rsidRPr="00B02352" w:rsidRDefault="00D37047" w:rsidP="001B5E72">
            <w:pPr>
              <w:spacing w:before="40" w:after="120"/>
              <w:ind w:right="113"/>
              <w:rPr>
                <w:szCs w:val="24"/>
                <w:lang w:val="en-US" w:eastAsia="fr-BE"/>
              </w:rPr>
            </w:pPr>
            <w:r w:rsidRPr="00B02352">
              <w:rPr>
                <w:lang w:val="en-US" w:eastAsia="fr-BE"/>
              </w:rPr>
              <w:t>Dermal corrosion is the production of irreversible damage of the skin; namely, visible necrosis through the epidermis and into the dermis, following the application of a test chemical for up to four hours. </w:t>
            </w:r>
          </w:p>
          <w:p w14:paraId="0499A468" w14:textId="77777777" w:rsidR="00D37047" w:rsidRPr="00B02352" w:rsidRDefault="00D37047" w:rsidP="001B5E72">
            <w:pPr>
              <w:spacing w:before="40" w:after="120"/>
              <w:ind w:right="113"/>
              <w:rPr>
                <w:szCs w:val="24"/>
                <w:lang w:val="en-US" w:eastAsia="fr-BE"/>
              </w:rPr>
            </w:pPr>
            <w:r w:rsidRPr="00B02352">
              <w:rPr>
                <w:lang w:val="en-US" w:eastAsia="fr-BE"/>
              </w:rPr>
              <w:lastRenderedPageBreak/>
              <w:t>Corrosive reactions are typified by ulcers, bleeding, bloody scabs, and, by the end of observation at 14 days, by discoloration due to blanching of the skin, complete areas of alopecia, and scars. </w:t>
            </w:r>
          </w:p>
        </w:tc>
      </w:tr>
      <w:tr w:rsidR="00D37047" w:rsidRPr="00B02352" w14:paraId="13639EE0" w14:textId="77777777" w:rsidTr="001B5E72">
        <w:tc>
          <w:tcPr>
            <w:tcW w:w="1319" w:type="dxa"/>
            <w:tcBorders>
              <w:bottom w:val="single" w:sz="12" w:space="0" w:color="auto"/>
            </w:tcBorders>
            <w:shd w:val="clear" w:color="auto" w:fill="auto"/>
            <w:hideMark/>
          </w:tcPr>
          <w:p w14:paraId="0BEF156A" w14:textId="77777777" w:rsidR="00D37047" w:rsidRPr="00BB7163" w:rsidRDefault="00D37047" w:rsidP="001B5E72">
            <w:pPr>
              <w:spacing w:before="40" w:after="120"/>
              <w:ind w:right="113"/>
              <w:rPr>
                <w:b/>
                <w:bCs/>
                <w:lang w:val="fr-BE" w:eastAsia="fr-BE"/>
              </w:rPr>
            </w:pPr>
            <w:r w:rsidRPr="00BB7163">
              <w:rPr>
                <w:b/>
                <w:bCs/>
                <w:lang w:val="en-US" w:eastAsia="fr-BE"/>
              </w:rPr>
              <w:lastRenderedPageBreak/>
              <w:t>Results</w:t>
            </w:r>
            <w:r w:rsidRPr="00BB7163">
              <w:rPr>
                <w:b/>
                <w:bCs/>
                <w:lang w:val="fr-BE" w:eastAsia="fr-BE"/>
              </w:rPr>
              <w:t> </w:t>
            </w:r>
          </w:p>
        </w:tc>
        <w:tc>
          <w:tcPr>
            <w:tcW w:w="2649" w:type="dxa"/>
            <w:tcBorders>
              <w:bottom w:val="single" w:sz="12" w:space="0" w:color="auto"/>
            </w:tcBorders>
            <w:shd w:val="clear" w:color="auto" w:fill="auto"/>
            <w:hideMark/>
          </w:tcPr>
          <w:p w14:paraId="6E1532EF" w14:textId="77777777" w:rsidR="00D37047" w:rsidRPr="00B02352" w:rsidRDefault="00D37047" w:rsidP="001B5E72">
            <w:pPr>
              <w:spacing w:before="40" w:after="120"/>
              <w:ind w:right="113"/>
              <w:rPr>
                <w:szCs w:val="24"/>
                <w:lang w:val="en-US" w:eastAsia="fr-BE"/>
              </w:rPr>
            </w:pPr>
            <w:r w:rsidRPr="00B02352">
              <w:rPr>
                <w:u w:val="single"/>
                <w:lang w:val="en-US" w:eastAsia="fr-BE"/>
              </w:rPr>
              <w:t>3-min-exposure</w:t>
            </w:r>
            <w:r w:rsidRPr="00B02352">
              <w:rPr>
                <w:lang w:val="en-US" w:eastAsia="fr-BE"/>
              </w:rPr>
              <w:t>: reading after 1 hour&gt; no indication of corrosivity </w:t>
            </w:r>
          </w:p>
          <w:p w14:paraId="3E4FFA34" w14:textId="77777777" w:rsidR="00D37047" w:rsidRPr="00B02352" w:rsidRDefault="00D37047" w:rsidP="001B5E72">
            <w:pPr>
              <w:spacing w:before="40" w:after="120"/>
              <w:ind w:right="113"/>
              <w:rPr>
                <w:szCs w:val="24"/>
                <w:lang w:val="en-US" w:eastAsia="fr-BE"/>
              </w:rPr>
            </w:pPr>
            <w:r w:rsidRPr="00B02352">
              <w:rPr>
                <w:lang w:val="en-US" w:eastAsia="fr-BE"/>
              </w:rPr>
              <w:t xml:space="preserve">Reading after 24 </w:t>
            </w:r>
            <w:proofErr w:type="gramStart"/>
            <w:r w:rsidRPr="00B02352">
              <w:rPr>
                <w:lang w:val="en-US" w:eastAsia="fr-BE"/>
              </w:rPr>
              <w:t>hour</w:t>
            </w:r>
            <w:proofErr w:type="gramEnd"/>
            <w:r w:rsidRPr="00B02352">
              <w:rPr>
                <w:lang w:val="en-US" w:eastAsia="fr-BE"/>
              </w:rPr>
              <w:t xml:space="preserve"> &gt; positive indication of corrosivity </w:t>
            </w:r>
          </w:p>
          <w:p w14:paraId="1D3E6EA4" w14:textId="77777777" w:rsidR="00D37047" w:rsidRPr="00B02352" w:rsidRDefault="00D37047" w:rsidP="001B5E72">
            <w:pPr>
              <w:spacing w:before="40" w:after="120"/>
              <w:ind w:right="113"/>
              <w:rPr>
                <w:szCs w:val="24"/>
                <w:lang w:val="en-US" w:eastAsia="fr-BE"/>
              </w:rPr>
            </w:pPr>
            <w:r w:rsidRPr="00B02352">
              <w:rPr>
                <w:u w:val="single"/>
                <w:lang w:val="en-US" w:eastAsia="fr-BE"/>
              </w:rPr>
              <w:t>1-hour-exposure</w:t>
            </w:r>
            <w:r w:rsidRPr="00B02352">
              <w:rPr>
                <w:lang w:val="en-US" w:eastAsia="fr-BE"/>
              </w:rPr>
              <w:t>: reading after 1 hour&gt; no indication of corrosivity, </w:t>
            </w:r>
          </w:p>
          <w:p w14:paraId="7F274392" w14:textId="77777777" w:rsidR="00D37047" w:rsidRPr="00B02352" w:rsidRDefault="00D37047" w:rsidP="001B5E72">
            <w:pPr>
              <w:spacing w:before="40" w:after="120"/>
              <w:ind w:right="113"/>
              <w:rPr>
                <w:szCs w:val="24"/>
                <w:lang w:val="en-US" w:eastAsia="fr-BE"/>
              </w:rPr>
            </w:pPr>
            <w:r w:rsidRPr="00B02352">
              <w:rPr>
                <w:lang w:val="en-US" w:eastAsia="fr-BE"/>
              </w:rPr>
              <w:t xml:space="preserve">reading after 24 </w:t>
            </w:r>
            <w:proofErr w:type="gramStart"/>
            <w:r w:rsidRPr="00B02352">
              <w:rPr>
                <w:lang w:val="en-US" w:eastAsia="fr-BE"/>
              </w:rPr>
              <w:t>hour</w:t>
            </w:r>
            <w:proofErr w:type="gramEnd"/>
            <w:r w:rsidRPr="00B02352">
              <w:rPr>
                <w:lang w:val="en-US" w:eastAsia="fr-BE"/>
              </w:rPr>
              <w:t xml:space="preserve"> &gt; positive indication of corrosivity, not fully reversible, erythema score 4/4, edema score 2/4  </w:t>
            </w:r>
          </w:p>
          <w:p w14:paraId="20582882" w14:textId="77777777" w:rsidR="00D37047" w:rsidRPr="00B02352" w:rsidRDefault="00D37047" w:rsidP="001B5E72">
            <w:pPr>
              <w:spacing w:before="40" w:after="120"/>
              <w:ind w:right="113"/>
              <w:rPr>
                <w:szCs w:val="24"/>
                <w:lang w:val="fr-BE" w:eastAsia="fr-BE"/>
              </w:rPr>
            </w:pPr>
            <w:r w:rsidRPr="00B02352">
              <w:rPr>
                <w:b/>
                <w:bCs/>
                <w:lang w:val="en-US" w:eastAsia="fr-BE"/>
              </w:rPr>
              <w:t>&gt; Category 1</w:t>
            </w:r>
            <w:r w:rsidRPr="00B02352">
              <w:rPr>
                <w:lang w:val="fr-BE" w:eastAsia="fr-BE"/>
              </w:rPr>
              <w:t> </w:t>
            </w:r>
          </w:p>
        </w:tc>
        <w:tc>
          <w:tcPr>
            <w:tcW w:w="2717" w:type="dxa"/>
            <w:tcBorders>
              <w:bottom w:val="single" w:sz="12" w:space="0" w:color="auto"/>
            </w:tcBorders>
            <w:shd w:val="clear" w:color="auto" w:fill="auto"/>
            <w:hideMark/>
          </w:tcPr>
          <w:p w14:paraId="7116CF6D" w14:textId="77777777" w:rsidR="00D37047" w:rsidRPr="00B02352" w:rsidRDefault="00D37047" w:rsidP="001B5E72">
            <w:pPr>
              <w:spacing w:before="40" w:after="120"/>
              <w:ind w:right="113"/>
              <w:rPr>
                <w:szCs w:val="24"/>
                <w:lang w:val="en-US" w:eastAsia="fr-BE"/>
              </w:rPr>
            </w:pPr>
            <w:r w:rsidRPr="00B02352">
              <w:rPr>
                <w:u w:val="single"/>
                <w:lang w:val="en-US" w:eastAsia="fr-BE"/>
              </w:rPr>
              <w:t>3-min-exposure</w:t>
            </w:r>
            <w:r w:rsidRPr="00B02352">
              <w:rPr>
                <w:lang w:val="en-US" w:eastAsia="fr-BE"/>
              </w:rPr>
              <w:t>: </w:t>
            </w:r>
          </w:p>
          <w:p w14:paraId="13207E63" w14:textId="77777777" w:rsidR="00D37047" w:rsidRPr="00B02352" w:rsidRDefault="00D37047" w:rsidP="001B5E72">
            <w:pPr>
              <w:spacing w:before="40" w:after="120"/>
              <w:ind w:right="113"/>
              <w:rPr>
                <w:szCs w:val="24"/>
                <w:lang w:val="en-US" w:eastAsia="fr-BE"/>
              </w:rPr>
            </w:pPr>
            <w:r w:rsidRPr="00B02352">
              <w:rPr>
                <w:lang w:val="en-US" w:eastAsia="fr-BE"/>
              </w:rPr>
              <w:t>24/48 hours &gt; erythema score 4/4, edema score 2/4  </w:t>
            </w:r>
          </w:p>
          <w:p w14:paraId="609D641E" w14:textId="77777777" w:rsidR="00D37047" w:rsidRPr="00B02352" w:rsidRDefault="00D37047" w:rsidP="001B5E72">
            <w:pPr>
              <w:spacing w:before="40" w:after="120"/>
              <w:ind w:right="113"/>
              <w:rPr>
                <w:szCs w:val="24"/>
                <w:lang w:val="en-US" w:eastAsia="fr-BE"/>
              </w:rPr>
            </w:pPr>
            <w:r w:rsidRPr="00B02352">
              <w:rPr>
                <w:b/>
                <w:bCs/>
                <w:lang w:val="en-US" w:eastAsia="fr-BE"/>
              </w:rPr>
              <w:t>&gt; Category 1A</w:t>
            </w:r>
            <w:r w:rsidRPr="00B02352">
              <w:rPr>
                <w:lang w:val="en-US" w:eastAsia="fr-BE"/>
              </w:rPr>
              <w:t> </w:t>
            </w:r>
          </w:p>
        </w:tc>
        <w:tc>
          <w:tcPr>
            <w:tcW w:w="2717" w:type="dxa"/>
            <w:tcBorders>
              <w:bottom w:val="single" w:sz="12" w:space="0" w:color="auto"/>
            </w:tcBorders>
            <w:shd w:val="clear" w:color="auto" w:fill="auto"/>
            <w:hideMark/>
          </w:tcPr>
          <w:p w14:paraId="1116D008" w14:textId="77777777" w:rsidR="00D37047" w:rsidRPr="00B02352" w:rsidRDefault="00D37047" w:rsidP="001B5E72">
            <w:pPr>
              <w:spacing w:before="40" w:after="120"/>
              <w:ind w:right="113"/>
              <w:rPr>
                <w:szCs w:val="24"/>
                <w:lang w:val="en-US" w:eastAsia="fr-BE"/>
              </w:rPr>
            </w:pPr>
            <w:r w:rsidRPr="00B02352">
              <w:rPr>
                <w:u w:val="single"/>
                <w:lang w:val="en-US" w:eastAsia="fr-BE"/>
              </w:rPr>
              <w:t>1-hour-exposure</w:t>
            </w:r>
            <w:r w:rsidRPr="00B02352">
              <w:rPr>
                <w:lang w:val="en-US" w:eastAsia="fr-BE"/>
              </w:rPr>
              <w:t>:  </w:t>
            </w:r>
          </w:p>
          <w:p w14:paraId="3337836C" w14:textId="77777777" w:rsidR="00D37047" w:rsidRPr="00B02352" w:rsidRDefault="00D37047" w:rsidP="001B5E72">
            <w:pPr>
              <w:spacing w:before="40" w:after="120"/>
              <w:ind w:right="113"/>
              <w:rPr>
                <w:szCs w:val="24"/>
                <w:lang w:val="en-US" w:eastAsia="fr-BE"/>
              </w:rPr>
            </w:pPr>
            <w:r w:rsidRPr="00B02352">
              <w:rPr>
                <w:lang w:val="en-US" w:eastAsia="fr-BE"/>
              </w:rPr>
              <w:t>30 min/24 h/48 h &gt; erythema score 4/4 not reversible, edema score 1/4 fully reversible in 48 hours (in one rabbit 1/4 after 48 hour)  </w:t>
            </w:r>
          </w:p>
          <w:p w14:paraId="73B988C5" w14:textId="77777777" w:rsidR="00D37047" w:rsidRPr="00B02352" w:rsidRDefault="00D37047" w:rsidP="001B5E72">
            <w:pPr>
              <w:spacing w:before="40" w:after="120"/>
              <w:ind w:right="113"/>
              <w:rPr>
                <w:szCs w:val="24"/>
                <w:lang w:val="fr-BE" w:eastAsia="fr-BE"/>
              </w:rPr>
            </w:pPr>
            <w:r w:rsidRPr="00B02352">
              <w:rPr>
                <w:b/>
                <w:bCs/>
                <w:lang w:val="en-US" w:eastAsia="fr-BE"/>
              </w:rPr>
              <w:t>&gt; Category 1</w:t>
            </w:r>
            <w:r w:rsidRPr="00B02352">
              <w:rPr>
                <w:lang w:val="fr-BE" w:eastAsia="fr-BE"/>
              </w:rPr>
              <w:t> </w:t>
            </w:r>
          </w:p>
        </w:tc>
        <w:tc>
          <w:tcPr>
            <w:tcW w:w="4374" w:type="dxa"/>
            <w:tcBorders>
              <w:bottom w:val="single" w:sz="12" w:space="0" w:color="auto"/>
            </w:tcBorders>
            <w:shd w:val="clear" w:color="auto" w:fill="auto"/>
            <w:hideMark/>
          </w:tcPr>
          <w:p w14:paraId="2FC0D2CC" w14:textId="77777777" w:rsidR="00D37047" w:rsidRPr="00B02352" w:rsidRDefault="00D37047" w:rsidP="001B5E72">
            <w:pPr>
              <w:spacing w:before="40" w:after="120"/>
              <w:ind w:right="113"/>
              <w:rPr>
                <w:szCs w:val="24"/>
                <w:lang w:val="fr-BE" w:eastAsia="fr-BE"/>
              </w:rPr>
            </w:pPr>
            <w:r w:rsidRPr="00B02352">
              <w:rPr>
                <w:lang w:val="fr-BE" w:eastAsia="fr-BE"/>
              </w:rPr>
              <w:t> </w:t>
            </w:r>
          </w:p>
        </w:tc>
      </w:tr>
    </w:tbl>
    <w:p w14:paraId="6FD2A4C7" w14:textId="77777777" w:rsidR="00D37047" w:rsidRPr="00827A7E" w:rsidRDefault="00D37047" w:rsidP="00D37047">
      <w:pPr>
        <w:spacing w:line="240" w:lineRule="auto"/>
        <w:textAlignment w:val="baseline"/>
        <w:rPr>
          <w:rFonts w:ascii="Segoe UI" w:hAnsi="Segoe UI" w:cs="Segoe UI"/>
          <w:sz w:val="18"/>
          <w:szCs w:val="18"/>
          <w:lang w:val="fr-BE" w:eastAsia="fr-BE"/>
        </w:rPr>
      </w:pPr>
      <w:r w:rsidRPr="00827A7E">
        <w:rPr>
          <w:rFonts w:ascii="Calibri" w:hAnsi="Calibri" w:cs="Calibri"/>
          <w:sz w:val="22"/>
          <w:szCs w:val="22"/>
          <w:lang w:val="fr-BE" w:eastAsia="fr-BE"/>
        </w:rPr>
        <w:t> </w:t>
      </w:r>
    </w:p>
    <w:p w14:paraId="58FD27FF" w14:textId="4D2A10A8" w:rsidR="00C97177" w:rsidRDefault="00D37047" w:rsidP="00D37047">
      <w:pPr>
        <w:rPr>
          <w:lang w:val="en-US" w:eastAsia="fr-BE"/>
        </w:rPr>
      </w:pPr>
      <w:r w:rsidRPr="00827A7E">
        <w:rPr>
          <w:lang w:val="en-US" w:eastAsia="fr-BE"/>
        </w:rPr>
        <w:t>Only reliable without restriction in vivo studies involved</w:t>
      </w:r>
      <w:r>
        <w:rPr>
          <w:lang w:val="en-US" w:eastAsia="fr-BE"/>
        </w:rPr>
        <w:t xml:space="preserve"> (ECHA code 1).</w:t>
      </w:r>
    </w:p>
    <w:p w14:paraId="314E73F6" w14:textId="29C36748" w:rsidR="00D37047" w:rsidRDefault="00D37047">
      <w:pPr>
        <w:rPr>
          <w:lang w:val="en-US" w:eastAsia="fr-BE"/>
        </w:rPr>
      </w:pPr>
      <w:r>
        <w:rPr>
          <w:lang w:val="en-US" w:eastAsia="fr-BE"/>
        </w:rPr>
        <w:br w:type="page"/>
      </w:r>
    </w:p>
    <w:p w14:paraId="36F20FF9" w14:textId="77777777" w:rsidR="009F2ACD" w:rsidRDefault="009F2ACD" w:rsidP="00D37047">
      <w:pPr>
        <w:rPr>
          <w:b/>
          <w:bCs/>
        </w:rPr>
        <w:sectPr w:rsidR="009F2ACD" w:rsidSect="002962DB">
          <w:headerReference w:type="even" r:id="rId24"/>
          <w:headerReference w:type="default" r:id="rId25"/>
          <w:footerReference w:type="even" r:id="rId26"/>
          <w:footerReference w:type="default" r:id="rId27"/>
          <w:endnotePr>
            <w:numFmt w:val="decimal"/>
          </w:endnotePr>
          <w:pgSz w:w="16840" w:h="11907" w:orient="landscape" w:code="9"/>
          <w:pgMar w:top="1134" w:right="1417" w:bottom="1134" w:left="1134" w:header="567" w:footer="567" w:gutter="0"/>
          <w:cols w:space="720"/>
          <w:docGrid w:linePitch="272"/>
        </w:sectPr>
      </w:pPr>
    </w:p>
    <w:p w14:paraId="0F678A16" w14:textId="77777777" w:rsidR="004D79B8" w:rsidRDefault="004D79B8" w:rsidP="004D79B8">
      <w:pPr>
        <w:pStyle w:val="Textbody"/>
        <w:rPr>
          <w:rStyle w:val="Absatz-Standardschriftart1"/>
          <w:b/>
          <w:sz w:val="28"/>
          <w:szCs w:val="28"/>
          <w:lang w:val="en-GB"/>
        </w:rPr>
      </w:pPr>
      <w:r w:rsidRPr="005D7F5D">
        <w:rPr>
          <w:rStyle w:val="Absatz-Standardschriftart1"/>
          <w:b/>
          <w:sz w:val="28"/>
          <w:szCs w:val="28"/>
          <w:lang w:val="en-GB"/>
        </w:rPr>
        <w:lastRenderedPageBreak/>
        <w:t>Annex</w:t>
      </w:r>
      <w:r>
        <w:rPr>
          <w:rStyle w:val="Absatz-Standardschriftart1"/>
          <w:b/>
          <w:sz w:val="28"/>
          <w:szCs w:val="28"/>
          <w:lang w:val="en-GB"/>
        </w:rPr>
        <w:t xml:space="preserve"> II</w:t>
      </w:r>
    </w:p>
    <w:p w14:paraId="12292E49" w14:textId="77777777" w:rsidR="004D79B8" w:rsidRPr="005D7F5D" w:rsidRDefault="004D79B8" w:rsidP="004D79B8">
      <w:pPr>
        <w:pStyle w:val="HChG"/>
        <w:rPr>
          <w:rStyle w:val="Absatz-Standardschriftart1"/>
          <w:b w:val="0"/>
          <w:szCs w:val="28"/>
        </w:rPr>
      </w:pPr>
      <w:r>
        <w:rPr>
          <w:rStyle w:val="Absatz-Standardschriftart1"/>
          <w:szCs w:val="28"/>
        </w:rPr>
        <w:tab/>
      </w:r>
      <w:r>
        <w:rPr>
          <w:rStyle w:val="Absatz-Standardschriftart1"/>
          <w:szCs w:val="28"/>
        </w:rPr>
        <w:tab/>
        <w:t>Inhalation toxicity data</w:t>
      </w:r>
    </w:p>
    <w:p w14:paraId="50E15426" w14:textId="77777777" w:rsidR="004D79B8" w:rsidRPr="000A600C" w:rsidRDefault="004D79B8" w:rsidP="004D79B8">
      <w:pPr>
        <w:pStyle w:val="SingleTxtG"/>
        <w:rPr>
          <w:rStyle w:val="Absatz-Standardschriftart1"/>
          <w:lang w:val="en-US"/>
        </w:rPr>
      </w:pPr>
      <w:r w:rsidRPr="000A600C">
        <w:rPr>
          <w:rStyle w:val="Absatz-Standardschriftart1"/>
          <w:bCs/>
          <w:lang w:val="en-US"/>
        </w:rPr>
        <w:t>1,2-Di(</w:t>
      </w:r>
      <w:proofErr w:type="spellStart"/>
      <w:r w:rsidRPr="000A600C">
        <w:rPr>
          <w:rStyle w:val="Absatz-Standardschriftart1"/>
          <w:bCs/>
          <w:lang w:val="en-US"/>
        </w:rPr>
        <w:t>dimethylamino</w:t>
      </w:r>
      <w:proofErr w:type="spellEnd"/>
      <w:r w:rsidRPr="000A600C">
        <w:rPr>
          <w:rStyle w:val="Absatz-Standardschriftart1"/>
          <w:bCs/>
          <w:lang w:val="en-US"/>
        </w:rPr>
        <w:t xml:space="preserve">)ethane </w:t>
      </w:r>
      <w:r w:rsidRPr="000A600C">
        <w:rPr>
          <w:rStyle w:val="Absatz-Standardschriftart1"/>
          <w:lang w:val="en-US"/>
        </w:rPr>
        <w:t xml:space="preserve">(Synonym: </w:t>
      </w:r>
      <w:proofErr w:type="gramStart"/>
      <w:r w:rsidRPr="000A600C">
        <w:rPr>
          <w:rStyle w:val="Absatz-Standardschriftart1"/>
          <w:lang w:val="en-US"/>
        </w:rPr>
        <w:t>N,N</w:t>
      </w:r>
      <w:proofErr w:type="gramEnd"/>
      <w:r w:rsidRPr="000A600C">
        <w:rPr>
          <w:rStyle w:val="Absatz-Standardschriftart1"/>
          <w:lang w:val="en-US"/>
        </w:rPr>
        <w:t>,N',N'-</w:t>
      </w:r>
      <w:proofErr w:type="spellStart"/>
      <w:r w:rsidRPr="000A600C">
        <w:rPr>
          <w:rStyle w:val="Absatz-Standardschriftart1"/>
          <w:lang w:val="en-US"/>
        </w:rPr>
        <w:t>tetramethylethylenediamine</w:t>
      </w:r>
      <w:proofErr w:type="spellEnd"/>
      <w:r w:rsidRPr="000A600C">
        <w:rPr>
          <w:rStyle w:val="Absatz-Standardschriftart1"/>
          <w:lang w:val="en-US"/>
        </w:rPr>
        <w:t xml:space="preserve">), </w:t>
      </w:r>
    </w:p>
    <w:p w14:paraId="6F662765" w14:textId="77777777" w:rsidR="004D79B8" w:rsidRPr="005D7F5D" w:rsidRDefault="004D79B8" w:rsidP="004D79B8">
      <w:pPr>
        <w:pStyle w:val="SingleTxtG"/>
        <w:rPr>
          <w:lang w:val="fr-BE"/>
        </w:rPr>
      </w:pPr>
      <w:proofErr w:type="gramStart"/>
      <w:r w:rsidRPr="005D7F5D">
        <w:rPr>
          <w:b/>
          <w:bCs/>
          <w:lang w:val="fr-BE"/>
        </w:rPr>
        <w:t>CAS:</w:t>
      </w:r>
      <w:proofErr w:type="gramEnd"/>
      <w:r w:rsidRPr="005D7F5D">
        <w:rPr>
          <w:b/>
          <w:bCs/>
          <w:lang w:val="fr-BE"/>
        </w:rPr>
        <w:t xml:space="preserve"> 110-18-9, UN 2372</w:t>
      </w:r>
    </w:p>
    <w:tbl>
      <w:tblPr>
        <w:tblW w:w="7370" w:type="dxa"/>
        <w:tblInd w:w="1134" w:type="dxa"/>
        <w:tblLayout w:type="fixed"/>
        <w:tblCellMar>
          <w:left w:w="0" w:type="dxa"/>
          <w:right w:w="0" w:type="dxa"/>
        </w:tblCellMar>
        <w:tblLook w:val="04A0" w:firstRow="1" w:lastRow="0" w:firstColumn="1" w:lastColumn="0" w:noHBand="0" w:noVBand="1"/>
      </w:tblPr>
      <w:tblGrid>
        <w:gridCol w:w="993"/>
        <w:gridCol w:w="847"/>
        <w:gridCol w:w="974"/>
        <w:gridCol w:w="869"/>
        <w:gridCol w:w="974"/>
        <w:gridCol w:w="869"/>
        <w:gridCol w:w="973"/>
        <w:gridCol w:w="871"/>
      </w:tblGrid>
      <w:tr w:rsidR="004D79B8" w:rsidRPr="005402E6" w14:paraId="2F347177" w14:textId="77777777" w:rsidTr="001B5E72">
        <w:trPr>
          <w:tblHeader/>
        </w:trPr>
        <w:tc>
          <w:tcPr>
            <w:tcW w:w="993" w:type="dxa"/>
            <w:tcBorders>
              <w:top w:val="single" w:sz="4" w:space="0" w:color="auto"/>
              <w:bottom w:val="single" w:sz="12" w:space="0" w:color="auto"/>
            </w:tcBorders>
            <w:shd w:val="clear" w:color="auto" w:fill="auto"/>
            <w:tcMar>
              <w:top w:w="55" w:type="dxa"/>
              <w:left w:w="55" w:type="dxa"/>
              <w:bottom w:w="55" w:type="dxa"/>
              <w:right w:w="55" w:type="dxa"/>
            </w:tcMar>
            <w:vAlign w:val="bottom"/>
          </w:tcPr>
          <w:p w14:paraId="3D02359E" w14:textId="77777777" w:rsidR="004D79B8" w:rsidRPr="005402E6" w:rsidRDefault="004D79B8" w:rsidP="001B5E72">
            <w:pPr>
              <w:pStyle w:val="TableContents"/>
              <w:widowControl/>
              <w:suppressLineNumbers w:val="0"/>
              <w:suppressAutoHyphens w:val="0"/>
              <w:spacing w:before="80" w:after="80" w:line="200" w:lineRule="exact"/>
              <w:rPr>
                <w:rFonts w:ascii="Times New Roman" w:hAnsi="Times New Roman" w:cs="Times New Roman"/>
                <w:i/>
                <w:kern w:val="0"/>
                <w:sz w:val="16"/>
                <w:szCs w:val="22"/>
              </w:rPr>
            </w:pPr>
            <w:r w:rsidRPr="005402E6">
              <w:rPr>
                <w:rStyle w:val="Absatz-Standardschriftart1"/>
                <w:bCs/>
                <w:i/>
                <w:kern w:val="0"/>
                <w:sz w:val="16"/>
                <w:szCs w:val="22"/>
                <w:lang w:val="en-GB"/>
              </w:rPr>
              <w:t>Database</w:t>
            </w:r>
          </w:p>
        </w:tc>
        <w:tc>
          <w:tcPr>
            <w:tcW w:w="2690" w:type="dxa"/>
            <w:gridSpan w:val="3"/>
            <w:tcBorders>
              <w:top w:val="single" w:sz="4" w:space="0" w:color="auto"/>
              <w:bottom w:val="single" w:sz="12" w:space="0" w:color="auto"/>
            </w:tcBorders>
            <w:shd w:val="clear" w:color="auto" w:fill="auto"/>
            <w:tcMar>
              <w:top w:w="55" w:type="dxa"/>
              <w:left w:w="55" w:type="dxa"/>
              <w:bottom w:w="55" w:type="dxa"/>
              <w:right w:w="55" w:type="dxa"/>
            </w:tcMar>
            <w:vAlign w:val="bottom"/>
          </w:tcPr>
          <w:p w14:paraId="18CFC5D8" w14:textId="77777777" w:rsidR="004D79B8" w:rsidRPr="005402E6" w:rsidRDefault="004D79B8" w:rsidP="001B5E72">
            <w:pPr>
              <w:pStyle w:val="TableContents"/>
              <w:widowControl/>
              <w:suppressLineNumbers w:val="0"/>
              <w:suppressAutoHyphens w:val="0"/>
              <w:spacing w:before="80" w:after="80" w:line="200" w:lineRule="exact"/>
              <w:jc w:val="right"/>
              <w:rPr>
                <w:rFonts w:ascii="Times New Roman" w:hAnsi="Times New Roman" w:cs="Times New Roman"/>
                <w:bCs/>
                <w:i/>
                <w:kern w:val="0"/>
                <w:sz w:val="16"/>
                <w:szCs w:val="22"/>
                <w:lang w:val="en-GB"/>
              </w:rPr>
            </w:pPr>
            <w:r w:rsidRPr="005402E6">
              <w:rPr>
                <w:rFonts w:ascii="Times New Roman" w:hAnsi="Times New Roman" w:cs="Times New Roman"/>
                <w:bCs/>
                <w:i/>
                <w:kern w:val="0"/>
                <w:sz w:val="16"/>
                <w:szCs w:val="22"/>
                <w:lang w:val="en-GB"/>
              </w:rPr>
              <w:t>ECHA</w:t>
            </w:r>
          </w:p>
          <w:p w14:paraId="75E5A1F8" w14:textId="77777777" w:rsidR="004D79B8" w:rsidRPr="005402E6" w:rsidRDefault="004D79B8" w:rsidP="001B5E72">
            <w:pPr>
              <w:pStyle w:val="TableContents"/>
              <w:widowControl/>
              <w:suppressLineNumbers w:val="0"/>
              <w:suppressAutoHyphens w:val="0"/>
              <w:spacing w:before="80" w:after="80" w:line="200" w:lineRule="exact"/>
              <w:jc w:val="right"/>
              <w:rPr>
                <w:rFonts w:ascii="Times New Roman" w:hAnsi="Times New Roman" w:cs="Times New Roman"/>
                <w:bCs/>
                <w:i/>
                <w:kern w:val="0"/>
                <w:sz w:val="16"/>
                <w:szCs w:val="22"/>
                <w:lang w:val="en-GB"/>
              </w:rPr>
            </w:pPr>
          </w:p>
        </w:tc>
        <w:tc>
          <w:tcPr>
            <w:tcW w:w="974" w:type="dxa"/>
            <w:tcBorders>
              <w:top w:val="single" w:sz="4" w:space="0" w:color="auto"/>
              <w:bottom w:val="single" w:sz="12" w:space="0" w:color="auto"/>
            </w:tcBorders>
            <w:shd w:val="clear" w:color="auto" w:fill="auto"/>
            <w:tcMar>
              <w:top w:w="55" w:type="dxa"/>
              <w:left w:w="55" w:type="dxa"/>
              <w:bottom w:w="55" w:type="dxa"/>
              <w:right w:w="55" w:type="dxa"/>
            </w:tcMar>
            <w:vAlign w:val="bottom"/>
          </w:tcPr>
          <w:p w14:paraId="05839145" w14:textId="77777777" w:rsidR="004D79B8" w:rsidRPr="005402E6" w:rsidRDefault="004D79B8" w:rsidP="001B5E72">
            <w:pPr>
              <w:pStyle w:val="TableContents"/>
              <w:widowControl/>
              <w:suppressLineNumbers w:val="0"/>
              <w:suppressAutoHyphens w:val="0"/>
              <w:spacing w:before="80" w:after="80" w:line="200" w:lineRule="exact"/>
              <w:jc w:val="right"/>
              <w:rPr>
                <w:rFonts w:ascii="Times New Roman" w:hAnsi="Times New Roman" w:cs="Times New Roman"/>
                <w:bCs/>
                <w:i/>
                <w:kern w:val="0"/>
                <w:sz w:val="16"/>
                <w:szCs w:val="22"/>
                <w:lang w:val="en-GB"/>
              </w:rPr>
            </w:pPr>
            <w:r w:rsidRPr="005402E6">
              <w:rPr>
                <w:rFonts w:ascii="Times New Roman" w:hAnsi="Times New Roman" w:cs="Times New Roman"/>
                <w:bCs/>
                <w:i/>
                <w:kern w:val="0"/>
                <w:sz w:val="16"/>
                <w:szCs w:val="22"/>
                <w:lang w:val="en-GB"/>
              </w:rPr>
              <w:t>PubChem</w:t>
            </w:r>
          </w:p>
        </w:tc>
        <w:tc>
          <w:tcPr>
            <w:tcW w:w="869" w:type="dxa"/>
            <w:tcBorders>
              <w:top w:val="single" w:sz="4" w:space="0" w:color="auto"/>
              <w:bottom w:val="single" w:sz="12" w:space="0" w:color="auto"/>
            </w:tcBorders>
            <w:shd w:val="clear" w:color="auto" w:fill="auto"/>
            <w:tcMar>
              <w:top w:w="55" w:type="dxa"/>
              <w:left w:w="55" w:type="dxa"/>
              <w:bottom w:w="55" w:type="dxa"/>
              <w:right w:w="55" w:type="dxa"/>
            </w:tcMar>
            <w:vAlign w:val="bottom"/>
          </w:tcPr>
          <w:p w14:paraId="2368C661" w14:textId="77777777" w:rsidR="004D79B8" w:rsidRPr="005402E6" w:rsidRDefault="004D79B8" w:rsidP="001B5E72">
            <w:pPr>
              <w:pStyle w:val="TableContents"/>
              <w:widowControl/>
              <w:suppressLineNumbers w:val="0"/>
              <w:suppressAutoHyphens w:val="0"/>
              <w:spacing w:before="80" w:after="80" w:line="200" w:lineRule="exact"/>
              <w:jc w:val="right"/>
              <w:rPr>
                <w:rFonts w:ascii="Times New Roman" w:hAnsi="Times New Roman" w:cs="Times New Roman"/>
                <w:bCs/>
                <w:i/>
                <w:kern w:val="0"/>
                <w:sz w:val="16"/>
                <w:szCs w:val="22"/>
                <w:lang w:val="en-GB"/>
              </w:rPr>
            </w:pPr>
            <w:r w:rsidRPr="005402E6">
              <w:rPr>
                <w:rFonts w:ascii="Times New Roman" w:hAnsi="Times New Roman" w:cs="Times New Roman"/>
                <w:bCs/>
                <w:i/>
                <w:kern w:val="0"/>
                <w:sz w:val="16"/>
                <w:szCs w:val="22"/>
                <w:lang w:val="en-GB"/>
              </w:rPr>
              <w:t>NITE_CHRIP</w:t>
            </w:r>
          </w:p>
        </w:tc>
        <w:tc>
          <w:tcPr>
            <w:tcW w:w="1844" w:type="dxa"/>
            <w:gridSpan w:val="2"/>
            <w:tcBorders>
              <w:top w:val="single" w:sz="4" w:space="0" w:color="auto"/>
              <w:bottom w:val="single" w:sz="12" w:space="0" w:color="auto"/>
            </w:tcBorders>
            <w:shd w:val="clear" w:color="auto" w:fill="auto"/>
            <w:tcMar>
              <w:top w:w="55" w:type="dxa"/>
              <w:left w:w="55" w:type="dxa"/>
              <w:bottom w:w="55" w:type="dxa"/>
              <w:right w:w="55" w:type="dxa"/>
            </w:tcMar>
            <w:vAlign w:val="bottom"/>
          </w:tcPr>
          <w:p w14:paraId="058F4791" w14:textId="77777777" w:rsidR="004D79B8" w:rsidRPr="005402E6" w:rsidRDefault="004D79B8" w:rsidP="001B5E72">
            <w:pPr>
              <w:pStyle w:val="TableContents"/>
              <w:widowControl/>
              <w:suppressLineNumbers w:val="0"/>
              <w:suppressAutoHyphens w:val="0"/>
              <w:spacing w:before="80" w:after="80" w:line="200" w:lineRule="exact"/>
              <w:jc w:val="right"/>
              <w:rPr>
                <w:rFonts w:ascii="Times New Roman" w:hAnsi="Times New Roman" w:cs="Times New Roman"/>
                <w:bCs/>
                <w:i/>
                <w:kern w:val="0"/>
                <w:sz w:val="16"/>
                <w:szCs w:val="22"/>
                <w:lang w:val="en-GB"/>
              </w:rPr>
            </w:pPr>
            <w:r w:rsidRPr="005402E6">
              <w:rPr>
                <w:rFonts w:ascii="Times New Roman" w:hAnsi="Times New Roman" w:cs="Times New Roman"/>
                <w:bCs/>
                <w:i/>
                <w:kern w:val="0"/>
                <w:sz w:val="16"/>
                <w:szCs w:val="22"/>
                <w:lang w:val="en-GB"/>
              </w:rPr>
              <w:t>RTECS</w:t>
            </w:r>
          </w:p>
          <w:p w14:paraId="64B92E5C" w14:textId="77777777" w:rsidR="004D79B8" w:rsidRPr="005402E6" w:rsidRDefault="004D79B8" w:rsidP="001B5E72">
            <w:pPr>
              <w:pStyle w:val="TableContents"/>
              <w:widowControl/>
              <w:suppressLineNumbers w:val="0"/>
              <w:suppressAutoHyphens w:val="0"/>
              <w:spacing w:before="80" w:after="80" w:line="200" w:lineRule="exact"/>
              <w:jc w:val="right"/>
              <w:rPr>
                <w:rFonts w:ascii="Times New Roman" w:hAnsi="Times New Roman" w:cs="Times New Roman"/>
                <w:bCs/>
                <w:i/>
                <w:kern w:val="0"/>
                <w:sz w:val="16"/>
                <w:szCs w:val="22"/>
                <w:lang w:val="en-GB"/>
              </w:rPr>
            </w:pPr>
          </w:p>
        </w:tc>
      </w:tr>
      <w:tr w:rsidR="004D79B8" w:rsidRPr="005402E6" w14:paraId="4121B019" w14:textId="77777777" w:rsidTr="001B5E72">
        <w:tc>
          <w:tcPr>
            <w:tcW w:w="993" w:type="dxa"/>
            <w:tcBorders>
              <w:top w:val="single" w:sz="12" w:space="0" w:color="auto"/>
            </w:tcBorders>
            <w:shd w:val="clear" w:color="auto" w:fill="auto"/>
            <w:tcMar>
              <w:top w:w="55" w:type="dxa"/>
              <w:left w:w="55" w:type="dxa"/>
              <w:bottom w:w="55" w:type="dxa"/>
              <w:right w:w="55" w:type="dxa"/>
            </w:tcMar>
          </w:tcPr>
          <w:p w14:paraId="09F1A73E" w14:textId="77777777" w:rsidR="004D79B8" w:rsidRPr="005402E6" w:rsidRDefault="004D79B8" w:rsidP="001B5E72">
            <w:pPr>
              <w:pStyle w:val="TableContents"/>
              <w:widowControl/>
              <w:suppressLineNumbers w:val="0"/>
              <w:suppressAutoHyphens w:val="0"/>
              <w:spacing w:before="40" w:after="40" w:line="220" w:lineRule="exact"/>
              <w:rPr>
                <w:rFonts w:ascii="Times New Roman" w:hAnsi="Times New Roman" w:cs="Times New Roman"/>
                <w:b/>
                <w:bCs/>
                <w:kern w:val="0"/>
                <w:sz w:val="18"/>
                <w:szCs w:val="22"/>
                <w:lang w:val="en-GB"/>
              </w:rPr>
            </w:pPr>
            <w:r w:rsidRPr="005402E6">
              <w:rPr>
                <w:rFonts w:ascii="Times New Roman" w:hAnsi="Times New Roman" w:cs="Times New Roman"/>
                <w:b/>
                <w:bCs/>
                <w:kern w:val="0"/>
                <w:sz w:val="18"/>
                <w:szCs w:val="22"/>
                <w:lang w:val="en-GB"/>
              </w:rPr>
              <w:t>Study</w:t>
            </w:r>
          </w:p>
        </w:tc>
        <w:tc>
          <w:tcPr>
            <w:tcW w:w="847" w:type="dxa"/>
            <w:tcBorders>
              <w:top w:val="single" w:sz="12" w:space="0" w:color="auto"/>
            </w:tcBorders>
            <w:shd w:val="clear" w:color="auto" w:fill="auto"/>
            <w:tcMar>
              <w:top w:w="55" w:type="dxa"/>
              <w:left w:w="55" w:type="dxa"/>
              <w:bottom w:w="55" w:type="dxa"/>
              <w:right w:w="55" w:type="dxa"/>
            </w:tcMar>
            <w:vAlign w:val="bottom"/>
          </w:tcPr>
          <w:p w14:paraId="16A9B42B" w14:textId="77777777" w:rsidR="004D79B8" w:rsidRPr="005402E6" w:rsidRDefault="004D79B8" w:rsidP="001B5E72">
            <w:pPr>
              <w:pStyle w:val="TableContents"/>
              <w:widowControl/>
              <w:suppressLineNumbers w:val="0"/>
              <w:suppressAutoHyphens w:val="0"/>
              <w:spacing w:before="40" w:after="40" w:line="220" w:lineRule="exact"/>
              <w:jc w:val="right"/>
              <w:rPr>
                <w:rFonts w:ascii="Times New Roman" w:hAnsi="Times New Roman" w:cs="Times New Roman"/>
                <w:kern w:val="0"/>
                <w:sz w:val="18"/>
                <w:szCs w:val="22"/>
                <w:lang w:val="en-GB"/>
              </w:rPr>
            </w:pPr>
            <w:r w:rsidRPr="005402E6">
              <w:rPr>
                <w:rFonts w:ascii="Times New Roman" w:hAnsi="Times New Roman" w:cs="Times New Roman"/>
                <w:kern w:val="0"/>
                <w:sz w:val="18"/>
                <w:szCs w:val="22"/>
                <w:lang w:val="en-GB"/>
              </w:rPr>
              <w:t>Boynton, 1981</w:t>
            </w:r>
          </w:p>
        </w:tc>
        <w:tc>
          <w:tcPr>
            <w:tcW w:w="974" w:type="dxa"/>
            <w:tcBorders>
              <w:top w:val="single" w:sz="12" w:space="0" w:color="auto"/>
            </w:tcBorders>
            <w:shd w:val="clear" w:color="auto" w:fill="auto"/>
            <w:tcMar>
              <w:top w:w="55" w:type="dxa"/>
              <w:left w:w="55" w:type="dxa"/>
              <w:bottom w:w="55" w:type="dxa"/>
              <w:right w:w="55" w:type="dxa"/>
            </w:tcMar>
            <w:vAlign w:val="bottom"/>
          </w:tcPr>
          <w:p w14:paraId="07718368" w14:textId="77777777" w:rsidR="004D79B8" w:rsidRPr="005402E6" w:rsidRDefault="004D79B8" w:rsidP="001B5E72">
            <w:pPr>
              <w:pStyle w:val="TableContents"/>
              <w:widowControl/>
              <w:suppressLineNumbers w:val="0"/>
              <w:suppressAutoHyphens w:val="0"/>
              <w:spacing w:before="40" w:after="40" w:line="220" w:lineRule="exact"/>
              <w:jc w:val="right"/>
              <w:rPr>
                <w:rFonts w:ascii="Times New Roman" w:hAnsi="Times New Roman" w:cs="Times New Roman"/>
                <w:kern w:val="0"/>
                <w:sz w:val="18"/>
                <w:szCs w:val="22"/>
                <w:lang w:val="en-GB"/>
              </w:rPr>
            </w:pPr>
            <w:r w:rsidRPr="005402E6">
              <w:rPr>
                <w:rFonts w:ascii="Times New Roman" w:hAnsi="Times New Roman" w:cs="Times New Roman"/>
                <w:kern w:val="0"/>
                <w:sz w:val="18"/>
                <w:szCs w:val="22"/>
                <w:lang w:val="en-GB"/>
              </w:rPr>
              <w:t>Durando, 2013</w:t>
            </w:r>
          </w:p>
        </w:tc>
        <w:tc>
          <w:tcPr>
            <w:tcW w:w="869" w:type="dxa"/>
            <w:tcBorders>
              <w:top w:val="single" w:sz="12" w:space="0" w:color="auto"/>
            </w:tcBorders>
            <w:shd w:val="clear" w:color="auto" w:fill="auto"/>
            <w:tcMar>
              <w:top w:w="55" w:type="dxa"/>
              <w:left w:w="55" w:type="dxa"/>
              <w:bottom w:w="55" w:type="dxa"/>
              <w:right w:w="55" w:type="dxa"/>
            </w:tcMar>
            <w:vAlign w:val="bottom"/>
          </w:tcPr>
          <w:p w14:paraId="28CADF96" w14:textId="77777777" w:rsidR="004D79B8" w:rsidRPr="005402E6" w:rsidRDefault="004D79B8" w:rsidP="001B5E72">
            <w:pPr>
              <w:pStyle w:val="TableContents"/>
              <w:widowControl/>
              <w:suppressLineNumbers w:val="0"/>
              <w:suppressAutoHyphens w:val="0"/>
              <w:spacing w:before="40" w:after="40" w:line="220" w:lineRule="exact"/>
              <w:jc w:val="right"/>
              <w:rPr>
                <w:rFonts w:ascii="Times New Roman" w:hAnsi="Times New Roman" w:cs="Times New Roman"/>
                <w:kern w:val="0"/>
                <w:sz w:val="18"/>
                <w:szCs w:val="22"/>
                <w:lang w:val="en-GB"/>
              </w:rPr>
            </w:pPr>
            <w:r w:rsidRPr="005402E6">
              <w:rPr>
                <w:rFonts w:ascii="Times New Roman" w:hAnsi="Times New Roman" w:cs="Times New Roman"/>
                <w:kern w:val="0"/>
                <w:sz w:val="18"/>
                <w:szCs w:val="22"/>
                <w:lang w:val="en-GB"/>
              </w:rPr>
              <w:t>Hoffmann, 1991</w:t>
            </w:r>
          </w:p>
        </w:tc>
        <w:tc>
          <w:tcPr>
            <w:tcW w:w="974" w:type="dxa"/>
            <w:tcBorders>
              <w:top w:val="single" w:sz="12" w:space="0" w:color="auto"/>
            </w:tcBorders>
            <w:shd w:val="clear" w:color="auto" w:fill="auto"/>
            <w:tcMar>
              <w:top w:w="55" w:type="dxa"/>
              <w:left w:w="55" w:type="dxa"/>
              <w:bottom w:w="55" w:type="dxa"/>
              <w:right w:w="55" w:type="dxa"/>
            </w:tcMar>
            <w:vAlign w:val="bottom"/>
          </w:tcPr>
          <w:p w14:paraId="09F036D1" w14:textId="77777777" w:rsidR="004D79B8" w:rsidRPr="005402E6" w:rsidRDefault="004D79B8" w:rsidP="001B5E72">
            <w:pPr>
              <w:pStyle w:val="TableContents"/>
              <w:widowControl/>
              <w:suppressLineNumbers w:val="0"/>
              <w:suppressAutoHyphens w:val="0"/>
              <w:spacing w:before="40" w:after="40" w:line="220" w:lineRule="exact"/>
              <w:jc w:val="right"/>
              <w:rPr>
                <w:rFonts w:ascii="Times New Roman" w:hAnsi="Times New Roman" w:cs="Times New Roman"/>
                <w:kern w:val="0"/>
                <w:sz w:val="18"/>
                <w:szCs w:val="22"/>
                <w:lang w:val="en-GB"/>
              </w:rPr>
            </w:pPr>
            <w:r w:rsidRPr="005402E6">
              <w:rPr>
                <w:rFonts w:ascii="Times New Roman" w:hAnsi="Times New Roman" w:cs="Times New Roman"/>
                <w:kern w:val="0"/>
                <w:sz w:val="18"/>
                <w:szCs w:val="22"/>
                <w:lang w:val="en-GB"/>
              </w:rPr>
              <w:t>1988</w:t>
            </w:r>
          </w:p>
        </w:tc>
        <w:tc>
          <w:tcPr>
            <w:tcW w:w="869" w:type="dxa"/>
            <w:tcBorders>
              <w:top w:val="single" w:sz="12" w:space="0" w:color="auto"/>
            </w:tcBorders>
            <w:shd w:val="clear" w:color="auto" w:fill="auto"/>
            <w:tcMar>
              <w:top w:w="55" w:type="dxa"/>
              <w:left w:w="55" w:type="dxa"/>
              <w:bottom w:w="55" w:type="dxa"/>
              <w:right w:w="55" w:type="dxa"/>
            </w:tcMar>
            <w:vAlign w:val="bottom"/>
          </w:tcPr>
          <w:p w14:paraId="5F73A1AD" w14:textId="77777777" w:rsidR="004D79B8" w:rsidRPr="005402E6" w:rsidRDefault="004D79B8" w:rsidP="001B5E72">
            <w:pPr>
              <w:pStyle w:val="TableContents"/>
              <w:widowControl/>
              <w:suppressLineNumbers w:val="0"/>
              <w:suppressAutoHyphens w:val="0"/>
              <w:spacing w:before="40" w:after="40" w:line="220" w:lineRule="exact"/>
              <w:jc w:val="right"/>
              <w:rPr>
                <w:rFonts w:ascii="Times New Roman" w:hAnsi="Times New Roman" w:cs="Times New Roman"/>
                <w:kern w:val="0"/>
                <w:sz w:val="18"/>
                <w:szCs w:val="22"/>
                <w:lang w:val="en-GB"/>
              </w:rPr>
            </w:pPr>
            <w:r w:rsidRPr="005402E6">
              <w:rPr>
                <w:rFonts w:ascii="Times New Roman" w:hAnsi="Times New Roman" w:cs="Times New Roman"/>
                <w:kern w:val="0"/>
                <w:sz w:val="18"/>
                <w:szCs w:val="22"/>
                <w:lang w:val="en-GB"/>
              </w:rPr>
              <w:t>HSDB 2002</w:t>
            </w:r>
          </w:p>
        </w:tc>
        <w:tc>
          <w:tcPr>
            <w:tcW w:w="973" w:type="dxa"/>
            <w:tcBorders>
              <w:top w:val="single" w:sz="12" w:space="0" w:color="auto"/>
            </w:tcBorders>
            <w:shd w:val="clear" w:color="auto" w:fill="auto"/>
            <w:tcMar>
              <w:top w:w="55" w:type="dxa"/>
              <w:left w:w="55" w:type="dxa"/>
              <w:bottom w:w="55" w:type="dxa"/>
              <w:right w:w="55" w:type="dxa"/>
            </w:tcMar>
            <w:vAlign w:val="bottom"/>
          </w:tcPr>
          <w:p w14:paraId="720E5B10" w14:textId="77777777" w:rsidR="004D79B8" w:rsidRPr="005402E6" w:rsidRDefault="004D79B8" w:rsidP="001B5E72">
            <w:pPr>
              <w:pStyle w:val="TableContents"/>
              <w:widowControl/>
              <w:suppressLineNumbers w:val="0"/>
              <w:suppressAutoHyphens w:val="0"/>
              <w:spacing w:before="40" w:after="40" w:line="220" w:lineRule="exact"/>
              <w:jc w:val="right"/>
              <w:rPr>
                <w:rFonts w:ascii="Times New Roman" w:hAnsi="Times New Roman" w:cs="Times New Roman"/>
                <w:kern w:val="0"/>
                <w:sz w:val="18"/>
                <w:szCs w:val="22"/>
                <w:lang w:val="en-GB"/>
              </w:rPr>
            </w:pPr>
            <w:r w:rsidRPr="005402E6">
              <w:rPr>
                <w:rFonts w:ascii="Times New Roman" w:hAnsi="Times New Roman" w:cs="Times New Roman"/>
                <w:kern w:val="0"/>
                <w:sz w:val="18"/>
                <w:szCs w:val="22"/>
                <w:lang w:val="en-GB"/>
              </w:rPr>
              <w:t>1988 (See PubChem)</w:t>
            </w:r>
          </w:p>
        </w:tc>
        <w:tc>
          <w:tcPr>
            <w:tcW w:w="871" w:type="dxa"/>
            <w:tcBorders>
              <w:top w:val="single" w:sz="12" w:space="0" w:color="auto"/>
            </w:tcBorders>
            <w:shd w:val="clear" w:color="auto" w:fill="auto"/>
            <w:tcMar>
              <w:top w:w="55" w:type="dxa"/>
              <w:left w:w="55" w:type="dxa"/>
              <w:bottom w:w="55" w:type="dxa"/>
              <w:right w:w="55" w:type="dxa"/>
            </w:tcMar>
            <w:vAlign w:val="bottom"/>
          </w:tcPr>
          <w:p w14:paraId="2BC86043" w14:textId="77777777" w:rsidR="004D79B8" w:rsidRPr="005402E6" w:rsidRDefault="004D79B8" w:rsidP="001B5E72">
            <w:pPr>
              <w:pStyle w:val="TableContents"/>
              <w:widowControl/>
              <w:suppressLineNumbers w:val="0"/>
              <w:suppressAutoHyphens w:val="0"/>
              <w:spacing w:before="40" w:after="40" w:line="220" w:lineRule="exact"/>
              <w:jc w:val="right"/>
              <w:rPr>
                <w:rFonts w:ascii="Times New Roman" w:hAnsi="Times New Roman" w:cs="Times New Roman"/>
                <w:kern w:val="0"/>
                <w:sz w:val="18"/>
                <w:szCs w:val="22"/>
                <w:lang w:val="en-GB"/>
              </w:rPr>
            </w:pPr>
            <w:r w:rsidRPr="005402E6">
              <w:rPr>
                <w:rFonts w:ascii="Times New Roman" w:hAnsi="Times New Roman" w:cs="Times New Roman"/>
                <w:kern w:val="0"/>
                <w:sz w:val="18"/>
                <w:szCs w:val="22"/>
                <w:lang w:val="en-GB"/>
              </w:rPr>
              <w:t>2003</w:t>
            </w:r>
          </w:p>
        </w:tc>
      </w:tr>
      <w:tr w:rsidR="004D79B8" w:rsidRPr="005402E6" w14:paraId="4C765FCD" w14:textId="77777777" w:rsidTr="001B5E72">
        <w:tc>
          <w:tcPr>
            <w:tcW w:w="993" w:type="dxa"/>
            <w:shd w:val="clear" w:color="auto" w:fill="auto"/>
            <w:tcMar>
              <w:top w:w="55" w:type="dxa"/>
              <w:left w:w="55" w:type="dxa"/>
              <w:bottom w:w="55" w:type="dxa"/>
              <w:right w:w="55" w:type="dxa"/>
            </w:tcMar>
          </w:tcPr>
          <w:p w14:paraId="446D8D0B" w14:textId="77777777" w:rsidR="004D79B8" w:rsidRPr="005402E6" w:rsidRDefault="004D79B8" w:rsidP="001B5E72">
            <w:pPr>
              <w:pStyle w:val="TableContents"/>
              <w:widowControl/>
              <w:suppressLineNumbers w:val="0"/>
              <w:suppressAutoHyphens w:val="0"/>
              <w:spacing w:before="40" w:after="40" w:line="220" w:lineRule="exact"/>
              <w:rPr>
                <w:rFonts w:ascii="Times New Roman" w:hAnsi="Times New Roman" w:cs="Times New Roman"/>
                <w:b/>
                <w:bCs/>
                <w:kern w:val="0"/>
                <w:sz w:val="18"/>
                <w:szCs w:val="22"/>
                <w:lang w:val="en-GB"/>
              </w:rPr>
            </w:pPr>
            <w:r w:rsidRPr="005402E6">
              <w:rPr>
                <w:rFonts w:ascii="Times New Roman" w:hAnsi="Times New Roman" w:cs="Times New Roman"/>
                <w:b/>
                <w:bCs/>
                <w:kern w:val="0"/>
                <w:sz w:val="18"/>
                <w:szCs w:val="22"/>
                <w:lang w:val="en-GB"/>
              </w:rPr>
              <w:t>animal</w:t>
            </w:r>
          </w:p>
        </w:tc>
        <w:tc>
          <w:tcPr>
            <w:tcW w:w="847" w:type="dxa"/>
            <w:shd w:val="clear" w:color="auto" w:fill="auto"/>
            <w:tcMar>
              <w:top w:w="55" w:type="dxa"/>
              <w:left w:w="55" w:type="dxa"/>
              <w:bottom w:w="55" w:type="dxa"/>
              <w:right w:w="55" w:type="dxa"/>
            </w:tcMar>
            <w:vAlign w:val="bottom"/>
          </w:tcPr>
          <w:p w14:paraId="39C8B04B" w14:textId="77777777" w:rsidR="004D79B8" w:rsidRPr="005402E6" w:rsidRDefault="004D79B8" w:rsidP="001B5E72">
            <w:pPr>
              <w:pStyle w:val="TableContents"/>
              <w:widowControl/>
              <w:suppressLineNumbers w:val="0"/>
              <w:suppressAutoHyphens w:val="0"/>
              <w:spacing w:before="40" w:after="40" w:line="220" w:lineRule="exact"/>
              <w:jc w:val="right"/>
              <w:rPr>
                <w:rFonts w:ascii="Times New Roman" w:hAnsi="Times New Roman" w:cs="Times New Roman"/>
                <w:kern w:val="0"/>
                <w:sz w:val="18"/>
                <w:szCs w:val="22"/>
                <w:lang w:val="en-GB"/>
              </w:rPr>
            </w:pPr>
            <w:r w:rsidRPr="005402E6">
              <w:rPr>
                <w:rFonts w:ascii="Times New Roman" w:hAnsi="Times New Roman" w:cs="Times New Roman"/>
                <w:kern w:val="0"/>
                <w:sz w:val="18"/>
                <w:szCs w:val="22"/>
                <w:lang w:val="en-GB"/>
              </w:rPr>
              <w:t>rat</w:t>
            </w:r>
          </w:p>
        </w:tc>
        <w:tc>
          <w:tcPr>
            <w:tcW w:w="974" w:type="dxa"/>
            <w:shd w:val="clear" w:color="auto" w:fill="auto"/>
            <w:tcMar>
              <w:top w:w="55" w:type="dxa"/>
              <w:left w:w="55" w:type="dxa"/>
              <w:bottom w:w="55" w:type="dxa"/>
              <w:right w:w="55" w:type="dxa"/>
            </w:tcMar>
            <w:vAlign w:val="bottom"/>
          </w:tcPr>
          <w:p w14:paraId="63200A28" w14:textId="77777777" w:rsidR="004D79B8" w:rsidRPr="005402E6" w:rsidRDefault="004D79B8" w:rsidP="001B5E72">
            <w:pPr>
              <w:pStyle w:val="TableContents"/>
              <w:widowControl/>
              <w:suppressLineNumbers w:val="0"/>
              <w:suppressAutoHyphens w:val="0"/>
              <w:spacing w:before="40" w:after="40" w:line="220" w:lineRule="exact"/>
              <w:jc w:val="right"/>
              <w:rPr>
                <w:rFonts w:ascii="Times New Roman" w:hAnsi="Times New Roman" w:cs="Times New Roman"/>
                <w:kern w:val="0"/>
                <w:sz w:val="18"/>
                <w:szCs w:val="22"/>
                <w:lang w:val="en-GB"/>
              </w:rPr>
            </w:pPr>
            <w:r w:rsidRPr="005402E6">
              <w:rPr>
                <w:rFonts w:ascii="Times New Roman" w:hAnsi="Times New Roman" w:cs="Times New Roman"/>
                <w:kern w:val="0"/>
                <w:sz w:val="18"/>
                <w:szCs w:val="22"/>
                <w:lang w:val="en-GB"/>
              </w:rPr>
              <w:t>rat</w:t>
            </w:r>
          </w:p>
        </w:tc>
        <w:tc>
          <w:tcPr>
            <w:tcW w:w="869" w:type="dxa"/>
            <w:shd w:val="clear" w:color="auto" w:fill="auto"/>
            <w:tcMar>
              <w:top w:w="55" w:type="dxa"/>
              <w:left w:w="55" w:type="dxa"/>
              <w:bottom w:w="55" w:type="dxa"/>
              <w:right w:w="55" w:type="dxa"/>
            </w:tcMar>
            <w:vAlign w:val="bottom"/>
          </w:tcPr>
          <w:p w14:paraId="5F32835C" w14:textId="77777777" w:rsidR="004D79B8" w:rsidRPr="005402E6" w:rsidRDefault="004D79B8" w:rsidP="001B5E72">
            <w:pPr>
              <w:pStyle w:val="TableContents"/>
              <w:widowControl/>
              <w:suppressLineNumbers w:val="0"/>
              <w:suppressAutoHyphens w:val="0"/>
              <w:spacing w:before="40" w:after="40" w:line="220" w:lineRule="exact"/>
              <w:jc w:val="right"/>
              <w:rPr>
                <w:rFonts w:ascii="Times New Roman" w:hAnsi="Times New Roman" w:cs="Times New Roman"/>
                <w:kern w:val="0"/>
                <w:sz w:val="18"/>
                <w:szCs w:val="22"/>
                <w:lang w:val="en-GB"/>
              </w:rPr>
            </w:pPr>
            <w:r w:rsidRPr="005402E6">
              <w:rPr>
                <w:rFonts w:ascii="Times New Roman" w:hAnsi="Times New Roman" w:cs="Times New Roman"/>
                <w:kern w:val="0"/>
                <w:sz w:val="18"/>
                <w:szCs w:val="22"/>
                <w:lang w:val="en-GB"/>
              </w:rPr>
              <w:t>rat</w:t>
            </w:r>
          </w:p>
        </w:tc>
        <w:tc>
          <w:tcPr>
            <w:tcW w:w="974" w:type="dxa"/>
            <w:shd w:val="clear" w:color="auto" w:fill="auto"/>
            <w:tcMar>
              <w:top w:w="55" w:type="dxa"/>
              <w:left w:w="55" w:type="dxa"/>
              <w:bottom w:w="55" w:type="dxa"/>
              <w:right w:w="55" w:type="dxa"/>
            </w:tcMar>
            <w:vAlign w:val="bottom"/>
          </w:tcPr>
          <w:p w14:paraId="2FE650AA" w14:textId="77777777" w:rsidR="004D79B8" w:rsidRPr="005402E6" w:rsidRDefault="004D79B8" w:rsidP="001B5E72">
            <w:pPr>
              <w:pStyle w:val="TableContents"/>
              <w:widowControl/>
              <w:suppressLineNumbers w:val="0"/>
              <w:suppressAutoHyphens w:val="0"/>
              <w:spacing w:before="40" w:after="40" w:line="220" w:lineRule="exact"/>
              <w:jc w:val="right"/>
              <w:rPr>
                <w:rFonts w:ascii="Times New Roman" w:hAnsi="Times New Roman" w:cs="Times New Roman"/>
                <w:kern w:val="0"/>
                <w:sz w:val="18"/>
                <w:szCs w:val="22"/>
                <w:lang w:val="en-GB"/>
              </w:rPr>
            </w:pPr>
            <w:r w:rsidRPr="005402E6">
              <w:rPr>
                <w:rFonts w:ascii="Times New Roman" w:hAnsi="Times New Roman" w:cs="Times New Roman"/>
                <w:kern w:val="0"/>
                <w:sz w:val="18"/>
                <w:szCs w:val="22"/>
                <w:lang w:val="en-GB"/>
              </w:rPr>
              <w:t>rat</w:t>
            </w:r>
          </w:p>
        </w:tc>
        <w:tc>
          <w:tcPr>
            <w:tcW w:w="869" w:type="dxa"/>
            <w:shd w:val="clear" w:color="auto" w:fill="auto"/>
            <w:tcMar>
              <w:top w:w="55" w:type="dxa"/>
              <w:left w:w="55" w:type="dxa"/>
              <w:bottom w:w="55" w:type="dxa"/>
              <w:right w:w="55" w:type="dxa"/>
            </w:tcMar>
            <w:vAlign w:val="bottom"/>
          </w:tcPr>
          <w:p w14:paraId="31B16758" w14:textId="77777777" w:rsidR="004D79B8" w:rsidRPr="005402E6" w:rsidRDefault="004D79B8" w:rsidP="001B5E72">
            <w:pPr>
              <w:pStyle w:val="TableContents"/>
              <w:widowControl/>
              <w:suppressLineNumbers w:val="0"/>
              <w:suppressAutoHyphens w:val="0"/>
              <w:spacing w:before="40" w:after="40" w:line="220" w:lineRule="exact"/>
              <w:jc w:val="right"/>
              <w:rPr>
                <w:rFonts w:ascii="Times New Roman" w:hAnsi="Times New Roman" w:cs="Times New Roman"/>
                <w:kern w:val="0"/>
                <w:sz w:val="18"/>
                <w:szCs w:val="22"/>
                <w:lang w:val="en-GB"/>
              </w:rPr>
            </w:pPr>
          </w:p>
        </w:tc>
        <w:tc>
          <w:tcPr>
            <w:tcW w:w="973" w:type="dxa"/>
            <w:shd w:val="clear" w:color="auto" w:fill="auto"/>
            <w:tcMar>
              <w:top w:w="55" w:type="dxa"/>
              <w:left w:w="55" w:type="dxa"/>
              <w:bottom w:w="55" w:type="dxa"/>
              <w:right w:w="55" w:type="dxa"/>
            </w:tcMar>
            <w:vAlign w:val="bottom"/>
          </w:tcPr>
          <w:p w14:paraId="7DD66FC9" w14:textId="77777777" w:rsidR="004D79B8" w:rsidRPr="005402E6" w:rsidRDefault="004D79B8" w:rsidP="001B5E72">
            <w:pPr>
              <w:pStyle w:val="TableContents"/>
              <w:widowControl/>
              <w:suppressLineNumbers w:val="0"/>
              <w:suppressAutoHyphens w:val="0"/>
              <w:spacing w:before="40" w:after="40" w:line="220" w:lineRule="exact"/>
              <w:jc w:val="right"/>
              <w:rPr>
                <w:rFonts w:ascii="Times New Roman" w:hAnsi="Times New Roman" w:cs="Times New Roman"/>
                <w:kern w:val="0"/>
                <w:sz w:val="18"/>
                <w:szCs w:val="22"/>
                <w:lang w:val="en-GB"/>
              </w:rPr>
            </w:pPr>
            <w:r w:rsidRPr="005402E6">
              <w:rPr>
                <w:rFonts w:ascii="Times New Roman" w:hAnsi="Times New Roman" w:cs="Times New Roman"/>
                <w:kern w:val="0"/>
                <w:sz w:val="18"/>
                <w:szCs w:val="22"/>
                <w:lang w:val="en-GB"/>
              </w:rPr>
              <w:t>rat</w:t>
            </w:r>
          </w:p>
        </w:tc>
        <w:tc>
          <w:tcPr>
            <w:tcW w:w="871" w:type="dxa"/>
            <w:shd w:val="clear" w:color="auto" w:fill="auto"/>
            <w:tcMar>
              <w:top w:w="55" w:type="dxa"/>
              <w:left w:w="55" w:type="dxa"/>
              <w:bottom w:w="55" w:type="dxa"/>
              <w:right w:w="55" w:type="dxa"/>
            </w:tcMar>
            <w:vAlign w:val="bottom"/>
          </w:tcPr>
          <w:p w14:paraId="268B638A" w14:textId="77777777" w:rsidR="004D79B8" w:rsidRPr="005402E6" w:rsidRDefault="004D79B8" w:rsidP="001B5E72">
            <w:pPr>
              <w:pStyle w:val="TableContents"/>
              <w:widowControl/>
              <w:suppressLineNumbers w:val="0"/>
              <w:suppressAutoHyphens w:val="0"/>
              <w:spacing w:before="40" w:after="40" w:line="220" w:lineRule="exact"/>
              <w:jc w:val="right"/>
              <w:rPr>
                <w:rFonts w:ascii="Times New Roman" w:hAnsi="Times New Roman" w:cs="Times New Roman"/>
                <w:kern w:val="0"/>
                <w:sz w:val="18"/>
                <w:szCs w:val="22"/>
                <w:lang w:val="en-GB"/>
              </w:rPr>
            </w:pPr>
            <w:r w:rsidRPr="005402E6">
              <w:rPr>
                <w:rFonts w:ascii="Times New Roman" w:hAnsi="Times New Roman" w:cs="Times New Roman"/>
                <w:kern w:val="0"/>
                <w:sz w:val="18"/>
                <w:szCs w:val="22"/>
                <w:lang w:val="en-GB"/>
              </w:rPr>
              <w:t>rat</w:t>
            </w:r>
          </w:p>
        </w:tc>
      </w:tr>
      <w:tr w:rsidR="004D79B8" w:rsidRPr="005402E6" w14:paraId="12467A6D" w14:textId="77777777" w:rsidTr="001B5E72">
        <w:tc>
          <w:tcPr>
            <w:tcW w:w="993" w:type="dxa"/>
            <w:shd w:val="clear" w:color="auto" w:fill="auto"/>
            <w:tcMar>
              <w:top w:w="55" w:type="dxa"/>
              <w:left w:w="55" w:type="dxa"/>
              <w:bottom w:w="55" w:type="dxa"/>
              <w:right w:w="55" w:type="dxa"/>
            </w:tcMar>
          </w:tcPr>
          <w:p w14:paraId="74461DED" w14:textId="77777777" w:rsidR="004D79B8" w:rsidRPr="005402E6" w:rsidRDefault="004D79B8" w:rsidP="001B5E72">
            <w:pPr>
              <w:pStyle w:val="TableContents"/>
              <w:widowControl/>
              <w:suppressLineNumbers w:val="0"/>
              <w:suppressAutoHyphens w:val="0"/>
              <w:spacing w:before="40" w:after="40" w:line="220" w:lineRule="exact"/>
              <w:rPr>
                <w:rFonts w:ascii="Times New Roman" w:hAnsi="Times New Roman" w:cs="Times New Roman"/>
                <w:b/>
                <w:bCs/>
                <w:kern w:val="0"/>
                <w:sz w:val="18"/>
                <w:szCs w:val="22"/>
                <w:lang w:val="en-GB"/>
              </w:rPr>
            </w:pPr>
            <w:r w:rsidRPr="005402E6">
              <w:rPr>
                <w:rFonts w:ascii="Times New Roman" w:hAnsi="Times New Roman" w:cs="Times New Roman"/>
                <w:b/>
                <w:bCs/>
                <w:kern w:val="0"/>
                <w:sz w:val="18"/>
                <w:szCs w:val="22"/>
                <w:lang w:val="en-GB"/>
              </w:rPr>
              <w:t>Inhalation time</w:t>
            </w:r>
          </w:p>
        </w:tc>
        <w:tc>
          <w:tcPr>
            <w:tcW w:w="847" w:type="dxa"/>
            <w:shd w:val="clear" w:color="auto" w:fill="auto"/>
            <w:tcMar>
              <w:top w:w="55" w:type="dxa"/>
              <w:left w:w="55" w:type="dxa"/>
              <w:bottom w:w="55" w:type="dxa"/>
              <w:right w:w="55" w:type="dxa"/>
            </w:tcMar>
            <w:vAlign w:val="bottom"/>
          </w:tcPr>
          <w:p w14:paraId="40F700DD" w14:textId="77777777" w:rsidR="004D79B8" w:rsidRPr="005402E6" w:rsidRDefault="004D79B8" w:rsidP="001B5E72">
            <w:pPr>
              <w:pStyle w:val="TableContents"/>
              <w:widowControl/>
              <w:suppressLineNumbers w:val="0"/>
              <w:suppressAutoHyphens w:val="0"/>
              <w:spacing w:before="40" w:after="40" w:line="220" w:lineRule="exact"/>
              <w:jc w:val="right"/>
              <w:rPr>
                <w:rFonts w:ascii="Times New Roman" w:hAnsi="Times New Roman" w:cs="Times New Roman"/>
                <w:kern w:val="0"/>
                <w:sz w:val="18"/>
                <w:szCs w:val="22"/>
                <w:lang w:val="en-GB"/>
              </w:rPr>
            </w:pPr>
            <w:r w:rsidRPr="005402E6">
              <w:rPr>
                <w:rFonts w:ascii="Times New Roman" w:hAnsi="Times New Roman" w:cs="Times New Roman"/>
                <w:kern w:val="0"/>
                <w:sz w:val="18"/>
                <w:szCs w:val="22"/>
                <w:lang w:val="en-GB"/>
              </w:rPr>
              <w:t>1 h</w:t>
            </w:r>
          </w:p>
        </w:tc>
        <w:tc>
          <w:tcPr>
            <w:tcW w:w="974" w:type="dxa"/>
            <w:shd w:val="clear" w:color="auto" w:fill="auto"/>
            <w:tcMar>
              <w:top w:w="55" w:type="dxa"/>
              <w:left w:w="55" w:type="dxa"/>
              <w:bottom w:w="55" w:type="dxa"/>
              <w:right w:w="55" w:type="dxa"/>
            </w:tcMar>
            <w:vAlign w:val="bottom"/>
          </w:tcPr>
          <w:p w14:paraId="5EE8EA30" w14:textId="77777777" w:rsidR="004D79B8" w:rsidRPr="005402E6" w:rsidRDefault="004D79B8" w:rsidP="001B5E72">
            <w:pPr>
              <w:pStyle w:val="TableContents"/>
              <w:widowControl/>
              <w:suppressLineNumbers w:val="0"/>
              <w:suppressAutoHyphens w:val="0"/>
              <w:spacing w:before="40" w:after="40" w:line="220" w:lineRule="exact"/>
              <w:jc w:val="right"/>
              <w:rPr>
                <w:rFonts w:ascii="Times New Roman" w:hAnsi="Times New Roman" w:cs="Times New Roman"/>
                <w:kern w:val="0"/>
                <w:sz w:val="18"/>
                <w:szCs w:val="22"/>
                <w:lang w:val="en-GB"/>
              </w:rPr>
            </w:pPr>
            <w:r w:rsidRPr="005402E6">
              <w:rPr>
                <w:rFonts w:ascii="Times New Roman" w:hAnsi="Times New Roman" w:cs="Times New Roman"/>
                <w:kern w:val="0"/>
                <w:sz w:val="18"/>
                <w:szCs w:val="22"/>
                <w:lang w:val="en-GB"/>
              </w:rPr>
              <w:t>30 min</w:t>
            </w:r>
          </w:p>
        </w:tc>
        <w:tc>
          <w:tcPr>
            <w:tcW w:w="869" w:type="dxa"/>
            <w:shd w:val="clear" w:color="auto" w:fill="auto"/>
            <w:tcMar>
              <w:top w:w="55" w:type="dxa"/>
              <w:left w:w="55" w:type="dxa"/>
              <w:bottom w:w="55" w:type="dxa"/>
              <w:right w:w="55" w:type="dxa"/>
            </w:tcMar>
            <w:vAlign w:val="bottom"/>
          </w:tcPr>
          <w:p w14:paraId="286D0D5A" w14:textId="77777777" w:rsidR="004D79B8" w:rsidRPr="005402E6" w:rsidRDefault="004D79B8" w:rsidP="001B5E72">
            <w:pPr>
              <w:pStyle w:val="TableContents"/>
              <w:widowControl/>
              <w:suppressLineNumbers w:val="0"/>
              <w:suppressAutoHyphens w:val="0"/>
              <w:spacing w:before="40" w:after="40" w:line="220" w:lineRule="exact"/>
              <w:jc w:val="right"/>
              <w:rPr>
                <w:rFonts w:ascii="Times New Roman" w:hAnsi="Times New Roman" w:cs="Times New Roman"/>
                <w:kern w:val="0"/>
                <w:sz w:val="18"/>
                <w:szCs w:val="22"/>
                <w:lang w:val="en-GB"/>
              </w:rPr>
            </w:pPr>
            <w:r w:rsidRPr="005402E6">
              <w:rPr>
                <w:rFonts w:ascii="Times New Roman" w:hAnsi="Times New Roman" w:cs="Times New Roman"/>
                <w:kern w:val="0"/>
                <w:sz w:val="18"/>
                <w:szCs w:val="22"/>
                <w:lang w:val="en-GB"/>
              </w:rPr>
              <w:t>60 min</w:t>
            </w:r>
          </w:p>
        </w:tc>
        <w:tc>
          <w:tcPr>
            <w:tcW w:w="974" w:type="dxa"/>
            <w:shd w:val="clear" w:color="auto" w:fill="auto"/>
            <w:tcMar>
              <w:top w:w="55" w:type="dxa"/>
              <w:left w:w="55" w:type="dxa"/>
              <w:bottom w:w="55" w:type="dxa"/>
              <w:right w:w="55" w:type="dxa"/>
            </w:tcMar>
            <w:vAlign w:val="bottom"/>
          </w:tcPr>
          <w:p w14:paraId="7AA60E55" w14:textId="77777777" w:rsidR="004D79B8" w:rsidRPr="005402E6" w:rsidRDefault="004D79B8" w:rsidP="001B5E72">
            <w:pPr>
              <w:pStyle w:val="TableContents"/>
              <w:widowControl/>
              <w:suppressLineNumbers w:val="0"/>
              <w:suppressAutoHyphens w:val="0"/>
              <w:spacing w:before="40" w:after="40" w:line="220" w:lineRule="exact"/>
              <w:jc w:val="right"/>
              <w:rPr>
                <w:rFonts w:ascii="Times New Roman" w:hAnsi="Times New Roman" w:cs="Times New Roman"/>
                <w:kern w:val="0"/>
                <w:sz w:val="18"/>
                <w:szCs w:val="22"/>
                <w:lang w:val="en-GB"/>
              </w:rPr>
            </w:pPr>
            <w:r w:rsidRPr="005402E6">
              <w:rPr>
                <w:rFonts w:ascii="Times New Roman" w:hAnsi="Times New Roman" w:cs="Times New Roman"/>
                <w:kern w:val="0"/>
                <w:sz w:val="18"/>
                <w:szCs w:val="22"/>
                <w:lang w:val="en-GB"/>
              </w:rPr>
              <w:t>4 h</w:t>
            </w:r>
          </w:p>
        </w:tc>
        <w:tc>
          <w:tcPr>
            <w:tcW w:w="869" w:type="dxa"/>
            <w:shd w:val="clear" w:color="auto" w:fill="auto"/>
            <w:tcMar>
              <w:top w:w="55" w:type="dxa"/>
              <w:left w:w="55" w:type="dxa"/>
              <w:bottom w:w="55" w:type="dxa"/>
              <w:right w:w="55" w:type="dxa"/>
            </w:tcMar>
            <w:vAlign w:val="bottom"/>
          </w:tcPr>
          <w:p w14:paraId="4F80CE83" w14:textId="77777777" w:rsidR="004D79B8" w:rsidRPr="005402E6" w:rsidRDefault="004D79B8" w:rsidP="001B5E72">
            <w:pPr>
              <w:pStyle w:val="TableContents"/>
              <w:widowControl/>
              <w:suppressLineNumbers w:val="0"/>
              <w:suppressAutoHyphens w:val="0"/>
              <w:spacing w:before="40" w:after="40" w:line="220" w:lineRule="exact"/>
              <w:jc w:val="right"/>
              <w:rPr>
                <w:rFonts w:ascii="Times New Roman" w:hAnsi="Times New Roman" w:cs="Times New Roman"/>
                <w:kern w:val="0"/>
                <w:sz w:val="18"/>
                <w:szCs w:val="22"/>
                <w:lang w:val="en-GB"/>
              </w:rPr>
            </w:pPr>
            <w:r w:rsidRPr="005402E6">
              <w:rPr>
                <w:rFonts w:ascii="Times New Roman" w:hAnsi="Times New Roman" w:cs="Times New Roman"/>
                <w:kern w:val="0"/>
                <w:sz w:val="18"/>
                <w:szCs w:val="22"/>
                <w:lang w:val="en-GB"/>
              </w:rPr>
              <w:t>4 h</w:t>
            </w:r>
          </w:p>
        </w:tc>
        <w:tc>
          <w:tcPr>
            <w:tcW w:w="973" w:type="dxa"/>
            <w:shd w:val="clear" w:color="auto" w:fill="auto"/>
            <w:tcMar>
              <w:top w:w="55" w:type="dxa"/>
              <w:left w:w="55" w:type="dxa"/>
              <w:bottom w:w="55" w:type="dxa"/>
              <w:right w:w="55" w:type="dxa"/>
            </w:tcMar>
            <w:vAlign w:val="bottom"/>
          </w:tcPr>
          <w:p w14:paraId="1B7F4658" w14:textId="77777777" w:rsidR="004D79B8" w:rsidRPr="005402E6" w:rsidRDefault="004D79B8" w:rsidP="001B5E72">
            <w:pPr>
              <w:pStyle w:val="TableContents"/>
              <w:widowControl/>
              <w:suppressLineNumbers w:val="0"/>
              <w:suppressAutoHyphens w:val="0"/>
              <w:spacing w:before="40" w:after="40" w:line="220" w:lineRule="exact"/>
              <w:jc w:val="right"/>
              <w:rPr>
                <w:rFonts w:ascii="Times New Roman" w:hAnsi="Times New Roman" w:cs="Times New Roman"/>
                <w:kern w:val="0"/>
                <w:sz w:val="18"/>
                <w:szCs w:val="22"/>
                <w:lang w:val="en-GB"/>
              </w:rPr>
            </w:pPr>
            <w:r w:rsidRPr="005402E6">
              <w:rPr>
                <w:rFonts w:ascii="Times New Roman" w:hAnsi="Times New Roman" w:cs="Times New Roman"/>
                <w:kern w:val="0"/>
                <w:sz w:val="18"/>
                <w:szCs w:val="22"/>
                <w:lang w:val="en-GB"/>
              </w:rPr>
              <w:t>4 h</w:t>
            </w:r>
          </w:p>
        </w:tc>
        <w:tc>
          <w:tcPr>
            <w:tcW w:w="871" w:type="dxa"/>
            <w:shd w:val="clear" w:color="auto" w:fill="auto"/>
            <w:tcMar>
              <w:top w:w="55" w:type="dxa"/>
              <w:left w:w="55" w:type="dxa"/>
              <w:bottom w:w="55" w:type="dxa"/>
              <w:right w:w="55" w:type="dxa"/>
            </w:tcMar>
            <w:vAlign w:val="bottom"/>
          </w:tcPr>
          <w:p w14:paraId="7CBA4DC5" w14:textId="77777777" w:rsidR="004D79B8" w:rsidRPr="005402E6" w:rsidRDefault="004D79B8" w:rsidP="001B5E72">
            <w:pPr>
              <w:pStyle w:val="TableContents"/>
              <w:widowControl/>
              <w:suppressLineNumbers w:val="0"/>
              <w:suppressAutoHyphens w:val="0"/>
              <w:spacing w:before="40" w:after="40" w:line="220" w:lineRule="exact"/>
              <w:jc w:val="right"/>
              <w:rPr>
                <w:rFonts w:ascii="Times New Roman" w:hAnsi="Times New Roman" w:cs="Times New Roman"/>
                <w:kern w:val="0"/>
                <w:sz w:val="18"/>
                <w:szCs w:val="22"/>
                <w:lang w:val="en-GB"/>
              </w:rPr>
            </w:pPr>
            <w:r w:rsidRPr="005402E6">
              <w:rPr>
                <w:rFonts w:ascii="Times New Roman" w:hAnsi="Times New Roman" w:cs="Times New Roman"/>
                <w:kern w:val="0"/>
                <w:sz w:val="18"/>
                <w:szCs w:val="22"/>
                <w:lang w:val="en-GB"/>
              </w:rPr>
              <w:t>4 h</w:t>
            </w:r>
          </w:p>
        </w:tc>
      </w:tr>
      <w:tr w:rsidR="004D79B8" w:rsidRPr="005402E6" w14:paraId="5199A4F6" w14:textId="77777777" w:rsidTr="001B5E72">
        <w:tc>
          <w:tcPr>
            <w:tcW w:w="993" w:type="dxa"/>
            <w:shd w:val="clear" w:color="auto" w:fill="auto"/>
            <w:tcMar>
              <w:top w:w="55" w:type="dxa"/>
              <w:left w:w="55" w:type="dxa"/>
              <w:bottom w:w="55" w:type="dxa"/>
              <w:right w:w="55" w:type="dxa"/>
            </w:tcMar>
          </w:tcPr>
          <w:p w14:paraId="34D364D1" w14:textId="77777777" w:rsidR="004D79B8" w:rsidRPr="005402E6" w:rsidRDefault="004D79B8" w:rsidP="001B5E72">
            <w:pPr>
              <w:pStyle w:val="TableContents"/>
              <w:widowControl/>
              <w:suppressLineNumbers w:val="0"/>
              <w:suppressAutoHyphens w:val="0"/>
              <w:spacing w:before="40" w:after="40" w:line="220" w:lineRule="exact"/>
              <w:rPr>
                <w:rFonts w:ascii="Times New Roman" w:hAnsi="Times New Roman" w:cs="Times New Roman"/>
                <w:b/>
                <w:bCs/>
                <w:kern w:val="0"/>
                <w:sz w:val="18"/>
                <w:szCs w:val="22"/>
                <w:lang w:val="en-GB"/>
              </w:rPr>
            </w:pPr>
            <w:r w:rsidRPr="005402E6">
              <w:rPr>
                <w:rFonts w:ascii="Times New Roman" w:hAnsi="Times New Roman" w:cs="Times New Roman"/>
                <w:b/>
                <w:bCs/>
                <w:kern w:val="0"/>
                <w:sz w:val="18"/>
                <w:szCs w:val="22"/>
                <w:lang w:val="en-GB"/>
              </w:rPr>
              <w:t xml:space="preserve">Guideline </w:t>
            </w:r>
          </w:p>
        </w:tc>
        <w:tc>
          <w:tcPr>
            <w:tcW w:w="847" w:type="dxa"/>
            <w:shd w:val="clear" w:color="auto" w:fill="auto"/>
            <w:tcMar>
              <w:top w:w="55" w:type="dxa"/>
              <w:left w:w="55" w:type="dxa"/>
              <w:bottom w:w="55" w:type="dxa"/>
              <w:right w:w="55" w:type="dxa"/>
            </w:tcMar>
            <w:vAlign w:val="bottom"/>
          </w:tcPr>
          <w:p w14:paraId="2CCF68C3" w14:textId="77777777" w:rsidR="004D79B8" w:rsidRPr="005402E6" w:rsidRDefault="004D79B8" w:rsidP="001B5E72">
            <w:pPr>
              <w:pStyle w:val="TableContents"/>
              <w:widowControl/>
              <w:suppressLineNumbers w:val="0"/>
              <w:suppressAutoHyphens w:val="0"/>
              <w:spacing w:before="40" w:after="40" w:line="220" w:lineRule="exact"/>
              <w:jc w:val="right"/>
              <w:rPr>
                <w:rFonts w:ascii="Times New Roman" w:hAnsi="Times New Roman" w:cs="Times New Roman"/>
                <w:kern w:val="0"/>
                <w:sz w:val="18"/>
                <w:szCs w:val="22"/>
                <w:lang w:val="en-GB"/>
              </w:rPr>
            </w:pPr>
            <w:r w:rsidRPr="005402E6">
              <w:rPr>
                <w:rFonts w:ascii="Times New Roman" w:hAnsi="Times New Roman" w:cs="Times New Roman"/>
                <w:kern w:val="0"/>
                <w:sz w:val="18"/>
                <w:szCs w:val="22"/>
                <w:lang w:val="en-GB"/>
              </w:rPr>
              <w:t>no</w:t>
            </w:r>
          </w:p>
        </w:tc>
        <w:tc>
          <w:tcPr>
            <w:tcW w:w="974" w:type="dxa"/>
            <w:shd w:val="clear" w:color="auto" w:fill="auto"/>
            <w:tcMar>
              <w:top w:w="55" w:type="dxa"/>
              <w:left w:w="55" w:type="dxa"/>
              <w:bottom w:w="55" w:type="dxa"/>
              <w:right w:w="55" w:type="dxa"/>
            </w:tcMar>
            <w:vAlign w:val="bottom"/>
          </w:tcPr>
          <w:p w14:paraId="2BF2DB94" w14:textId="77777777" w:rsidR="004D79B8" w:rsidRPr="005402E6" w:rsidRDefault="004D79B8" w:rsidP="001B5E72">
            <w:pPr>
              <w:pStyle w:val="TableContents"/>
              <w:widowControl/>
              <w:suppressLineNumbers w:val="0"/>
              <w:suppressAutoHyphens w:val="0"/>
              <w:spacing w:before="40" w:after="40" w:line="220" w:lineRule="exact"/>
              <w:jc w:val="right"/>
              <w:rPr>
                <w:rFonts w:ascii="Times New Roman" w:hAnsi="Times New Roman" w:cs="Times New Roman"/>
                <w:kern w:val="0"/>
                <w:sz w:val="18"/>
                <w:szCs w:val="22"/>
                <w:lang w:val="en-GB"/>
              </w:rPr>
            </w:pPr>
            <w:r w:rsidRPr="005402E6">
              <w:rPr>
                <w:rFonts w:ascii="Times New Roman" w:hAnsi="Times New Roman" w:cs="Times New Roman"/>
                <w:kern w:val="0"/>
                <w:sz w:val="18"/>
                <w:szCs w:val="22"/>
                <w:lang w:val="en-GB"/>
              </w:rPr>
              <w:t>no</w:t>
            </w:r>
          </w:p>
        </w:tc>
        <w:tc>
          <w:tcPr>
            <w:tcW w:w="869" w:type="dxa"/>
            <w:shd w:val="clear" w:color="auto" w:fill="auto"/>
            <w:tcMar>
              <w:top w:w="55" w:type="dxa"/>
              <w:left w:w="55" w:type="dxa"/>
              <w:bottom w:w="55" w:type="dxa"/>
              <w:right w:w="55" w:type="dxa"/>
            </w:tcMar>
            <w:vAlign w:val="bottom"/>
          </w:tcPr>
          <w:p w14:paraId="1EDE9555" w14:textId="77777777" w:rsidR="004D79B8" w:rsidRPr="005402E6" w:rsidRDefault="004D79B8" w:rsidP="001B5E72">
            <w:pPr>
              <w:pStyle w:val="TableContents"/>
              <w:widowControl/>
              <w:suppressLineNumbers w:val="0"/>
              <w:suppressAutoHyphens w:val="0"/>
              <w:spacing w:before="40" w:after="40" w:line="220" w:lineRule="exact"/>
              <w:jc w:val="right"/>
              <w:rPr>
                <w:rFonts w:ascii="Times New Roman" w:hAnsi="Times New Roman" w:cs="Times New Roman"/>
                <w:kern w:val="0"/>
                <w:sz w:val="18"/>
                <w:szCs w:val="22"/>
                <w:lang w:val="en-GB"/>
              </w:rPr>
            </w:pPr>
            <w:r w:rsidRPr="005402E6">
              <w:rPr>
                <w:rFonts w:ascii="Times New Roman" w:hAnsi="Times New Roman" w:cs="Times New Roman"/>
                <w:kern w:val="0"/>
                <w:sz w:val="18"/>
                <w:szCs w:val="22"/>
                <w:lang w:val="en-GB"/>
              </w:rPr>
              <w:t>no</w:t>
            </w:r>
          </w:p>
        </w:tc>
        <w:tc>
          <w:tcPr>
            <w:tcW w:w="974" w:type="dxa"/>
            <w:shd w:val="clear" w:color="auto" w:fill="auto"/>
            <w:tcMar>
              <w:top w:w="55" w:type="dxa"/>
              <w:left w:w="55" w:type="dxa"/>
              <w:bottom w:w="55" w:type="dxa"/>
              <w:right w:w="55" w:type="dxa"/>
            </w:tcMar>
            <w:vAlign w:val="bottom"/>
          </w:tcPr>
          <w:p w14:paraId="5C13AC2D" w14:textId="77777777" w:rsidR="004D79B8" w:rsidRPr="005402E6" w:rsidRDefault="004D79B8" w:rsidP="001B5E72">
            <w:pPr>
              <w:pStyle w:val="TableContents"/>
              <w:widowControl/>
              <w:suppressLineNumbers w:val="0"/>
              <w:suppressAutoHyphens w:val="0"/>
              <w:spacing w:before="40" w:after="40" w:line="220" w:lineRule="exact"/>
              <w:jc w:val="right"/>
              <w:rPr>
                <w:rFonts w:ascii="Times New Roman" w:hAnsi="Times New Roman" w:cs="Times New Roman"/>
                <w:kern w:val="0"/>
                <w:sz w:val="18"/>
                <w:szCs w:val="22"/>
                <w:lang w:val="en-GB"/>
              </w:rPr>
            </w:pPr>
            <w:r w:rsidRPr="005402E6">
              <w:rPr>
                <w:rFonts w:ascii="Times New Roman" w:hAnsi="Times New Roman" w:cs="Times New Roman"/>
                <w:kern w:val="0"/>
                <w:sz w:val="18"/>
                <w:szCs w:val="22"/>
                <w:lang w:val="en-GB"/>
              </w:rPr>
              <w:t>?</w:t>
            </w:r>
          </w:p>
        </w:tc>
        <w:tc>
          <w:tcPr>
            <w:tcW w:w="869" w:type="dxa"/>
            <w:shd w:val="clear" w:color="auto" w:fill="auto"/>
            <w:tcMar>
              <w:top w:w="55" w:type="dxa"/>
              <w:left w:w="55" w:type="dxa"/>
              <w:bottom w:w="55" w:type="dxa"/>
              <w:right w:w="55" w:type="dxa"/>
            </w:tcMar>
            <w:vAlign w:val="bottom"/>
          </w:tcPr>
          <w:p w14:paraId="79C1336E" w14:textId="77777777" w:rsidR="004D79B8" w:rsidRPr="005402E6" w:rsidRDefault="004D79B8" w:rsidP="001B5E72">
            <w:pPr>
              <w:pStyle w:val="TableContents"/>
              <w:widowControl/>
              <w:suppressLineNumbers w:val="0"/>
              <w:suppressAutoHyphens w:val="0"/>
              <w:spacing w:before="40" w:after="40" w:line="220" w:lineRule="exact"/>
              <w:jc w:val="right"/>
              <w:rPr>
                <w:rFonts w:ascii="Times New Roman" w:hAnsi="Times New Roman" w:cs="Times New Roman"/>
                <w:kern w:val="0"/>
                <w:sz w:val="18"/>
                <w:szCs w:val="22"/>
                <w:lang w:val="en-GB"/>
              </w:rPr>
            </w:pPr>
            <w:r w:rsidRPr="005402E6">
              <w:rPr>
                <w:rFonts w:ascii="Times New Roman" w:hAnsi="Times New Roman" w:cs="Times New Roman"/>
                <w:kern w:val="0"/>
                <w:sz w:val="18"/>
                <w:szCs w:val="22"/>
                <w:lang w:val="en-GB"/>
              </w:rPr>
              <w:t>?</w:t>
            </w:r>
          </w:p>
        </w:tc>
        <w:tc>
          <w:tcPr>
            <w:tcW w:w="973" w:type="dxa"/>
            <w:shd w:val="clear" w:color="auto" w:fill="auto"/>
            <w:tcMar>
              <w:top w:w="55" w:type="dxa"/>
              <w:left w:w="55" w:type="dxa"/>
              <w:bottom w:w="55" w:type="dxa"/>
              <w:right w:w="55" w:type="dxa"/>
            </w:tcMar>
            <w:vAlign w:val="bottom"/>
          </w:tcPr>
          <w:p w14:paraId="03DEF12F" w14:textId="77777777" w:rsidR="004D79B8" w:rsidRPr="005402E6" w:rsidRDefault="004D79B8" w:rsidP="001B5E72">
            <w:pPr>
              <w:pStyle w:val="TableContents"/>
              <w:widowControl/>
              <w:suppressLineNumbers w:val="0"/>
              <w:suppressAutoHyphens w:val="0"/>
              <w:spacing w:before="40" w:after="40" w:line="220" w:lineRule="exact"/>
              <w:jc w:val="right"/>
              <w:rPr>
                <w:rFonts w:ascii="Times New Roman" w:hAnsi="Times New Roman" w:cs="Times New Roman"/>
                <w:kern w:val="0"/>
                <w:sz w:val="18"/>
                <w:szCs w:val="22"/>
                <w:lang w:val="en-GB"/>
              </w:rPr>
            </w:pPr>
            <w:r w:rsidRPr="005402E6">
              <w:rPr>
                <w:rFonts w:ascii="Times New Roman" w:hAnsi="Times New Roman" w:cs="Times New Roman"/>
                <w:kern w:val="0"/>
                <w:sz w:val="18"/>
                <w:szCs w:val="22"/>
                <w:lang w:val="en-GB"/>
              </w:rPr>
              <w:t>?</w:t>
            </w:r>
          </w:p>
        </w:tc>
        <w:tc>
          <w:tcPr>
            <w:tcW w:w="871" w:type="dxa"/>
            <w:shd w:val="clear" w:color="auto" w:fill="auto"/>
            <w:tcMar>
              <w:top w:w="55" w:type="dxa"/>
              <w:left w:w="55" w:type="dxa"/>
              <w:bottom w:w="55" w:type="dxa"/>
              <w:right w:w="55" w:type="dxa"/>
            </w:tcMar>
            <w:vAlign w:val="bottom"/>
          </w:tcPr>
          <w:p w14:paraId="1AD7530C" w14:textId="77777777" w:rsidR="004D79B8" w:rsidRPr="005402E6" w:rsidRDefault="004D79B8" w:rsidP="001B5E72">
            <w:pPr>
              <w:pStyle w:val="TableContents"/>
              <w:widowControl/>
              <w:suppressLineNumbers w:val="0"/>
              <w:suppressAutoHyphens w:val="0"/>
              <w:spacing w:before="40" w:after="40" w:line="220" w:lineRule="exact"/>
              <w:jc w:val="right"/>
              <w:rPr>
                <w:rFonts w:ascii="Times New Roman" w:hAnsi="Times New Roman" w:cs="Times New Roman"/>
                <w:kern w:val="0"/>
                <w:sz w:val="18"/>
                <w:szCs w:val="22"/>
                <w:lang w:val="en-GB"/>
              </w:rPr>
            </w:pPr>
            <w:r w:rsidRPr="005402E6">
              <w:rPr>
                <w:rFonts w:ascii="Times New Roman" w:hAnsi="Times New Roman" w:cs="Times New Roman"/>
                <w:kern w:val="0"/>
                <w:sz w:val="18"/>
                <w:szCs w:val="22"/>
                <w:lang w:val="en-GB"/>
              </w:rPr>
              <w:t>?</w:t>
            </w:r>
          </w:p>
        </w:tc>
      </w:tr>
      <w:tr w:rsidR="004D79B8" w:rsidRPr="005402E6" w14:paraId="326EE349" w14:textId="77777777" w:rsidTr="001B5E72">
        <w:tc>
          <w:tcPr>
            <w:tcW w:w="993" w:type="dxa"/>
            <w:shd w:val="clear" w:color="auto" w:fill="auto"/>
            <w:tcMar>
              <w:top w:w="55" w:type="dxa"/>
              <w:left w:w="55" w:type="dxa"/>
              <w:bottom w:w="55" w:type="dxa"/>
              <w:right w:w="55" w:type="dxa"/>
            </w:tcMar>
          </w:tcPr>
          <w:p w14:paraId="0E5A54A7" w14:textId="77777777" w:rsidR="004D79B8" w:rsidRPr="005402E6" w:rsidRDefault="004D79B8" w:rsidP="001B5E72">
            <w:pPr>
              <w:pStyle w:val="TableContents"/>
              <w:widowControl/>
              <w:suppressLineNumbers w:val="0"/>
              <w:suppressAutoHyphens w:val="0"/>
              <w:spacing w:before="40" w:after="40" w:line="220" w:lineRule="exact"/>
              <w:rPr>
                <w:rFonts w:ascii="Times New Roman" w:hAnsi="Times New Roman" w:cs="Times New Roman"/>
                <w:kern w:val="0"/>
                <w:sz w:val="18"/>
                <w:szCs w:val="22"/>
              </w:rPr>
            </w:pPr>
            <w:r w:rsidRPr="005402E6">
              <w:rPr>
                <w:rStyle w:val="Absatz-Standardschriftart1"/>
                <w:bCs/>
                <w:kern w:val="0"/>
                <w:sz w:val="18"/>
                <w:szCs w:val="22"/>
                <w:lang w:val="en-GB"/>
              </w:rPr>
              <w:t>LC50 in mg/m</w:t>
            </w:r>
            <w:r w:rsidRPr="005402E6">
              <w:rPr>
                <w:rStyle w:val="Absatz-Standardschriftart1"/>
                <w:bCs/>
                <w:kern w:val="0"/>
                <w:sz w:val="18"/>
                <w:szCs w:val="22"/>
                <w:vertAlign w:val="superscript"/>
                <w:lang w:val="en-GB"/>
              </w:rPr>
              <w:t>3</w:t>
            </w:r>
          </w:p>
        </w:tc>
        <w:tc>
          <w:tcPr>
            <w:tcW w:w="847" w:type="dxa"/>
            <w:shd w:val="clear" w:color="auto" w:fill="auto"/>
            <w:tcMar>
              <w:top w:w="55" w:type="dxa"/>
              <w:left w:w="55" w:type="dxa"/>
              <w:bottom w:w="55" w:type="dxa"/>
              <w:right w:w="55" w:type="dxa"/>
            </w:tcMar>
            <w:vAlign w:val="bottom"/>
          </w:tcPr>
          <w:p w14:paraId="3A6E31A2" w14:textId="77777777" w:rsidR="004D79B8" w:rsidRPr="005402E6" w:rsidRDefault="004D79B8" w:rsidP="001B5E72">
            <w:pPr>
              <w:pStyle w:val="TableContents"/>
              <w:widowControl/>
              <w:suppressLineNumbers w:val="0"/>
              <w:suppressAutoHyphens w:val="0"/>
              <w:spacing w:before="40" w:after="40" w:line="220" w:lineRule="exact"/>
              <w:jc w:val="right"/>
              <w:rPr>
                <w:rFonts w:ascii="Times New Roman" w:hAnsi="Times New Roman" w:cs="Times New Roman"/>
                <w:kern w:val="0"/>
                <w:sz w:val="18"/>
                <w:szCs w:val="22"/>
                <w:lang w:val="en-GB"/>
              </w:rPr>
            </w:pPr>
            <w:r w:rsidRPr="005402E6">
              <w:rPr>
                <w:rFonts w:ascii="Times New Roman" w:hAnsi="Times New Roman" w:cs="Times New Roman"/>
                <w:kern w:val="0"/>
                <w:sz w:val="18"/>
                <w:szCs w:val="22"/>
                <w:lang w:val="en-GB"/>
              </w:rPr>
              <w:t>&gt; 17900 &amp; &lt; 69100</w:t>
            </w:r>
          </w:p>
        </w:tc>
        <w:tc>
          <w:tcPr>
            <w:tcW w:w="974" w:type="dxa"/>
            <w:shd w:val="clear" w:color="auto" w:fill="auto"/>
            <w:tcMar>
              <w:top w:w="55" w:type="dxa"/>
              <w:left w:w="55" w:type="dxa"/>
              <w:bottom w:w="55" w:type="dxa"/>
              <w:right w:w="55" w:type="dxa"/>
            </w:tcMar>
            <w:vAlign w:val="bottom"/>
          </w:tcPr>
          <w:p w14:paraId="3072D8B6" w14:textId="77777777" w:rsidR="004D79B8" w:rsidRPr="00AC29CC" w:rsidRDefault="004D79B8" w:rsidP="001B5E72">
            <w:pPr>
              <w:pStyle w:val="TableContents"/>
              <w:widowControl/>
              <w:suppressLineNumbers w:val="0"/>
              <w:suppressAutoHyphens w:val="0"/>
              <w:spacing w:before="40" w:after="40" w:line="220" w:lineRule="exact"/>
              <w:jc w:val="right"/>
              <w:rPr>
                <w:rFonts w:ascii="Times New Roman" w:hAnsi="Times New Roman" w:cs="Times New Roman"/>
                <w:color w:val="FF0000"/>
                <w:kern w:val="0"/>
                <w:sz w:val="18"/>
                <w:szCs w:val="22"/>
                <w:lang w:val="en-GB"/>
              </w:rPr>
            </w:pPr>
            <w:r w:rsidRPr="00AC29CC">
              <w:rPr>
                <w:rFonts w:ascii="Times New Roman" w:hAnsi="Times New Roman" w:cs="Times New Roman"/>
                <w:color w:val="FF0000"/>
                <w:kern w:val="0"/>
                <w:sz w:val="18"/>
                <w:szCs w:val="22"/>
                <w:lang w:val="en-GB"/>
              </w:rPr>
              <w:t>&lt; 30180</w:t>
            </w:r>
          </w:p>
        </w:tc>
        <w:tc>
          <w:tcPr>
            <w:tcW w:w="869" w:type="dxa"/>
            <w:shd w:val="clear" w:color="auto" w:fill="auto"/>
            <w:tcMar>
              <w:top w:w="55" w:type="dxa"/>
              <w:left w:w="55" w:type="dxa"/>
              <w:bottom w:w="55" w:type="dxa"/>
              <w:right w:w="55" w:type="dxa"/>
            </w:tcMar>
            <w:vAlign w:val="bottom"/>
          </w:tcPr>
          <w:p w14:paraId="40F0952F" w14:textId="77777777" w:rsidR="004D79B8" w:rsidRPr="00AC29CC" w:rsidRDefault="004D79B8" w:rsidP="001B5E72">
            <w:pPr>
              <w:pStyle w:val="TableContents"/>
              <w:widowControl/>
              <w:suppressLineNumbers w:val="0"/>
              <w:suppressAutoHyphens w:val="0"/>
              <w:spacing w:before="40" w:after="40" w:line="220" w:lineRule="exact"/>
              <w:jc w:val="right"/>
              <w:rPr>
                <w:rFonts w:ascii="Times New Roman" w:hAnsi="Times New Roman" w:cs="Times New Roman"/>
                <w:color w:val="FF0000"/>
                <w:kern w:val="0"/>
                <w:sz w:val="18"/>
                <w:szCs w:val="22"/>
                <w:lang w:val="en-GB"/>
              </w:rPr>
            </w:pPr>
            <w:r w:rsidRPr="00AC29CC">
              <w:rPr>
                <w:rFonts w:ascii="Times New Roman" w:hAnsi="Times New Roman" w:cs="Times New Roman"/>
                <w:color w:val="FF0000"/>
                <w:kern w:val="0"/>
                <w:sz w:val="18"/>
                <w:szCs w:val="22"/>
                <w:lang w:val="en-GB"/>
              </w:rPr>
              <w:t>21667 - 22440</w:t>
            </w:r>
          </w:p>
        </w:tc>
        <w:tc>
          <w:tcPr>
            <w:tcW w:w="974" w:type="dxa"/>
            <w:shd w:val="clear" w:color="auto" w:fill="auto"/>
            <w:tcMar>
              <w:top w:w="55" w:type="dxa"/>
              <w:left w:w="55" w:type="dxa"/>
              <w:bottom w:w="55" w:type="dxa"/>
              <w:right w:w="55" w:type="dxa"/>
            </w:tcMar>
            <w:vAlign w:val="bottom"/>
          </w:tcPr>
          <w:p w14:paraId="68980875" w14:textId="77777777" w:rsidR="004D79B8" w:rsidRPr="00AC29CC" w:rsidRDefault="004D79B8" w:rsidP="001B5E72">
            <w:pPr>
              <w:pStyle w:val="TableContents"/>
              <w:widowControl/>
              <w:suppressLineNumbers w:val="0"/>
              <w:suppressAutoHyphens w:val="0"/>
              <w:spacing w:before="40" w:after="40" w:line="220" w:lineRule="exact"/>
              <w:jc w:val="right"/>
              <w:rPr>
                <w:rFonts w:ascii="Times New Roman" w:hAnsi="Times New Roman" w:cs="Times New Roman"/>
                <w:color w:val="FF0000"/>
                <w:kern w:val="0"/>
                <w:sz w:val="18"/>
                <w:szCs w:val="22"/>
                <w:lang w:val="en-GB"/>
              </w:rPr>
            </w:pPr>
            <w:r w:rsidRPr="00AC29CC">
              <w:rPr>
                <w:rFonts w:ascii="Times New Roman" w:hAnsi="Times New Roman" w:cs="Times New Roman"/>
                <w:color w:val="FF0000"/>
                <w:kern w:val="0"/>
                <w:sz w:val="18"/>
                <w:szCs w:val="22"/>
                <w:lang w:val="en-GB"/>
              </w:rPr>
              <w:t>6253</w:t>
            </w:r>
          </w:p>
        </w:tc>
        <w:tc>
          <w:tcPr>
            <w:tcW w:w="869" w:type="dxa"/>
            <w:shd w:val="clear" w:color="auto" w:fill="auto"/>
            <w:tcMar>
              <w:top w:w="55" w:type="dxa"/>
              <w:left w:w="55" w:type="dxa"/>
              <w:bottom w:w="55" w:type="dxa"/>
              <w:right w:w="55" w:type="dxa"/>
            </w:tcMar>
            <w:vAlign w:val="bottom"/>
          </w:tcPr>
          <w:p w14:paraId="2B896F49" w14:textId="77777777" w:rsidR="004D79B8" w:rsidRPr="00AC29CC" w:rsidRDefault="004D79B8" w:rsidP="001B5E72">
            <w:pPr>
              <w:pStyle w:val="TableContents"/>
              <w:widowControl/>
              <w:suppressLineNumbers w:val="0"/>
              <w:suppressAutoHyphens w:val="0"/>
              <w:spacing w:before="40" w:after="40" w:line="220" w:lineRule="exact"/>
              <w:jc w:val="right"/>
              <w:rPr>
                <w:rFonts w:ascii="Times New Roman" w:hAnsi="Times New Roman" w:cs="Times New Roman"/>
                <w:color w:val="FF0000"/>
                <w:kern w:val="0"/>
                <w:sz w:val="18"/>
                <w:szCs w:val="22"/>
                <w:lang w:val="en-GB"/>
              </w:rPr>
            </w:pPr>
            <w:r w:rsidRPr="00AC29CC">
              <w:rPr>
                <w:rFonts w:ascii="Times New Roman" w:hAnsi="Times New Roman" w:cs="Times New Roman"/>
                <w:color w:val="FF0000"/>
                <w:kern w:val="0"/>
                <w:sz w:val="18"/>
                <w:szCs w:val="22"/>
                <w:lang w:val="en-GB"/>
              </w:rPr>
              <w:t>6253</w:t>
            </w:r>
          </w:p>
        </w:tc>
        <w:tc>
          <w:tcPr>
            <w:tcW w:w="973" w:type="dxa"/>
            <w:shd w:val="clear" w:color="auto" w:fill="auto"/>
            <w:tcMar>
              <w:top w:w="55" w:type="dxa"/>
              <w:left w:w="55" w:type="dxa"/>
              <w:bottom w:w="55" w:type="dxa"/>
              <w:right w:w="55" w:type="dxa"/>
            </w:tcMar>
            <w:vAlign w:val="bottom"/>
          </w:tcPr>
          <w:p w14:paraId="527F03E2" w14:textId="77777777" w:rsidR="004D79B8" w:rsidRPr="00AC29CC" w:rsidRDefault="004D79B8" w:rsidP="001B5E72">
            <w:pPr>
              <w:pStyle w:val="TableContents"/>
              <w:widowControl/>
              <w:suppressLineNumbers w:val="0"/>
              <w:suppressAutoHyphens w:val="0"/>
              <w:spacing w:before="40" w:after="40" w:line="220" w:lineRule="exact"/>
              <w:jc w:val="right"/>
              <w:rPr>
                <w:rFonts w:ascii="Times New Roman" w:hAnsi="Times New Roman" w:cs="Times New Roman"/>
                <w:color w:val="FF0000"/>
                <w:kern w:val="0"/>
                <w:sz w:val="18"/>
                <w:szCs w:val="22"/>
                <w:lang w:val="en-GB"/>
              </w:rPr>
            </w:pPr>
            <w:r w:rsidRPr="00AC29CC">
              <w:rPr>
                <w:rFonts w:ascii="Times New Roman" w:hAnsi="Times New Roman" w:cs="Times New Roman"/>
                <w:color w:val="FF0000"/>
                <w:kern w:val="0"/>
                <w:sz w:val="18"/>
                <w:szCs w:val="22"/>
                <w:lang w:val="en-GB"/>
              </w:rPr>
              <w:t>6253</w:t>
            </w:r>
          </w:p>
        </w:tc>
        <w:tc>
          <w:tcPr>
            <w:tcW w:w="871" w:type="dxa"/>
            <w:shd w:val="clear" w:color="auto" w:fill="auto"/>
            <w:tcMar>
              <w:top w:w="55" w:type="dxa"/>
              <w:left w:w="55" w:type="dxa"/>
              <w:bottom w:w="55" w:type="dxa"/>
              <w:right w:w="55" w:type="dxa"/>
            </w:tcMar>
            <w:vAlign w:val="bottom"/>
          </w:tcPr>
          <w:p w14:paraId="6DC4D010" w14:textId="77777777" w:rsidR="004D79B8" w:rsidRPr="00AC29CC" w:rsidRDefault="004D79B8" w:rsidP="001B5E72">
            <w:pPr>
              <w:pStyle w:val="TableContents"/>
              <w:widowControl/>
              <w:suppressLineNumbers w:val="0"/>
              <w:suppressAutoHyphens w:val="0"/>
              <w:spacing w:before="40" w:after="40" w:line="220" w:lineRule="exact"/>
              <w:jc w:val="right"/>
              <w:rPr>
                <w:rFonts w:ascii="Times New Roman" w:hAnsi="Times New Roman" w:cs="Times New Roman"/>
                <w:color w:val="FF0000"/>
                <w:kern w:val="0"/>
                <w:sz w:val="18"/>
                <w:szCs w:val="22"/>
                <w:lang w:val="en-GB"/>
              </w:rPr>
            </w:pPr>
            <w:r w:rsidRPr="00AC29CC">
              <w:rPr>
                <w:rFonts w:ascii="Times New Roman" w:hAnsi="Times New Roman" w:cs="Times New Roman"/>
                <w:color w:val="FF0000"/>
                <w:kern w:val="0"/>
                <w:sz w:val="18"/>
                <w:szCs w:val="22"/>
                <w:lang w:val="en-GB"/>
              </w:rPr>
              <w:t>&gt; 5598</w:t>
            </w:r>
          </w:p>
        </w:tc>
      </w:tr>
      <w:tr w:rsidR="004D79B8" w:rsidRPr="005402E6" w14:paraId="3D420B93" w14:textId="77777777" w:rsidTr="001B5E72">
        <w:tc>
          <w:tcPr>
            <w:tcW w:w="993" w:type="dxa"/>
            <w:shd w:val="clear" w:color="auto" w:fill="auto"/>
            <w:tcMar>
              <w:top w:w="55" w:type="dxa"/>
              <w:left w:w="55" w:type="dxa"/>
              <w:bottom w:w="55" w:type="dxa"/>
              <w:right w:w="55" w:type="dxa"/>
            </w:tcMar>
          </w:tcPr>
          <w:p w14:paraId="63122988" w14:textId="77777777" w:rsidR="004D79B8" w:rsidRPr="005402E6" w:rsidRDefault="004D79B8" w:rsidP="001B5E72">
            <w:pPr>
              <w:pStyle w:val="TableContents"/>
              <w:widowControl/>
              <w:suppressLineNumbers w:val="0"/>
              <w:suppressAutoHyphens w:val="0"/>
              <w:spacing w:before="40" w:after="40" w:line="220" w:lineRule="exact"/>
              <w:rPr>
                <w:rFonts w:ascii="Times New Roman" w:hAnsi="Times New Roman" w:cs="Times New Roman"/>
                <w:kern w:val="0"/>
                <w:sz w:val="18"/>
                <w:szCs w:val="22"/>
              </w:rPr>
            </w:pPr>
            <w:r w:rsidRPr="005402E6">
              <w:rPr>
                <w:rStyle w:val="Absatz-Standardschriftart1"/>
                <w:bCs/>
                <w:kern w:val="0"/>
                <w:sz w:val="18"/>
                <w:szCs w:val="22"/>
                <w:lang w:val="en-GB"/>
              </w:rPr>
              <w:t>LC50 in ppm (ml/m</w:t>
            </w:r>
            <w:r w:rsidRPr="005402E6">
              <w:rPr>
                <w:rStyle w:val="Absatz-Standardschriftart1"/>
                <w:bCs/>
                <w:kern w:val="0"/>
                <w:sz w:val="18"/>
                <w:szCs w:val="22"/>
                <w:vertAlign w:val="superscript"/>
                <w:lang w:val="en-GB"/>
              </w:rPr>
              <w:t>3</w:t>
            </w:r>
            <w:r w:rsidRPr="005402E6">
              <w:rPr>
                <w:rStyle w:val="Absatz-Standardschriftart1"/>
                <w:bCs/>
                <w:kern w:val="0"/>
                <w:sz w:val="18"/>
                <w:szCs w:val="22"/>
                <w:lang w:val="en-GB"/>
              </w:rPr>
              <w:t>)</w:t>
            </w:r>
          </w:p>
        </w:tc>
        <w:tc>
          <w:tcPr>
            <w:tcW w:w="847" w:type="dxa"/>
            <w:shd w:val="clear" w:color="auto" w:fill="auto"/>
            <w:tcMar>
              <w:top w:w="55" w:type="dxa"/>
              <w:left w:w="55" w:type="dxa"/>
              <w:bottom w:w="55" w:type="dxa"/>
              <w:right w:w="55" w:type="dxa"/>
            </w:tcMar>
            <w:vAlign w:val="bottom"/>
          </w:tcPr>
          <w:p w14:paraId="4AD02138" w14:textId="77777777" w:rsidR="004D79B8" w:rsidRPr="005402E6" w:rsidRDefault="004D79B8" w:rsidP="001B5E72">
            <w:pPr>
              <w:pStyle w:val="TableContents"/>
              <w:widowControl/>
              <w:suppressLineNumbers w:val="0"/>
              <w:suppressAutoHyphens w:val="0"/>
              <w:spacing w:before="40" w:after="40" w:line="220" w:lineRule="exact"/>
              <w:jc w:val="right"/>
              <w:rPr>
                <w:rFonts w:ascii="Times New Roman" w:hAnsi="Times New Roman" w:cs="Times New Roman"/>
                <w:kern w:val="0"/>
                <w:sz w:val="18"/>
                <w:szCs w:val="22"/>
                <w:lang w:val="en-GB"/>
              </w:rPr>
            </w:pPr>
            <w:r w:rsidRPr="00AC29CC">
              <w:rPr>
                <w:rFonts w:ascii="Times New Roman" w:hAnsi="Times New Roman" w:cs="Times New Roman"/>
                <w:color w:val="FF0000"/>
                <w:kern w:val="0"/>
                <w:sz w:val="18"/>
                <w:szCs w:val="22"/>
                <w:lang w:val="en-GB"/>
              </w:rPr>
              <w:t>&gt; 3772 &amp; &lt; 12878</w:t>
            </w:r>
          </w:p>
        </w:tc>
        <w:tc>
          <w:tcPr>
            <w:tcW w:w="974" w:type="dxa"/>
            <w:shd w:val="clear" w:color="auto" w:fill="auto"/>
            <w:tcMar>
              <w:top w:w="55" w:type="dxa"/>
              <w:left w:w="55" w:type="dxa"/>
              <w:bottom w:w="55" w:type="dxa"/>
              <w:right w:w="55" w:type="dxa"/>
            </w:tcMar>
            <w:vAlign w:val="bottom"/>
          </w:tcPr>
          <w:p w14:paraId="2D9740E1" w14:textId="77777777" w:rsidR="004D79B8" w:rsidRPr="005402E6" w:rsidRDefault="004D79B8" w:rsidP="001B5E72">
            <w:pPr>
              <w:pStyle w:val="TableContents"/>
              <w:widowControl/>
              <w:suppressLineNumbers w:val="0"/>
              <w:suppressAutoHyphens w:val="0"/>
              <w:spacing w:before="40" w:after="40" w:line="220" w:lineRule="exact"/>
              <w:jc w:val="right"/>
              <w:rPr>
                <w:rFonts w:ascii="Times New Roman" w:hAnsi="Times New Roman" w:cs="Times New Roman"/>
                <w:kern w:val="0"/>
                <w:sz w:val="18"/>
                <w:szCs w:val="22"/>
                <w:lang w:val="en-GB"/>
              </w:rPr>
            </w:pPr>
            <w:r w:rsidRPr="005402E6">
              <w:rPr>
                <w:rFonts w:ascii="Times New Roman" w:hAnsi="Times New Roman" w:cs="Times New Roman"/>
                <w:kern w:val="0"/>
                <w:sz w:val="18"/>
                <w:szCs w:val="22"/>
                <w:lang w:val="en-GB"/>
              </w:rPr>
              <w:t>&lt; 6361,3</w:t>
            </w:r>
          </w:p>
        </w:tc>
        <w:tc>
          <w:tcPr>
            <w:tcW w:w="869" w:type="dxa"/>
            <w:shd w:val="clear" w:color="auto" w:fill="auto"/>
            <w:tcMar>
              <w:top w:w="55" w:type="dxa"/>
              <w:left w:w="55" w:type="dxa"/>
              <w:bottom w:w="55" w:type="dxa"/>
              <w:right w:w="55" w:type="dxa"/>
            </w:tcMar>
            <w:vAlign w:val="bottom"/>
          </w:tcPr>
          <w:p w14:paraId="1EA0C1EB" w14:textId="77777777" w:rsidR="004D79B8" w:rsidRPr="005402E6" w:rsidRDefault="004D79B8" w:rsidP="001B5E72">
            <w:pPr>
              <w:pStyle w:val="TableContents"/>
              <w:widowControl/>
              <w:suppressLineNumbers w:val="0"/>
              <w:suppressAutoHyphens w:val="0"/>
              <w:spacing w:before="40" w:after="40" w:line="220" w:lineRule="exact"/>
              <w:jc w:val="right"/>
              <w:rPr>
                <w:rFonts w:ascii="Times New Roman" w:hAnsi="Times New Roman" w:cs="Times New Roman"/>
                <w:kern w:val="0"/>
                <w:sz w:val="18"/>
                <w:szCs w:val="22"/>
                <w:lang w:val="en-GB"/>
              </w:rPr>
            </w:pPr>
            <w:r w:rsidRPr="005402E6">
              <w:rPr>
                <w:rFonts w:ascii="Times New Roman" w:hAnsi="Times New Roman" w:cs="Times New Roman"/>
                <w:kern w:val="0"/>
                <w:sz w:val="18"/>
                <w:szCs w:val="22"/>
                <w:lang w:val="en-GB"/>
              </w:rPr>
              <w:t>&gt; 4567 - 4730</w:t>
            </w:r>
          </w:p>
        </w:tc>
        <w:tc>
          <w:tcPr>
            <w:tcW w:w="974" w:type="dxa"/>
            <w:shd w:val="clear" w:color="auto" w:fill="auto"/>
            <w:tcMar>
              <w:top w:w="55" w:type="dxa"/>
              <w:left w:w="55" w:type="dxa"/>
              <w:bottom w:w="55" w:type="dxa"/>
              <w:right w:w="55" w:type="dxa"/>
            </w:tcMar>
            <w:vAlign w:val="bottom"/>
          </w:tcPr>
          <w:p w14:paraId="183C2778" w14:textId="77777777" w:rsidR="004D79B8" w:rsidRPr="005402E6" w:rsidRDefault="004D79B8" w:rsidP="001B5E72">
            <w:pPr>
              <w:pStyle w:val="TableContents"/>
              <w:widowControl/>
              <w:suppressLineNumbers w:val="0"/>
              <w:suppressAutoHyphens w:val="0"/>
              <w:spacing w:before="40" w:after="40" w:line="220" w:lineRule="exact"/>
              <w:jc w:val="right"/>
              <w:rPr>
                <w:rFonts w:ascii="Times New Roman" w:hAnsi="Times New Roman" w:cs="Times New Roman"/>
                <w:kern w:val="0"/>
                <w:sz w:val="18"/>
                <w:szCs w:val="22"/>
                <w:lang w:val="en-GB"/>
              </w:rPr>
            </w:pPr>
            <w:r w:rsidRPr="005402E6">
              <w:rPr>
                <w:rFonts w:ascii="Times New Roman" w:hAnsi="Times New Roman" w:cs="Times New Roman"/>
                <w:kern w:val="0"/>
                <w:sz w:val="18"/>
                <w:szCs w:val="22"/>
                <w:lang w:val="en-GB"/>
              </w:rPr>
              <w:t>1318</w:t>
            </w:r>
          </w:p>
        </w:tc>
        <w:tc>
          <w:tcPr>
            <w:tcW w:w="869" w:type="dxa"/>
            <w:shd w:val="clear" w:color="auto" w:fill="auto"/>
            <w:tcMar>
              <w:top w:w="55" w:type="dxa"/>
              <w:left w:w="55" w:type="dxa"/>
              <w:bottom w:w="55" w:type="dxa"/>
              <w:right w:w="55" w:type="dxa"/>
            </w:tcMar>
            <w:vAlign w:val="bottom"/>
          </w:tcPr>
          <w:p w14:paraId="56C2EAED" w14:textId="77777777" w:rsidR="004D79B8" w:rsidRPr="005402E6" w:rsidRDefault="004D79B8" w:rsidP="001B5E72">
            <w:pPr>
              <w:pStyle w:val="TableContents"/>
              <w:widowControl/>
              <w:suppressLineNumbers w:val="0"/>
              <w:suppressAutoHyphens w:val="0"/>
              <w:spacing w:before="40" w:after="40" w:line="220" w:lineRule="exact"/>
              <w:jc w:val="right"/>
              <w:rPr>
                <w:rFonts w:ascii="Times New Roman" w:hAnsi="Times New Roman" w:cs="Times New Roman"/>
                <w:kern w:val="0"/>
                <w:sz w:val="18"/>
                <w:szCs w:val="22"/>
                <w:lang w:val="en-GB"/>
              </w:rPr>
            </w:pPr>
            <w:r w:rsidRPr="005402E6">
              <w:rPr>
                <w:rFonts w:ascii="Times New Roman" w:hAnsi="Times New Roman" w:cs="Times New Roman"/>
                <w:kern w:val="0"/>
                <w:sz w:val="18"/>
                <w:szCs w:val="22"/>
                <w:lang w:val="en-GB"/>
              </w:rPr>
              <w:t>1318</w:t>
            </w:r>
          </w:p>
        </w:tc>
        <w:tc>
          <w:tcPr>
            <w:tcW w:w="973" w:type="dxa"/>
            <w:shd w:val="clear" w:color="auto" w:fill="auto"/>
            <w:tcMar>
              <w:top w:w="55" w:type="dxa"/>
              <w:left w:w="55" w:type="dxa"/>
              <w:bottom w:w="55" w:type="dxa"/>
              <w:right w:w="55" w:type="dxa"/>
            </w:tcMar>
            <w:vAlign w:val="bottom"/>
          </w:tcPr>
          <w:p w14:paraId="0EBB791E" w14:textId="77777777" w:rsidR="004D79B8" w:rsidRPr="005402E6" w:rsidRDefault="004D79B8" w:rsidP="001B5E72">
            <w:pPr>
              <w:pStyle w:val="TableContents"/>
              <w:widowControl/>
              <w:suppressLineNumbers w:val="0"/>
              <w:suppressAutoHyphens w:val="0"/>
              <w:spacing w:before="40" w:after="40" w:line="220" w:lineRule="exact"/>
              <w:jc w:val="right"/>
              <w:rPr>
                <w:rFonts w:ascii="Times New Roman" w:hAnsi="Times New Roman" w:cs="Times New Roman"/>
                <w:kern w:val="0"/>
                <w:sz w:val="18"/>
                <w:szCs w:val="22"/>
                <w:lang w:val="en-GB"/>
              </w:rPr>
            </w:pPr>
            <w:r w:rsidRPr="005402E6">
              <w:rPr>
                <w:rFonts w:ascii="Times New Roman" w:hAnsi="Times New Roman" w:cs="Times New Roman"/>
                <w:kern w:val="0"/>
                <w:sz w:val="18"/>
                <w:szCs w:val="22"/>
                <w:lang w:val="en-GB"/>
              </w:rPr>
              <w:t>1318</w:t>
            </w:r>
          </w:p>
        </w:tc>
        <w:tc>
          <w:tcPr>
            <w:tcW w:w="871" w:type="dxa"/>
            <w:shd w:val="clear" w:color="auto" w:fill="auto"/>
            <w:tcMar>
              <w:top w:w="55" w:type="dxa"/>
              <w:left w:w="55" w:type="dxa"/>
              <w:bottom w:w="55" w:type="dxa"/>
              <w:right w:w="55" w:type="dxa"/>
            </w:tcMar>
            <w:vAlign w:val="bottom"/>
          </w:tcPr>
          <w:p w14:paraId="49222068" w14:textId="77777777" w:rsidR="004D79B8" w:rsidRPr="005402E6" w:rsidRDefault="004D79B8" w:rsidP="001B5E72">
            <w:pPr>
              <w:pStyle w:val="TableContents"/>
              <w:widowControl/>
              <w:suppressLineNumbers w:val="0"/>
              <w:suppressAutoHyphens w:val="0"/>
              <w:spacing w:before="40" w:after="40" w:line="220" w:lineRule="exact"/>
              <w:jc w:val="right"/>
              <w:rPr>
                <w:rFonts w:ascii="Times New Roman" w:hAnsi="Times New Roman" w:cs="Times New Roman"/>
                <w:kern w:val="0"/>
                <w:sz w:val="18"/>
                <w:szCs w:val="22"/>
                <w:lang w:val="en-GB"/>
              </w:rPr>
            </w:pPr>
            <w:r w:rsidRPr="005402E6">
              <w:rPr>
                <w:rFonts w:ascii="Times New Roman" w:hAnsi="Times New Roman" w:cs="Times New Roman"/>
                <w:kern w:val="0"/>
                <w:sz w:val="18"/>
                <w:szCs w:val="22"/>
                <w:lang w:val="en-GB"/>
              </w:rPr>
              <w:t>&gt; 1180</w:t>
            </w:r>
          </w:p>
        </w:tc>
      </w:tr>
      <w:tr w:rsidR="004D79B8" w:rsidRPr="005402E6" w14:paraId="0A5E3BA5" w14:textId="77777777" w:rsidTr="001B5E72">
        <w:tc>
          <w:tcPr>
            <w:tcW w:w="993" w:type="dxa"/>
            <w:shd w:val="clear" w:color="auto" w:fill="auto"/>
            <w:tcMar>
              <w:top w:w="55" w:type="dxa"/>
              <w:left w:w="55" w:type="dxa"/>
              <w:bottom w:w="55" w:type="dxa"/>
              <w:right w:w="55" w:type="dxa"/>
            </w:tcMar>
          </w:tcPr>
          <w:p w14:paraId="29C2DF6B" w14:textId="77777777" w:rsidR="004D79B8" w:rsidRPr="005402E6" w:rsidRDefault="004D79B8" w:rsidP="001B5E72">
            <w:pPr>
              <w:pStyle w:val="TableContents"/>
              <w:widowControl/>
              <w:suppressLineNumbers w:val="0"/>
              <w:suppressAutoHyphens w:val="0"/>
              <w:spacing w:before="40" w:after="40" w:line="220" w:lineRule="exact"/>
              <w:rPr>
                <w:rFonts w:ascii="Times New Roman" w:hAnsi="Times New Roman" w:cs="Times New Roman"/>
                <w:b/>
                <w:bCs/>
                <w:kern w:val="0"/>
                <w:sz w:val="18"/>
                <w:szCs w:val="22"/>
                <w:lang w:val="en-GB"/>
              </w:rPr>
            </w:pPr>
            <w:r w:rsidRPr="005402E6">
              <w:rPr>
                <w:rFonts w:ascii="Times New Roman" w:hAnsi="Times New Roman" w:cs="Times New Roman"/>
                <w:b/>
                <w:bCs/>
                <w:kern w:val="0"/>
                <w:sz w:val="18"/>
                <w:szCs w:val="22"/>
                <w:lang w:val="en-GB"/>
              </w:rPr>
              <w:t>LC50 in ppm 1 h</w:t>
            </w:r>
          </w:p>
        </w:tc>
        <w:tc>
          <w:tcPr>
            <w:tcW w:w="847" w:type="dxa"/>
            <w:shd w:val="clear" w:color="auto" w:fill="auto"/>
            <w:tcMar>
              <w:top w:w="55" w:type="dxa"/>
              <w:left w:w="55" w:type="dxa"/>
              <w:bottom w:w="55" w:type="dxa"/>
              <w:right w:w="55" w:type="dxa"/>
            </w:tcMar>
            <w:vAlign w:val="bottom"/>
          </w:tcPr>
          <w:p w14:paraId="3401DD9E" w14:textId="77777777" w:rsidR="004D79B8" w:rsidRPr="00AC29CC" w:rsidRDefault="004D79B8" w:rsidP="001B5E72">
            <w:pPr>
              <w:pStyle w:val="TableContents"/>
              <w:widowControl/>
              <w:suppressLineNumbers w:val="0"/>
              <w:suppressAutoHyphens w:val="0"/>
              <w:spacing w:before="40" w:after="40" w:line="220" w:lineRule="exact"/>
              <w:jc w:val="right"/>
              <w:rPr>
                <w:rFonts w:ascii="Times New Roman" w:hAnsi="Times New Roman" w:cs="Times New Roman"/>
                <w:b/>
                <w:bCs/>
                <w:color w:val="FF0000"/>
                <w:kern w:val="0"/>
                <w:sz w:val="18"/>
                <w:szCs w:val="22"/>
                <w:lang w:val="en-GB"/>
              </w:rPr>
            </w:pPr>
            <w:r w:rsidRPr="00AC29CC">
              <w:rPr>
                <w:rFonts w:ascii="Times New Roman" w:hAnsi="Times New Roman" w:cs="Times New Roman"/>
                <w:b/>
                <w:bCs/>
                <w:color w:val="FF0000"/>
                <w:kern w:val="0"/>
                <w:sz w:val="18"/>
                <w:szCs w:val="22"/>
                <w:lang w:val="en-GB"/>
              </w:rPr>
              <w:t>&gt; 3772 &amp; &lt; 12878</w:t>
            </w:r>
          </w:p>
        </w:tc>
        <w:tc>
          <w:tcPr>
            <w:tcW w:w="974" w:type="dxa"/>
            <w:shd w:val="clear" w:color="auto" w:fill="auto"/>
            <w:tcMar>
              <w:top w:w="55" w:type="dxa"/>
              <w:left w:w="55" w:type="dxa"/>
              <w:bottom w:w="55" w:type="dxa"/>
              <w:right w:w="55" w:type="dxa"/>
            </w:tcMar>
            <w:vAlign w:val="bottom"/>
          </w:tcPr>
          <w:p w14:paraId="469FD6C2" w14:textId="77777777" w:rsidR="004D79B8" w:rsidRPr="005402E6" w:rsidRDefault="004D79B8" w:rsidP="001B5E72">
            <w:pPr>
              <w:pStyle w:val="TableContents"/>
              <w:widowControl/>
              <w:suppressLineNumbers w:val="0"/>
              <w:suppressAutoHyphens w:val="0"/>
              <w:spacing w:before="40" w:after="40" w:line="220" w:lineRule="exact"/>
              <w:jc w:val="right"/>
              <w:rPr>
                <w:rFonts w:ascii="Times New Roman" w:hAnsi="Times New Roman" w:cs="Times New Roman"/>
                <w:kern w:val="0"/>
                <w:sz w:val="18"/>
                <w:szCs w:val="22"/>
              </w:rPr>
            </w:pPr>
            <w:r w:rsidRPr="00D606D3">
              <w:rPr>
                <w:rStyle w:val="Absatz-Standardschriftart1"/>
                <w:bCs/>
                <w:color w:val="00B050"/>
                <w:kern w:val="0"/>
                <w:sz w:val="18"/>
                <w:szCs w:val="22"/>
                <w:lang w:val="en-GB"/>
              </w:rPr>
              <w:t>&lt; 4498***</w:t>
            </w:r>
          </w:p>
        </w:tc>
        <w:tc>
          <w:tcPr>
            <w:tcW w:w="869" w:type="dxa"/>
            <w:shd w:val="clear" w:color="auto" w:fill="auto"/>
            <w:tcMar>
              <w:top w:w="55" w:type="dxa"/>
              <w:left w:w="55" w:type="dxa"/>
              <w:bottom w:w="55" w:type="dxa"/>
              <w:right w:w="55" w:type="dxa"/>
            </w:tcMar>
            <w:vAlign w:val="bottom"/>
          </w:tcPr>
          <w:p w14:paraId="7CFE9A94" w14:textId="77777777" w:rsidR="004D79B8" w:rsidRPr="005402E6" w:rsidRDefault="004D79B8" w:rsidP="001B5E72">
            <w:pPr>
              <w:pStyle w:val="TableContents"/>
              <w:widowControl/>
              <w:suppressLineNumbers w:val="0"/>
              <w:suppressAutoHyphens w:val="0"/>
              <w:spacing w:before="40" w:after="40" w:line="220" w:lineRule="exact"/>
              <w:jc w:val="right"/>
              <w:rPr>
                <w:rFonts w:ascii="Times New Roman" w:hAnsi="Times New Roman" w:cs="Times New Roman"/>
                <w:b/>
                <w:bCs/>
                <w:kern w:val="0"/>
                <w:sz w:val="18"/>
                <w:szCs w:val="22"/>
                <w:lang w:val="en-GB"/>
              </w:rPr>
            </w:pPr>
            <w:r w:rsidRPr="005402E6">
              <w:rPr>
                <w:rFonts w:ascii="Times New Roman" w:hAnsi="Times New Roman" w:cs="Times New Roman"/>
                <w:b/>
                <w:bCs/>
                <w:kern w:val="0"/>
                <w:sz w:val="18"/>
                <w:szCs w:val="22"/>
                <w:lang w:val="en-GB"/>
              </w:rPr>
              <w:t>&gt; 4567 - 4730</w:t>
            </w:r>
          </w:p>
        </w:tc>
        <w:tc>
          <w:tcPr>
            <w:tcW w:w="974" w:type="dxa"/>
            <w:shd w:val="clear" w:color="auto" w:fill="auto"/>
            <w:tcMar>
              <w:top w:w="55" w:type="dxa"/>
              <w:left w:w="55" w:type="dxa"/>
              <w:bottom w:w="55" w:type="dxa"/>
              <w:right w:w="55" w:type="dxa"/>
            </w:tcMar>
            <w:vAlign w:val="bottom"/>
          </w:tcPr>
          <w:p w14:paraId="4E7D1241" w14:textId="77777777" w:rsidR="004D79B8" w:rsidRPr="00AC29CC" w:rsidRDefault="004D79B8" w:rsidP="001B5E72">
            <w:pPr>
              <w:pStyle w:val="TableContents"/>
              <w:widowControl/>
              <w:suppressLineNumbers w:val="0"/>
              <w:suppressAutoHyphens w:val="0"/>
              <w:spacing w:before="40" w:after="40" w:line="220" w:lineRule="exact"/>
              <w:jc w:val="right"/>
              <w:rPr>
                <w:rFonts w:ascii="Times New Roman" w:hAnsi="Times New Roman" w:cs="Times New Roman"/>
                <w:b/>
                <w:bCs/>
                <w:color w:val="FF0000"/>
                <w:kern w:val="0"/>
                <w:sz w:val="18"/>
                <w:szCs w:val="22"/>
                <w:lang w:val="en-GB"/>
              </w:rPr>
            </w:pPr>
            <w:r w:rsidRPr="00AC29CC">
              <w:rPr>
                <w:rFonts w:ascii="Times New Roman" w:hAnsi="Times New Roman" w:cs="Times New Roman"/>
                <w:b/>
                <w:bCs/>
                <w:color w:val="FF0000"/>
                <w:kern w:val="0"/>
                <w:sz w:val="18"/>
                <w:szCs w:val="22"/>
                <w:lang w:val="en-GB"/>
              </w:rPr>
              <w:t>2636</w:t>
            </w:r>
          </w:p>
        </w:tc>
        <w:tc>
          <w:tcPr>
            <w:tcW w:w="869" w:type="dxa"/>
            <w:shd w:val="clear" w:color="auto" w:fill="auto"/>
            <w:tcMar>
              <w:top w:w="55" w:type="dxa"/>
              <w:left w:w="55" w:type="dxa"/>
              <w:bottom w:w="55" w:type="dxa"/>
              <w:right w:w="55" w:type="dxa"/>
            </w:tcMar>
            <w:vAlign w:val="bottom"/>
          </w:tcPr>
          <w:p w14:paraId="2F32366F" w14:textId="77777777" w:rsidR="004D79B8" w:rsidRPr="00AC29CC" w:rsidRDefault="004D79B8" w:rsidP="001B5E72">
            <w:pPr>
              <w:pStyle w:val="TableContents"/>
              <w:widowControl/>
              <w:suppressLineNumbers w:val="0"/>
              <w:suppressAutoHyphens w:val="0"/>
              <w:spacing w:before="40" w:after="40" w:line="220" w:lineRule="exact"/>
              <w:jc w:val="right"/>
              <w:rPr>
                <w:rFonts w:ascii="Times New Roman" w:hAnsi="Times New Roman" w:cs="Times New Roman"/>
                <w:b/>
                <w:bCs/>
                <w:color w:val="FF0000"/>
                <w:kern w:val="0"/>
                <w:sz w:val="18"/>
                <w:szCs w:val="22"/>
                <w:lang w:val="en-GB"/>
              </w:rPr>
            </w:pPr>
            <w:r w:rsidRPr="00AC29CC">
              <w:rPr>
                <w:rFonts w:ascii="Times New Roman" w:hAnsi="Times New Roman" w:cs="Times New Roman"/>
                <w:b/>
                <w:bCs/>
                <w:color w:val="FF0000"/>
                <w:kern w:val="0"/>
                <w:sz w:val="18"/>
                <w:szCs w:val="22"/>
                <w:lang w:val="en-GB"/>
              </w:rPr>
              <w:t>2636</w:t>
            </w:r>
          </w:p>
        </w:tc>
        <w:tc>
          <w:tcPr>
            <w:tcW w:w="973" w:type="dxa"/>
            <w:shd w:val="clear" w:color="auto" w:fill="auto"/>
            <w:tcMar>
              <w:top w:w="55" w:type="dxa"/>
              <w:left w:w="55" w:type="dxa"/>
              <w:bottom w:w="55" w:type="dxa"/>
              <w:right w:w="55" w:type="dxa"/>
            </w:tcMar>
            <w:vAlign w:val="bottom"/>
          </w:tcPr>
          <w:p w14:paraId="345F0C9A" w14:textId="77777777" w:rsidR="004D79B8" w:rsidRPr="00AC29CC" w:rsidRDefault="004D79B8" w:rsidP="001B5E72">
            <w:pPr>
              <w:pStyle w:val="TableContents"/>
              <w:widowControl/>
              <w:suppressLineNumbers w:val="0"/>
              <w:suppressAutoHyphens w:val="0"/>
              <w:spacing w:before="40" w:after="40" w:line="220" w:lineRule="exact"/>
              <w:jc w:val="right"/>
              <w:rPr>
                <w:rFonts w:ascii="Times New Roman" w:hAnsi="Times New Roman" w:cs="Times New Roman"/>
                <w:b/>
                <w:bCs/>
                <w:color w:val="FF0000"/>
                <w:kern w:val="0"/>
                <w:sz w:val="18"/>
                <w:szCs w:val="22"/>
                <w:lang w:val="en-GB"/>
              </w:rPr>
            </w:pPr>
            <w:r w:rsidRPr="00AC29CC">
              <w:rPr>
                <w:rFonts w:ascii="Times New Roman" w:hAnsi="Times New Roman" w:cs="Times New Roman"/>
                <w:b/>
                <w:bCs/>
                <w:color w:val="FF0000"/>
                <w:kern w:val="0"/>
                <w:sz w:val="18"/>
                <w:szCs w:val="22"/>
                <w:lang w:val="en-GB"/>
              </w:rPr>
              <w:t>2636</w:t>
            </w:r>
          </w:p>
        </w:tc>
        <w:tc>
          <w:tcPr>
            <w:tcW w:w="871" w:type="dxa"/>
            <w:shd w:val="clear" w:color="auto" w:fill="auto"/>
            <w:tcMar>
              <w:top w:w="55" w:type="dxa"/>
              <w:left w:w="55" w:type="dxa"/>
              <w:bottom w:w="55" w:type="dxa"/>
              <w:right w:w="55" w:type="dxa"/>
            </w:tcMar>
            <w:vAlign w:val="bottom"/>
          </w:tcPr>
          <w:p w14:paraId="3D734657" w14:textId="77777777" w:rsidR="004D79B8" w:rsidRPr="00AC29CC" w:rsidRDefault="004D79B8" w:rsidP="001B5E72">
            <w:pPr>
              <w:pStyle w:val="TableContents"/>
              <w:widowControl/>
              <w:suppressLineNumbers w:val="0"/>
              <w:suppressAutoHyphens w:val="0"/>
              <w:spacing w:before="40" w:after="40" w:line="220" w:lineRule="exact"/>
              <w:jc w:val="right"/>
              <w:rPr>
                <w:rFonts w:ascii="Times New Roman" w:hAnsi="Times New Roman" w:cs="Times New Roman"/>
                <w:b/>
                <w:bCs/>
                <w:color w:val="FF0000"/>
                <w:kern w:val="0"/>
                <w:sz w:val="18"/>
                <w:szCs w:val="22"/>
                <w:lang w:val="en-GB"/>
              </w:rPr>
            </w:pPr>
            <w:r w:rsidRPr="00AC29CC">
              <w:rPr>
                <w:rFonts w:ascii="Times New Roman" w:hAnsi="Times New Roman" w:cs="Times New Roman"/>
                <w:b/>
                <w:bCs/>
                <w:color w:val="FF0000"/>
                <w:kern w:val="0"/>
                <w:sz w:val="18"/>
                <w:szCs w:val="22"/>
                <w:lang w:val="en-GB"/>
              </w:rPr>
              <w:t>2360</w:t>
            </w:r>
          </w:p>
        </w:tc>
      </w:tr>
      <w:tr w:rsidR="004D79B8" w:rsidRPr="005402E6" w14:paraId="73145AFE" w14:textId="77777777" w:rsidTr="001B5E72">
        <w:tc>
          <w:tcPr>
            <w:tcW w:w="993" w:type="dxa"/>
            <w:shd w:val="clear" w:color="auto" w:fill="auto"/>
            <w:tcMar>
              <w:top w:w="55" w:type="dxa"/>
              <w:left w:w="55" w:type="dxa"/>
              <w:bottom w:w="55" w:type="dxa"/>
              <w:right w:w="55" w:type="dxa"/>
            </w:tcMar>
          </w:tcPr>
          <w:p w14:paraId="5C22D9B8" w14:textId="77777777" w:rsidR="004D79B8" w:rsidRPr="005402E6" w:rsidRDefault="004D79B8" w:rsidP="001B5E72">
            <w:pPr>
              <w:pStyle w:val="TableContents"/>
              <w:widowControl/>
              <w:suppressLineNumbers w:val="0"/>
              <w:suppressAutoHyphens w:val="0"/>
              <w:spacing w:before="40" w:after="40" w:line="220" w:lineRule="exact"/>
              <w:rPr>
                <w:rFonts w:ascii="Times New Roman" w:hAnsi="Times New Roman" w:cs="Times New Roman"/>
                <w:b/>
                <w:bCs/>
                <w:kern w:val="0"/>
                <w:sz w:val="18"/>
                <w:szCs w:val="22"/>
                <w:lang w:val="en-GB"/>
              </w:rPr>
            </w:pPr>
            <w:r w:rsidRPr="005402E6">
              <w:rPr>
                <w:rFonts w:ascii="Times New Roman" w:hAnsi="Times New Roman" w:cs="Times New Roman"/>
                <w:b/>
                <w:bCs/>
                <w:kern w:val="0"/>
                <w:sz w:val="18"/>
                <w:szCs w:val="22"/>
                <w:lang w:val="en-GB"/>
              </w:rPr>
              <w:t>Other information</w:t>
            </w:r>
          </w:p>
        </w:tc>
        <w:tc>
          <w:tcPr>
            <w:tcW w:w="847" w:type="dxa"/>
            <w:shd w:val="clear" w:color="auto" w:fill="auto"/>
            <w:tcMar>
              <w:top w:w="55" w:type="dxa"/>
              <w:left w:w="55" w:type="dxa"/>
              <w:bottom w:w="55" w:type="dxa"/>
              <w:right w:w="55" w:type="dxa"/>
            </w:tcMar>
            <w:vAlign w:val="bottom"/>
          </w:tcPr>
          <w:p w14:paraId="40074B33" w14:textId="77777777" w:rsidR="004D79B8" w:rsidRPr="005402E6" w:rsidRDefault="004D79B8" w:rsidP="001B5E72">
            <w:pPr>
              <w:pStyle w:val="TableContents"/>
              <w:widowControl/>
              <w:suppressLineNumbers w:val="0"/>
              <w:suppressAutoHyphens w:val="0"/>
              <w:spacing w:before="40" w:after="40" w:line="220" w:lineRule="exact"/>
              <w:jc w:val="right"/>
              <w:rPr>
                <w:rFonts w:ascii="Times New Roman" w:hAnsi="Times New Roman" w:cs="Times New Roman"/>
                <w:kern w:val="0"/>
                <w:sz w:val="18"/>
                <w:szCs w:val="22"/>
                <w:lang w:val="en-GB"/>
              </w:rPr>
            </w:pPr>
            <w:r w:rsidRPr="005402E6">
              <w:rPr>
                <w:rFonts w:ascii="Times New Roman" w:hAnsi="Times New Roman" w:cs="Times New Roman"/>
                <w:kern w:val="0"/>
                <w:sz w:val="18"/>
                <w:szCs w:val="22"/>
                <w:lang w:val="en-GB"/>
              </w:rPr>
              <w:t>No</w:t>
            </w:r>
          </w:p>
        </w:tc>
        <w:tc>
          <w:tcPr>
            <w:tcW w:w="974" w:type="dxa"/>
            <w:shd w:val="clear" w:color="auto" w:fill="auto"/>
            <w:tcMar>
              <w:top w:w="55" w:type="dxa"/>
              <w:left w:w="55" w:type="dxa"/>
              <w:bottom w:w="55" w:type="dxa"/>
              <w:right w:w="55" w:type="dxa"/>
            </w:tcMar>
            <w:vAlign w:val="bottom"/>
          </w:tcPr>
          <w:p w14:paraId="72DCB7D2" w14:textId="77777777" w:rsidR="004D79B8" w:rsidRPr="005402E6" w:rsidRDefault="004D79B8" w:rsidP="001B5E72">
            <w:pPr>
              <w:pStyle w:val="TableContents"/>
              <w:widowControl/>
              <w:suppressLineNumbers w:val="0"/>
              <w:suppressAutoHyphens w:val="0"/>
              <w:spacing w:before="40" w:after="40" w:line="220" w:lineRule="exact"/>
              <w:jc w:val="right"/>
              <w:rPr>
                <w:rFonts w:ascii="Times New Roman" w:hAnsi="Times New Roman" w:cs="Times New Roman"/>
                <w:kern w:val="0"/>
                <w:sz w:val="18"/>
                <w:szCs w:val="22"/>
                <w:lang w:val="en-GB"/>
              </w:rPr>
            </w:pPr>
            <w:r w:rsidRPr="005402E6">
              <w:rPr>
                <w:rFonts w:ascii="Times New Roman" w:hAnsi="Times New Roman" w:cs="Times New Roman"/>
                <w:kern w:val="0"/>
                <w:sz w:val="18"/>
                <w:szCs w:val="22"/>
                <w:lang w:val="en-GB"/>
              </w:rPr>
              <w:t>All died</w:t>
            </w:r>
          </w:p>
        </w:tc>
        <w:tc>
          <w:tcPr>
            <w:tcW w:w="869" w:type="dxa"/>
            <w:shd w:val="clear" w:color="auto" w:fill="auto"/>
            <w:tcMar>
              <w:top w:w="55" w:type="dxa"/>
              <w:left w:w="55" w:type="dxa"/>
              <w:bottom w:w="55" w:type="dxa"/>
              <w:right w:w="55" w:type="dxa"/>
            </w:tcMar>
            <w:vAlign w:val="bottom"/>
          </w:tcPr>
          <w:p w14:paraId="1884DA65" w14:textId="77777777" w:rsidR="004D79B8" w:rsidRPr="005402E6" w:rsidRDefault="004D79B8" w:rsidP="001B5E72">
            <w:pPr>
              <w:pStyle w:val="TableContents"/>
              <w:widowControl/>
              <w:suppressLineNumbers w:val="0"/>
              <w:suppressAutoHyphens w:val="0"/>
              <w:spacing w:before="40" w:after="40" w:line="220" w:lineRule="exact"/>
              <w:jc w:val="right"/>
              <w:rPr>
                <w:rFonts w:ascii="Times New Roman" w:hAnsi="Times New Roman" w:cs="Times New Roman"/>
                <w:kern w:val="0"/>
                <w:sz w:val="18"/>
                <w:szCs w:val="22"/>
                <w:lang w:val="en-GB"/>
              </w:rPr>
            </w:pPr>
            <w:r w:rsidRPr="005402E6">
              <w:rPr>
                <w:rFonts w:ascii="Times New Roman" w:hAnsi="Times New Roman" w:cs="Times New Roman"/>
                <w:kern w:val="0"/>
                <w:sz w:val="18"/>
                <w:szCs w:val="22"/>
                <w:lang w:val="en-GB"/>
              </w:rPr>
              <w:t>No death</w:t>
            </w:r>
          </w:p>
        </w:tc>
        <w:tc>
          <w:tcPr>
            <w:tcW w:w="974" w:type="dxa"/>
            <w:shd w:val="clear" w:color="auto" w:fill="auto"/>
            <w:tcMar>
              <w:top w:w="55" w:type="dxa"/>
              <w:left w:w="55" w:type="dxa"/>
              <w:bottom w:w="55" w:type="dxa"/>
              <w:right w:w="55" w:type="dxa"/>
            </w:tcMar>
            <w:vAlign w:val="bottom"/>
          </w:tcPr>
          <w:p w14:paraId="3BBB05C5" w14:textId="77777777" w:rsidR="004D79B8" w:rsidRPr="005402E6" w:rsidRDefault="004D79B8" w:rsidP="001B5E72">
            <w:pPr>
              <w:pStyle w:val="TableContents"/>
              <w:widowControl/>
              <w:suppressLineNumbers w:val="0"/>
              <w:suppressAutoHyphens w:val="0"/>
              <w:spacing w:before="40" w:after="40" w:line="220" w:lineRule="exact"/>
              <w:jc w:val="right"/>
              <w:rPr>
                <w:rFonts w:ascii="Times New Roman" w:hAnsi="Times New Roman" w:cs="Times New Roman"/>
                <w:kern w:val="0"/>
                <w:sz w:val="18"/>
                <w:szCs w:val="22"/>
                <w:lang w:val="en-GB"/>
              </w:rPr>
            </w:pPr>
            <w:r w:rsidRPr="005402E6">
              <w:rPr>
                <w:rFonts w:ascii="Times New Roman" w:hAnsi="Times New Roman" w:cs="Times New Roman"/>
                <w:kern w:val="0"/>
                <w:sz w:val="18"/>
                <w:szCs w:val="22"/>
                <w:lang w:val="en-GB"/>
              </w:rPr>
              <w:t>no</w:t>
            </w:r>
          </w:p>
        </w:tc>
        <w:tc>
          <w:tcPr>
            <w:tcW w:w="869" w:type="dxa"/>
            <w:shd w:val="clear" w:color="auto" w:fill="auto"/>
            <w:tcMar>
              <w:top w:w="55" w:type="dxa"/>
              <w:left w:w="55" w:type="dxa"/>
              <w:bottom w:w="55" w:type="dxa"/>
              <w:right w:w="55" w:type="dxa"/>
            </w:tcMar>
            <w:vAlign w:val="bottom"/>
          </w:tcPr>
          <w:p w14:paraId="10D92F6F" w14:textId="77777777" w:rsidR="004D79B8" w:rsidRPr="005402E6" w:rsidRDefault="004D79B8" w:rsidP="001B5E72">
            <w:pPr>
              <w:pStyle w:val="TableContents"/>
              <w:widowControl/>
              <w:suppressLineNumbers w:val="0"/>
              <w:suppressAutoHyphens w:val="0"/>
              <w:spacing w:before="40" w:after="40" w:line="220" w:lineRule="exact"/>
              <w:jc w:val="right"/>
              <w:rPr>
                <w:rFonts w:ascii="Times New Roman" w:hAnsi="Times New Roman" w:cs="Times New Roman"/>
                <w:kern w:val="0"/>
                <w:sz w:val="18"/>
                <w:szCs w:val="22"/>
                <w:lang w:val="en-GB"/>
              </w:rPr>
            </w:pPr>
            <w:r w:rsidRPr="005402E6">
              <w:rPr>
                <w:rFonts w:ascii="Times New Roman" w:hAnsi="Times New Roman" w:cs="Times New Roman"/>
                <w:kern w:val="0"/>
                <w:sz w:val="18"/>
                <w:szCs w:val="22"/>
                <w:lang w:val="en-GB"/>
              </w:rPr>
              <w:t>no</w:t>
            </w:r>
          </w:p>
        </w:tc>
        <w:tc>
          <w:tcPr>
            <w:tcW w:w="973" w:type="dxa"/>
            <w:shd w:val="clear" w:color="auto" w:fill="auto"/>
            <w:tcMar>
              <w:top w:w="55" w:type="dxa"/>
              <w:left w:w="55" w:type="dxa"/>
              <w:bottom w:w="55" w:type="dxa"/>
              <w:right w:w="55" w:type="dxa"/>
            </w:tcMar>
            <w:vAlign w:val="bottom"/>
          </w:tcPr>
          <w:p w14:paraId="76FD7922" w14:textId="77777777" w:rsidR="004D79B8" w:rsidRPr="005402E6" w:rsidRDefault="004D79B8" w:rsidP="001B5E72">
            <w:pPr>
              <w:pStyle w:val="TableContents"/>
              <w:widowControl/>
              <w:suppressLineNumbers w:val="0"/>
              <w:suppressAutoHyphens w:val="0"/>
              <w:spacing w:before="40" w:after="40" w:line="220" w:lineRule="exact"/>
              <w:jc w:val="right"/>
              <w:rPr>
                <w:rFonts w:ascii="Times New Roman" w:hAnsi="Times New Roman" w:cs="Times New Roman"/>
                <w:kern w:val="0"/>
                <w:sz w:val="18"/>
                <w:szCs w:val="22"/>
                <w:lang w:val="en-GB"/>
              </w:rPr>
            </w:pPr>
            <w:r w:rsidRPr="005402E6">
              <w:rPr>
                <w:rFonts w:ascii="Times New Roman" w:hAnsi="Times New Roman" w:cs="Times New Roman"/>
                <w:kern w:val="0"/>
                <w:sz w:val="18"/>
                <w:szCs w:val="22"/>
                <w:lang w:val="en-GB"/>
              </w:rPr>
              <w:t>no</w:t>
            </w:r>
          </w:p>
        </w:tc>
        <w:tc>
          <w:tcPr>
            <w:tcW w:w="871" w:type="dxa"/>
            <w:shd w:val="clear" w:color="auto" w:fill="auto"/>
            <w:tcMar>
              <w:top w:w="55" w:type="dxa"/>
              <w:left w:w="55" w:type="dxa"/>
              <w:bottom w:w="55" w:type="dxa"/>
              <w:right w:w="55" w:type="dxa"/>
            </w:tcMar>
            <w:vAlign w:val="bottom"/>
          </w:tcPr>
          <w:p w14:paraId="751CF5F3" w14:textId="77777777" w:rsidR="004D79B8" w:rsidRPr="005402E6" w:rsidRDefault="004D79B8" w:rsidP="001B5E72">
            <w:pPr>
              <w:pStyle w:val="TableContents"/>
              <w:widowControl/>
              <w:suppressLineNumbers w:val="0"/>
              <w:suppressAutoHyphens w:val="0"/>
              <w:spacing w:before="40" w:after="40" w:line="220" w:lineRule="exact"/>
              <w:jc w:val="right"/>
              <w:rPr>
                <w:rFonts w:ascii="Times New Roman" w:hAnsi="Times New Roman" w:cs="Times New Roman"/>
                <w:kern w:val="0"/>
                <w:sz w:val="18"/>
                <w:szCs w:val="22"/>
                <w:lang w:val="en-GB"/>
              </w:rPr>
            </w:pPr>
            <w:r w:rsidRPr="005402E6">
              <w:rPr>
                <w:rFonts w:ascii="Times New Roman" w:hAnsi="Times New Roman" w:cs="Times New Roman"/>
                <w:kern w:val="0"/>
                <w:sz w:val="18"/>
                <w:szCs w:val="22"/>
                <w:lang w:val="en-GB"/>
              </w:rPr>
              <w:t>no</w:t>
            </w:r>
          </w:p>
        </w:tc>
      </w:tr>
      <w:tr w:rsidR="004D79B8" w:rsidRPr="005402E6" w14:paraId="1E9E296D" w14:textId="77777777" w:rsidTr="001B5E72">
        <w:tc>
          <w:tcPr>
            <w:tcW w:w="993" w:type="dxa"/>
            <w:shd w:val="clear" w:color="auto" w:fill="auto"/>
            <w:tcMar>
              <w:top w:w="55" w:type="dxa"/>
              <w:left w:w="55" w:type="dxa"/>
              <w:bottom w:w="55" w:type="dxa"/>
              <w:right w:w="55" w:type="dxa"/>
            </w:tcMar>
          </w:tcPr>
          <w:p w14:paraId="6EF3BBE1" w14:textId="77777777" w:rsidR="004D79B8" w:rsidRPr="005402E6" w:rsidRDefault="004D79B8" w:rsidP="001B5E72">
            <w:pPr>
              <w:pStyle w:val="TableContents"/>
              <w:widowControl/>
              <w:suppressLineNumbers w:val="0"/>
              <w:suppressAutoHyphens w:val="0"/>
              <w:spacing w:before="40" w:after="40" w:line="220" w:lineRule="exact"/>
              <w:rPr>
                <w:rFonts w:ascii="Times New Roman" w:hAnsi="Times New Roman" w:cs="Times New Roman"/>
                <w:b/>
                <w:bCs/>
                <w:kern w:val="0"/>
                <w:sz w:val="18"/>
                <w:szCs w:val="22"/>
                <w:lang w:val="en-GB"/>
              </w:rPr>
            </w:pPr>
            <w:r w:rsidRPr="005402E6">
              <w:rPr>
                <w:rFonts w:ascii="Times New Roman" w:hAnsi="Times New Roman" w:cs="Times New Roman"/>
                <w:b/>
                <w:bCs/>
                <w:kern w:val="0"/>
                <w:sz w:val="18"/>
                <w:szCs w:val="22"/>
                <w:lang w:val="en-GB"/>
              </w:rPr>
              <w:t>GHS*</w:t>
            </w:r>
          </w:p>
          <w:p w14:paraId="177B9F73" w14:textId="77777777" w:rsidR="004D79B8" w:rsidRPr="005402E6" w:rsidRDefault="004D79B8" w:rsidP="001B5E72">
            <w:pPr>
              <w:pStyle w:val="TableContents"/>
              <w:widowControl/>
              <w:suppressLineNumbers w:val="0"/>
              <w:suppressAutoHyphens w:val="0"/>
              <w:spacing w:before="40" w:after="40" w:line="220" w:lineRule="exact"/>
              <w:rPr>
                <w:rFonts w:ascii="Times New Roman" w:hAnsi="Times New Roman" w:cs="Times New Roman"/>
                <w:kern w:val="0"/>
                <w:sz w:val="18"/>
                <w:szCs w:val="22"/>
                <w:lang w:val="en-GB"/>
              </w:rPr>
            </w:pPr>
            <w:r w:rsidRPr="005402E6">
              <w:rPr>
                <w:rFonts w:ascii="Times New Roman" w:hAnsi="Times New Roman" w:cs="Times New Roman"/>
                <w:kern w:val="0"/>
                <w:sz w:val="18"/>
                <w:szCs w:val="22"/>
                <w:lang w:val="en-GB"/>
              </w:rPr>
              <w:t>3.1.3.3 (4h)</w:t>
            </w:r>
          </w:p>
        </w:tc>
        <w:tc>
          <w:tcPr>
            <w:tcW w:w="847" w:type="dxa"/>
            <w:shd w:val="clear" w:color="auto" w:fill="auto"/>
            <w:tcMar>
              <w:top w:w="55" w:type="dxa"/>
              <w:left w:w="55" w:type="dxa"/>
              <w:bottom w:w="55" w:type="dxa"/>
              <w:right w:w="55" w:type="dxa"/>
            </w:tcMar>
            <w:vAlign w:val="bottom"/>
          </w:tcPr>
          <w:p w14:paraId="7CA0CA3A" w14:textId="77777777" w:rsidR="004D79B8" w:rsidRPr="005402E6" w:rsidRDefault="004D79B8" w:rsidP="001B5E72">
            <w:pPr>
              <w:pStyle w:val="TableContents"/>
              <w:widowControl/>
              <w:suppressLineNumbers w:val="0"/>
              <w:suppressAutoHyphens w:val="0"/>
              <w:spacing w:before="40" w:after="40" w:line="220" w:lineRule="exact"/>
              <w:jc w:val="right"/>
              <w:rPr>
                <w:rFonts w:ascii="Times New Roman" w:hAnsi="Times New Roman" w:cs="Times New Roman"/>
                <w:kern w:val="0"/>
                <w:sz w:val="18"/>
                <w:szCs w:val="22"/>
                <w:lang w:val="en-GB"/>
              </w:rPr>
            </w:pPr>
            <w:r w:rsidRPr="005402E6">
              <w:rPr>
                <w:rFonts w:ascii="Times New Roman" w:hAnsi="Times New Roman" w:cs="Times New Roman"/>
                <w:kern w:val="0"/>
                <w:sz w:val="18"/>
                <w:szCs w:val="22"/>
                <w:lang w:val="en-GB"/>
              </w:rPr>
              <w:t>Cat 4/5</w:t>
            </w:r>
          </w:p>
        </w:tc>
        <w:tc>
          <w:tcPr>
            <w:tcW w:w="974" w:type="dxa"/>
            <w:shd w:val="clear" w:color="auto" w:fill="auto"/>
            <w:tcMar>
              <w:top w:w="55" w:type="dxa"/>
              <w:left w:w="55" w:type="dxa"/>
              <w:bottom w:w="55" w:type="dxa"/>
              <w:right w:w="55" w:type="dxa"/>
            </w:tcMar>
            <w:vAlign w:val="bottom"/>
          </w:tcPr>
          <w:p w14:paraId="3F7B0FE7" w14:textId="77777777" w:rsidR="004D79B8" w:rsidRPr="005402E6" w:rsidRDefault="004D79B8" w:rsidP="001B5E72">
            <w:pPr>
              <w:pStyle w:val="TableContents"/>
              <w:widowControl/>
              <w:suppressLineNumbers w:val="0"/>
              <w:suppressAutoHyphens w:val="0"/>
              <w:spacing w:before="40" w:after="40" w:line="220" w:lineRule="exact"/>
              <w:jc w:val="right"/>
              <w:rPr>
                <w:rFonts w:ascii="Times New Roman" w:hAnsi="Times New Roman" w:cs="Times New Roman"/>
                <w:kern w:val="0"/>
                <w:sz w:val="18"/>
                <w:szCs w:val="22"/>
                <w:lang w:val="en-GB"/>
              </w:rPr>
            </w:pPr>
            <w:r w:rsidRPr="005402E6">
              <w:rPr>
                <w:rFonts w:ascii="Times New Roman" w:hAnsi="Times New Roman" w:cs="Times New Roman"/>
                <w:kern w:val="0"/>
                <w:sz w:val="18"/>
                <w:szCs w:val="22"/>
                <w:lang w:val="en-GB"/>
              </w:rPr>
              <w:t>Cat 4</w:t>
            </w:r>
          </w:p>
        </w:tc>
        <w:tc>
          <w:tcPr>
            <w:tcW w:w="869" w:type="dxa"/>
            <w:shd w:val="clear" w:color="auto" w:fill="auto"/>
            <w:tcMar>
              <w:top w:w="55" w:type="dxa"/>
              <w:left w:w="55" w:type="dxa"/>
              <w:bottom w:w="55" w:type="dxa"/>
              <w:right w:w="55" w:type="dxa"/>
            </w:tcMar>
            <w:vAlign w:val="bottom"/>
          </w:tcPr>
          <w:p w14:paraId="6F1DDC12" w14:textId="77777777" w:rsidR="004D79B8" w:rsidRPr="005402E6" w:rsidRDefault="004D79B8" w:rsidP="001B5E72">
            <w:pPr>
              <w:pStyle w:val="TableContents"/>
              <w:widowControl/>
              <w:suppressLineNumbers w:val="0"/>
              <w:suppressAutoHyphens w:val="0"/>
              <w:spacing w:before="40" w:after="40" w:line="220" w:lineRule="exact"/>
              <w:jc w:val="right"/>
              <w:rPr>
                <w:rFonts w:ascii="Times New Roman" w:hAnsi="Times New Roman" w:cs="Times New Roman"/>
                <w:kern w:val="0"/>
                <w:sz w:val="18"/>
                <w:szCs w:val="22"/>
                <w:lang w:val="en-GB"/>
              </w:rPr>
            </w:pPr>
            <w:r w:rsidRPr="005402E6">
              <w:rPr>
                <w:rFonts w:ascii="Times New Roman" w:hAnsi="Times New Roman" w:cs="Times New Roman"/>
                <w:kern w:val="0"/>
                <w:sz w:val="18"/>
                <w:szCs w:val="22"/>
                <w:lang w:val="en-GB"/>
              </w:rPr>
              <w:t>Cat 4</w:t>
            </w:r>
          </w:p>
        </w:tc>
        <w:tc>
          <w:tcPr>
            <w:tcW w:w="974" w:type="dxa"/>
            <w:shd w:val="clear" w:color="auto" w:fill="auto"/>
            <w:tcMar>
              <w:top w:w="55" w:type="dxa"/>
              <w:left w:w="55" w:type="dxa"/>
              <w:bottom w:w="55" w:type="dxa"/>
              <w:right w:w="55" w:type="dxa"/>
            </w:tcMar>
            <w:vAlign w:val="bottom"/>
          </w:tcPr>
          <w:p w14:paraId="67907F7F" w14:textId="77777777" w:rsidR="004D79B8" w:rsidRPr="005402E6" w:rsidRDefault="004D79B8" w:rsidP="001B5E72">
            <w:pPr>
              <w:pStyle w:val="TableContents"/>
              <w:widowControl/>
              <w:suppressLineNumbers w:val="0"/>
              <w:suppressAutoHyphens w:val="0"/>
              <w:spacing w:before="40" w:after="40" w:line="220" w:lineRule="exact"/>
              <w:jc w:val="right"/>
              <w:rPr>
                <w:rFonts w:ascii="Times New Roman" w:hAnsi="Times New Roman" w:cs="Times New Roman"/>
                <w:kern w:val="0"/>
                <w:sz w:val="18"/>
                <w:szCs w:val="22"/>
                <w:lang w:val="en-GB"/>
              </w:rPr>
            </w:pPr>
            <w:r w:rsidRPr="005402E6">
              <w:rPr>
                <w:rFonts w:ascii="Times New Roman" w:hAnsi="Times New Roman" w:cs="Times New Roman"/>
                <w:kern w:val="0"/>
                <w:sz w:val="18"/>
                <w:szCs w:val="22"/>
                <w:lang w:val="en-GB"/>
              </w:rPr>
              <w:t>Cat 3</w:t>
            </w:r>
          </w:p>
        </w:tc>
        <w:tc>
          <w:tcPr>
            <w:tcW w:w="869" w:type="dxa"/>
            <w:shd w:val="clear" w:color="auto" w:fill="auto"/>
            <w:tcMar>
              <w:top w:w="55" w:type="dxa"/>
              <w:left w:w="55" w:type="dxa"/>
              <w:bottom w:w="55" w:type="dxa"/>
              <w:right w:w="55" w:type="dxa"/>
            </w:tcMar>
            <w:vAlign w:val="bottom"/>
          </w:tcPr>
          <w:p w14:paraId="2D7806C7" w14:textId="77777777" w:rsidR="004D79B8" w:rsidRPr="005402E6" w:rsidRDefault="004D79B8" w:rsidP="001B5E72">
            <w:pPr>
              <w:pStyle w:val="TableContents"/>
              <w:widowControl/>
              <w:suppressLineNumbers w:val="0"/>
              <w:suppressAutoHyphens w:val="0"/>
              <w:spacing w:before="40" w:after="40" w:line="220" w:lineRule="exact"/>
              <w:jc w:val="right"/>
              <w:rPr>
                <w:rFonts w:ascii="Times New Roman" w:hAnsi="Times New Roman" w:cs="Times New Roman"/>
                <w:kern w:val="0"/>
                <w:sz w:val="18"/>
                <w:szCs w:val="22"/>
                <w:lang w:val="en-GB"/>
              </w:rPr>
            </w:pPr>
            <w:r w:rsidRPr="005402E6">
              <w:rPr>
                <w:rFonts w:ascii="Times New Roman" w:hAnsi="Times New Roman" w:cs="Times New Roman"/>
                <w:kern w:val="0"/>
                <w:sz w:val="18"/>
                <w:szCs w:val="22"/>
                <w:lang w:val="en-GB"/>
              </w:rPr>
              <w:t>Cat 3</w:t>
            </w:r>
          </w:p>
        </w:tc>
        <w:tc>
          <w:tcPr>
            <w:tcW w:w="973" w:type="dxa"/>
            <w:shd w:val="clear" w:color="auto" w:fill="auto"/>
            <w:tcMar>
              <w:top w:w="55" w:type="dxa"/>
              <w:left w:w="55" w:type="dxa"/>
              <w:bottom w:w="55" w:type="dxa"/>
              <w:right w:w="55" w:type="dxa"/>
            </w:tcMar>
            <w:vAlign w:val="bottom"/>
          </w:tcPr>
          <w:p w14:paraId="70A8B963" w14:textId="77777777" w:rsidR="004D79B8" w:rsidRPr="005402E6" w:rsidRDefault="004D79B8" w:rsidP="001B5E72">
            <w:pPr>
              <w:pStyle w:val="TableContents"/>
              <w:widowControl/>
              <w:suppressLineNumbers w:val="0"/>
              <w:suppressAutoHyphens w:val="0"/>
              <w:spacing w:before="40" w:after="40" w:line="220" w:lineRule="exact"/>
              <w:jc w:val="right"/>
              <w:rPr>
                <w:rFonts w:ascii="Times New Roman" w:hAnsi="Times New Roman" w:cs="Times New Roman"/>
                <w:kern w:val="0"/>
                <w:sz w:val="18"/>
                <w:szCs w:val="22"/>
                <w:lang w:val="en-GB"/>
              </w:rPr>
            </w:pPr>
            <w:r w:rsidRPr="005402E6">
              <w:rPr>
                <w:rFonts w:ascii="Times New Roman" w:hAnsi="Times New Roman" w:cs="Times New Roman"/>
                <w:kern w:val="0"/>
                <w:sz w:val="18"/>
                <w:szCs w:val="22"/>
                <w:lang w:val="en-GB"/>
              </w:rPr>
              <w:t>Cat 3</w:t>
            </w:r>
          </w:p>
        </w:tc>
        <w:tc>
          <w:tcPr>
            <w:tcW w:w="871" w:type="dxa"/>
            <w:shd w:val="clear" w:color="auto" w:fill="auto"/>
            <w:tcMar>
              <w:top w:w="55" w:type="dxa"/>
              <w:left w:w="55" w:type="dxa"/>
              <w:bottom w:w="55" w:type="dxa"/>
              <w:right w:w="55" w:type="dxa"/>
            </w:tcMar>
            <w:vAlign w:val="bottom"/>
          </w:tcPr>
          <w:p w14:paraId="13DCF48B" w14:textId="77777777" w:rsidR="004D79B8" w:rsidRPr="005402E6" w:rsidRDefault="004D79B8" w:rsidP="001B5E72">
            <w:pPr>
              <w:pStyle w:val="TableContents"/>
              <w:widowControl/>
              <w:suppressLineNumbers w:val="0"/>
              <w:suppressAutoHyphens w:val="0"/>
              <w:spacing w:before="40" w:after="40" w:line="220" w:lineRule="exact"/>
              <w:jc w:val="right"/>
              <w:rPr>
                <w:rFonts w:ascii="Times New Roman" w:hAnsi="Times New Roman" w:cs="Times New Roman"/>
                <w:kern w:val="0"/>
                <w:sz w:val="18"/>
                <w:szCs w:val="22"/>
                <w:lang w:val="en-GB"/>
              </w:rPr>
            </w:pPr>
            <w:r w:rsidRPr="005402E6">
              <w:rPr>
                <w:rFonts w:ascii="Times New Roman" w:hAnsi="Times New Roman" w:cs="Times New Roman"/>
                <w:kern w:val="0"/>
                <w:sz w:val="18"/>
                <w:szCs w:val="22"/>
                <w:lang w:val="en-GB"/>
              </w:rPr>
              <w:t>Cat 3</w:t>
            </w:r>
          </w:p>
        </w:tc>
      </w:tr>
      <w:tr w:rsidR="004D79B8" w:rsidRPr="005402E6" w14:paraId="1E585477" w14:textId="77777777" w:rsidTr="001B5E72">
        <w:tc>
          <w:tcPr>
            <w:tcW w:w="993" w:type="dxa"/>
            <w:shd w:val="clear" w:color="auto" w:fill="auto"/>
            <w:tcMar>
              <w:top w:w="55" w:type="dxa"/>
              <w:left w:w="55" w:type="dxa"/>
              <w:bottom w:w="55" w:type="dxa"/>
              <w:right w:w="55" w:type="dxa"/>
            </w:tcMar>
          </w:tcPr>
          <w:p w14:paraId="34A80587" w14:textId="77777777" w:rsidR="004D79B8" w:rsidRPr="005402E6" w:rsidRDefault="004D79B8" w:rsidP="001B5E72">
            <w:pPr>
              <w:pStyle w:val="TableContents"/>
              <w:widowControl/>
              <w:suppressLineNumbers w:val="0"/>
              <w:suppressAutoHyphens w:val="0"/>
              <w:spacing w:before="40" w:after="40" w:line="220" w:lineRule="exact"/>
              <w:rPr>
                <w:rFonts w:ascii="Times New Roman" w:hAnsi="Times New Roman" w:cs="Times New Roman"/>
                <w:b/>
                <w:bCs/>
                <w:kern w:val="0"/>
                <w:sz w:val="18"/>
                <w:szCs w:val="22"/>
                <w:lang w:val="en-GB"/>
              </w:rPr>
            </w:pPr>
            <w:r w:rsidRPr="005402E6">
              <w:rPr>
                <w:rFonts w:ascii="Times New Roman" w:hAnsi="Times New Roman" w:cs="Times New Roman"/>
                <w:b/>
                <w:bCs/>
                <w:kern w:val="0"/>
                <w:sz w:val="18"/>
                <w:szCs w:val="22"/>
                <w:lang w:val="en-GB"/>
              </w:rPr>
              <w:t>Vapour pressure</w:t>
            </w:r>
          </w:p>
        </w:tc>
        <w:tc>
          <w:tcPr>
            <w:tcW w:w="2690" w:type="dxa"/>
            <w:gridSpan w:val="3"/>
            <w:shd w:val="clear" w:color="auto" w:fill="auto"/>
            <w:tcMar>
              <w:top w:w="55" w:type="dxa"/>
              <w:left w:w="55" w:type="dxa"/>
              <w:bottom w:w="55" w:type="dxa"/>
              <w:right w:w="55" w:type="dxa"/>
            </w:tcMar>
            <w:vAlign w:val="bottom"/>
          </w:tcPr>
          <w:p w14:paraId="2CE8D819" w14:textId="77777777" w:rsidR="004D79B8" w:rsidRPr="005402E6" w:rsidRDefault="004D79B8" w:rsidP="001B5E72">
            <w:pPr>
              <w:pStyle w:val="TableContents"/>
              <w:widowControl/>
              <w:suppressLineNumbers w:val="0"/>
              <w:suppressAutoHyphens w:val="0"/>
              <w:spacing w:before="40" w:after="40" w:line="220" w:lineRule="exact"/>
              <w:jc w:val="right"/>
              <w:rPr>
                <w:rFonts w:ascii="Times New Roman" w:hAnsi="Times New Roman" w:cs="Times New Roman"/>
                <w:kern w:val="0"/>
                <w:sz w:val="18"/>
                <w:szCs w:val="22"/>
                <w:lang w:val="en-GB"/>
              </w:rPr>
            </w:pPr>
            <w:r w:rsidRPr="005402E6">
              <w:rPr>
                <w:rFonts w:ascii="Times New Roman" w:hAnsi="Times New Roman" w:cs="Times New Roman"/>
                <w:kern w:val="0"/>
                <w:sz w:val="18"/>
                <w:szCs w:val="22"/>
                <w:lang w:val="en-GB"/>
              </w:rPr>
              <w:t xml:space="preserve">13,92 </w:t>
            </w:r>
            <w:proofErr w:type="spellStart"/>
            <w:r w:rsidRPr="005402E6">
              <w:rPr>
                <w:rFonts w:ascii="Times New Roman" w:hAnsi="Times New Roman" w:cs="Times New Roman"/>
                <w:kern w:val="0"/>
                <w:sz w:val="18"/>
                <w:szCs w:val="22"/>
                <w:lang w:val="en-GB"/>
              </w:rPr>
              <w:t>hPa</w:t>
            </w:r>
            <w:proofErr w:type="spellEnd"/>
            <w:r w:rsidRPr="005402E6">
              <w:rPr>
                <w:rFonts w:ascii="Times New Roman" w:hAnsi="Times New Roman" w:cs="Times New Roman"/>
                <w:kern w:val="0"/>
                <w:sz w:val="18"/>
                <w:szCs w:val="22"/>
                <w:lang w:val="en-GB"/>
              </w:rPr>
              <w:t xml:space="preserve"> at 20 °C</w:t>
            </w:r>
          </w:p>
          <w:p w14:paraId="7BB6F891" w14:textId="77777777" w:rsidR="004D79B8" w:rsidRPr="005402E6" w:rsidRDefault="004D79B8" w:rsidP="001B5E72">
            <w:pPr>
              <w:pStyle w:val="TableContents"/>
              <w:widowControl/>
              <w:suppressLineNumbers w:val="0"/>
              <w:suppressAutoHyphens w:val="0"/>
              <w:spacing w:before="40" w:after="40" w:line="220" w:lineRule="exact"/>
              <w:jc w:val="right"/>
              <w:rPr>
                <w:rFonts w:ascii="Times New Roman" w:hAnsi="Times New Roman" w:cs="Times New Roman"/>
                <w:kern w:val="0"/>
                <w:sz w:val="18"/>
                <w:szCs w:val="22"/>
                <w:lang w:val="en-GB"/>
              </w:rPr>
            </w:pPr>
            <w:r w:rsidRPr="005402E6">
              <w:rPr>
                <w:rFonts w:ascii="Times New Roman" w:hAnsi="Times New Roman" w:cs="Times New Roman"/>
                <w:kern w:val="0"/>
                <w:sz w:val="18"/>
                <w:szCs w:val="22"/>
                <w:lang w:val="en-GB"/>
              </w:rPr>
              <w:t xml:space="preserve">(19,19 </w:t>
            </w:r>
            <w:proofErr w:type="spellStart"/>
            <w:r w:rsidRPr="005402E6">
              <w:rPr>
                <w:rFonts w:ascii="Times New Roman" w:hAnsi="Times New Roman" w:cs="Times New Roman"/>
                <w:kern w:val="0"/>
                <w:sz w:val="18"/>
                <w:szCs w:val="22"/>
                <w:lang w:val="en-GB"/>
              </w:rPr>
              <w:t>hPa</w:t>
            </w:r>
            <w:proofErr w:type="spellEnd"/>
            <w:r w:rsidRPr="005402E6">
              <w:rPr>
                <w:rFonts w:ascii="Times New Roman" w:hAnsi="Times New Roman" w:cs="Times New Roman"/>
                <w:kern w:val="0"/>
                <w:sz w:val="18"/>
                <w:szCs w:val="22"/>
                <w:lang w:val="en-GB"/>
              </w:rPr>
              <w:t xml:space="preserve"> at 25 °C, 82,55 </w:t>
            </w:r>
            <w:proofErr w:type="spellStart"/>
            <w:r w:rsidRPr="005402E6">
              <w:rPr>
                <w:rFonts w:ascii="Times New Roman" w:hAnsi="Times New Roman" w:cs="Times New Roman"/>
                <w:kern w:val="0"/>
                <w:sz w:val="18"/>
                <w:szCs w:val="22"/>
                <w:lang w:val="en-GB"/>
              </w:rPr>
              <w:t>hPa</w:t>
            </w:r>
            <w:proofErr w:type="spellEnd"/>
            <w:r w:rsidRPr="005402E6">
              <w:rPr>
                <w:rFonts w:ascii="Times New Roman" w:hAnsi="Times New Roman" w:cs="Times New Roman"/>
                <w:kern w:val="0"/>
                <w:sz w:val="18"/>
                <w:szCs w:val="22"/>
                <w:lang w:val="en-GB"/>
              </w:rPr>
              <w:t xml:space="preserve"> at 50°C)</w:t>
            </w:r>
          </w:p>
          <w:p w14:paraId="356AC970" w14:textId="77777777" w:rsidR="004D79B8" w:rsidRPr="005402E6" w:rsidRDefault="004D79B8" w:rsidP="001B5E72">
            <w:pPr>
              <w:pStyle w:val="TableContents"/>
              <w:widowControl/>
              <w:suppressLineNumbers w:val="0"/>
              <w:suppressAutoHyphens w:val="0"/>
              <w:spacing w:before="40" w:after="40" w:line="220" w:lineRule="exact"/>
              <w:jc w:val="right"/>
              <w:rPr>
                <w:rFonts w:ascii="Times New Roman" w:hAnsi="Times New Roman" w:cs="Times New Roman"/>
                <w:kern w:val="0"/>
                <w:sz w:val="18"/>
                <w:szCs w:val="22"/>
                <w:lang w:val="en-GB"/>
              </w:rPr>
            </w:pPr>
            <w:r w:rsidRPr="005402E6">
              <w:rPr>
                <w:rFonts w:ascii="Times New Roman" w:hAnsi="Times New Roman" w:cs="Times New Roman"/>
                <w:kern w:val="0"/>
                <w:sz w:val="18"/>
                <w:szCs w:val="22"/>
                <w:lang w:val="en-GB"/>
              </w:rPr>
              <w:t>according to OECD 104</w:t>
            </w:r>
          </w:p>
        </w:tc>
        <w:tc>
          <w:tcPr>
            <w:tcW w:w="974" w:type="dxa"/>
            <w:shd w:val="clear" w:color="auto" w:fill="auto"/>
            <w:tcMar>
              <w:top w:w="55" w:type="dxa"/>
              <w:left w:w="55" w:type="dxa"/>
              <w:bottom w:w="55" w:type="dxa"/>
              <w:right w:w="55" w:type="dxa"/>
            </w:tcMar>
            <w:vAlign w:val="bottom"/>
          </w:tcPr>
          <w:p w14:paraId="5CBEA3C7" w14:textId="77777777" w:rsidR="004D79B8" w:rsidRPr="005402E6" w:rsidRDefault="004D79B8" w:rsidP="001B5E72">
            <w:pPr>
              <w:pStyle w:val="TableContents"/>
              <w:widowControl/>
              <w:suppressLineNumbers w:val="0"/>
              <w:suppressAutoHyphens w:val="0"/>
              <w:spacing w:before="40" w:after="40" w:line="220" w:lineRule="exact"/>
              <w:jc w:val="right"/>
              <w:rPr>
                <w:rFonts w:ascii="Times New Roman" w:hAnsi="Times New Roman" w:cs="Times New Roman"/>
                <w:kern w:val="0"/>
                <w:sz w:val="18"/>
                <w:szCs w:val="22"/>
                <w:lang w:val="en-GB"/>
              </w:rPr>
            </w:pPr>
            <w:r w:rsidRPr="005402E6">
              <w:rPr>
                <w:rFonts w:ascii="Times New Roman" w:hAnsi="Times New Roman" w:cs="Times New Roman"/>
                <w:kern w:val="0"/>
                <w:sz w:val="18"/>
                <w:szCs w:val="22"/>
                <w:lang w:val="en-GB"/>
              </w:rPr>
              <w:t xml:space="preserve">16,7 </w:t>
            </w:r>
            <w:proofErr w:type="spellStart"/>
            <w:r w:rsidRPr="005402E6">
              <w:rPr>
                <w:rFonts w:ascii="Times New Roman" w:hAnsi="Times New Roman" w:cs="Times New Roman"/>
                <w:kern w:val="0"/>
                <w:sz w:val="18"/>
                <w:szCs w:val="22"/>
                <w:lang w:val="en-GB"/>
              </w:rPr>
              <w:t>Hgmm</w:t>
            </w:r>
            <w:proofErr w:type="spellEnd"/>
            <w:r w:rsidRPr="005402E6">
              <w:rPr>
                <w:rFonts w:ascii="Times New Roman" w:hAnsi="Times New Roman" w:cs="Times New Roman"/>
                <w:kern w:val="0"/>
                <w:sz w:val="18"/>
                <w:szCs w:val="22"/>
                <w:lang w:val="en-GB"/>
              </w:rPr>
              <w:t>,</w:t>
            </w:r>
          </w:p>
          <w:p w14:paraId="189DFE2F" w14:textId="77777777" w:rsidR="004D79B8" w:rsidRPr="005402E6" w:rsidRDefault="004D79B8" w:rsidP="001B5E72">
            <w:pPr>
              <w:pStyle w:val="TableContents"/>
              <w:widowControl/>
              <w:suppressLineNumbers w:val="0"/>
              <w:suppressAutoHyphens w:val="0"/>
              <w:spacing w:before="40" w:after="40" w:line="220" w:lineRule="exact"/>
              <w:jc w:val="right"/>
              <w:rPr>
                <w:rFonts w:ascii="Times New Roman" w:hAnsi="Times New Roman" w:cs="Times New Roman"/>
                <w:kern w:val="0"/>
                <w:sz w:val="18"/>
                <w:szCs w:val="22"/>
                <w:lang w:val="en-GB"/>
              </w:rPr>
            </w:pPr>
            <w:r w:rsidRPr="005402E6">
              <w:rPr>
                <w:rFonts w:ascii="Times New Roman" w:hAnsi="Times New Roman" w:cs="Times New Roman"/>
                <w:kern w:val="0"/>
                <w:sz w:val="18"/>
                <w:szCs w:val="22"/>
                <w:lang w:val="en-GB"/>
              </w:rPr>
              <w:t>? °C</w:t>
            </w:r>
          </w:p>
        </w:tc>
        <w:tc>
          <w:tcPr>
            <w:tcW w:w="869" w:type="dxa"/>
            <w:shd w:val="clear" w:color="auto" w:fill="auto"/>
            <w:tcMar>
              <w:top w:w="55" w:type="dxa"/>
              <w:left w:w="55" w:type="dxa"/>
              <w:bottom w:w="55" w:type="dxa"/>
              <w:right w:w="55" w:type="dxa"/>
            </w:tcMar>
            <w:vAlign w:val="bottom"/>
          </w:tcPr>
          <w:p w14:paraId="002D1257" w14:textId="77777777" w:rsidR="004D79B8" w:rsidRPr="005402E6" w:rsidRDefault="004D79B8" w:rsidP="001B5E72">
            <w:pPr>
              <w:pStyle w:val="TableContents"/>
              <w:widowControl/>
              <w:suppressLineNumbers w:val="0"/>
              <w:suppressAutoHyphens w:val="0"/>
              <w:spacing w:before="40" w:after="40" w:line="220" w:lineRule="exact"/>
              <w:jc w:val="right"/>
              <w:rPr>
                <w:rFonts w:ascii="Times New Roman" w:hAnsi="Times New Roman" w:cs="Times New Roman"/>
                <w:kern w:val="0"/>
                <w:sz w:val="18"/>
                <w:szCs w:val="22"/>
                <w:lang w:val="en-GB"/>
              </w:rPr>
            </w:pPr>
            <w:r w:rsidRPr="005402E6">
              <w:rPr>
                <w:rFonts w:ascii="Times New Roman" w:hAnsi="Times New Roman" w:cs="Times New Roman"/>
                <w:kern w:val="0"/>
                <w:sz w:val="18"/>
                <w:szCs w:val="22"/>
                <w:lang w:val="en-GB"/>
              </w:rPr>
              <w:t>No data</w:t>
            </w:r>
          </w:p>
        </w:tc>
        <w:tc>
          <w:tcPr>
            <w:tcW w:w="1844" w:type="dxa"/>
            <w:gridSpan w:val="2"/>
            <w:shd w:val="clear" w:color="auto" w:fill="auto"/>
            <w:tcMar>
              <w:top w:w="55" w:type="dxa"/>
              <w:left w:w="55" w:type="dxa"/>
              <w:bottom w:w="55" w:type="dxa"/>
              <w:right w:w="55" w:type="dxa"/>
            </w:tcMar>
            <w:vAlign w:val="bottom"/>
          </w:tcPr>
          <w:p w14:paraId="5C254F19" w14:textId="77777777" w:rsidR="004D79B8" w:rsidRPr="005402E6" w:rsidRDefault="004D79B8" w:rsidP="001B5E72">
            <w:pPr>
              <w:pStyle w:val="TableContents"/>
              <w:widowControl/>
              <w:suppressLineNumbers w:val="0"/>
              <w:suppressAutoHyphens w:val="0"/>
              <w:spacing w:before="40" w:after="40" w:line="220" w:lineRule="exact"/>
              <w:jc w:val="right"/>
              <w:rPr>
                <w:rFonts w:ascii="Times New Roman" w:hAnsi="Times New Roman" w:cs="Times New Roman"/>
                <w:kern w:val="0"/>
                <w:sz w:val="18"/>
                <w:szCs w:val="22"/>
                <w:lang w:val="en-GB"/>
              </w:rPr>
            </w:pPr>
            <w:r w:rsidRPr="005402E6">
              <w:rPr>
                <w:rFonts w:ascii="Times New Roman" w:hAnsi="Times New Roman" w:cs="Times New Roman"/>
                <w:kern w:val="0"/>
                <w:sz w:val="18"/>
                <w:szCs w:val="22"/>
                <w:lang w:val="en-GB"/>
              </w:rPr>
              <w:t>No data</w:t>
            </w:r>
          </w:p>
        </w:tc>
      </w:tr>
      <w:tr w:rsidR="004D79B8" w:rsidRPr="005402E6" w14:paraId="5EE5116F" w14:textId="77777777" w:rsidTr="001B5E72">
        <w:tc>
          <w:tcPr>
            <w:tcW w:w="993" w:type="dxa"/>
            <w:shd w:val="clear" w:color="auto" w:fill="auto"/>
            <w:tcMar>
              <w:top w:w="55" w:type="dxa"/>
              <w:left w:w="55" w:type="dxa"/>
              <w:bottom w:w="55" w:type="dxa"/>
              <w:right w:w="55" w:type="dxa"/>
            </w:tcMar>
          </w:tcPr>
          <w:p w14:paraId="3DAD2E0D" w14:textId="77777777" w:rsidR="004D79B8" w:rsidRPr="005402E6" w:rsidRDefault="004D79B8" w:rsidP="001B5E72">
            <w:pPr>
              <w:pStyle w:val="TableContents"/>
              <w:widowControl/>
              <w:suppressLineNumbers w:val="0"/>
              <w:suppressAutoHyphens w:val="0"/>
              <w:spacing w:before="40" w:after="40" w:line="220" w:lineRule="exact"/>
              <w:rPr>
                <w:rFonts w:ascii="Times New Roman" w:hAnsi="Times New Roman" w:cs="Times New Roman"/>
                <w:kern w:val="0"/>
                <w:sz w:val="18"/>
                <w:szCs w:val="22"/>
                <w:lang w:val="en-GB"/>
              </w:rPr>
            </w:pPr>
            <w:r w:rsidRPr="005402E6">
              <w:rPr>
                <w:rStyle w:val="Absatz-Standardschriftart1"/>
                <w:bCs/>
                <w:kern w:val="0"/>
                <w:sz w:val="18"/>
                <w:szCs w:val="22"/>
                <w:lang w:val="en-GB"/>
              </w:rPr>
              <w:t xml:space="preserve">Saturated vapour </w:t>
            </w:r>
            <w:proofErr w:type="spellStart"/>
            <w:r w:rsidRPr="005402E6">
              <w:rPr>
                <w:rStyle w:val="Absatz-Standardschriftart1"/>
                <w:bCs/>
                <w:kern w:val="0"/>
                <w:sz w:val="18"/>
                <w:szCs w:val="22"/>
                <w:lang w:val="en-GB"/>
              </w:rPr>
              <w:t>conc</w:t>
            </w:r>
            <w:proofErr w:type="spellEnd"/>
            <w:r w:rsidRPr="005402E6">
              <w:rPr>
                <w:rStyle w:val="Absatz-Standardschriftart1"/>
                <w:bCs/>
                <w:kern w:val="0"/>
                <w:sz w:val="18"/>
                <w:szCs w:val="22"/>
                <w:lang w:val="en-GB"/>
              </w:rPr>
              <w:t xml:space="preserve"> ml/m</w:t>
            </w:r>
            <w:r w:rsidRPr="005402E6">
              <w:rPr>
                <w:rStyle w:val="Absatz-Standardschriftart1"/>
                <w:bCs/>
                <w:kern w:val="0"/>
                <w:sz w:val="18"/>
                <w:szCs w:val="22"/>
                <w:vertAlign w:val="superscript"/>
                <w:lang w:val="en-GB"/>
              </w:rPr>
              <w:t>3</w:t>
            </w:r>
            <w:r w:rsidRPr="005402E6">
              <w:rPr>
                <w:rStyle w:val="Absatz-Standardschriftart1"/>
                <w:bCs/>
                <w:kern w:val="0"/>
                <w:sz w:val="18"/>
                <w:szCs w:val="22"/>
                <w:lang w:val="en-GB"/>
              </w:rPr>
              <w:t xml:space="preserve"> (ppm)</w:t>
            </w:r>
          </w:p>
        </w:tc>
        <w:tc>
          <w:tcPr>
            <w:tcW w:w="2690" w:type="dxa"/>
            <w:gridSpan w:val="3"/>
            <w:shd w:val="clear" w:color="auto" w:fill="auto"/>
            <w:tcMar>
              <w:top w:w="55" w:type="dxa"/>
              <w:left w:w="55" w:type="dxa"/>
              <w:bottom w:w="55" w:type="dxa"/>
              <w:right w:w="55" w:type="dxa"/>
            </w:tcMar>
          </w:tcPr>
          <w:p w14:paraId="37CC73E0" w14:textId="77777777" w:rsidR="004D79B8" w:rsidRPr="005402E6" w:rsidRDefault="004D79B8" w:rsidP="001B5E72">
            <w:pPr>
              <w:pStyle w:val="TableContents"/>
              <w:widowControl/>
              <w:suppressLineNumbers w:val="0"/>
              <w:suppressAutoHyphens w:val="0"/>
              <w:spacing w:before="40" w:after="40" w:line="220" w:lineRule="exact"/>
              <w:rPr>
                <w:rFonts w:ascii="Times New Roman" w:hAnsi="Times New Roman" w:cs="Times New Roman"/>
                <w:b/>
                <w:bCs/>
                <w:kern w:val="0"/>
                <w:sz w:val="18"/>
                <w:szCs w:val="22"/>
                <w:lang w:val="en-GB"/>
              </w:rPr>
            </w:pPr>
            <w:r w:rsidRPr="00344878">
              <w:rPr>
                <w:rFonts w:ascii="Times New Roman" w:hAnsi="Times New Roman" w:cs="Times New Roman"/>
                <w:b/>
                <w:bCs/>
                <w:color w:val="FF0000"/>
                <w:kern w:val="0"/>
                <w:sz w:val="18"/>
                <w:szCs w:val="22"/>
                <w:lang w:val="en-GB"/>
              </w:rPr>
              <w:t>13920</w:t>
            </w:r>
          </w:p>
        </w:tc>
        <w:tc>
          <w:tcPr>
            <w:tcW w:w="974" w:type="dxa"/>
            <w:shd w:val="clear" w:color="auto" w:fill="auto"/>
            <w:tcMar>
              <w:top w:w="55" w:type="dxa"/>
              <w:left w:w="55" w:type="dxa"/>
              <w:bottom w:w="55" w:type="dxa"/>
              <w:right w:w="55" w:type="dxa"/>
            </w:tcMar>
            <w:vAlign w:val="bottom"/>
          </w:tcPr>
          <w:p w14:paraId="39863955" w14:textId="77777777" w:rsidR="004D79B8" w:rsidRPr="005402E6" w:rsidRDefault="004D79B8" w:rsidP="001B5E72">
            <w:pPr>
              <w:pStyle w:val="TableContents"/>
              <w:widowControl/>
              <w:suppressLineNumbers w:val="0"/>
              <w:suppressAutoHyphens w:val="0"/>
              <w:spacing w:before="40" w:after="40" w:line="220" w:lineRule="exact"/>
              <w:jc w:val="right"/>
              <w:rPr>
                <w:rFonts w:ascii="Times New Roman" w:hAnsi="Times New Roman" w:cs="Times New Roman"/>
                <w:b/>
                <w:bCs/>
                <w:kern w:val="0"/>
                <w:sz w:val="18"/>
                <w:szCs w:val="22"/>
                <w:lang w:val="en-GB"/>
              </w:rPr>
            </w:pPr>
            <w:r w:rsidRPr="005402E6">
              <w:rPr>
                <w:rFonts w:ascii="Times New Roman" w:hAnsi="Times New Roman" w:cs="Times New Roman"/>
                <w:b/>
                <w:bCs/>
                <w:kern w:val="0"/>
                <w:sz w:val="18"/>
                <w:szCs w:val="22"/>
                <w:lang w:val="en-GB"/>
              </w:rPr>
              <w:t>(if it was at 20 °C)</w:t>
            </w:r>
          </w:p>
          <w:p w14:paraId="6D524D5D" w14:textId="77777777" w:rsidR="004D79B8" w:rsidRPr="0070527D" w:rsidRDefault="004D79B8" w:rsidP="001B5E72">
            <w:pPr>
              <w:pStyle w:val="TableContents"/>
              <w:widowControl/>
              <w:suppressLineNumbers w:val="0"/>
              <w:suppressAutoHyphens w:val="0"/>
              <w:spacing w:before="40" w:after="40" w:line="220" w:lineRule="exact"/>
              <w:jc w:val="right"/>
              <w:rPr>
                <w:rFonts w:ascii="Times New Roman" w:hAnsi="Times New Roman" w:cs="Times New Roman"/>
                <w:b/>
                <w:bCs/>
                <w:color w:val="FF0000"/>
                <w:kern w:val="0"/>
                <w:sz w:val="18"/>
                <w:szCs w:val="22"/>
                <w:lang w:val="en-GB"/>
              </w:rPr>
            </w:pPr>
            <w:r w:rsidRPr="0070527D">
              <w:rPr>
                <w:rFonts w:ascii="Times New Roman" w:hAnsi="Times New Roman" w:cs="Times New Roman"/>
                <w:b/>
                <w:bCs/>
                <w:color w:val="FF0000"/>
                <w:kern w:val="0"/>
                <w:sz w:val="18"/>
                <w:szCs w:val="22"/>
                <w:lang w:val="en-GB"/>
              </w:rPr>
              <w:t>2226</w:t>
            </w:r>
          </w:p>
          <w:p w14:paraId="096EE0AD" w14:textId="77777777" w:rsidR="004D79B8" w:rsidRPr="005402E6" w:rsidRDefault="004D79B8" w:rsidP="001B5E72">
            <w:pPr>
              <w:pStyle w:val="TableContents"/>
              <w:widowControl/>
              <w:suppressLineNumbers w:val="0"/>
              <w:suppressAutoHyphens w:val="0"/>
              <w:spacing w:before="40" w:after="40" w:line="220" w:lineRule="exact"/>
              <w:jc w:val="right"/>
              <w:rPr>
                <w:rFonts w:ascii="Times New Roman" w:hAnsi="Times New Roman" w:cs="Times New Roman"/>
                <w:b/>
                <w:bCs/>
                <w:kern w:val="0"/>
                <w:sz w:val="18"/>
                <w:szCs w:val="22"/>
                <w:lang w:val="en-GB"/>
              </w:rPr>
            </w:pPr>
            <w:r w:rsidRPr="005402E6">
              <w:rPr>
                <w:rFonts w:ascii="Times New Roman" w:hAnsi="Times New Roman" w:cs="Times New Roman"/>
                <w:b/>
                <w:bCs/>
                <w:kern w:val="0"/>
                <w:sz w:val="18"/>
                <w:szCs w:val="22"/>
                <w:lang w:val="en-GB"/>
              </w:rPr>
              <w:t>(</w:t>
            </w:r>
            <w:proofErr w:type="gramStart"/>
            <w:r w:rsidRPr="005402E6">
              <w:rPr>
                <w:rFonts w:ascii="Times New Roman" w:hAnsi="Times New Roman" w:cs="Times New Roman"/>
                <w:b/>
                <w:bCs/>
                <w:kern w:val="0"/>
                <w:sz w:val="18"/>
                <w:szCs w:val="22"/>
                <w:lang w:val="en-GB"/>
              </w:rPr>
              <w:t>if</w:t>
            </w:r>
            <w:proofErr w:type="gramEnd"/>
            <w:r w:rsidRPr="005402E6">
              <w:rPr>
                <w:rFonts w:ascii="Times New Roman" w:hAnsi="Times New Roman" w:cs="Times New Roman"/>
                <w:b/>
                <w:bCs/>
                <w:kern w:val="0"/>
                <w:sz w:val="18"/>
                <w:szCs w:val="22"/>
                <w:lang w:val="en-GB"/>
              </w:rPr>
              <w:t xml:space="preserve"> it was at 25 °C &gt;</w:t>
            </w:r>
          </w:p>
          <w:p w14:paraId="7DADF1EF" w14:textId="77777777" w:rsidR="004D79B8" w:rsidRPr="005402E6" w:rsidRDefault="004D79B8" w:rsidP="001B5E72">
            <w:pPr>
              <w:pStyle w:val="TableContents"/>
              <w:widowControl/>
              <w:suppressLineNumbers w:val="0"/>
              <w:suppressAutoHyphens w:val="0"/>
              <w:spacing w:before="40" w:after="40" w:line="220" w:lineRule="exact"/>
              <w:jc w:val="right"/>
              <w:rPr>
                <w:rFonts w:ascii="Times New Roman" w:hAnsi="Times New Roman" w:cs="Times New Roman"/>
                <w:b/>
                <w:bCs/>
                <w:kern w:val="0"/>
                <w:sz w:val="18"/>
                <w:szCs w:val="22"/>
                <w:lang w:val="en-GB"/>
              </w:rPr>
            </w:pPr>
            <w:r w:rsidRPr="005402E6">
              <w:rPr>
                <w:rFonts w:ascii="Times New Roman" w:hAnsi="Times New Roman" w:cs="Times New Roman"/>
                <w:b/>
                <w:bCs/>
                <w:kern w:val="0"/>
                <w:sz w:val="18"/>
                <w:szCs w:val="22"/>
                <w:lang w:val="en-GB"/>
              </w:rPr>
              <w:t>1614)</w:t>
            </w:r>
          </w:p>
          <w:p w14:paraId="15275AA8" w14:textId="77777777" w:rsidR="004D79B8" w:rsidRPr="005402E6" w:rsidRDefault="004D79B8" w:rsidP="001B5E72">
            <w:pPr>
              <w:pStyle w:val="TableContents"/>
              <w:widowControl/>
              <w:suppressLineNumbers w:val="0"/>
              <w:suppressAutoHyphens w:val="0"/>
              <w:spacing w:before="40" w:after="40" w:line="220" w:lineRule="exact"/>
              <w:jc w:val="right"/>
              <w:rPr>
                <w:rFonts w:ascii="Times New Roman" w:hAnsi="Times New Roman" w:cs="Times New Roman"/>
                <w:b/>
                <w:bCs/>
                <w:kern w:val="0"/>
                <w:sz w:val="18"/>
                <w:szCs w:val="22"/>
                <w:lang w:val="en-GB"/>
              </w:rPr>
            </w:pPr>
            <w:r w:rsidRPr="005402E6">
              <w:rPr>
                <w:rFonts w:ascii="Times New Roman" w:hAnsi="Times New Roman" w:cs="Times New Roman"/>
                <w:b/>
                <w:bCs/>
                <w:kern w:val="0"/>
                <w:sz w:val="18"/>
                <w:szCs w:val="22"/>
                <w:lang w:val="en-GB"/>
              </w:rPr>
              <w:t>(</w:t>
            </w:r>
            <w:proofErr w:type="gramStart"/>
            <w:r w:rsidRPr="005402E6">
              <w:rPr>
                <w:rFonts w:ascii="Times New Roman" w:hAnsi="Times New Roman" w:cs="Times New Roman"/>
                <w:b/>
                <w:bCs/>
                <w:kern w:val="0"/>
                <w:sz w:val="18"/>
                <w:szCs w:val="22"/>
                <w:lang w:val="en-GB"/>
              </w:rPr>
              <w:t>if</w:t>
            </w:r>
            <w:proofErr w:type="gramEnd"/>
            <w:r w:rsidRPr="005402E6">
              <w:rPr>
                <w:rFonts w:ascii="Times New Roman" w:hAnsi="Times New Roman" w:cs="Times New Roman"/>
                <w:b/>
                <w:bCs/>
                <w:kern w:val="0"/>
                <w:sz w:val="18"/>
                <w:szCs w:val="22"/>
                <w:lang w:val="en-GB"/>
              </w:rPr>
              <w:t xml:space="preserve"> it was at 50°C &gt;</w:t>
            </w:r>
          </w:p>
          <w:p w14:paraId="21CDAA30" w14:textId="77777777" w:rsidR="004D79B8" w:rsidRPr="005402E6" w:rsidRDefault="004D79B8" w:rsidP="001B5E72">
            <w:pPr>
              <w:pStyle w:val="TableContents"/>
              <w:widowControl/>
              <w:suppressLineNumbers w:val="0"/>
              <w:suppressAutoHyphens w:val="0"/>
              <w:spacing w:before="40" w:after="40" w:line="220" w:lineRule="exact"/>
              <w:jc w:val="right"/>
              <w:rPr>
                <w:rFonts w:ascii="Times New Roman" w:hAnsi="Times New Roman" w:cs="Times New Roman"/>
                <w:b/>
                <w:bCs/>
                <w:kern w:val="0"/>
                <w:sz w:val="18"/>
                <w:szCs w:val="22"/>
                <w:lang w:val="en-GB"/>
              </w:rPr>
            </w:pPr>
            <w:r w:rsidRPr="005402E6">
              <w:rPr>
                <w:rFonts w:ascii="Times New Roman" w:hAnsi="Times New Roman" w:cs="Times New Roman"/>
                <w:b/>
                <w:bCs/>
                <w:kern w:val="0"/>
                <w:sz w:val="18"/>
                <w:szCs w:val="22"/>
                <w:lang w:val="en-GB"/>
              </w:rPr>
              <w:t>375)</w:t>
            </w:r>
          </w:p>
        </w:tc>
        <w:tc>
          <w:tcPr>
            <w:tcW w:w="869" w:type="dxa"/>
            <w:shd w:val="clear" w:color="auto" w:fill="auto"/>
            <w:tcMar>
              <w:top w:w="55" w:type="dxa"/>
              <w:left w:w="55" w:type="dxa"/>
              <w:bottom w:w="55" w:type="dxa"/>
              <w:right w:w="55" w:type="dxa"/>
            </w:tcMar>
          </w:tcPr>
          <w:p w14:paraId="6A06AE07" w14:textId="77777777" w:rsidR="004D79B8" w:rsidRPr="005402E6" w:rsidRDefault="004D79B8" w:rsidP="001B5E72">
            <w:pPr>
              <w:pStyle w:val="TableContents"/>
              <w:widowControl/>
              <w:suppressLineNumbers w:val="0"/>
              <w:suppressAutoHyphens w:val="0"/>
              <w:spacing w:before="40" w:after="40" w:line="220" w:lineRule="exact"/>
              <w:jc w:val="right"/>
              <w:rPr>
                <w:rFonts w:ascii="Times New Roman" w:hAnsi="Times New Roman" w:cs="Times New Roman"/>
                <w:b/>
                <w:bCs/>
                <w:kern w:val="0"/>
                <w:sz w:val="18"/>
                <w:szCs w:val="22"/>
                <w:lang w:val="en-GB"/>
              </w:rPr>
            </w:pPr>
            <w:r w:rsidRPr="005402E6">
              <w:rPr>
                <w:rFonts w:ascii="Times New Roman" w:hAnsi="Times New Roman" w:cs="Times New Roman"/>
                <w:b/>
                <w:bCs/>
                <w:kern w:val="0"/>
                <w:sz w:val="18"/>
                <w:szCs w:val="22"/>
                <w:lang w:val="en-GB"/>
              </w:rPr>
              <w:t>(104</w:t>
            </w:r>
            <w:r>
              <w:rPr>
                <w:rFonts w:ascii="Times New Roman" w:hAnsi="Times New Roman" w:cs="Times New Roman"/>
                <w:b/>
                <w:bCs/>
                <w:kern w:val="0"/>
                <w:sz w:val="18"/>
                <w:szCs w:val="22"/>
                <w:lang w:val="en-GB"/>
              </w:rPr>
              <w:t xml:space="preserve"> </w:t>
            </w:r>
            <w:r w:rsidRPr="005402E6">
              <w:rPr>
                <w:rFonts w:ascii="Times New Roman" w:hAnsi="Times New Roman" w:cs="Times New Roman"/>
                <w:b/>
                <w:bCs/>
                <w:kern w:val="0"/>
                <w:sz w:val="18"/>
                <w:szCs w:val="22"/>
                <w:lang w:val="en-GB"/>
              </w:rPr>
              <w:t>mg/</w:t>
            </w:r>
            <w:proofErr w:type="gramStart"/>
            <w:r w:rsidRPr="005402E6">
              <w:rPr>
                <w:rFonts w:ascii="Times New Roman" w:hAnsi="Times New Roman" w:cs="Times New Roman"/>
                <w:b/>
                <w:bCs/>
                <w:kern w:val="0"/>
                <w:sz w:val="18"/>
                <w:szCs w:val="22"/>
                <w:lang w:val="en-GB"/>
              </w:rPr>
              <w:t>L)*</w:t>
            </w:r>
            <w:proofErr w:type="gramEnd"/>
            <w:r w:rsidRPr="005402E6">
              <w:rPr>
                <w:rFonts w:ascii="Times New Roman" w:hAnsi="Times New Roman" w:cs="Times New Roman"/>
                <w:b/>
                <w:bCs/>
                <w:kern w:val="0"/>
                <w:sz w:val="18"/>
                <w:szCs w:val="22"/>
                <w:lang w:val="en-GB"/>
              </w:rPr>
              <w:t>*</w:t>
            </w:r>
          </w:p>
          <w:p w14:paraId="1D4F4465" w14:textId="77777777" w:rsidR="004D79B8" w:rsidRPr="005402E6" w:rsidRDefault="004D79B8" w:rsidP="001B5E72">
            <w:pPr>
              <w:pStyle w:val="TableContents"/>
              <w:widowControl/>
              <w:suppressLineNumbers w:val="0"/>
              <w:suppressAutoHyphens w:val="0"/>
              <w:spacing w:before="40" w:after="40" w:line="220" w:lineRule="exact"/>
              <w:jc w:val="right"/>
              <w:rPr>
                <w:rFonts w:ascii="Times New Roman" w:hAnsi="Times New Roman" w:cs="Times New Roman"/>
                <w:b/>
                <w:bCs/>
                <w:kern w:val="0"/>
                <w:sz w:val="18"/>
                <w:szCs w:val="22"/>
                <w:lang w:val="en-GB"/>
              </w:rPr>
            </w:pPr>
            <w:r w:rsidRPr="00743688">
              <w:rPr>
                <w:rFonts w:ascii="Times New Roman" w:hAnsi="Times New Roman" w:cs="Times New Roman"/>
                <w:b/>
                <w:bCs/>
                <w:color w:val="FF0000"/>
                <w:kern w:val="0"/>
                <w:sz w:val="18"/>
                <w:szCs w:val="22"/>
                <w:lang w:val="en-GB"/>
              </w:rPr>
              <w:t>21920</w:t>
            </w:r>
          </w:p>
        </w:tc>
        <w:tc>
          <w:tcPr>
            <w:tcW w:w="1844" w:type="dxa"/>
            <w:gridSpan w:val="2"/>
            <w:shd w:val="clear" w:color="auto" w:fill="auto"/>
            <w:tcMar>
              <w:top w:w="55" w:type="dxa"/>
              <w:left w:w="55" w:type="dxa"/>
              <w:bottom w:w="55" w:type="dxa"/>
              <w:right w:w="55" w:type="dxa"/>
            </w:tcMar>
          </w:tcPr>
          <w:p w14:paraId="04FFA838" w14:textId="77777777" w:rsidR="004D79B8" w:rsidRPr="005402E6" w:rsidRDefault="004D79B8" w:rsidP="001B5E72">
            <w:pPr>
              <w:pStyle w:val="TableContents"/>
              <w:widowControl/>
              <w:suppressLineNumbers w:val="0"/>
              <w:suppressAutoHyphens w:val="0"/>
              <w:spacing w:before="40" w:after="40" w:line="220" w:lineRule="exact"/>
              <w:jc w:val="right"/>
              <w:rPr>
                <w:rFonts w:ascii="Times New Roman" w:hAnsi="Times New Roman" w:cs="Times New Roman"/>
                <w:b/>
                <w:bCs/>
                <w:kern w:val="0"/>
                <w:sz w:val="18"/>
                <w:szCs w:val="22"/>
                <w:lang w:val="en-GB"/>
              </w:rPr>
            </w:pPr>
            <w:r w:rsidRPr="005402E6">
              <w:rPr>
                <w:rFonts w:ascii="Times New Roman" w:hAnsi="Times New Roman" w:cs="Times New Roman"/>
                <w:b/>
                <w:bCs/>
                <w:kern w:val="0"/>
                <w:sz w:val="18"/>
                <w:szCs w:val="22"/>
                <w:lang w:val="en-GB"/>
              </w:rPr>
              <w:t>No data</w:t>
            </w:r>
          </w:p>
        </w:tc>
      </w:tr>
      <w:tr w:rsidR="004D79B8" w:rsidRPr="005402E6" w14:paraId="597F384D" w14:textId="77777777" w:rsidTr="001B5E72">
        <w:tc>
          <w:tcPr>
            <w:tcW w:w="993" w:type="dxa"/>
            <w:tcBorders>
              <w:bottom w:val="single" w:sz="12" w:space="0" w:color="auto"/>
            </w:tcBorders>
            <w:shd w:val="clear" w:color="auto" w:fill="auto"/>
            <w:tcMar>
              <w:top w:w="55" w:type="dxa"/>
              <w:left w:w="55" w:type="dxa"/>
              <w:bottom w:w="55" w:type="dxa"/>
              <w:right w:w="55" w:type="dxa"/>
            </w:tcMar>
          </w:tcPr>
          <w:p w14:paraId="14DAA5CB" w14:textId="77777777" w:rsidR="004D79B8" w:rsidRPr="005402E6" w:rsidRDefault="004D79B8" w:rsidP="001B5E72">
            <w:pPr>
              <w:pStyle w:val="TableContents"/>
              <w:widowControl/>
              <w:suppressLineNumbers w:val="0"/>
              <w:suppressAutoHyphens w:val="0"/>
              <w:spacing w:before="40" w:after="40" w:line="220" w:lineRule="exact"/>
              <w:rPr>
                <w:rFonts w:ascii="Times New Roman" w:hAnsi="Times New Roman" w:cs="Times New Roman"/>
                <w:b/>
                <w:bCs/>
                <w:kern w:val="0"/>
                <w:sz w:val="18"/>
                <w:szCs w:val="22"/>
                <w:lang w:val="en-GB"/>
              </w:rPr>
            </w:pPr>
            <w:r w:rsidRPr="005402E6">
              <w:rPr>
                <w:rFonts w:ascii="Times New Roman" w:hAnsi="Times New Roman" w:cs="Times New Roman"/>
                <w:b/>
                <w:bCs/>
                <w:kern w:val="0"/>
                <w:sz w:val="18"/>
                <w:szCs w:val="22"/>
                <w:lang w:val="en-GB"/>
              </w:rPr>
              <w:t>TDG classification</w:t>
            </w:r>
          </w:p>
          <w:p w14:paraId="231727C0" w14:textId="77777777" w:rsidR="004D79B8" w:rsidRPr="005402E6" w:rsidRDefault="004D79B8" w:rsidP="001B5E72">
            <w:pPr>
              <w:pStyle w:val="TableContents"/>
              <w:widowControl/>
              <w:suppressLineNumbers w:val="0"/>
              <w:suppressAutoHyphens w:val="0"/>
              <w:spacing w:before="40" w:after="40" w:line="220" w:lineRule="exact"/>
              <w:rPr>
                <w:rFonts w:ascii="Times New Roman" w:hAnsi="Times New Roman" w:cs="Times New Roman"/>
                <w:kern w:val="0"/>
                <w:sz w:val="18"/>
                <w:szCs w:val="22"/>
                <w:lang w:val="en-GB"/>
              </w:rPr>
            </w:pPr>
            <w:r w:rsidRPr="005402E6">
              <w:rPr>
                <w:rFonts w:ascii="Times New Roman" w:hAnsi="Times New Roman" w:cs="Times New Roman"/>
                <w:kern w:val="0"/>
                <w:sz w:val="18"/>
                <w:szCs w:val="22"/>
                <w:lang w:val="en-GB"/>
              </w:rPr>
              <w:t>2.6.2.2.4.3</w:t>
            </w:r>
          </w:p>
        </w:tc>
        <w:tc>
          <w:tcPr>
            <w:tcW w:w="847" w:type="dxa"/>
            <w:tcBorders>
              <w:bottom w:val="single" w:sz="12" w:space="0" w:color="auto"/>
            </w:tcBorders>
            <w:shd w:val="clear" w:color="auto" w:fill="auto"/>
            <w:tcMar>
              <w:top w:w="55" w:type="dxa"/>
              <w:left w:w="55" w:type="dxa"/>
              <w:bottom w:w="55" w:type="dxa"/>
              <w:right w:w="55" w:type="dxa"/>
            </w:tcMar>
            <w:vAlign w:val="bottom"/>
          </w:tcPr>
          <w:p w14:paraId="4A5CC3C5" w14:textId="77777777" w:rsidR="004D79B8" w:rsidRPr="005402E6" w:rsidRDefault="004D79B8" w:rsidP="001B5E72">
            <w:pPr>
              <w:pStyle w:val="TableContents"/>
              <w:widowControl/>
              <w:suppressLineNumbers w:val="0"/>
              <w:suppressAutoHyphens w:val="0"/>
              <w:spacing w:before="40" w:after="40" w:line="220" w:lineRule="exact"/>
              <w:jc w:val="right"/>
              <w:rPr>
                <w:rFonts w:ascii="Times New Roman" w:hAnsi="Times New Roman" w:cs="Times New Roman"/>
                <w:kern w:val="0"/>
                <w:sz w:val="18"/>
                <w:szCs w:val="22"/>
                <w:lang w:val="en-GB"/>
              </w:rPr>
            </w:pPr>
            <w:r w:rsidRPr="005402E6">
              <w:rPr>
                <w:rFonts w:ascii="Times New Roman" w:hAnsi="Times New Roman" w:cs="Times New Roman"/>
                <w:kern w:val="0"/>
                <w:sz w:val="18"/>
                <w:szCs w:val="22"/>
                <w:lang w:val="en-GB"/>
              </w:rPr>
              <w:t>PG III/ not DG</w:t>
            </w:r>
          </w:p>
        </w:tc>
        <w:tc>
          <w:tcPr>
            <w:tcW w:w="974" w:type="dxa"/>
            <w:tcBorders>
              <w:bottom w:val="single" w:sz="12" w:space="0" w:color="auto"/>
            </w:tcBorders>
            <w:shd w:val="clear" w:color="auto" w:fill="auto"/>
            <w:tcMar>
              <w:top w:w="55" w:type="dxa"/>
              <w:left w:w="55" w:type="dxa"/>
              <w:bottom w:w="55" w:type="dxa"/>
              <w:right w:w="55" w:type="dxa"/>
            </w:tcMar>
            <w:vAlign w:val="bottom"/>
          </w:tcPr>
          <w:p w14:paraId="63CF404B" w14:textId="77777777" w:rsidR="004D79B8" w:rsidRPr="005402E6" w:rsidRDefault="004D79B8" w:rsidP="001B5E72">
            <w:pPr>
              <w:pStyle w:val="TableContents"/>
              <w:widowControl/>
              <w:suppressLineNumbers w:val="0"/>
              <w:suppressAutoHyphens w:val="0"/>
              <w:spacing w:before="40" w:after="40" w:line="220" w:lineRule="exact"/>
              <w:jc w:val="right"/>
              <w:rPr>
                <w:rFonts w:ascii="Times New Roman" w:hAnsi="Times New Roman" w:cs="Times New Roman"/>
                <w:kern w:val="0"/>
                <w:sz w:val="18"/>
                <w:szCs w:val="22"/>
                <w:lang w:val="en-GB"/>
              </w:rPr>
            </w:pPr>
            <w:r w:rsidRPr="005402E6">
              <w:rPr>
                <w:rFonts w:ascii="Times New Roman" w:hAnsi="Times New Roman" w:cs="Times New Roman"/>
                <w:kern w:val="0"/>
                <w:sz w:val="18"/>
                <w:szCs w:val="22"/>
                <w:lang w:val="en-GB"/>
              </w:rPr>
              <w:t>PG III</w:t>
            </w:r>
          </w:p>
          <w:p w14:paraId="20E27462" w14:textId="77777777" w:rsidR="004D79B8" w:rsidRPr="005402E6" w:rsidRDefault="004D79B8" w:rsidP="001B5E72">
            <w:pPr>
              <w:pStyle w:val="TableContents"/>
              <w:widowControl/>
              <w:suppressLineNumbers w:val="0"/>
              <w:suppressAutoHyphens w:val="0"/>
              <w:spacing w:before="40" w:after="40" w:line="220" w:lineRule="exact"/>
              <w:jc w:val="right"/>
              <w:rPr>
                <w:rFonts w:ascii="Times New Roman" w:hAnsi="Times New Roman" w:cs="Times New Roman"/>
                <w:kern w:val="0"/>
                <w:sz w:val="18"/>
                <w:szCs w:val="22"/>
                <w:lang w:val="en-GB"/>
              </w:rPr>
            </w:pPr>
            <w:r w:rsidRPr="005402E6">
              <w:rPr>
                <w:rFonts w:ascii="Times New Roman" w:hAnsi="Times New Roman" w:cs="Times New Roman"/>
                <w:kern w:val="0"/>
                <w:sz w:val="18"/>
                <w:szCs w:val="22"/>
                <w:lang w:val="en-GB"/>
              </w:rPr>
              <w:t>or stricter</w:t>
            </w:r>
          </w:p>
        </w:tc>
        <w:tc>
          <w:tcPr>
            <w:tcW w:w="869" w:type="dxa"/>
            <w:tcBorders>
              <w:bottom w:val="single" w:sz="12" w:space="0" w:color="auto"/>
            </w:tcBorders>
            <w:shd w:val="clear" w:color="auto" w:fill="auto"/>
            <w:tcMar>
              <w:top w:w="55" w:type="dxa"/>
              <w:left w:w="55" w:type="dxa"/>
              <w:bottom w:w="55" w:type="dxa"/>
              <w:right w:w="55" w:type="dxa"/>
            </w:tcMar>
            <w:vAlign w:val="bottom"/>
          </w:tcPr>
          <w:p w14:paraId="2A97A619" w14:textId="77777777" w:rsidR="004D79B8" w:rsidRPr="005402E6" w:rsidRDefault="004D79B8" w:rsidP="001B5E72">
            <w:pPr>
              <w:pStyle w:val="TableContents"/>
              <w:widowControl/>
              <w:suppressLineNumbers w:val="0"/>
              <w:suppressAutoHyphens w:val="0"/>
              <w:spacing w:before="40" w:after="40" w:line="220" w:lineRule="exact"/>
              <w:jc w:val="right"/>
              <w:rPr>
                <w:rFonts w:ascii="Times New Roman" w:hAnsi="Times New Roman" w:cs="Times New Roman"/>
                <w:kern w:val="0"/>
                <w:sz w:val="18"/>
                <w:szCs w:val="22"/>
                <w:lang w:val="en-GB"/>
              </w:rPr>
            </w:pPr>
            <w:r w:rsidRPr="005402E6">
              <w:rPr>
                <w:rFonts w:ascii="Times New Roman" w:hAnsi="Times New Roman" w:cs="Times New Roman"/>
                <w:kern w:val="0"/>
                <w:sz w:val="18"/>
                <w:szCs w:val="22"/>
                <w:lang w:val="en-GB"/>
              </w:rPr>
              <w:t>As no death observed &gt; not DG</w:t>
            </w:r>
          </w:p>
        </w:tc>
        <w:tc>
          <w:tcPr>
            <w:tcW w:w="974" w:type="dxa"/>
            <w:tcBorders>
              <w:bottom w:val="single" w:sz="12" w:space="0" w:color="auto"/>
            </w:tcBorders>
            <w:shd w:val="clear" w:color="auto" w:fill="auto"/>
            <w:tcMar>
              <w:top w:w="55" w:type="dxa"/>
              <w:left w:w="55" w:type="dxa"/>
              <w:bottom w:w="55" w:type="dxa"/>
              <w:right w:w="55" w:type="dxa"/>
            </w:tcMar>
            <w:vAlign w:val="bottom"/>
          </w:tcPr>
          <w:p w14:paraId="16CBE666" w14:textId="77777777" w:rsidR="004D79B8" w:rsidRPr="005402E6" w:rsidRDefault="004D79B8" w:rsidP="001B5E72">
            <w:pPr>
              <w:pStyle w:val="TableContents"/>
              <w:widowControl/>
              <w:suppressLineNumbers w:val="0"/>
              <w:suppressAutoHyphens w:val="0"/>
              <w:spacing w:before="40" w:after="40" w:line="220" w:lineRule="exact"/>
              <w:jc w:val="right"/>
              <w:rPr>
                <w:rFonts w:ascii="Times New Roman" w:hAnsi="Times New Roman" w:cs="Times New Roman"/>
                <w:kern w:val="0"/>
                <w:sz w:val="18"/>
                <w:szCs w:val="22"/>
                <w:lang w:val="en-GB"/>
              </w:rPr>
            </w:pPr>
            <w:r w:rsidRPr="005402E6">
              <w:rPr>
                <w:rFonts w:ascii="Times New Roman" w:hAnsi="Times New Roman" w:cs="Times New Roman"/>
                <w:kern w:val="0"/>
                <w:sz w:val="18"/>
                <w:szCs w:val="22"/>
                <w:lang w:val="en-GB"/>
              </w:rPr>
              <w:t>PG III</w:t>
            </w:r>
          </w:p>
          <w:p w14:paraId="27529E50" w14:textId="77777777" w:rsidR="004D79B8" w:rsidRPr="005402E6" w:rsidRDefault="004D79B8" w:rsidP="001B5E72">
            <w:pPr>
              <w:pStyle w:val="TableContents"/>
              <w:widowControl/>
              <w:suppressLineNumbers w:val="0"/>
              <w:suppressAutoHyphens w:val="0"/>
              <w:spacing w:before="40" w:after="40" w:line="220" w:lineRule="exact"/>
              <w:jc w:val="right"/>
              <w:rPr>
                <w:rFonts w:ascii="Times New Roman" w:hAnsi="Times New Roman" w:cs="Times New Roman"/>
                <w:kern w:val="0"/>
                <w:sz w:val="18"/>
                <w:szCs w:val="22"/>
                <w:lang w:val="en-GB"/>
              </w:rPr>
            </w:pPr>
            <w:r w:rsidRPr="005402E6">
              <w:rPr>
                <w:rFonts w:ascii="Times New Roman" w:hAnsi="Times New Roman" w:cs="Times New Roman"/>
                <w:kern w:val="0"/>
                <w:sz w:val="18"/>
                <w:szCs w:val="22"/>
                <w:lang w:val="en-GB"/>
              </w:rPr>
              <w:t>(PG III)</w:t>
            </w:r>
          </w:p>
          <w:p w14:paraId="279032F0" w14:textId="77777777" w:rsidR="004D79B8" w:rsidRPr="005402E6" w:rsidRDefault="004D79B8" w:rsidP="001B5E72">
            <w:pPr>
              <w:pStyle w:val="TableContents"/>
              <w:widowControl/>
              <w:suppressLineNumbers w:val="0"/>
              <w:suppressAutoHyphens w:val="0"/>
              <w:spacing w:before="40" w:after="40" w:line="220" w:lineRule="exact"/>
              <w:jc w:val="right"/>
              <w:rPr>
                <w:rFonts w:ascii="Times New Roman" w:hAnsi="Times New Roman" w:cs="Times New Roman"/>
                <w:kern w:val="0"/>
                <w:sz w:val="18"/>
                <w:szCs w:val="22"/>
                <w:lang w:val="en-GB"/>
              </w:rPr>
            </w:pPr>
            <w:r w:rsidRPr="005402E6">
              <w:rPr>
                <w:rFonts w:ascii="Times New Roman" w:hAnsi="Times New Roman" w:cs="Times New Roman"/>
                <w:kern w:val="0"/>
                <w:sz w:val="18"/>
                <w:szCs w:val="22"/>
                <w:lang w:val="en-GB"/>
              </w:rPr>
              <w:t>(not DG)</w:t>
            </w:r>
          </w:p>
        </w:tc>
        <w:tc>
          <w:tcPr>
            <w:tcW w:w="869" w:type="dxa"/>
            <w:tcBorders>
              <w:bottom w:val="single" w:sz="12" w:space="0" w:color="auto"/>
            </w:tcBorders>
            <w:shd w:val="clear" w:color="auto" w:fill="auto"/>
            <w:tcMar>
              <w:top w:w="55" w:type="dxa"/>
              <w:left w:w="55" w:type="dxa"/>
              <w:bottom w:w="55" w:type="dxa"/>
              <w:right w:w="55" w:type="dxa"/>
            </w:tcMar>
            <w:vAlign w:val="bottom"/>
          </w:tcPr>
          <w:p w14:paraId="61FEECCA" w14:textId="77777777" w:rsidR="004D79B8" w:rsidRPr="005402E6" w:rsidRDefault="004D79B8" w:rsidP="001B5E72">
            <w:pPr>
              <w:pStyle w:val="TableContents"/>
              <w:widowControl/>
              <w:suppressLineNumbers w:val="0"/>
              <w:suppressAutoHyphens w:val="0"/>
              <w:spacing w:before="40" w:after="40" w:line="220" w:lineRule="exact"/>
              <w:jc w:val="right"/>
              <w:rPr>
                <w:rFonts w:ascii="Times New Roman" w:hAnsi="Times New Roman" w:cs="Times New Roman"/>
                <w:kern w:val="0"/>
                <w:sz w:val="18"/>
                <w:szCs w:val="22"/>
                <w:lang w:val="en-GB"/>
              </w:rPr>
            </w:pPr>
            <w:r w:rsidRPr="005402E6">
              <w:rPr>
                <w:rFonts w:ascii="Times New Roman" w:hAnsi="Times New Roman" w:cs="Times New Roman"/>
                <w:kern w:val="0"/>
                <w:sz w:val="18"/>
                <w:szCs w:val="22"/>
                <w:lang w:val="en-GB"/>
              </w:rPr>
              <w:t>PG II</w:t>
            </w:r>
          </w:p>
          <w:p w14:paraId="0BCEE5CA" w14:textId="77777777" w:rsidR="004D79B8" w:rsidRPr="005402E6" w:rsidRDefault="004D79B8" w:rsidP="001B5E72">
            <w:pPr>
              <w:pStyle w:val="TableContents"/>
              <w:widowControl/>
              <w:suppressLineNumbers w:val="0"/>
              <w:suppressAutoHyphens w:val="0"/>
              <w:spacing w:before="40" w:after="40" w:line="220" w:lineRule="exact"/>
              <w:jc w:val="right"/>
              <w:rPr>
                <w:rFonts w:ascii="Times New Roman" w:hAnsi="Times New Roman" w:cs="Times New Roman"/>
                <w:kern w:val="0"/>
                <w:sz w:val="18"/>
                <w:szCs w:val="22"/>
                <w:lang w:val="en-GB"/>
              </w:rPr>
            </w:pPr>
          </w:p>
        </w:tc>
        <w:tc>
          <w:tcPr>
            <w:tcW w:w="1844" w:type="dxa"/>
            <w:gridSpan w:val="2"/>
            <w:tcBorders>
              <w:bottom w:val="single" w:sz="12" w:space="0" w:color="auto"/>
            </w:tcBorders>
            <w:shd w:val="clear" w:color="auto" w:fill="auto"/>
            <w:tcMar>
              <w:top w:w="55" w:type="dxa"/>
              <w:left w:w="55" w:type="dxa"/>
              <w:bottom w:w="55" w:type="dxa"/>
              <w:right w:w="55" w:type="dxa"/>
            </w:tcMar>
            <w:vAlign w:val="bottom"/>
          </w:tcPr>
          <w:p w14:paraId="1B523926" w14:textId="77777777" w:rsidR="004D79B8" w:rsidRPr="005402E6" w:rsidRDefault="004D79B8" w:rsidP="001B5E72">
            <w:pPr>
              <w:pStyle w:val="TableContents"/>
              <w:widowControl/>
              <w:suppressLineNumbers w:val="0"/>
              <w:suppressAutoHyphens w:val="0"/>
              <w:spacing w:before="40" w:after="40" w:line="220" w:lineRule="exact"/>
              <w:jc w:val="right"/>
              <w:rPr>
                <w:rFonts w:ascii="Times New Roman" w:hAnsi="Times New Roman" w:cs="Times New Roman"/>
                <w:kern w:val="0"/>
                <w:sz w:val="18"/>
                <w:szCs w:val="22"/>
                <w:lang w:val="en-GB"/>
              </w:rPr>
            </w:pPr>
            <w:r w:rsidRPr="005402E6">
              <w:rPr>
                <w:rFonts w:ascii="Times New Roman" w:hAnsi="Times New Roman" w:cs="Times New Roman"/>
                <w:kern w:val="0"/>
                <w:sz w:val="18"/>
                <w:szCs w:val="22"/>
                <w:lang w:val="en-GB"/>
              </w:rPr>
              <w:t>Depends on saturated vapour conc.</w:t>
            </w:r>
          </w:p>
          <w:p w14:paraId="3C671436" w14:textId="77777777" w:rsidR="004D79B8" w:rsidRPr="005402E6" w:rsidRDefault="004D79B8" w:rsidP="001B5E72">
            <w:pPr>
              <w:pStyle w:val="TableContents"/>
              <w:widowControl/>
              <w:suppressLineNumbers w:val="0"/>
              <w:suppressAutoHyphens w:val="0"/>
              <w:spacing w:before="40" w:after="40" w:line="220" w:lineRule="exact"/>
              <w:jc w:val="right"/>
              <w:rPr>
                <w:rFonts w:ascii="Times New Roman" w:hAnsi="Times New Roman" w:cs="Times New Roman"/>
                <w:kern w:val="0"/>
                <w:sz w:val="18"/>
                <w:szCs w:val="22"/>
                <w:lang w:val="en-GB"/>
              </w:rPr>
            </w:pPr>
            <w:r w:rsidRPr="005402E6">
              <w:rPr>
                <w:rFonts w:ascii="Times New Roman" w:hAnsi="Times New Roman" w:cs="Times New Roman"/>
                <w:kern w:val="0"/>
                <w:sz w:val="18"/>
                <w:szCs w:val="22"/>
                <w:lang w:val="en-GB"/>
              </w:rPr>
              <w:t>(using 13920 ppm &gt; both is PG II)</w:t>
            </w:r>
          </w:p>
        </w:tc>
      </w:tr>
    </w:tbl>
    <w:p w14:paraId="009FD644" w14:textId="77777777" w:rsidR="004D79B8" w:rsidRDefault="004D79B8" w:rsidP="004D79B8">
      <w:pPr>
        <w:pStyle w:val="Standard1"/>
        <w:rPr>
          <w:lang w:val="en-GB"/>
        </w:rPr>
      </w:pPr>
    </w:p>
    <w:p w14:paraId="0EEB9E96" w14:textId="77777777" w:rsidR="004D79B8" w:rsidRDefault="004D79B8" w:rsidP="004D79B8">
      <w:pPr>
        <w:pStyle w:val="Standard1"/>
        <w:rPr>
          <w:color w:val="000000"/>
          <w:lang w:val="en-GB"/>
        </w:rPr>
      </w:pPr>
    </w:p>
    <w:p w14:paraId="002F9699" w14:textId="77777777" w:rsidR="004D79B8" w:rsidRDefault="004D79B8" w:rsidP="004D79B8">
      <w:pPr>
        <w:pStyle w:val="Standard1"/>
        <w:rPr>
          <w:color w:val="000000"/>
          <w:lang w:val="en-GB"/>
        </w:rPr>
      </w:pPr>
    </w:p>
    <w:p w14:paraId="3CB109BE" w14:textId="77777777" w:rsidR="004D79B8" w:rsidRDefault="004D79B8" w:rsidP="004D79B8">
      <w:pPr>
        <w:pStyle w:val="SingleTxtG"/>
      </w:pPr>
      <w:r>
        <w:lastRenderedPageBreak/>
        <w:t>DG: dangerous goods</w:t>
      </w:r>
    </w:p>
    <w:p w14:paraId="6ECF88EA" w14:textId="77777777" w:rsidR="004D79B8" w:rsidRPr="005D7F5D" w:rsidRDefault="004D79B8" w:rsidP="004D79B8">
      <w:pPr>
        <w:pStyle w:val="SingleTxtG"/>
        <w:rPr>
          <w:lang w:val="en-US"/>
        </w:rPr>
      </w:pPr>
      <w:r>
        <w:rPr>
          <w:rStyle w:val="Absatz-Standardschriftart1"/>
          <w:color w:val="FF4000"/>
        </w:rPr>
        <w:t xml:space="preserve">red: calculated </w:t>
      </w:r>
      <w:r>
        <w:rPr>
          <w:rStyle w:val="Absatz-Standardschriftart1"/>
          <w:color w:val="000000"/>
        </w:rPr>
        <w:t>(101,325 was simplified as 100)</w:t>
      </w:r>
    </w:p>
    <w:p w14:paraId="2AC4631C" w14:textId="77777777" w:rsidR="004D79B8" w:rsidRPr="005D7F5D" w:rsidRDefault="004D79B8" w:rsidP="004D79B8">
      <w:pPr>
        <w:pStyle w:val="SingleTxtG"/>
        <w:rPr>
          <w:lang w:val="en-US"/>
        </w:rPr>
      </w:pPr>
      <w:r>
        <w:rPr>
          <w:rStyle w:val="Absatz-Standardschriftart1"/>
          <w:color w:val="000000"/>
        </w:rPr>
        <w:t xml:space="preserve">* </w:t>
      </w:r>
      <w:proofErr w:type="gramStart"/>
      <w:r>
        <w:rPr>
          <w:rStyle w:val="Absatz-Standardschriftart1"/>
          <w:color w:val="000000"/>
        </w:rPr>
        <w:t>it</w:t>
      </w:r>
      <w:proofErr w:type="gramEnd"/>
      <w:r>
        <w:rPr>
          <w:rStyle w:val="Absatz-Standardschriftart1"/>
          <w:color w:val="000000"/>
        </w:rPr>
        <w:t xml:space="preserve"> is harmonised classified as Cat 4 in the original CLP-Regulation (1272/2008) without any RAC Report or any data, which justify this classification.</w:t>
      </w:r>
    </w:p>
    <w:p w14:paraId="4B1AE471" w14:textId="77777777" w:rsidR="004D79B8" w:rsidRPr="005D7F5D" w:rsidRDefault="004D79B8" w:rsidP="004D79B8">
      <w:pPr>
        <w:pStyle w:val="SingleTxtG"/>
        <w:rPr>
          <w:lang w:val="en-US"/>
        </w:rPr>
      </w:pPr>
      <w:r>
        <w:rPr>
          <w:rStyle w:val="Absatz-Standardschriftart1"/>
          <w:color w:val="000000"/>
        </w:rPr>
        <w:t>** we do not know at which temperature was vapour pressure taken, it is usually 20, 25 or 50 °C, and it has a big impact on the saturated vapour conc.:</w:t>
      </w:r>
    </w:p>
    <w:p w14:paraId="61BA9086" w14:textId="62BD390E" w:rsidR="004D79B8" w:rsidRPr="005D7F5D" w:rsidRDefault="004D79B8" w:rsidP="004D79B8">
      <w:pPr>
        <w:pStyle w:val="Bullet1G"/>
        <w:rPr>
          <w:lang w:val="en-US"/>
        </w:rPr>
      </w:pPr>
      <w:r>
        <w:rPr>
          <w:rStyle w:val="Absatz-Standardschriftart1"/>
          <w:color w:val="000000"/>
        </w:rPr>
        <w:t xml:space="preserve"> if 219 </w:t>
      </w:r>
      <w:proofErr w:type="spellStart"/>
      <w:r>
        <w:rPr>
          <w:rStyle w:val="Absatz-Standardschriftart1"/>
          <w:color w:val="000000"/>
        </w:rPr>
        <w:t>hPa</w:t>
      </w:r>
      <w:proofErr w:type="spellEnd"/>
      <w:r>
        <w:rPr>
          <w:rStyle w:val="Absatz-Standardschriftart1"/>
          <w:color w:val="000000"/>
        </w:rPr>
        <w:t xml:space="preserve"> is the vapour pressure at 50 °C, then at 20 °C it is 36,92 </w:t>
      </w:r>
      <w:proofErr w:type="spellStart"/>
      <w:r>
        <w:rPr>
          <w:rStyle w:val="Absatz-Standardschriftart1"/>
          <w:color w:val="000000"/>
        </w:rPr>
        <w:t>hPa</w:t>
      </w:r>
      <w:proofErr w:type="spellEnd"/>
      <w:r>
        <w:rPr>
          <w:rStyle w:val="Absatz-Standardschriftart1"/>
          <w:color w:val="000000"/>
        </w:rPr>
        <w:t xml:space="preserve">, which means 3692 ppm </w:t>
      </w:r>
      <w:r>
        <w:rPr>
          <w:rStyle w:val="Absatz-Standardschriftart1"/>
          <w:color w:val="000000"/>
        </w:rPr>
        <w:tab/>
        <w:t xml:space="preserve">saturated vapour </w:t>
      </w:r>
      <w:proofErr w:type="spellStart"/>
      <w:r>
        <w:rPr>
          <w:rStyle w:val="Absatz-Standardschriftart1"/>
          <w:color w:val="000000"/>
        </w:rPr>
        <w:t>conc</w:t>
      </w:r>
      <w:proofErr w:type="spellEnd"/>
      <w:r>
        <w:rPr>
          <w:rStyle w:val="Absatz-Standardschriftart1"/>
          <w:color w:val="000000"/>
        </w:rPr>
        <w:t>, which means PG II</w:t>
      </w:r>
    </w:p>
    <w:p w14:paraId="4D475DD7" w14:textId="1042C4DA" w:rsidR="004D79B8" w:rsidRPr="005D7F5D" w:rsidRDefault="004D79B8" w:rsidP="004D79B8">
      <w:pPr>
        <w:pStyle w:val="Bullet1G"/>
        <w:rPr>
          <w:lang w:val="en-US"/>
        </w:rPr>
      </w:pPr>
      <w:r>
        <w:rPr>
          <w:rStyle w:val="Absatz-Standardschriftart1"/>
          <w:color w:val="000000"/>
        </w:rPr>
        <w:t xml:space="preserve"> if 219 </w:t>
      </w:r>
      <w:proofErr w:type="spellStart"/>
      <w:r>
        <w:rPr>
          <w:rStyle w:val="Absatz-Standardschriftart1"/>
          <w:color w:val="000000"/>
        </w:rPr>
        <w:t>hPa</w:t>
      </w:r>
      <w:proofErr w:type="spellEnd"/>
      <w:r>
        <w:rPr>
          <w:rStyle w:val="Absatz-Standardschriftart1"/>
          <w:color w:val="000000"/>
        </w:rPr>
        <w:t xml:space="preserve"> is the vapour pressure at 25 °C, then at 20 °C it is 158,85 </w:t>
      </w:r>
      <w:proofErr w:type="spellStart"/>
      <w:r>
        <w:rPr>
          <w:rStyle w:val="Absatz-Standardschriftart1"/>
          <w:color w:val="000000"/>
        </w:rPr>
        <w:t>hPa</w:t>
      </w:r>
      <w:proofErr w:type="spellEnd"/>
      <w:r>
        <w:rPr>
          <w:rStyle w:val="Absatz-Standardschriftart1"/>
          <w:color w:val="000000"/>
        </w:rPr>
        <w:t xml:space="preserve">, which means 15885 ppm </w:t>
      </w:r>
      <w:r>
        <w:rPr>
          <w:rStyle w:val="Absatz-Standardschriftart1"/>
          <w:color w:val="000000"/>
        </w:rPr>
        <w:tab/>
        <w:t xml:space="preserve">saturated vapour </w:t>
      </w:r>
      <w:proofErr w:type="spellStart"/>
      <w:r>
        <w:rPr>
          <w:rStyle w:val="Absatz-Standardschriftart1"/>
          <w:color w:val="000000"/>
        </w:rPr>
        <w:t>conc</w:t>
      </w:r>
      <w:proofErr w:type="spellEnd"/>
      <w:r>
        <w:rPr>
          <w:rStyle w:val="Absatz-Standardschriftart1"/>
          <w:color w:val="000000"/>
        </w:rPr>
        <w:t>, which means PG II</w:t>
      </w:r>
    </w:p>
    <w:p w14:paraId="45E7CFEE" w14:textId="77777777" w:rsidR="004D79B8" w:rsidRPr="005D7F5D" w:rsidRDefault="004D79B8" w:rsidP="004D79B8">
      <w:pPr>
        <w:pStyle w:val="SingleTxtG"/>
        <w:rPr>
          <w:lang w:val="en-US"/>
        </w:rPr>
      </w:pPr>
      <w:r>
        <w:rPr>
          <w:rStyle w:val="Absatz-Standardschriftart1"/>
          <w:bCs/>
          <w:color w:val="00B050"/>
        </w:rPr>
        <w:t>*** ten Berge model with default n=2 for vapour (but if n=3 LC50(1h)=5048 ppm &gt; not DG, and if n=1 LC50(1h)=3180 ppm &gt; as in the table), n: chemical specific component, depends from endpoint, species…, n is between 1 and 3 for about 90% of the chemicals, and typically when extrapolating from shorter to longer exposure period n=1 (or at least smaller than 2)</w:t>
      </w:r>
    </w:p>
    <w:p w14:paraId="6920BA98" w14:textId="77777777" w:rsidR="004D79B8" w:rsidRDefault="004D79B8" w:rsidP="004D79B8">
      <w:pPr>
        <w:pStyle w:val="SingleTxtG"/>
        <w:rPr>
          <w:b/>
          <w:bCs/>
        </w:rPr>
      </w:pPr>
      <w:r>
        <w:rPr>
          <w:b/>
          <w:bCs/>
        </w:rPr>
        <w:t>Outcome:</w:t>
      </w:r>
    </w:p>
    <w:p w14:paraId="27A350F5" w14:textId="77777777" w:rsidR="004D79B8" w:rsidRPr="005D7F5D" w:rsidRDefault="004D79B8" w:rsidP="004D79B8">
      <w:pPr>
        <w:pStyle w:val="SingleTxtG"/>
        <w:rPr>
          <w:lang w:val="en-US"/>
        </w:rPr>
      </w:pPr>
      <w:r>
        <w:rPr>
          <w:rStyle w:val="Absatz-Standardschriftart1"/>
          <w:color w:val="000000"/>
        </w:rPr>
        <w:t xml:space="preserve">Most used vapour pressure in the literature: 13,92 </w:t>
      </w:r>
      <w:proofErr w:type="spellStart"/>
      <w:r>
        <w:rPr>
          <w:rStyle w:val="Absatz-Standardschriftart1"/>
          <w:color w:val="000000"/>
        </w:rPr>
        <w:t>hPa</w:t>
      </w:r>
      <w:proofErr w:type="spellEnd"/>
      <w:r>
        <w:rPr>
          <w:rStyle w:val="Absatz-Standardschriftart1"/>
          <w:color w:val="000000"/>
        </w:rPr>
        <w:t xml:space="preserve"> 20 °C (or 19,19 </w:t>
      </w:r>
      <w:proofErr w:type="spellStart"/>
      <w:r>
        <w:rPr>
          <w:rStyle w:val="Absatz-Standardschriftart1"/>
          <w:color w:val="000000"/>
        </w:rPr>
        <w:t>hPa</w:t>
      </w:r>
      <w:proofErr w:type="spellEnd"/>
      <w:r>
        <w:rPr>
          <w:rStyle w:val="Absatz-Standardschriftart1"/>
          <w:color w:val="000000"/>
        </w:rPr>
        <w:t xml:space="preserve"> 25 °C) » saturated vapour </w:t>
      </w:r>
      <w:proofErr w:type="spellStart"/>
      <w:proofErr w:type="gramStart"/>
      <w:r>
        <w:rPr>
          <w:rStyle w:val="Absatz-Standardschriftart1"/>
          <w:color w:val="000000"/>
        </w:rPr>
        <w:t>conc</w:t>
      </w:r>
      <w:proofErr w:type="spellEnd"/>
      <w:r>
        <w:rPr>
          <w:rStyle w:val="Absatz-Standardschriftart1"/>
          <w:color w:val="000000"/>
        </w:rPr>
        <w:t xml:space="preserve">  in</w:t>
      </w:r>
      <w:proofErr w:type="gramEnd"/>
      <w:r>
        <w:rPr>
          <w:rStyle w:val="Absatz-Standardschriftart1"/>
          <w:color w:val="000000"/>
        </w:rPr>
        <w:t xml:space="preserve"> ppm: </w:t>
      </w:r>
      <w:r>
        <w:rPr>
          <w:rStyle w:val="Absatz-Standardschriftart1"/>
          <w:bCs/>
          <w:color w:val="FF4000"/>
        </w:rPr>
        <w:t>13920 ppm</w:t>
      </w:r>
    </w:p>
    <w:p w14:paraId="3F658485" w14:textId="77777777" w:rsidR="004D79B8" w:rsidRPr="005D7F5D" w:rsidRDefault="004D79B8" w:rsidP="004D79B8">
      <w:pPr>
        <w:pStyle w:val="SingleTxtG"/>
        <w:rPr>
          <w:lang w:val="en-US"/>
        </w:rPr>
      </w:pPr>
      <w:r>
        <w:rPr>
          <w:rStyle w:val="Absatz-Standardschriftart1"/>
          <w:color w:val="000000"/>
        </w:rPr>
        <w:t>Most used LC</w:t>
      </w:r>
      <w:r w:rsidRPr="002C05E6">
        <w:rPr>
          <w:rStyle w:val="Absatz-Standardschriftart1"/>
          <w:color w:val="000000"/>
          <w:vertAlign w:val="subscript"/>
        </w:rPr>
        <w:t>50</w:t>
      </w:r>
      <w:r>
        <w:rPr>
          <w:rStyle w:val="Absatz-Standardschriftart1"/>
          <w:color w:val="000000"/>
        </w:rPr>
        <w:t xml:space="preserve"> in ppm: 1318</w:t>
      </w:r>
      <w:r w:rsidRPr="00BA2F91">
        <w:rPr>
          <w:rStyle w:val="Absatz-Standardschriftart1"/>
          <w:color w:val="000000"/>
        </w:rPr>
        <w:t xml:space="preserve">/ 4 </w:t>
      </w:r>
      <w:proofErr w:type="gramStart"/>
      <w:r w:rsidRPr="00BA2F91">
        <w:rPr>
          <w:rStyle w:val="Absatz-Standardschriftart1"/>
          <w:color w:val="000000"/>
        </w:rPr>
        <w:t>h</w:t>
      </w:r>
      <w:r>
        <w:rPr>
          <w:rStyle w:val="Absatz-Standardschriftart1"/>
          <w:color w:val="000000"/>
        </w:rPr>
        <w:t xml:space="preserve">  »</w:t>
      </w:r>
      <w:proofErr w:type="gramEnd"/>
      <w:r>
        <w:rPr>
          <w:rStyle w:val="Absatz-Standardschriftart1"/>
          <w:color w:val="000000"/>
        </w:rPr>
        <w:t xml:space="preserve"> </w:t>
      </w:r>
      <w:r>
        <w:rPr>
          <w:rStyle w:val="Absatz-Standardschriftart1"/>
          <w:bCs/>
          <w:color w:val="FF4000"/>
        </w:rPr>
        <w:t>2636 ppm in 1 h</w:t>
      </w:r>
    </w:p>
    <w:p w14:paraId="3499C107" w14:textId="77777777" w:rsidR="004D79B8" w:rsidRDefault="004D79B8" w:rsidP="004D79B8">
      <w:pPr>
        <w:pStyle w:val="SingleTxtG"/>
        <w:rPr>
          <w:b/>
          <w:vertAlign w:val="superscript"/>
        </w:rPr>
      </w:pPr>
      <w:r w:rsidRPr="00946A3D">
        <w:rPr>
          <w:rStyle w:val="Absatz-Standardschriftart1"/>
          <w:b/>
        </w:rPr>
        <w:t>» PG II (</w:t>
      </w:r>
      <w:r w:rsidRPr="00946A3D">
        <w:rPr>
          <w:rFonts w:hint="eastAsia"/>
          <w:b/>
        </w:rPr>
        <w:t>V</w:t>
      </w:r>
      <w:r w:rsidRPr="00946A3D">
        <w:rPr>
          <w:b/>
        </w:rPr>
        <w:t xml:space="preserve"> ≥</w:t>
      </w:r>
      <w:r w:rsidRPr="00946A3D">
        <w:rPr>
          <w:rFonts w:hint="eastAsia"/>
          <w:b/>
        </w:rPr>
        <w:t xml:space="preserve"> LC</w:t>
      </w:r>
      <w:r w:rsidRPr="00946A3D">
        <w:rPr>
          <w:rFonts w:hint="eastAsia"/>
          <w:b/>
          <w:vertAlign w:val="subscript"/>
        </w:rPr>
        <w:t>50</w:t>
      </w:r>
      <w:r w:rsidRPr="00946A3D">
        <w:rPr>
          <w:rFonts w:hint="eastAsia"/>
          <w:b/>
        </w:rPr>
        <w:t xml:space="preserve"> and LC</w:t>
      </w:r>
      <w:r w:rsidRPr="00946A3D">
        <w:rPr>
          <w:rFonts w:hint="eastAsia"/>
          <w:b/>
          <w:vertAlign w:val="subscript"/>
        </w:rPr>
        <w:t>50</w:t>
      </w:r>
      <w:r w:rsidRPr="00946A3D">
        <w:rPr>
          <w:rFonts w:hint="eastAsia"/>
          <w:b/>
        </w:rPr>
        <w:t xml:space="preserve"> </w:t>
      </w:r>
      <w:r w:rsidRPr="00946A3D">
        <w:rPr>
          <w:b/>
        </w:rPr>
        <w:t>≤ 3</w:t>
      </w:r>
      <w:r w:rsidRPr="00946A3D">
        <w:rPr>
          <w:rFonts w:hint="eastAsia"/>
          <w:b/>
        </w:rPr>
        <w:t xml:space="preserve"> 000 ml/m</w:t>
      </w:r>
      <w:r w:rsidRPr="002C05E6">
        <w:rPr>
          <w:b/>
          <w:vertAlign w:val="superscript"/>
        </w:rPr>
        <w:t>3</w:t>
      </w:r>
    </w:p>
    <w:p w14:paraId="0145BEC9" w14:textId="77777777" w:rsidR="00926574" w:rsidRDefault="00926574" w:rsidP="004D79B8">
      <w:pPr>
        <w:pStyle w:val="SingleTxtG"/>
        <w:rPr>
          <w:b/>
          <w:vertAlign w:val="superscript"/>
        </w:rPr>
      </w:pPr>
    </w:p>
    <w:p w14:paraId="4B9F0E18" w14:textId="69BFED45" w:rsidR="00926574" w:rsidRPr="00926574" w:rsidRDefault="00926574" w:rsidP="00926574">
      <w:pPr>
        <w:spacing w:before="240"/>
        <w:jc w:val="center"/>
        <w:rPr>
          <w:u w:val="single"/>
        </w:rPr>
      </w:pPr>
      <w:r>
        <w:rPr>
          <w:u w:val="single"/>
        </w:rPr>
        <w:tab/>
      </w:r>
      <w:r>
        <w:rPr>
          <w:u w:val="single"/>
        </w:rPr>
        <w:tab/>
      </w:r>
      <w:r>
        <w:rPr>
          <w:u w:val="single"/>
        </w:rPr>
        <w:tab/>
      </w:r>
    </w:p>
    <w:sectPr w:rsidR="00926574" w:rsidRPr="00926574" w:rsidSect="009F2ACD">
      <w:headerReference w:type="even" r:id="rId28"/>
      <w:headerReference w:type="default" r:id="rId29"/>
      <w:footerReference w:type="even" r:id="rId30"/>
      <w:footerReference w:type="default" r:id="rId31"/>
      <w:endnotePr>
        <w:numFmt w:val="decimal"/>
      </w:endnotePr>
      <w:pgSz w:w="11907" w:h="16840" w:code="9"/>
      <w:pgMar w:top="1417" w:right="1134" w:bottom="1134" w:left="1134" w:header="85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5D350" w14:textId="77777777" w:rsidR="0005539A" w:rsidRPr="00C47B2E" w:rsidRDefault="0005539A" w:rsidP="00C47B2E">
      <w:pPr>
        <w:pStyle w:val="Footer"/>
      </w:pPr>
    </w:p>
  </w:endnote>
  <w:endnote w:type="continuationSeparator" w:id="0">
    <w:p w14:paraId="5257F698" w14:textId="77777777" w:rsidR="0005539A" w:rsidRPr="00C47B2E" w:rsidRDefault="0005539A" w:rsidP="00C47B2E">
      <w:pPr>
        <w:pStyle w:val="Footer"/>
      </w:pPr>
    </w:p>
  </w:endnote>
  <w:endnote w:type="continuationNotice" w:id="1">
    <w:p w14:paraId="62107A11" w14:textId="77777777" w:rsidR="0005539A" w:rsidRPr="00C47B2E" w:rsidRDefault="0005539A" w:rsidP="00C47B2E">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F60B1" w14:textId="43B3FBA2" w:rsidR="00D94B05" w:rsidRPr="00C97177" w:rsidRDefault="00C97177" w:rsidP="00D85308">
    <w:pPr>
      <w:pStyle w:val="Footer"/>
      <w:tabs>
        <w:tab w:val="right" w:pos="9639"/>
      </w:tabs>
      <w:rPr>
        <w:sz w:val="18"/>
      </w:rPr>
    </w:pPr>
    <w:r w:rsidRPr="00C97177">
      <w:rPr>
        <w:b/>
        <w:sz w:val="18"/>
      </w:rPr>
      <w:fldChar w:fldCharType="begin"/>
    </w:r>
    <w:r w:rsidRPr="00C97177">
      <w:rPr>
        <w:b/>
        <w:sz w:val="18"/>
      </w:rPr>
      <w:instrText xml:space="preserve"> PAGE  \* MERGEFORMAT </w:instrText>
    </w:r>
    <w:r w:rsidRPr="00C97177">
      <w:rPr>
        <w:b/>
        <w:sz w:val="18"/>
      </w:rPr>
      <w:fldChar w:fldCharType="separate"/>
    </w:r>
    <w:r w:rsidRPr="00C97177">
      <w:rPr>
        <w:b/>
        <w:noProof/>
        <w:sz w:val="18"/>
      </w:rPr>
      <w:t>2</w:t>
    </w:r>
    <w:r w:rsidRPr="00C97177">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21554" w14:textId="3A7F9F09" w:rsidR="00D94B05" w:rsidRPr="00C97177" w:rsidRDefault="00C97177" w:rsidP="00D85308">
    <w:pPr>
      <w:pStyle w:val="Footer"/>
      <w:tabs>
        <w:tab w:val="right" w:pos="9639"/>
      </w:tabs>
      <w:rPr>
        <w:b/>
        <w:bCs/>
        <w:sz w:val="18"/>
      </w:rPr>
    </w:pPr>
    <w:r>
      <w:rPr>
        <w:bCs/>
        <w:sz w:val="18"/>
      </w:rPr>
      <w:tab/>
    </w:r>
    <w:r w:rsidRPr="00C97177">
      <w:rPr>
        <w:b/>
        <w:bCs/>
        <w:sz w:val="18"/>
      </w:rPr>
      <w:fldChar w:fldCharType="begin"/>
    </w:r>
    <w:r w:rsidRPr="00C97177">
      <w:rPr>
        <w:b/>
        <w:bCs/>
        <w:sz w:val="18"/>
      </w:rPr>
      <w:instrText xml:space="preserve"> PAGE  \* MERGEFORMAT </w:instrText>
    </w:r>
    <w:r w:rsidRPr="00C97177">
      <w:rPr>
        <w:b/>
        <w:bCs/>
        <w:sz w:val="18"/>
      </w:rPr>
      <w:fldChar w:fldCharType="separate"/>
    </w:r>
    <w:r w:rsidRPr="00C97177">
      <w:rPr>
        <w:b/>
        <w:bCs/>
        <w:noProof/>
        <w:sz w:val="18"/>
      </w:rPr>
      <w:t>3</w:t>
    </w:r>
    <w:r w:rsidRPr="00C97177">
      <w:rPr>
        <w:b/>
        <w:bCs/>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227DC" w14:textId="5532E9A5" w:rsidR="00123A7E" w:rsidRDefault="00123A7E" w:rsidP="00123A7E">
    <w:pPr>
      <w:pStyle w:val="Footer"/>
    </w:pPr>
    <w:r w:rsidRPr="0027112F">
      <w:rPr>
        <w:noProof/>
        <w:lang w:val="en-US"/>
      </w:rPr>
      <w:drawing>
        <wp:anchor distT="0" distB="0" distL="114300" distR="114300" simplePos="0" relativeHeight="251665408" behindDoc="0" locked="1" layoutInCell="1" allowOverlap="1" wp14:anchorId="1D3A5016" wp14:editId="611F1A1B">
          <wp:simplePos x="0" y="0"/>
          <wp:positionH relativeFrom="column">
            <wp:posOffset>4558030</wp:posOffset>
          </wp:positionH>
          <wp:positionV relativeFrom="page">
            <wp:posOffset>10128250</wp:posOffset>
          </wp:positionV>
          <wp:extent cx="932400" cy="230400"/>
          <wp:effectExtent l="0" t="0" r="1270" b="0"/>
          <wp:wrapNone/>
          <wp:docPr id="5" name="Picture 5" descr="Please recy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14:paraId="133A0692" w14:textId="2EE37C8F" w:rsidR="00123A7E" w:rsidRPr="00123A7E" w:rsidRDefault="00123A7E" w:rsidP="00123A7E">
    <w:pPr>
      <w:pStyle w:val="Footer"/>
      <w:ind w:right="1134"/>
      <w:rPr>
        <w:sz w:val="20"/>
      </w:rPr>
    </w:pPr>
    <w:r>
      <w:rPr>
        <w:sz w:val="20"/>
      </w:rPr>
      <w:t>GE.24-</w:t>
    </w:r>
    <w:proofErr w:type="gramStart"/>
    <w:r>
      <w:rPr>
        <w:sz w:val="20"/>
      </w:rPr>
      <w:t>16560  (</w:t>
    </w:r>
    <w:proofErr w:type="gramEnd"/>
    <w:r>
      <w:rPr>
        <w:sz w:val="20"/>
      </w:rPr>
      <w:t>E)</w:t>
    </w:r>
    <w:r>
      <w:rPr>
        <w:noProof/>
        <w:sz w:val="20"/>
      </w:rPr>
      <w:drawing>
        <wp:anchor distT="0" distB="0" distL="114300" distR="114300" simplePos="0" relativeHeight="251666432" behindDoc="0" locked="0" layoutInCell="1" allowOverlap="1" wp14:anchorId="20C261B0" wp14:editId="5B6A9B14">
          <wp:simplePos x="0" y="0"/>
          <wp:positionH relativeFrom="margin">
            <wp:posOffset>5615940</wp:posOffset>
          </wp:positionH>
          <wp:positionV relativeFrom="margin">
            <wp:posOffset>8905875</wp:posOffset>
          </wp:positionV>
          <wp:extent cx="571500" cy="571500"/>
          <wp:effectExtent l="0" t="0" r="0" b="0"/>
          <wp:wrapNone/>
          <wp:docPr id="13913622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3D4BF" w14:textId="1CDCC3BB" w:rsidR="002962DB" w:rsidRPr="002962DB" w:rsidRDefault="002962DB" w:rsidP="002962DB">
    <w:pPr>
      <w:pStyle w:val="Footer"/>
    </w:pPr>
    <w:r>
      <w:rPr>
        <w:noProof/>
      </w:rPr>
      <mc:AlternateContent>
        <mc:Choice Requires="wps">
          <w:drawing>
            <wp:anchor distT="0" distB="0" distL="114300" distR="114300" simplePos="0" relativeHeight="251663360" behindDoc="0" locked="0" layoutInCell="1" allowOverlap="1" wp14:anchorId="5C4DB054" wp14:editId="767A7201">
              <wp:simplePos x="0" y="0"/>
              <wp:positionH relativeFrom="margin">
                <wp:posOffset>-431800</wp:posOffset>
              </wp:positionH>
              <wp:positionV relativeFrom="margin">
                <wp:posOffset>0</wp:posOffset>
              </wp:positionV>
              <wp:extent cx="215900" cy="6120130"/>
              <wp:effectExtent l="0" t="0" r="0" b="0"/>
              <wp:wrapNone/>
              <wp:docPr id="37567031" name="Text Box 4"/>
              <wp:cNvGraphicFramePr/>
              <a:graphic xmlns:a="http://schemas.openxmlformats.org/drawingml/2006/main">
                <a:graphicData uri="http://schemas.microsoft.com/office/word/2010/wordprocessingShape">
                  <wps:wsp>
                    <wps:cNvSpPr txBox="1"/>
                    <wps:spPr>
                      <a:xfrm>
                        <a:off x="0" y="0"/>
                        <a:ext cx="215900" cy="6120130"/>
                      </a:xfrm>
                      <a:prstGeom prst="rect">
                        <a:avLst/>
                      </a:prstGeom>
                      <a:solidFill>
                        <a:schemeClr val="accent1">
                          <a:alpha val="0"/>
                        </a:schemeClr>
                      </a:solidFill>
                      <a:ln w="6350" cap="flat" cmpd="sng" algn="ctr">
                        <a:noFill/>
                        <a:prstDash val="solid"/>
                        <a:round/>
                        <a:headEnd type="none" w="med" len="med"/>
                        <a:tailEnd type="none" w="med" len="med"/>
                      </a:ln>
                      <a:extLst>
                        <a:ext uri="{91240B29-F687-4F45-9708-019B960494DF}">
                          <a14:hiddenLine xmlns:a14="http://schemas.microsoft.com/office/drawing/2010/main" w="6350" cap="flat" cmpd="sng" algn="ctr">
                            <a:solidFill>
                              <a:prstClr val="black"/>
                            </a:solidFill>
                            <a:prstDash val="solid"/>
                            <a:round/>
                            <a:headEnd type="none" w="med" len="med"/>
                            <a:tailEnd type="none" w="med" len="med"/>
                          </a14:hiddenLine>
                        </a:ext>
                      </a:extLst>
                    </wps:spPr>
                    <wps:txbx>
                      <w:txbxContent>
                        <w:p w14:paraId="49732E43" w14:textId="77777777" w:rsidR="002962DB" w:rsidRPr="00C97177" w:rsidRDefault="002962DB" w:rsidP="002962DB">
                          <w:pPr>
                            <w:pStyle w:val="Footer"/>
                            <w:tabs>
                              <w:tab w:val="right" w:pos="9639"/>
                            </w:tabs>
                            <w:rPr>
                              <w:sz w:val="18"/>
                            </w:rPr>
                          </w:pPr>
                          <w:r w:rsidRPr="00C97177">
                            <w:rPr>
                              <w:b/>
                              <w:sz w:val="18"/>
                            </w:rPr>
                            <w:fldChar w:fldCharType="begin"/>
                          </w:r>
                          <w:r w:rsidRPr="00C97177">
                            <w:rPr>
                              <w:b/>
                              <w:sz w:val="18"/>
                            </w:rPr>
                            <w:instrText xml:space="preserve"> PAGE  \* MERGEFORMAT </w:instrText>
                          </w:r>
                          <w:r w:rsidRPr="00C97177">
                            <w:rPr>
                              <w:b/>
                              <w:sz w:val="18"/>
                            </w:rPr>
                            <w:fldChar w:fldCharType="separate"/>
                          </w:r>
                          <w:r>
                            <w:rPr>
                              <w:b/>
                              <w:sz w:val="18"/>
                            </w:rPr>
                            <w:t>8</w:t>
                          </w:r>
                          <w:r w:rsidRPr="00C97177">
                            <w:rPr>
                              <w:b/>
                              <w:sz w:val="18"/>
                            </w:rPr>
                            <w:fldChar w:fldCharType="end"/>
                          </w:r>
                          <w:r>
                            <w:rPr>
                              <w:sz w:val="18"/>
                            </w:rPr>
                            <w:tab/>
                          </w:r>
                        </w:p>
                        <w:p w14:paraId="2C0B8C08" w14:textId="77777777" w:rsidR="002962DB" w:rsidRDefault="002962DB"/>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anchor>
          </w:drawing>
        </mc:Choice>
        <mc:Fallback>
          <w:pict>
            <v:shapetype w14:anchorId="5C4DB054" id="_x0000_t202" coordsize="21600,21600" o:spt="202" path="m,l,21600r21600,l21600,xe">
              <v:stroke joinstyle="miter"/>
              <v:path gradientshapeok="t" o:connecttype="rect"/>
            </v:shapetype>
            <v:shape id="Text Box 4" o:spid="_x0000_s1028" type="#_x0000_t202" style="position:absolute;margin-left:-34pt;margin-top:0;width:17pt;height:481.9pt;z-index:251663360;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" fillcolor="#4f81bd [3204]" stroked="f" strokeweight=".5pt">
              <v:fill opacity="0"/>
              <v:stroke joinstyle="round"/>
              <v:textbox style="layout-flow:vertical" inset="0,0,0,0">
                <w:txbxContent>
                  <w:p w14:paraId="49732E43" w14:textId="77777777" w:rsidR="002962DB" w:rsidRPr="00C97177" w:rsidRDefault="002962DB" w:rsidP="002962DB">
                    <w:pPr>
                      <w:pStyle w:val="Footer"/>
                      <w:tabs>
                        <w:tab w:val="right" w:pos="9639"/>
                      </w:tabs>
                      <w:rPr>
                        <w:sz w:val="18"/>
                      </w:rPr>
                    </w:pPr>
                    <w:r w:rsidRPr="00C97177">
                      <w:rPr>
                        <w:b/>
                        <w:sz w:val="18"/>
                      </w:rPr>
                      <w:fldChar w:fldCharType="begin"/>
                    </w:r>
                    <w:r w:rsidRPr="00C97177">
                      <w:rPr>
                        <w:b/>
                        <w:sz w:val="18"/>
                      </w:rPr>
                      <w:instrText xml:space="preserve"> PAGE  \* MERGEFORMAT </w:instrText>
                    </w:r>
                    <w:r w:rsidRPr="00C97177">
                      <w:rPr>
                        <w:b/>
                        <w:sz w:val="18"/>
                      </w:rPr>
                      <w:fldChar w:fldCharType="separate"/>
                    </w:r>
                    <w:r>
                      <w:rPr>
                        <w:b/>
                        <w:sz w:val="18"/>
                      </w:rPr>
                      <w:t>8</w:t>
                    </w:r>
                    <w:r w:rsidRPr="00C97177">
                      <w:rPr>
                        <w:b/>
                        <w:sz w:val="18"/>
                      </w:rPr>
                      <w:fldChar w:fldCharType="end"/>
                    </w:r>
                    <w:r>
                      <w:rPr>
                        <w:sz w:val="18"/>
                      </w:rPr>
                      <w:tab/>
                    </w:r>
                  </w:p>
                  <w:p w14:paraId="2C0B8C08" w14:textId="77777777" w:rsidR="002962DB" w:rsidRDefault="002962DB"/>
                </w:txbxContent>
              </v:textbox>
              <w10:wrap anchorx="margin" anchory="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C6B04" w14:textId="05803EC3" w:rsidR="002962DB" w:rsidRPr="002962DB" w:rsidRDefault="002962DB" w:rsidP="002962DB">
    <w:pPr>
      <w:pStyle w:val="Footer"/>
    </w:pPr>
    <w:r>
      <w:rPr>
        <w:noProof/>
      </w:rPr>
      <mc:AlternateContent>
        <mc:Choice Requires="wps">
          <w:drawing>
            <wp:anchor distT="0" distB="0" distL="114300" distR="114300" simplePos="0" relativeHeight="251661312" behindDoc="0" locked="0" layoutInCell="1" allowOverlap="1" wp14:anchorId="23F4758A" wp14:editId="3CD99872">
              <wp:simplePos x="0" y="0"/>
              <wp:positionH relativeFrom="margin">
                <wp:posOffset>-431800</wp:posOffset>
              </wp:positionH>
              <wp:positionV relativeFrom="margin">
                <wp:posOffset>0</wp:posOffset>
              </wp:positionV>
              <wp:extent cx="215900" cy="6120130"/>
              <wp:effectExtent l="0" t="0" r="0" b="0"/>
              <wp:wrapNone/>
              <wp:docPr id="1124635985" name="Text Box 2"/>
              <wp:cNvGraphicFramePr/>
              <a:graphic xmlns:a="http://schemas.openxmlformats.org/drawingml/2006/main">
                <a:graphicData uri="http://schemas.microsoft.com/office/word/2010/wordprocessingShape">
                  <wps:wsp>
                    <wps:cNvSpPr txBox="1"/>
                    <wps:spPr>
                      <a:xfrm>
                        <a:off x="0" y="0"/>
                        <a:ext cx="215900" cy="6120130"/>
                      </a:xfrm>
                      <a:prstGeom prst="rect">
                        <a:avLst/>
                      </a:prstGeom>
                      <a:solidFill>
                        <a:schemeClr val="accent1">
                          <a:alpha val="0"/>
                        </a:schemeClr>
                      </a:solidFill>
                      <a:ln w="6350" cap="flat" cmpd="sng" algn="ctr">
                        <a:noFill/>
                        <a:prstDash val="solid"/>
                        <a:round/>
                        <a:headEnd type="none" w="med" len="med"/>
                        <a:tailEnd type="none" w="med" len="med"/>
                      </a:ln>
                      <a:extLst>
                        <a:ext uri="{91240B29-F687-4F45-9708-019B960494DF}">
                          <a14:hiddenLine xmlns:a14="http://schemas.microsoft.com/office/drawing/2010/main" w="6350" cap="flat" cmpd="sng" algn="ctr">
                            <a:solidFill>
                              <a:prstClr val="black"/>
                            </a:solidFill>
                            <a:prstDash val="solid"/>
                            <a:round/>
                            <a:headEnd type="none" w="med" len="med"/>
                            <a:tailEnd type="none" w="med" len="med"/>
                          </a14:hiddenLine>
                        </a:ext>
                      </a:extLst>
                    </wps:spPr>
                    <wps:txbx>
                      <w:txbxContent>
                        <w:p w14:paraId="7CB8A8AF" w14:textId="77777777" w:rsidR="002962DB" w:rsidRPr="00C97177" w:rsidRDefault="002962DB" w:rsidP="002962DB">
                          <w:pPr>
                            <w:pStyle w:val="Footer"/>
                            <w:tabs>
                              <w:tab w:val="right" w:pos="9639"/>
                            </w:tabs>
                            <w:rPr>
                              <w:b/>
                              <w:bCs/>
                              <w:sz w:val="18"/>
                            </w:rPr>
                          </w:pPr>
                          <w:r>
                            <w:rPr>
                              <w:bCs/>
                              <w:sz w:val="18"/>
                            </w:rPr>
                            <w:tab/>
                          </w:r>
                          <w:r w:rsidRPr="00C97177">
                            <w:rPr>
                              <w:b/>
                              <w:bCs/>
                              <w:sz w:val="18"/>
                            </w:rPr>
                            <w:fldChar w:fldCharType="begin"/>
                          </w:r>
                          <w:r w:rsidRPr="00C97177">
                            <w:rPr>
                              <w:b/>
                              <w:bCs/>
                              <w:sz w:val="18"/>
                            </w:rPr>
                            <w:instrText xml:space="preserve"> PAGE  \* MERGEFORMAT </w:instrText>
                          </w:r>
                          <w:r w:rsidRPr="00C97177">
                            <w:rPr>
                              <w:b/>
                              <w:bCs/>
                              <w:sz w:val="18"/>
                            </w:rPr>
                            <w:fldChar w:fldCharType="separate"/>
                          </w:r>
                          <w:r>
                            <w:rPr>
                              <w:b/>
                              <w:bCs/>
                              <w:sz w:val="18"/>
                            </w:rPr>
                            <w:t>7</w:t>
                          </w:r>
                          <w:r w:rsidRPr="00C97177">
                            <w:rPr>
                              <w:b/>
                              <w:bCs/>
                              <w:sz w:val="18"/>
                            </w:rPr>
                            <w:fldChar w:fldCharType="end"/>
                          </w:r>
                        </w:p>
                        <w:p w14:paraId="15D737E7" w14:textId="77777777" w:rsidR="002962DB" w:rsidRDefault="002962DB"/>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anchor>
          </w:drawing>
        </mc:Choice>
        <mc:Fallback>
          <w:pict>
            <v:shapetype w14:anchorId="23F4758A" id="_x0000_t202" coordsize="21600,21600" o:spt="202" path="m,l,21600r21600,l21600,xe">
              <v:stroke joinstyle="miter"/>
              <v:path gradientshapeok="t" o:connecttype="rect"/>
            </v:shapetype>
            <v:shape id="Text Box 2" o:spid="_x0000_s1029" type="#_x0000_t202" style="position:absolute;margin-left:-34pt;margin-top:0;width:17pt;height:481.9pt;z-index:251661312;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" fillcolor="#4f81bd [3204]" stroked="f" strokeweight=".5pt">
              <v:fill opacity="0"/>
              <v:stroke joinstyle="round"/>
              <v:textbox style="layout-flow:vertical" inset="0,0,0,0">
                <w:txbxContent>
                  <w:p w14:paraId="7CB8A8AF" w14:textId="77777777" w:rsidR="002962DB" w:rsidRPr="00C97177" w:rsidRDefault="002962DB" w:rsidP="002962DB">
                    <w:pPr>
                      <w:pStyle w:val="Footer"/>
                      <w:tabs>
                        <w:tab w:val="right" w:pos="9639"/>
                      </w:tabs>
                      <w:rPr>
                        <w:b/>
                        <w:bCs/>
                        <w:sz w:val="18"/>
                      </w:rPr>
                    </w:pPr>
                    <w:r>
                      <w:rPr>
                        <w:bCs/>
                        <w:sz w:val="18"/>
                      </w:rPr>
                      <w:tab/>
                    </w:r>
                    <w:r w:rsidRPr="00C97177">
                      <w:rPr>
                        <w:b/>
                        <w:bCs/>
                        <w:sz w:val="18"/>
                      </w:rPr>
                      <w:fldChar w:fldCharType="begin"/>
                    </w:r>
                    <w:r w:rsidRPr="00C97177">
                      <w:rPr>
                        <w:b/>
                        <w:bCs/>
                        <w:sz w:val="18"/>
                      </w:rPr>
                      <w:instrText xml:space="preserve"> PAGE  \* MERGEFORMAT </w:instrText>
                    </w:r>
                    <w:r w:rsidRPr="00C97177">
                      <w:rPr>
                        <w:b/>
                        <w:bCs/>
                        <w:sz w:val="18"/>
                      </w:rPr>
                      <w:fldChar w:fldCharType="separate"/>
                    </w:r>
                    <w:r>
                      <w:rPr>
                        <w:b/>
                        <w:bCs/>
                        <w:sz w:val="18"/>
                      </w:rPr>
                      <w:t>7</w:t>
                    </w:r>
                    <w:r w:rsidRPr="00C97177">
                      <w:rPr>
                        <w:b/>
                        <w:bCs/>
                        <w:sz w:val="18"/>
                      </w:rPr>
                      <w:fldChar w:fldCharType="end"/>
                    </w:r>
                  </w:p>
                  <w:p w14:paraId="15D737E7" w14:textId="77777777" w:rsidR="002962DB" w:rsidRDefault="002962DB"/>
                </w:txbxContent>
              </v:textbox>
              <w10:wrap anchorx="margin" anchory="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8E71D" w14:textId="3433CBF6" w:rsidR="009F2ACD" w:rsidRPr="009F2ACD" w:rsidRDefault="009F2ACD" w:rsidP="009F2ACD">
    <w:pPr>
      <w:pStyle w:val="Footer"/>
      <w:tabs>
        <w:tab w:val="right" w:pos="9638"/>
      </w:tabs>
      <w:rPr>
        <w:b/>
        <w:sz w:val="18"/>
      </w:rPr>
    </w:pPr>
    <w:r>
      <w:rPr>
        <w:b/>
        <w:sz w:val="18"/>
      </w:rPr>
      <w:fldChar w:fldCharType="begin"/>
    </w:r>
    <w:r>
      <w:rPr>
        <w:b/>
        <w:sz w:val="18"/>
      </w:rPr>
      <w:instrText xml:space="preserve"> PAGE  \* MERGEFORMAT </w:instrText>
    </w:r>
    <w:r>
      <w:rPr>
        <w:b/>
        <w:sz w:val="18"/>
      </w:rPr>
      <w:fldChar w:fldCharType="separate"/>
    </w:r>
    <w:r>
      <w:rPr>
        <w:b/>
        <w:noProof/>
        <w:sz w:val="18"/>
      </w:rPr>
      <w:t>10</w:t>
    </w:r>
    <w:r>
      <w:rPr>
        <w:b/>
        <w:sz w:val="18"/>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C47A6" w14:textId="60CB2C83" w:rsidR="009F2ACD" w:rsidRPr="009F2ACD" w:rsidRDefault="009F2ACD" w:rsidP="00F267F7">
    <w:pPr>
      <w:pStyle w:val="Footer"/>
      <w:tabs>
        <w:tab w:val="right" w:pos="9638"/>
      </w:tabs>
      <w:jc w:val="right"/>
      <w:rPr>
        <w:sz w:val="18"/>
      </w:rPr>
    </w:pPr>
    <w:r>
      <w:rPr>
        <w:b/>
        <w:sz w:val="18"/>
      </w:rPr>
      <w:fldChar w:fldCharType="begin"/>
    </w:r>
    <w:r>
      <w:rPr>
        <w:b/>
        <w:sz w:val="18"/>
      </w:rPr>
      <w:instrText xml:space="preserve"> PAGE  \* MERGEFORMAT </w:instrText>
    </w:r>
    <w:r>
      <w:rPr>
        <w:b/>
        <w:sz w:val="18"/>
      </w:rPr>
      <w:fldChar w:fldCharType="separate"/>
    </w:r>
    <w:r>
      <w:rPr>
        <w:b/>
        <w:noProof/>
        <w:sz w:val="18"/>
      </w:rPr>
      <w:t>9</w:t>
    </w:r>
    <w:r>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1C1A4" w14:textId="77777777" w:rsidR="0005539A" w:rsidRPr="00C47B2E" w:rsidRDefault="0005539A" w:rsidP="00C47B2E">
      <w:pPr>
        <w:tabs>
          <w:tab w:val="right" w:pos="2155"/>
        </w:tabs>
        <w:spacing w:after="80" w:line="240" w:lineRule="auto"/>
        <w:ind w:left="680"/>
      </w:pPr>
      <w:r>
        <w:rPr>
          <w:u w:val="single"/>
        </w:rPr>
        <w:tab/>
      </w:r>
    </w:p>
  </w:footnote>
  <w:footnote w:type="continuationSeparator" w:id="0">
    <w:p w14:paraId="66CE3DC7" w14:textId="77777777" w:rsidR="0005539A" w:rsidRPr="00C47B2E" w:rsidRDefault="0005539A" w:rsidP="005E716E">
      <w:pPr>
        <w:tabs>
          <w:tab w:val="right" w:pos="2155"/>
        </w:tabs>
        <w:spacing w:after="80" w:line="240" w:lineRule="auto"/>
        <w:ind w:left="680"/>
      </w:pPr>
      <w:r>
        <w:rPr>
          <w:u w:val="single"/>
        </w:rPr>
        <w:tab/>
      </w:r>
    </w:p>
  </w:footnote>
  <w:footnote w:type="continuationNotice" w:id="1">
    <w:p w14:paraId="5080E373" w14:textId="77777777" w:rsidR="0005539A" w:rsidRPr="00C47B2E" w:rsidRDefault="0005539A" w:rsidP="00C47B2E">
      <w:pPr>
        <w:pStyle w:val="Footer"/>
      </w:pPr>
    </w:p>
  </w:footnote>
  <w:footnote w:id="2">
    <w:p w14:paraId="70E4F790" w14:textId="097687FF" w:rsidR="00BE3CCF" w:rsidRPr="00926574" w:rsidRDefault="00BE3CCF">
      <w:pPr>
        <w:pStyle w:val="FootnoteText"/>
        <w:rPr>
          <w:lang w:val="fr-CH"/>
        </w:rPr>
      </w:pPr>
      <w:r>
        <w:rPr>
          <w:rStyle w:val="FootnoteReference"/>
        </w:rPr>
        <w:tab/>
      </w:r>
      <w:r w:rsidRPr="00926574">
        <w:rPr>
          <w:rStyle w:val="FootnoteReference"/>
          <w:sz w:val="20"/>
          <w:vertAlign w:val="baseline"/>
        </w:rPr>
        <w:t>*</w:t>
      </w:r>
      <w:r>
        <w:rPr>
          <w:rStyle w:val="FootnoteReference"/>
          <w:sz w:val="20"/>
          <w:vertAlign w:val="baseline"/>
        </w:rPr>
        <w:tab/>
      </w:r>
      <w:r w:rsidR="00FE4610" w:rsidRPr="00FE4610">
        <w:rPr>
          <w:sz w:val="20"/>
        </w:rPr>
        <w:t>A/78/6 (Sect. 20), table 20.5.</w:t>
      </w:r>
    </w:p>
  </w:footnote>
  <w:footnote w:id="3">
    <w:p w14:paraId="11A66546" w14:textId="77777777" w:rsidR="00C97177" w:rsidRPr="00A31989" w:rsidRDefault="00C97177" w:rsidP="00C97177">
      <w:pPr>
        <w:pStyle w:val="FootnoteText"/>
        <w:rPr>
          <w:lang w:val="en-US"/>
        </w:rPr>
      </w:pPr>
      <w:r>
        <w:rPr>
          <w:lang w:val="en-US"/>
        </w:rPr>
        <w:tab/>
      </w:r>
      <w:r>
        <w:rPr>
          <w:rStyle w:val="FootnoteReference"/>
        </w:rPr>
        <w:footnoteRef/>
      </w:r>
      <w:r>
        <w:rPr>
          <w:lang w:val="en-US"/>
        </w:rPr>
        <w:tab/>
      </w:r>
      <w:hyperlink r:id="rId1" w:history="1">
        <w:r w:rsidRPr="00A31989">
          <w:rPr>
            <w:rStyle w:val="Hyperlink"/>
            <w:lang w:val="en-US"/>
          </w:rPr>
          <w:t>https://echa.europa.eu/en/registration-dossier/-/registered-dossier/27608/7/4/2/?documentUUID=65c68a58-38bb-4524-9497-30d2925959a7</w:t>
        </w:r>
      </w:hyperlink>
      <w:r w:rsidRPr="00A31989">
        <w:rPr>
          <w:lang w:val="en-US"/>
        </w:rPr>
        <w:t xml:space="preserve"> </w:t>
      </w:r>
    </w:p>
  </w:footnote>
  <w:footnote w:id="4">
    <w:p w14:paraId="730F11A8" w14:textId="44587902" w:rsidR="00C97177" w:rsidRPr="00AC6C16" w:rsidRDefault="00426F80" w:rsidP="00C97177">
      <w:pPr>
        <w:pStyle w:val="FootnoteText"/>
        <w:rPr>
          <w:lang w:val="en-US"/>
        </w:rPr>
      </w:pPr>
      <w:r>
        <w:tab/>
      </w:r>
      <w:r w:rsidR="00C97177">
        <w:rPr>
          <w:rStyle w:val="FootnoteReference"/>
        </w:rPr>
        <w:footnoteRef/>
      </w:r>
      <w:r w:rsidR="00C97177">
        <w:t xml:space="preserve"> </w:t>
      </w:r>
      <w:r>
        <w:tab/>
      </w:r>
      <w:hyperlink r:id="rId2" w:anchor="section=Adverse-Effects" w:history="1">
        <w:r w:rsidRPr="00426F80">
          <w:rPr>
            <w:rStyle w:val="Hyperlink"/>
          </w:rPr>
          <w:t>https://pubchem.ncbi.nlm.nih.gov/compound/8037#section=Adverse-Effects</w:t>
        </w:r>
      </w:hyperlink>
      <w:r w:rsidR="00C97177" w:rsidRPr="00AC6C16">
        <w:t>.</w:t>
      </w:r>
      <w:r w:rsidR="00C97177">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354AB" w14:textId="5CCABBE8" w:rsidR="00C97177" w:rsidRPr="00C97177" w:rsidRDefault="00AE19AB">
    <w:pPr>
      <w:pStyle w:val="Header"/>
    </w:pPr>
    <w:r>
      <w:fldChar w:fldCharType="begin"/>
    </w:r>
    <w:r>
      <w:instrText xml:space="preserve"> TITLE  \* MERGEFORMAT </w:instrText>
    </w:r>
    <w:r>
      <w:fldChar w:fldCharType="separate"/>
    </w:r>
    <w:r w:rsidR="00C97177">
      <w:t>ST/SG/AC.10/C.3/2024/106</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A8475" w14:textId="1B96DCE0" w:rsidR="00D94B05" w:rsidRPr="00C97177" w:rsidRDefault="00AE19AB" w:rsidP="00C97177">
    <w:pPr>
      <w:pStyle w:val="Header"/>
      <w:jc w:val="right"/>
    </w:pPr>
    <w:r>
      <w:fldChar w:fldCharType="begin"/>
    </w:r>
    <w:r>
      <w:instrText xml:space="preserve"> TITLE  \* MERGEFORMAT </w:instrText>
    </w:r>
    <w:r>
      <w:fldChar w:fldCharType="separate"/>
    </w:r>
    <w:r w:rsidR="00C97177">
      <w:t>ST/SG/AC.10/C.3/2024/106</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2D96D" w14:textId="20622BB8" w:rsidR="002962DB" w:rsidRPr="002962DB" w:rsidRDefault="002962DB" w:rsidP="002962DB">
    <w:r>
      <w:rPr>
        <w:noProof/>
      </w:rPr>
      <mc:AlternateContent>
        <mc:Choice Requires="wps">
          <w:drawing>
            <wp:anchor distT="0" distB="0" distL="114300" distR="114300" simplePos="0" relativeHeight="251662336" behindDoc="0" locked="0" layoutInCell="1" allowOverlap="1" wp14:anchorId="7133F0EE" wp14:editId="33FAE318">
              <wp:simplePos x="0" y="0"/>
              <wp:positionH relativeFrom="page">
                <wp:posOffset>9935845</wp:posOffset>
              </wp:positionH>
              <wp:positionV relativeFrom="margin">
                <wp:posOffset>0</wp:posOffset>
              </wp:positionV>
              <wp:extent cx="215900" cy="6120130"/>
              <wp:effectExtent l="0" t="0" r="0" b="0"/>
              <wp:wrapNone/>
              <wp:docPr id="204716115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900" cy="6120130"/>
                      </a:xfrm>
                      <a:prstGeom prst="rect">
                        <a:avLst/>
                      </a:prstGeom>
                      <a:solidFill>
                        <a:schemeClr val="accent1">
                          <a:alpha val="0"/>
                        </a:schemeClr>
                      </a:solidFill>
                      <a:ln w="6350">
                        <a:noFill/>
                      </a:ln>
                      <a:extLst>
                        <a:ext uri="{91240B29-F687-4F45-9708-019B960494DF}">
                          <a14:hiddenLine xmlns:a14="http://schemas.microsoft.com/office/drawing/2010/main" w="6350">
                            <a:solidFill>
                              <a:prstClr val="black"/>
                            </a:solidFill>
                          </a14:hiddenLine>
                        </a:ext>
                      </a:extLst>
                    </wps:spPr>
                    <wps:txbx>
                      <w:txbxContent>
                        <w:p w14:paraId="250DD296" w14:textId="77777777" w:rsidR="002962DB" w:rsidRPr="00C97177" w:rsidRDefault="00AE19AB" w:rsidP="002962DB">
                          <w:pPr>
                            <w:pStyle w:val="Header"/>
                          </w:pPr>
                          <w:r>
                            <w:fldChar w:fldCharType="begin"/>
                          </w:r>
                          <w:r>
                            <w:instrText xml:space="preserve"> TITLE  \* MERGEFORMAT </w:instrText>
                          </w:r>
                          <w:r>
                            <w:fldChar w:fldCharType="separate"/>
                          </w:r>
                          <w:r w:rsidR="002962DB">
                            <w:t>ST/SG/AC.10/C.3/2024/106</w:t>
                          </w:r>
                          <w:r>
                            <w:fldChar w:fldCharType="end"/>
                          </w:r>
                        </w:p>
                        <w:p w14:paraId="71263593" w14:textId="77777777" w:rsidR="002962DB" w:rsidRDefault="002962DB"/>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anchor>
          </w:drawing>
        </mc:Choice>
        <mc:Fallback>
          <w:pict>
            <v:shapetype w14:anchorId="7133F0EE" id="_x0000_t202" coordsize="21600,21600" o:spt="202" path="m,l,21600r21600,l21600,xe">
              <v:stroke joinstyle="miter"/>
              <v:path gradientshapeok="t" o:connecttype="rect"/>
            </v:shapetype>
            <v:shape id="Text Box 3" o:spid="_x0000_s1026" type="#_x0000_t202" style="position:absolute;margin-left:782.35pt;margin-top:0;width:17pt;height:481.9pt;z-index:251662336;visibility:visible;mso-wrap-style:square;mso-wrap-distance-left:9pt;mso-wrap-distance-top:0;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" fillcolor="#4f81bd [3204]" stroked="f" strokeweight=".5pt">
              <v:fill opacity="0"/>
              <v:path arrowok="t"/>
              <v:textbox style="layout-flow:vertical" inset="0,0,0,0">
                <w:txbxContent>
                  <w:p w14:paraId="250DD296" w14:textId="77777777" w:rsidR="002962DB" w:rsidRPr="00C97177" w:rsidRDefault="00AE19AB" w:rsidP="002962DB">
                    <w:pPr>
                      <w:pStyle w:val="Header"/>
                    </w:pPr>
                    <w:r>
                      <w:fldChar w:fldCharType="begin"/>
                    </w:r>
                    <w:r>
                      <w:instrText xml:space="preserve"> TITLE  \* MERGEFORMAT </w:instrText>
                    </w:r>
                    <w:r>
                      <w:fldChar w:fldCharType="separate"/>
                    </w:r>
                    <w:r w:rsidR="002962DB">
                      <w:t>ST/SG/AC.10/C.3/2024/106</w:t>
                    </w:r>
                    <w:r>
                      <w:fldChar w:fldCharType="end"/>
                    </w:r>
                  </w:p>
                  <w:p w14:paraId="71263593" w14:textId="77777777" w:rsidR="002962DB" w:rsidRDefault="002962DB"/>
                </w:txbxContent>
              </v:textbox>
              <w10:wrap anchorx="page"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258B7" w14:textId="36C29B91" w:rsidR="002962DB" w:rsidRPr="002962DB" w:rsidRDefault="002962DB" w:rsidP="002962DB">
    <w:r>
      <w:rPr>
        <w:noProof/>
      </w:rPr>
      <mc:AlternateContent>
        <mc:Choice Requires="wps">
          <w:drawing>
            <wp:anchor distT="0" distB="0" distL="114300" distR="114300" simplePos="0" relativeHeight="251660288" behindDoc="0" locked="0" layoutInCell="1" allowOverlap="1" wp14:anchorId="62D6D128" wp14:editId="7B76C22F">
              <wp:simplePos x="0" y="0"/>
              <wp:positionH relativeFrom="page">
                <wp:posOffset>9935845</wp:posOffset>
              </wp:positionH>
              <wp:positionV relativeFrom="margin">
                <wp:posOffset>0</wp:posOffset>
              </wp:positionV>
              <wp:extent cx="215900" cy="6120130"/>
              <wp:effectExtent l="0" t="0" r="0" b="0"/>
              <wp:wrapNone/>
              <wp:docPr id="849983856" name="Text Box 1"/>
              <wp:cNvGraphicFramePr/>
              <a:graphic xmlns:a="http://schemas.openxmlformats.org/drawingml/2006/main">
                <a:graphicData uri="http://schemas.microsoft.com/office/word/2010/wordprocessingShape">
                  <wps:wsp>
                    <wps:cNvSpPr txBox="1"/>
                    <wps:spPr>
                      <a:xfrm>
                        <a:off x="0" y="0"/>
                        <a:ext cx="215900" cy="6120130"/>
                      </a:xfrm>
                      <a:prstGeom prst="rect">
                        <a:avLst/>
                      </a:prstGeom>
                      <a:solidFill>
                        <a:schemeClr val="accent1">
                          <a:alpha val="0"/>
                        </a:schemeClr>
                      </a:solidFill>
                      <a:ln w="6350" cap="flat" cmpd="sng" algn="ctr">
                        <a:noFill/>
                        <a:prstDash val="solid"/>
                        <a:round/>
                        <a:headEnd type="none" w="med" len="med"/>
                        <a:tailEnd type="none" w="med" len="med"/>
                      </a:ln>
                      <a:extLst>
                        <a:ext uri="{91240B29-F687-4F45-9708-019B960494DF}">
                          <a14:hiddenLine xmlns:a14="http://schemas.microsoft.com/office/drawing/2010/main" w="6350" cap="flat" cmpd="sng" algn="ctr">
                            <a:solidFill>
                              <a:prstClr val="black"/>
                            </a:solidFill>
                            <a:prstDash val="solid"/>
                            <a:round/>
                            <a:headEnd type="none" w="med" len="med"/>
                            <a:tailEnd type="none" w="med" len="med"/>
                          </a14:hiddenLine>
                        </a:ext>
                      </a:extLst>
                    </wps:spPr>
                    <wps:txbx>
                      <w:txbxContent>
                        <w:p w14:paraId="2E956A49" w14:textId="77777777" w:rsidR="002962DB" w:rsidRPr="00C97177" w:rsidRDefault="00AE19AB" w:rsidP="002962DB">
                          <w:pPr>
                            <w:pStyle w:val="Header"/>
                            <w:jc w:val="right"/>
                          </w:pPr>
                          <w:r>
                            <w:fldChar w:fldCharType="begin"/>
                          </w:r>
                          <w:r>
                            <w:instrText xml:space="preserve"> TITLE  \* MERGEFORMAT </w:instrText>
                          </w:r>
                          <w:r>
                            <w:fldChar w:fldCharType="separate"/>
                          </w:r>
                          <w:r w:rsidR="002962DB">
                            <w:t>ST/SG/AC.10/C.3/2024/106</w:t>
                          </w:r>
                          <w:r>
                            <w:fldChar w:fldCharType="end"/>
                          </w:r>
                        </w:p>
                        <w:p w14:paraId="01E00C10" w14:textId="77777777" w:rsidR="002962DB" w:rsidRDefault="002962DB"/>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anchor>
          </w:drawing>
        </mc:Choice>
        <mc:Fallback>
          <w:pict>
            <v:shapetype w14:anchorId="62D6D128" id="_x0000_t202" coordsize="21600,21600" o:spt="202" path="m,l,21600r21600,l21600,xe">
              <v:stroke joinstyle="miter"/>
              <v:path gradientshapeok="t" o:connecttype="rect"/>
            </v:shapetype>
            <v:shape id="Text Box 1" o:spid="_x0000_s1027" type="#_x0000_t202" style="position:absolute;margin-left:782.35pt;margin-top:0;width:17pt;height:481.9pt;z-index:251660288;visibility:visible;mso-wrap-style:square;mso-wrap-distance-left:9pt;mso-wrap-distance-top:0;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" fillcolor="#4f81bd [3204]" stroked="f" strokeweight=".5pt">
              <v:fill opacity="0"/>
              <v:stroke joinstyle="round"/>
              <v:textbox style="layout-flow:vertical" inset="0,0,0,0">
                <w:txbxContent>
                  <w:p w14:paraId="2E956A49" w14:textId="77777777" w:rsidR="002962DB" w:rsidRPr="00C97177" w:rsidRDefault="00AE19AB" w:rsidP="002962DB">
                    <w:pPr>
                      <w:pStyle w:val="Header"/>
                      <w:jc w:val="right"/>
                    </w:pPr>
                    <w:r>
                      <w:fldChar w:fldCharType="begin"/>
                    </w:r>
                    <w:r>
                      <w:instrText xml:space="preserve"> TITLE  \* MERGEFORMAT </w:instrText>
                    </w:r>
                    <w:r>
                      <w:fldChar w:fldCharType="separate"/>
                    </w:r>
                    <w:r w:rsidR="002962DB">
                      <w:t>ST/SG/AC.10/C.3/2024/106</w:t>
                    </w:r>
                    <w:r>
                      <w:fldChar w:fldCharType="end"/>
                    </w:r>
                  </w:p>
                  <w:p w14:paraId="01E00C10" w14:textId="77777777" w:rsidR="002962DB" w:rsidRDefault="002962DB"/>
                </w:txbxContent>
              </v:textbox>
              <w10:wrap anchorx="page" anchory="margin"/>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4A4C6" w14:textId="7C2927F0" w:rsidR="009F2ACD" w:rsidRPr="009F2ACD" w:rsidRDefault="00AE19AB" w:rsidP="00F267F7">
    <w:pPr>
      <w:pStyle w:val="Header"/>
    </w:pPr>
    <w:r>
      <w:fldChar w:fldCharType="begin"/>
    </w:r>
    <w:r>
      <w:instrText xml:space="preserve"> TITLE  \* MERGEFORMAT </w:instrText>
    </w:r>
    <w:r>
      <w:fldChar w:fldCharType="separate"/>
    </w:r>
    <w:r w:rsidR="009F2ACD">
      <w:t>ST/SG/AC.10/C.3/2024/106</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FB919" w14:textId="182FE43C" w:rsidR="009F2ACD" w:rsidRPr="009F2ACD" w:rsidRDefault="00AE19AB" w:rsidP="00F267F7">
    <w:pPr>
      <w:pStyle w:val="Header"/>
      <w:jc w:val="right"/>
    </w:pPr>
    <w:r>
      <w:fldChar w:fldCharType="begin"/>
    </w:r>
    <w:r>
      <w:instrText xml:space="preserve"> TITLE  \* MERGEFORMAT </w:instrText>
    </w:r>
    <w:r>
      <w:fldChar w:fldCharType="separate"/>
    </w:r>
    <w:r w:rsidR="009F2ACD">
      <w:t>ST/SG/AC.10/C.3/2024/106</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116172172">
    <w:abstractNumId w:val="5"/>
  </w:num>
  <w:num w:numId="2" w16cid:durableId="1073159890">
    <w:abstractNumId w:val="4"/>
  </w:num>
  <w:num w:numId="3" w16cid:durableId="551188904">
    <w:abstractNumId w:val="0"/>
  </w:num>
  <w:num w:numId="4" w16cid:durableId="44254624">
    <w:abstractNumId w:val="6"/>
  </w:num>
  <w:num w:numId="5" w16cid:durableId="1816027029">
    <w:abstractNumId w:val="7"/>
  </w:num>
  <w:num w:numId="6" w16cid:durableId="1836190579">
    <w:abstractNumId w:val="9"/>
  </w:num>
  <w:num w:numId="7" w16cid:durableId="634676252">
    <w:abstractNumId w:val="3"/>
  </w:num>
  <w:num w:numId="8" w16cid:durableId="1039166836">
    <w:abstractNumId w:val="1"/>
  </w:num>
  <w:num w:numId="9" w16cid:durableId="644969981">
    <w:abstractNumId w:val="8"/>
  </w:num>
  <w:num w:numId="10" w16cid:durableId="525103391">
    <w:abstractNumId w:val="1"/>
  </w:num>
  <w:num w:numId="11" w16cid:durableId="297342166">
    <w:abstractNumId w:val="8"/>
  </w:num>
  <w:num w:numId="12" w16cid:durableId="1280380300">
    <w:abstractNumId w:val="2"/>
  </w:num>
  <w:num w:numId="13" w16cid:durableId="19886995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defaultTabStop w:val="567"/>
  <w:hyphenationZone w:val="425"/>
  <w:evenAndOddHeaders/>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177"/>
    <w:rsid w:val="00046E92"/>
    <w:rsid w:val="0005539A"/>
    <w:rsid w:val="00063C90"/>
    <w:rsid w:val="00070000"/>
    <w:rsid w:val="00101B98"/>
    <w:rsid w:val="00123A7E"/>
    <w:rsid w:val="001514D1"/>
    <w:rsid w:val="00176405"/>
    <w:rsid w:val="00247E2C"/>
    <w:rsid w:val="002765A5"/>
    <w:rsid w:val="002962DB"/>
    <w:rsid w:val="002A32CB"/>
    <w:rsid w:val="002C05E6"/>
    <w:rsid w:val="002D5B2C"/>
    <w:rsid w:val="002D6C53"/>
    <w:rsid w:val="002F5595"/>
    <w:rsid w:val="00334F6A"/>
    <w:rsid w:val="00342AC8"/>
    <w:rsid w:val="00343302"/>
    <w:rsid w:val="003979DE"/>
    <w:rsid w:val="003B1248"/>
    <w:rsid w:val="003B1321"/>
    <w:rsid w:val="003B4550"/>
    <w:rsid w:val="003C6836"/>
    <w:rsid w:val="003D2A18"/>
    <w:rsid w:val="003F3CFF"/>
    <w:rsid w:val="00413386"/>
    <w:rsid w:val="00416657"/>
    <w:rsid w:val="00426F80"/>
    <w:rsid w:val="00454848"/>
    <w:rsid w:val="00461253"/>
    <w:rsid w:val="004858F5"/>
    <w:rsid w:val="004A2814"/>
    <w:rsid w:val="004C0622"/>
    <w:rsid w:val="004C5FCC"/>
    <w:rsid w:val="004D79B8"/>
    <w:rsid w:val="004F73D0"/>
    <w:rsid w:val="005042C2"/>
    <w:rsid w:val="005A3169"/>
    <w:rsid w:val="005E716E"/>
    <w:rsid w:val="006002FC"/>
    <w:rsid w:val="00612EF8"/>
    <w:rsid w:val="006476E1"/>
    <w:rsid w:val="006604DF"/>
    <w:rsid w:val="006621F3"/>
    <w:rsid w:val="00671529"/>
    <w:rsid w:val="006F1EF5"/>
    <w:rsid w:val="0070489D"/>
    <w:rsid w:val="007200A1"/>
    <w:rsid w:val="007268F9"/>
    <w:rsid w:val="007441C8"/>
    <w:rsid w:val="00750282"/>
    <w:rsid w:val="00764440"/>
    <w:rsid w:val="0077101B"/>
    <w:rsid w:val="00774EE8"/>
    <w:rsid w:val="007A7D45"/>
    <w:rsid w:val="007C52B0"/>
    <w:rsid w:val="007C6033"/>
    <w:rsid w:val="008147C8"/>
    <w:rsid w:val="0081753A"/>
    <w:rsid w:val="00850123"/>
    <w:rsid w:val="00857D23"/>
    <w:rsid w:val="00877E39"/>
    <w:rsid w:val="00910D01"/>
    <w:rsid w:val="00926574"/>
    <w:rsid w:val="009411B4"/>
    <w:rsid w:val="00946F1D"/>
    <w:rsid w:val="00960EA6"/>
    <w:rsid w:val="009A0A7F"/>
    <w:rsid w:val="009D0139"/>
    <w:rsid w:val="009D717D"/>
    <w:rsid w:val="009E4689"/>
    <w:rsid w:val="009F2ACD"/>
    <w:rsid w:val="009F5CDC"/>
    <w:rsid w:val="00A072D7"/>
    <w:rsid w:val="00A27002"/>
    <w:rsid w:val="00A775CF"/>
    <w:rsid w:val="00AD1A9C"/>
    <w:rsid w:val="00AE19AB"/>
    <w:rsid w:val="00AF5DE1"/>
    <w:rsid w:val="00B03BCB"/>
    <w:rsid w:val="00B06045"/>
    <w:rsid w:val="00B206DD"/>
    <w:rsid w:val="00B52EF4"/>
    <w:rsid w:val="00B57792"/>
    <w:rsid w:val="00B777AD"/>
    <w:rsid w:val="00BE3CCF"/>
    <w:rsid w:val="00BF3069"/>
    <w:rsid w:val="00C03015"/>
    <w:rsid w:val="00C0358D"/>
    <w:rsid w:val="00C35A27"/>
    <w:rsid w:val="00C44004"/>
    <w:rsid w:val="00C47B2E"/>
    <w:rsid w:val="00C97177"/>
    <w:rsid w:val="00CD0F6D"/>
    <w:rsid w:val="00D37047"/>
    <w:rsid w:val="00D63CD2"/>
    <w:rsid w:val="00D85308"/>
    <w:rsid w:val="00D87DC2"/>
    <w:rsid w:val="00D93887"/>
    <w:rsid w:val="00D94B05"/>
    <w:rsid w:val="00DC7379"/>
    <w:rsid w:val="00E02C2B"/>
    <w:rsid w:val="00E21C27"/>
    <w:rsid w:val="00E26BCF"/>
    <w:rsid w:val="00E26EF6"/>
    <w:rsid w:val="00E52109"/>
    <w:rsid w:val="00E75317"/>
    <w:rsid w:val="00EB75C7"/>
    <w:rsid w:val="00EC0CE6"/>
    <w:rsid w:val="00EC7C1D"/>
    <w:rsid w:val="00ED6C48"/>
    <w:rsid w:val="00EE3045"/>
    <w:rsid w:val="00F26186"/>
    <w:rsid w:val="00F267F7"/>
    <w:rsid w:val="00F65F5D"/>
    <w:rsid w:val="00F86A3A"/>
    <w:rsid w:val="00FA42DA"/>
    <w:rsid w:val="00FE2AC5"/>
    <w:rsid w:val="00FE4610"/>
    <w:rsid w:val="00FF13B1"/>
    <w:rsid w:val="00FF734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2CAF6E"/>
  <w15:docId w15:val="{53B89916-4FEF-4788-BEA5-E1D3DFDE4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zh-CN" w:bidi="ar-SA"/>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qFormat="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7379"/>
  </w:style>
  <w:style w:type="paragraph" w:styleId="Heading1">
    <w:name w:val="heading 1"/>
    <w:aliases w:val="Table_G"/>
    <w:basedOn w:val="SingleTxtG"/>
    <w:next w:val="SingleTxtG"/>
    <w:link w:val="Heading1Char"/>
    <w:qFormat/>
    <w:rsid w:val="004A2814"/>
    <w:pPr>
      <w:spacing w:after="0" w:line="240" w:lineRule="auto"/>
      <w:ind w:right="0"/>
      <w:jc w:val="left"/>
      <w:outlineLvl w:val="0"/>
    </w:pPr>
  </w:style>
  <w:style w:type="paragraph" w:styleId="Heading2">
    <w:name w:val="heading 2"/>
    <w:basedOn w:val="Normal"/>
    <w:next w:val="Normal"/>
    <w:link w:val="Heading2Char"/>
    <w:semiHidden/>
    <w:rsid w:val="004A2814"/>
    <w:pPr>
      <w:spacing w:line="240" w:lineRule="auto"/>
      <w:outlineLvl w:val="1"/>
    </w:pPr>
  </w:style>
  <w:style w:type="paragraph" w:styleId="Heading3">
    <w:name w:val="heading 3"/>
    <w:basedOn w:val="Normal"/>
    <w:next w:val="Normal"/>
    <w:link w:val="Heading3Char"/>
    <w:semiHidden/>
    <w:rsid w:val="004A2814"/>
    <w:pPr>
      <w:spacing w:line="240" w:lineRule="auto"/>
      <w:outlineLvl w:val="2"/>
    </w:pPr>
  </w:style>
  <w:style w:type="paragraph" w:styleId="Heading4">
    <w:name w:val="heading 4"/>
    <w:basedOn w:val="Normal"/>
    <w:next w:val="Normal"/>
    <w:link w:val="Heading4Char"/>
    <w:semiHidden/>
    <w:rsid w:val="004A2814"/>
    <w:pPr>
      <w:spacing w:line="240" w:lineRule="auto"/>
      <w:outlineLvl w:val="3"/>
    </w:pPr>
  </w:style>
  <w:style w:type="paragraph" w:styleId="Heading5">
    <w:name w:val="heading 5"/>
    <w:basedOn w:val="Normal"/>
    <w:next w:val="Normal"/>
    <w:link w:val="Heading5Char"/>
    <w:semiHidden/>
    <w:rsid w:val="004A2814"/>
    <w:pPr>
      <w:spacing w:line="240" w:lineRule="auto"/>
      <w:outlineLvl w:val="4"/>
    </w:pPr>
  </w:style>
  <w:style w:type="paragraph" w:styleId="Heading6">
    <w:name w:val="heading 6"/>
    <w:basedOn w:val="Normal"/>
    <w:next w:val="Normal"/>
    <w:link w:val="Heading6Char"/>
    <w:semiHidden/>
    <w:rsid w:val="004A2814"/>
    <w:pPr>
      <w:spacing w:line="240" w:lineRule="auto"/>
      <w:outlineLvl w:val="5"/>
    </w:pPr>
  </w:style>
  <w:style w:type="paragraph" w:styleId="Heading7">
    <w:name w:val="heading 7"/>
    <w:basedOn w:val="Normal"/>
    <w:next w:val="Normal"/>
    <w:link w:val="Heading7Char"/>
    <w:semiHidden/>
    <w:rsid w:val="004A2814"/>
    <w:pPr>
      <w:spacing w:line="240" w:lineRule="auto"/>
      <w:outlineLvl w:val="6"/>
    </w:pPr>
  </w:style>
  <w:style w:type="paragraph" w:styleId="Heading8">
    <w:name w:val="heading 8"/>
    <w:basedOn w:val="Normal"/>
    <w:next w:val="Normal"/>
    <w:link w:val="Heading8Char"/>
    <w:semiHidden/>
    <w:rsid w:val="004A2814"/>
    <w:pPr>
      <w:spacing w:line="240" w:lineRule="auto"/>
      <w:outlineLvl w:val="7"/>
    </w:pPr>
  </w:style>
  <w:style w:type="paragraph" w:styleId="Heading9">
    <w:name w:val="heading 9"/>
    <w:basedOn w:val="Normal"/>
    <w:next w:val="Normal"/>
    <w:link w:val="Heading9Char"/>
    <w:semiHidden/>
    <w:rsid w:val="004A28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qFormat/>
    <w:rsid w:val="004A2814"/>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rsid w:val="003B4550"/>
    <w:rPr>
      <w:rFonts w:ascii="Times New Roman" w:eastAsiaTheme="minorHAnsi" w:hAnsi="Times New Roman" w:cs="Times New Roman"/>
      <w:b/>
      <w:sz w:val="18"/>
      <w:szCs w:val="20"/>
      <w:lang w:eastAsia="en-US"/>
    </w:rPr>
  </w:style>
  <w:style w:type="paragraph" w:styleId="Footer">
    <w:name w:val="footer"/>
    <w:aliases w:val="3_G"/>
    <w:basedOn w:val="Normal"/>
    <w:link w:val="FooterChar"/>
    <w:qFormat/>
    <w:rsid w:val="004A2814"/>
    <w:pPr>
      <w:spacing w:line="240" w:lineRule="auto"/>
    </w:pPr>
    <w:rPr>
      <w:sz w:val="16"/>
    </w:rPr>
  </w:style>
  <w:style w:type="character" w:customStyle="1" w:styleId="FooterChar">
    <w:name w:val="Footer Char"/>
    <w:aliases w:val="3_G Char"/>
    <w:basedOn w:val="DefaultParagraphFont"/>
    <w:link w:val="Footer"/>
    <w:rsid w:val="00247E2C"/>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4A2814"/>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qFormat/>
    <w:rsid w:val="004A2814"/>
    <w:pPr>
      <w:keepNext/>
      <w:keepLines/>
      <w:tabs>
        <w:tab w:val="right" w:pos="851"/>
      </w:tabs>
      <w:spacing w:before="360" w:after="240" w:line="300" w:lineRule="exact"/>
      <w:ind w:left="1134" w:right="1134" w:hanging="1134"/>
      <w:outlineLvl w:val="1"/>
    </w:pPr>
    <w:rPr>
      <w:b/>
      <w:sz w:val="28"/>
    </w:rPr>
  </w:style>
  <w:style w:type="paragraph" w:customStyle="1" w:styleId="H1G">
    <w:name w:val="_ H_1_G"/>
    <w:basedOn w:val="Normal"/>
    <w:next w:val="Normal"/>
    <w:link w:val="H1GChar"/>
    <w:qFormat/>
    <w:rsid w:val="004A2814"/>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4A2814"/>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4A2814"/>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4A2814"/>
    <w:pPr>
      <w:keepNext/>
      <w:keepLines/>
      <w:tabs>
        <w:tab w:val="right" w:pos="851"/>
      </w:tabs>
      <w:spacing w:before="240" w:after="120" w:line="240" w:lineRule="exact"/>
      <w:ind w:left="1134" w:right="1134" w:hanging="1134"/>
      <w:outlineLvl w:val="5"/>
    </w:pPr>
  </w:style>
  <w:style w:type="paragraph" w:customStyle="1" w:styleId="SingleTxtG">
    <w:name w:val="_ Single Txt_G"/>
    <w:basedOn w:val="Normal"/>
    <w:link w:val="SingleTxtGChar"/>
    <w:qFormat/>
    <w:rsid w:val="004A2814"/>
    <w:pPr>
      <w:tabs>
        <w:tab w:val="left" w:pos="1701"/>
        <w:tab w:val="left" w:pos="2268"/>
        <w:tab w:val="left" w:pos="2835"/>
      </w:tabs>
      <w:spacing w:after="120"/>
      <w:ind w:left="1134" w:right="1134"/>
      <w:jc w:val="both"/>
    </w:pPr>
  </w:style>
  <w:style w:type="paragraph" w:customStyle="1" w:styleId="SLG">
    <w:name w:val="__S_L_G"/>
    <w:basedOn w:val="Normal"/>
    <w:next w:val="Normal"/>
    <w:rsid w:val="004A2814"/>
    <w:pPr>
      <w:keepNext/>
      <w:keepLines/>
      <w:spacing w:before="240" w:after="240" w:line="580" w:lineRule="exact"/>
      <w:ind w:left="1134" w:right="1134"/>
    </w:pPr>
    <w:rPr>
      <w:b/>
      <w:sz w:val="56"/>
    </w:rPr>
  </w:style>
  <w:style w:type="paragraph" w:customStyle="1" w:styleId="SMG">
    <w:name w:val="__S_M_G"/>
    <w:basedOn w:val="Normal"/>
    <w:next w:val="Normal"/>
    <w:rsid w:val="004A2814"/>
    <w:pPr>
      <w:keepNext/>
      <w:keepLines/>
      <w:spacing w:before="240" w:after="240" w:line="420" w:lineRule="exact"/>
      <w:ind w:left="1134" w:right="1134"/>
    </w:pPr>
    <w:rPr>
      <w:b/>
      <w:sz w:val="40"/>
    </w:rPr>
  </w:style>
  <w:style w:type="paragraph" w:customStyle="1" w:styleId="SSG">
    <w:name w:val="__S_S_G"/>
    <w:basedOn w:val="Normal"/>
    <w:next w:val="Normal"/>
    <w:rsid w:val="004A2814"/>
    <w:pPr>
      <w:keepNext/>
      <w:keepLines/>
      <w:spacing w:before="240" w:after="240" w:line="300" w:lineRule="exact"/>
      <w:ind w:left="1134" w:right="1134"/>
    </w:pPr>
    <w:rPr>
      <w:b/>
      <w:sz w:val="28"/>
    </w:rPr>
  </w:style>
  <w:style w:type="paragraph" w:customStyle="1" w:styleId="XLargeG">
    <w:name w:val="__XLarge_G"/>
    <w:basedOn w:val="Normal"/>
    <w:next w:val="Normal"/>
    <w:rsid w:val="004A2814"/>
    <w:pPr>
      <w:keepNext/>
      <w:keepLines/>
      <w:spacing w:before="240" w:after="240" w:line="420" w:lineRule="exact"/>
      <w:ind w:left="1134" w:right="1134"/>
    </w:pPr>
    <w:rPr>
      <w:b/>
      <w:sz w:val="40"/>
    </w:rPr>
  </w:style>
  <w:style w:type="paragraph" w:customStyle="1" w:styleId="Bullet1G">
    <w:name w:val="_Bullet 1_G"/>
    <w:basedOn w:val="Normal"/>
    <w:qFormat/>
    <w:rsid w:val="004A2814"/>
    <w:pPr>
      <w:numPr>
        <w:numId w:val="10"/>
      </w:numPr>
      <w:spacing w:after="120"/>
      <w:ind w:right="1134"/>
      <w:jc w:val="both"/>
    </w:pPr>
  </w:style>
  <w:style w:type="paragraph" w:customStyle="1" w:styleId="Bullet2G">
    <w:name w:val="_Bullet 2_G"/>
    <w:basedOn w:val="Normal"/>
    <w:qFormat/>
    <w:rsid w:val="004A2814"/>
    <w:pPr>
      <w:numPr>
        <w:numId w:val="11"/>
      </w:numPr>
      <w:spacing w:after="120"/>
      <w:ind w:right="1134"/>
      <w:jc w:val="both"/>
    </w:pPr>
  </w:style>
  <w:style w:type="paragraph" w:customStyle="1" w:styleId="ParNoG">
    <w:name w:val="_ParNo_G"/>
    <w:basedOn w:val="Normal"/>
    <w:qFormat/>
    <w:rsid w:val="00FA42DA"/>
    <w:pPr>
      <w:numPr>
        <w:numId w:val="13"/>
      </w:numPr>
      <w:tabs>
        <w:tab w:val="left" w:pos="1701"/>
        <w:tab w:val="left" w:pos="2268"/>
        <w:tab w:val="left" w:pos="2835"/>
      </w:tabs>
      <w:spacing w:after="120"/>
      <w:ind w:right="1134"/>
      <w:jc w:val="both"/>
    </w:pPr>
    <w:rPr>
      <w:rFonts w:eastAsia="Times New Roman"/>
    </w:r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qFormat/>
    <w:rsid w:val="004A2814"/>
    <w:rPr>
      <w:rFonts w:ascii="Times New Roman" w:hAnsi="Times New Roman"/>
      <w:sz w:val="18"/>
      <w:vertAlign w:val="superscript"/>
    </w:rPr>
  </w:style>
  <w:style w:type="paragraph" w:styleId="FootnoteText">
    <w:name w:val="footnote text"/>
    <w:aliases w:val="5_G"/>
    <w:basedOn w:val="Normal"/>
    <w:link w:val="FootnoteTextChar"/>
    <w:qFormat/>
    <w:rsid w:val="004A2814"/>
    <w:pPr>
      <w:tabs>
        <w:tab w:val="right" w:pos="1021"/>
      </w:tabs>
      <w:spacing w:line="220" w:lineRule="exact"/>
      <w:ind w:left="1134" w:right="1134" w:hanging="1134"/>
    </w:pPr>
    <w:rPr>
      <w:sz w:val="18"/>
    </w:rPr>
  </w:style>
  <w:style w:type="character" w:customStyle="1" w:styleId="FootnoteTextChar">
    <w:name w:val="Footnote Text Char"/>
    <w:aliases w:val="5_G Char"/>
    <w:basedOn w:val="DefaultParagraphFont"/>
    <w:link w:val="FootnoteText"/>
    <w:rsid w:val="00DC7379"/>
    <w:rPr>
      <w:sz w:val="18"/>
    </w:rPr>
  </w:style>
  <w:style w:type="paragraph" w:styleId="EndnoteText">
    <w:name w:val="endnote text"/>
    <w:aliases w:val="2_G"/>
    <w:basedOn w:val="FootnoteText"/>
    <w:link w:val="EndnoteTextChar"/>
    <w:qFormat/>
    <w:rsid w:val="004A2814"/>
  </w:style>
  <w:style w:type="character" w:customStyle="1" w:styleId="EndnoteTextChar">
    <w:name w:val="Endnote Text Char"/>
    <w:aliases w:val="2_G Char"/>
    <w:basedOn w:val="DefaultParagraphFont"/>
    <w:link w:val="EndnoteText"/>
    <w:rsid w:val="007268F9"/>
    <w:rPr>
      <w:rFonts w:ascii="Times New Roman" w:eastAsiaTheme="minorHAnsi" w:hAnsi="Times New Roman" w:cs="Times New Roman"/>
      <w:sz w:val="18"/>
      <w:szCs w:val="20"/>
      <w:lang w:eastAsia="en-US"/>
    </w:rPr>
  </w:style>
  <w:style w:type="character" w:styleId="FootnoteReference">
    <w:name w:val="footnote reference"/>
    <w:aliases w:val="4_G,Footnote Reference/"/>
    <w:qFormat/>
    <w:rsid w:val="004A2814"/>
    <w:rPr>
      <w:rFonts w:ascii="Times New Roman" w:hAnsi="Times New Roman"/>
      <w:sz w:val="18"/>
      <w:vertAlign w:val="superscript"/>
    </w:rPr>
  </w:style>
  <w:style w:type="character" w:customStyle="1" w:styleId="Heading1Char">
    <w:name w:val="Heading 1 Char"/>
    <w:aliases w:val="Table_G Char"/>
    <w:basedOn w:val="DefaultParagraphFont"/>
    <w:link w:val="Heading1"/>
    <w:rsid w:val="003B4550"/>
    <w:rPr>
      <w:rFonts w:ascii="Times New Roman" w:eastAsiaTheme="minorHAnsi" w:hAnsi="Times New Roman" w:cs="Times New Roman"/>
      <w:sz w:val="20"/>
      <w:szCs w:val="20"/>
      <w:lang w:eastAsia="en-US"/>
    </w:rPr>
  </w:style>
  <w:style w:type="character" w:customStyle="1" w:styleId="Heading2Char">
    <w:name w:val="Heading 2 Char"/>
    <w:basedOn w:val="DefaultParagraphFont"/>
    <w:link w:val="Heading2"/>
    <w:semiHidden/>
    <w:rsid w:val="003B4550"/>
    <w:rPr>
      <w:rFonts w:ascii="Times New Roman" w:eastAsiaTheme="minorHAnsi" w:hAnsi="Times New Roman" w:cs="Times New Roman"/>
      <w:sz w:val="20"/>
      <w:szCs w:val="20"/>
      <w:lang w:eastAsia="en-US"/>
    </w:rPr>
  </w:style>
  <w:style w:type="character" w:customStyle="1" w:styleId="Heading3Char">
    <w:name w:val="Heading 3 Char"/>
    <w:basedOn w:val="DefaultParagraphFont"/>
    <w:link w:val="Heading3"/>
    <w:semiHidden/>
    <w:rsid w:val="003B4550"/>
    <w:rPr>
      <w:rFonts w:ascii="Times New Roman" w:eastAsiaTheme="minorHAnsi" w:hAnsi="Times New Roman" w:cs="Times New Roman"/>
      <w:sz w:val="20"/>
      <w:szCs w:val="20"/>
      <w:lang w:eastAsia="en-US"/>
    </w:rPr>
  </w:style>
  <w:style w:type="character" w:customStyle="1" w:styleId="Heading4Char">
    <w:name w:val="Heading 4 Char"/>
    <w:basedOn w:val="DefaultParagraphFont"/>
    <w:link w:val="Heading4"/>
    <w:semiHidden/>
    <w:rsid w:val="003B4550"/>
    <w:rPr>
      <w:rFonts w:ascii="Times New Roman" w:eastAsiaTheme="minorHAnsi" w:hAnsi="Times New Roman" w:cs="Times New Roman"/>
      <w:sz w:val="20"/>
      <w:szCs w:val="20"/>
      <w:lang w:eastAsia="en-US"/>
    </w:rPr>
  </w:style>
  <w:style w:type="character" w:customStyle="1" w:styleId="Heading5Char">
    <w:name w:val="Heading 5 Char"/>
    <w:basedOn w:val="DefaultParagraphFont"/>
    <w:link w:val="Heading5"/>
    <w:semiHidden/>
    <w:rsid w:val="003B4550"/>
    <w:rPr>
      <w:rFonts w:ascii="Times New Roman" w:eastAsiaTheme="minorHAnsi" w:hAnsi="Times New Roman" w:cs="Times New Roman"/>
      <w:sz w:val="20"/>
      <w:szCs w:val="20"/>
      <w:lang w:eastAsia="en-US"/>
    </w:rPr>
  </w:style>
  <w:style w:type="character" w:customStyle="1" w:styleId="Heading6Char">
    <w:name w:val="Heading 6 Char"/>
    <w:basedOn w:val="DefaultParagraphFont"/>
    <w:link w:val="Heading6"/>
    <w:semiHidden/>
    <w:rsid w:val="003B4550"/>
    <w:rPr>
      <w:rFonts w:ascii="Times New Roman" w:eastAsiaTheme="minorHAnsi" w:hAnsi="Times New Roman" w:cs="Times New Roman"/>
      <w:sz w:val="20"/>
      <w:szCs w:val="20"/>
      <w:lang w:eastAsia="en-US"/>
    </w:rPr>
  </w:style>
  <w:style w:type="character" w:customStyle="1" w:styleId="Heading7Char">
    <w:name w:val="Heading 7 Char"/>
    <w:basedOn w:val="DefaultParagraphFont"/>
    <w:link w:val="Heading7"/>
    <w:semiHidden/>
    <w:rsid w:val="003B4550"/>
    <w:rPr>
      <w:rFonts w:ascii="Times New Roman" w:eastAsiaTheme="minorHAnsi" w:hAnsi="Times New Roman" w:cs="Times New Roman"/>
      <w:sz w:val="20"/>
      <w:szCs w:val="20"/>
      <w:lang w:eastAsia="en-US"/>
    </w:rPr>
  </w:style>
  <w:style w:type="character" w:customStyle="1" w:styleId="Heading8Char">
    <w:name w:val="Heading 8 Char"/>
    <w:basedOn w:val="DefaultParagraphFont"/>
    <w:link w:val="Heading8"/>
    <w:semiHidden/>
    <w:rsid w:val="003B4550"/>
    <w:rPr>
      <w:rFonts w:ascii="Times New Roman" w:eastAsiaTheme="minorHAnsi" w:hAnsi="Times New Roman" w:cs="Times New Roman"/>
      <w:sz w:val="20"/>
      <w:szCs w:val="20"/>
      <w:lang w:eastAsia="en-US"/>
    </w:rPr>
  </w:style>
  <w:style w:type="character" w:customStyle="1" w:styleId="Heading9Char">
    <w:name w:val="Heading 9 Char"/>
    <w:basedOn w:val="DefaultParagraphFont"/>
    <w:link w:val="Heading9"/>
    <w:semiHidden/>
    <w:rsid w:val="003B4550"/>
    <w:rPr>
      <w:rFonts w:ascii="Times New Roman" w:eastAsiaTheme="minorHAnsi" w:hAnsi="Times New Roman" w:cs="Times New Roman"/>
      <w:sz w:val="20"/>
      <w:szCs w:val="20"/>
      <w:lang w:eastAsia="en-US"/>
    </w:rPr>
  </w:style>
  <w:style w:type="character" w:styleId="PageNumber">
    <w:name w:val="page number"/>
    <w:aliases w:val="7_G"/>
    <w:rsid w:val="004A2814"/>
    <w:rPr>
      <w:rFonts w:ascii="Times New Roman" w:hAnsi="Times New Roman"/>
      <w:b/>
      <w:sz w:val="18"/>
    </w:rPr>
  </w:style>
  <w:style w:type="paragraph" w:styleId="BalloonText">
    <w:name w:val="Balloon Text"/>
    <w:basedOn w:val="Normal"/>
    <w:link w:val="BalloonTextChar"/>
    <w:uiPriority w:val="99"/>
    <w:semiHidden/>
    <w:unhideWhenUsed/>
    <w:rsid w:val="00E5210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2109"/>
    <w:rPr>
      <w:rFonts w:ascii="Tahoma" w:eastAsia="Times New Roman" w:hAnsi="Tahoma" w:cs="Tahoma"/>
      <w:sz w:val="16"/>
      <w:szCs w:val="16"/>
      <w:lang w:eastAsia="en-US"/>
    </w:rPr>
  </w:style>
  <w:style w:type="character" w:styleId="Hyperlink">
    <w:name w:val="Hyperlink"/>
    <w:basedOn w:val="DefaultParagraphFont"/>
    <w:uiPriority w:val="99"/>
    <w:rsid w:val="00EC0CE6"/>
    <w:rPr>
      <w:color w:val="0000FF"/>
      <w:u w:val="none"/>
    </w:rPr>
  </w:style>
  <w:style w:type="character" w:styleId="FollowedHyperlink">
    <w:name w:val="FollowedHyperlink"/>
    <w:basedOn w:val="DefaultParagraphFont"/>
    <w:rsid w:val="00EC0CE6"/>
    <w:rPr>
      <w:color w:val="0000FF"/>
      <w:u w:val="none"/>
    </w:rPr>
  </w:style>
  <w:style w:type="table" w:styleId="TableGrid">
    <w:name w:val="Table Grid"/>
    <w:basedOn w:val="TableNormal"/>
    <w:rsid w:val="004A2814"/>
    <w:pPr>
      <w:suppressAutoHyphens/>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H1GChar">
    <w:name w:val="_ H_1_G Char"/>
    <w:link w:val="H1G"/>
    <w:rsid w:val="00C97177"/>
    <w:rPr>
      <w:b/>
      <w:sz w:val="24"/>
    </w:rPr>
  </w:style>
  <w:style w:type="paragraph" w:styleId="ListParagraph">
    <w:name w:val="List Paragraph"/>
    <w:basedOn w:val="Normal"/>
    <w:uiPriority w:val="34"/>
    <w:qFormat/>
    <w:rsid w:val="00C97177"/>
    <w:pPr>
      <w:spacing w:line="240" w:lineRule="auto"/>
      <w:ind w:left="720"/>
      <w:jc w:val="both"/>
    </w:pPr>
    <w:rPr>
      <w:rFonts w:eastAsia="Times New Roman"/>
      <w:sz w:val="24"/>
      <w:szCs w:val="24"/>
      <w:lang w:val="en-US" w:eastAsia="en-US"/>
    </w:rPr>
  </w:style>
  <w:style w:type="table" w:customStyle="1" w:styleId="Grilledutableau1">
    <w:name w:val="Grille du tableau1"/>
    <w:basedOn w:val="TableNormal"/>
    <w:next w:val="TableGrid"/>
    <w:uiPriority w:val="39"/>
    <w:rsid w:val="00C97177"/>
    <w:pPr>
      <w:suppressAutoHyphens/>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SingleTxtGChar">
    <w:name w:val="_ Single Txt_G Char"/>
    <w:basedOn w:val="DefaultParagraphFont"/>
    <w:link w:val="SingleTxtG"/>
    <w:rsid w:val="00C97177"/>
  </w:style>
  <w:style w:type="paragraph" w:customStyle="1" w:styleId="Standard1">
    <w:name w:val="Standard1"/>
    <w:rsid w:val="004D79B8"/>
    <w:pPr>
      <w:suppressAutoHyphens/>
      <w:autoSpaceDN w:val="0"/>
      <w:spacing w:line="240" w:lineRule="auto"/>
      <w:textAlignment w:val="baseline"/>
    </w:pPr>
    <w:rPr>
      <w:rFonts w:ascii="Liberation Serif" w:eastAsia="NSimSun" w:hAnsi="Liberation Serif" w:cs="Arial"/>
      <w:kern w:val="3"/>
      <w:sz w:val="24"/>
      <w:szCs w:val="24"/>
      <w:lang w:val="de-DE" w:bidi="hi-IN"/>
    </w:rPr>
  </w:style>
  <w:style w:type="character" w:customStyle="1" w:styleId="Absatz-Standardschriftart1">
    <w:name w:val="Absatz-Standardschriftart1"/>
    <w:rsid w:val="004D79B8"/>
  </w:style>
  <w:style w:type="paragraph" w:customStyle="1" w:styleId="Textbody">
    <w:name w:val="Text body"/>
    <w:basedOn w:val="Standard1"/>
    <w:rsid w:val="004D79B8"/>
    <w:pPr>
      <w:spacing w:after="140" w:line="276" w:lineRule="auto"/>
    </w:pPr>
  </w:style>
  <w:style w:type="paragraph" w:customStyle="1" w:styleId="TableContents">
    <w:name w:val="Table Contents"/>
    <w:basedOn w:val="Standard1"/>
    <w:rsid w:val="004D79B8"/>
    <w:pPr>
      <w:widowControl w:val="0"/>
      <w:suppressLineNumbers/>
    </w:pPr>
  </w:style>
  <w:style w:type="paragraph" w:styleId="Revision">
    <w:name w:val="Revision"/>
    <w:hidden/>
    <w:uiPriority w:val="99"/>
    <w:semiHidden/>
    <w:rsid w:val="00A27002"/>
    <w:pPr>
      <w:spacing w:line="240" w:lineRule="auto"/>
    </w:pPr>
  </w:style>
  <w:style w:type="character" w:styleId="UnresolvedMention">
    <w:name w:val="Unresolved Mention"/>
    <w:basedOn w:val="DefaultParagraphFont"/>
    <w:uiPriority w:val="99"/>
    <w:semiHidden/>
    <w:unhideWhenUsed/>
    <w:rsid w:val="00426F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23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nece.org/sites/default/files/2024-05/ST-SG-AC10-C3-2024-46E.pdf" TargetMode="External"/><Relationship Id="rId18" Type="http://schemas.openxmlformats.org/officeDocument/2006/relationships/hyperlink" Target="https://unece.org/sites/default/files/2024-05/ST-SG-AC10-C3-2024-46E.pdf" TargetMode="Externa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unece.org/sites/default/files/2023-06/UN-SCETDG-62-INF18e.pdf" TargetMode="External"/><Relationship Id="rId17" Type="http://schemas.openxmlformats.org/officeDocument/2006/relationships/hyperlink" Target="https://unece.org/sites/default/files/2023-06/UN-SCETDG-62-INF18e.pdf" TargetMode="External"/><Relationship Id="rId25" Type="http://schemas.openxmlformats.org/officeDocument/2006/relationships/header" Target="header4.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unece.org/sites/default/files/2024-05/ST-SG-AC10-C3-2024-46E.pdf" TargetMode="External"/><Relationship Id="rId20" Type="http://schemas.openxmlformats.org/officeDocument/2006/relationships/header" Target="header2.xm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header" Target="header3.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unece.org/sites/default/files/2024-05/ST-SG-AC10-C3-2024-46E.pdf" TargetMode="External"/><Relationship Id="rId23" Type="http://schemas.openxmlformats.org/officeDocument/2006/relationships/footer" Target="footer3.xml"/><Relationship Id="rId28"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header" Target="header1.xml"/><Relationship Id="rId31" Type="http://schemas.openxmlformats.org/officeDocument/2006/relationships/footer" Target="foot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nece.org/sites/default/files/2024-05/ST-SG-AC10-C3-2024-46E.pdf" TargetMode="External"/><Relationship Id="rId22" Type="http://schemas.openxmlformats.org/officeDocument/2006/relationships/footer" Target="footer2.xml"/><Relationship Id="rId27" Type="http://schemas.openxmlformats.org/officeDocument/2006/relationships/footer" Target="footer5.xml"/><Relationship Id="rId30" Type="http://schemas.openxmlformats.org/officeDocument/2006/relationships/footer" Target="footer6.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2" Type="http://schemas.openxmlformats.org/officeDocument/2006/relationships/hyperlink" Target="https://pubchem.ncbi.nlm.nih.gov/compound/8037" TargetMode="External"/><Relationship Id="rId1" Type="http://schemas.openxmlformats.org/officeDocument/2006/relationships/hyperlink" Target="https://echa.europa.eu/en/registration-dossier/-/registered-dossier/27608/7/4/2/?documentUUID=65c68a58-38bb-4524-9497-30d2925959a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rciaCouto\United%20Nations\UNOG_DCM-Macros%20-%20UNECE\Templates\ST\SGAC10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ée un document." ma:contentTypeScope="" ma:versionID="e18bef637d0f1ddca225288e0d432ec3">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a115814b681581b4d823fe6aeb4d21e0"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518F60-7DA2-420D-843C-E28B2BAD873F}">
  <ds:schemaRefs>
    <ds:schemaRef ds:uri="http://schemas.openxmlformats.org/officeDocument/2006/bibliography"/>
  </ds:schemaRefs>
</ds:datastoreItem>
</file>

<file path=customXml/itemProps2.xml><?xml version="1.0" encoding="utf-8"?>
<ds:datastoreItem xmlns:ds="http://schemas.openxmlformats.org/officeDocument/2006/customXml" ds:itemID="{6F0C699A-3081-464D-8175-18FB791049CF}">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customXml/itemProps3.xml><?xml version="1.0" encoding="utf-8"?>
<ds:datastoreItem xmlns:ds="http://schemas.openxmlformats.org/officeDocument/2006/customXml" ds:itemID="{0E96D6C7-A69F-4CC1-9C48-E5514C6CF912}">
  <ds:schemaRefs>
    <ds:schemaRef ds:uri="http://schemas.microsoft.com/sharepoint/v3/contenttype/forms"/>
  </ds:schemaRefs>
</ds:datastoreItem>
</file>

<file path=customXml/itemProps4.xml><?xml version="1.0" encoding="utf-8"?>
<ds:datastoreItem xmlns:ds="http://schemas.openxmlformats.org/officeDocument/2006/customXml" ds:itemID="{D6BCDC8A-4F1E-4E25-9AB2-B79B1DCE85F6}"/>
</file>

<file path=docProps/app.xml><?xml version="1.0" encoding="utf-8"?>
<Properties xmlns="http://schemas.openxmlformats.org/officeDocument/2006/extended-properties" xmlns:vt="http://schemas.openxmlformats.org/officeDocument/2006/docPropsVTypes">
  <Template>SGAC10_E.dotm</Template>
  <TotalTime>0</TotalTime>
  <Pages>10</Pages>
  <Words>3343</Words>
  <Characters>16583</Characters>
  <Application>Microsoft Office Word</Application>
  <DocSecurity>0</DocSecurity>
  <Lines>691</Lines>
  <Paragraphs>361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ST/SG/AC.10/C.3/2024/106</vt:lpstr>
      <vt:lpstr/>
    </vt:vector>
  </TitlesOfParts>
  <Company/>
  <LinksUpToDate>false</LinksUpToDate>
  <CharactersWithSpaces>19681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ST/SG/AC.10/C.3/2024/106</dc:title>
  <dc:subject>2416560</dc:subject>
  <dc:creator>Rosa Garcia-Couto</dc:creator>
  <cp:keywords/>
  <dc:description/>
  <cp:lastModifiedBy>Pauline Anne Escalante</cp:lastModifiedBy>
  <cp:revision>2</cp:revision>
  <dcterms:created xsi:type="dcterms:W3CDTF">2024-09-13T08:52:00Z</dcterms:created>
  <dcterms:modified xsi:type="dcterms:W3CDTF">2024-09-13T08:52:00Z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Office_x0020_of_x0020_Origin">
    <vt:lpwstr/>
  </property>
  <property fmtid="{D5CDD505-2E9C-101B-9397-08002B2CF9AE}" pid="4" name="MediaServiceImageTags">
    <vt:lpwstr/>
  </property>
  <property fmtid="{D5CDD505-2E9C-101B-9397-08002B2CF9AE}" pid="5" name="gba66df640194346a5267c50f24d4797">
    <vt:lpwstr/>
  </property>
  <property fmtid="{D5CDD505-2E9C-101B-9397-08002B2CF9AE}" pid="6" name="Office of Origin">
    <vt:lpwstr/>
  </property>
</Properties>
</file>