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2027FC0D" w14:textId="77777777" w:rsidTr="006476E1">
        <w:trPr>
          <w:trHeight w:val="851"/>
        </w:trPr>
        <w:tc>
          <w:tcPr>
            <w:tcW w:w="1259" w:type="dxa"/>
            <w:tcBorders>
              <w:top w:val="nil"/>
              <w:left w:val="nil"/>
              <w:bottom w:val="single" w:sz="4" w:space="0" w:color="auto"/>
              <w:right w:val="nil"/>
            </w:tcBorders>
          </w:tcPr>
          <w:p w14:paraId="16227EB0" w14:textId="77777777" w:rsidR="00E52109" w:rsidRPr="002A32CB" w:rsidRDefault="00E52109" w:rsidP="004858F5"/>
        </w:tc>
        <w:tc>
          <w:tcPr>
            <w:tcW w:w="2236" w:type="dxa"/>
            <w:tcBorders>
              <w:top w:val="nil"/>
              <w:left w:val="nil"/>
              <w:bottom w:val="single" w:sz="4" w:space="0" w:color="auto"/>
              <w:right w:val="nil"/>
            </w:tcBorders>
            <w:vAlign w:val="bottom"/>
          </w:tcPr>
          <w:p w14:paraId="4462EEB1"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226BE474" w14:textId="5F0B3129" w:rsidR="004B0D5E" w:rsidRDefault="004B0D5E" w:rsidP="004B0D5E">
            <w:pPr>
              <w:jc w:val="right"/>
            </w:pPr>
            <w:r w:rsidRPr="004B0D5E">
              <w:rPr>
                <w:sz w:val="40"/>
              </w:rPr>
              <w:t>ST</w:t>
            </w:r>
            <w:r>
              <w:t>/SG/AC.10/C.3/2024/105−</w:t>
            </w:r>
            <w:r w:rsidRPr="004B0D5E">
              <w:rPr>
                <w:sz w:val="40"/>
              </w:rPr>
              <w:t>ST</w:t>
            </w:r>
            <w:r>
              <w:t>/SG/AC.10/C.4/2024/16</w:t>
            </w:r>
          </w:p>
        </w:tc>
      </w:tr>
      <w:tr w:rsidR="00E52109" w14:paraId="21378F77" w14:textId="77777777" w:rsidTr="006476E1">
        <w:trPr>
          <w:trHeight w:val="2835"/>
        </w:trPr>
        <w:tc>
          <w:tcPr>
            <w:tcW w:w="1259" w:type="dxa"/>
            <w:tcBorders>
              <w:top w:val="single" w:sz="4" w:space="0" w:color="auto"/>
              <w:left w:val="nil"/>
              <w:bottom w:val="single" w:sz="12" w:space="0" w:color="auto"/>
              <w:right w:val="nil"/>
            </w:tcBorders>
          </w:tcPr>
          <w:p w14:paraId="38FD4442" w14:textId="77777777" w:rsidR="00E52109" w:rsidRDefault="00E52109" w:rsidP="006476E1">
            <w:pPr>
              <w:spacing w:before="120"/>
              <w:jc w:val="center"/>
            </w:pPr>
            <w:r>
              <w:rPr>
                <w:noProof/>
                <w:lang w:val="fr-CH" w:eastAsia="fr-CH"/>
              </w:rPr>
              <w:drawing>
                <wp:inline distT="0" distB="0" distL="0" distR="0" wp14:anchorId="4A8FDEAC" wp14:editId="0C5E448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67306108"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5E52600F" w14:textId="77777777" w:rsidR="00D94B05" w:rsidRDefault="004B0D5E" w:rsidP="004B0D5E">
            <w:pPr>
              <w:spacing w:before="240" w:line="240" w:lineRule="exact"/>
            </w:pPr>
            <w:r>
              <w:t>Distr.: General</w:t>
            </w:r>
          </w:p>
          <w:p w14:paraId="2D7699A0" w14:textId="64EFC74E" w:rsidR="004B0D5E" w:rsidRDefault="009F605F" w:rsidP="004B0D5E">
            <w:pPr>
              <w:spacing w:line="240" w:lineRule="exact"/>
            </w:pPr>
            <w:r w:rsidRPr="00BD592E">
              <w:t>13</w:t>
            </w:r>
            <w:r w:rsidR="004B0D5E" w:rsidRPr="00BD592E">
              <w:t xml:space="preserve"> September 2024</w:t>
            </w:r>
          </w:p>
          <w:p w14:paraId="57425A0A" w14:textId="77777777" w:rsidR="004B0D5E" w:rsidRDefault="004B0D5E" w:rsidP="004B0D5E">
            <w:pPr>
              <w:spacing w:line="240" w:lineRule="exact"/>
            </w:pPr>
          </w:p>
          <w:p w14:paraId="46074D91" w14:textId="278512F7" w:rsidR="004B0D5E" w:rsidRDefault="004B0D5E" w:rsidP="004B0D5E">
            <w:pPr>
              <w:spacing w:line="240" w:lineRule="exact"/>
            </w:pPr>
            <w:r>
              <w:t>Original: English</w:t>
            </w:r>
          </w:p>
        </w:tc>
      </w:tr>
    </w:tbl>
    <w:p w14:paraId="3A10FD96" w14:textId="77777777" w:rsidR="004B0D5E" w:rsidRPr="006500BA" w:rsidRDefault="004B0D5E" w:rsidP="004858F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tbl>
      <w:tblPr>
        <w:tblW w:w="9639" w:type="dxa"/>
        <w:tblLayout w:type="fixed"/>
        <w:tblCellMar>
          <w:left w:w="0" w:type="dxa"/>
          <w:right w:w="0" w:type="dxa"/>
        </w:tblCellMar>
        <w:tblLook w:val="01E0" w:firstRow="1" w:lastRow="1" w:firstColumn="1" w:lastColumn="1" w:noHBand="0" w:noVBand="0"/>
      </w:tblPr>
      <w:tblGrid>
        <w:gridCol w:w="4593"/>
        <w:gridCol w:w="5046"/>
      </w:tblGrid>
      <w:tr w:rsidR="004B0D5E" w:rsidRPr="00302456" w14:paraId="1A26A0B7" w14:textId="77777777" w:rsidTr="00A3696E">
        <w:tc>
          <w:tcPr>
            <w:tcW w:w="4593" w:type="dxa"/>
            <w:shd w:val="clear" w:color="auto" w:fill="auto"/>
          </w:tcPr>
          <w:p w14:paraId="38DD2EDF" w14:textId="77777777" w:rsidR="004B0D5E" w:rsidRPr="00302456" w:rsidRDefault="004B0D5E" w:rsidP="00846F7F">
            <w:pPr>
              <w:spacing w:before="120"/>
              <w:rPr>
                <w:b/>
              </w:rPr>
            </w:pPr>
            <w:r w:rsidRPr="00302456">
              <w:rPr>
                <w:b/>
              </w:rPr>
              <w:t xml:space="preserve">Sub-Committee of Experts on the Transport </w:t>
            </w:r>
            <w:r w:rsidRPr="00302456">
              <w:rPr>
                <w:b/>
              </w:rPr>
              <w:br/>
              <w:t xml:space="preserve">of Dangerous Goods </w:t>
            </w:r>
          </w:p>
        </w:tc>
        <w:tc>
          <w:tcPr>
            <w:tcW w:w="5046" w:type="dxa"/>
            <w:shd w:val="clear" w:color="auto" w:fill="auto"/>
          </w:tcPr>
          <w:p w14:paraId="185BF083" w14:textId="77777777" w:rsidR="004B0D5E" w:rsidRPr="00302456" w:rsidRDefault="004B0D5E" w:rsidP="00846F7F">
            <w:pPr>
              <w:spacing w:before="120"/>
              <w:rPr>
                <w:b/>
              </w:rPr>
            </w:pPr>
            <w:r w:rsidRPr="00302456">
              <w:rPr>
                <w:b/>
              </w:rPr>
              <w:t xml:space="preserve">Sub-Committee of Experts on the Globally Harmonized System of Classification and Labelling of Chemicals </w:t>
            </w:r>
          </w:p>
        </w:tc>
      </w:tr>
      <w:tr w:rsidR="004B0D5E" w:rsidRPr="00302456" w14:paraId="2AE5B7C1" w14:textId="77777777" w:rsidTr="00A3696E">
        <w:tc>
          <w:tcPr>
            <w:tcW w:w="4593" w:type="dxa"/>
            <w:shd w:val="clear" w:color="auto" w:fill="auto"/>
          </w:tcPr>
          <w:p w14:paraId="56F05F20" w14:textId="2FDFEE64" w:rsidR="004B0D5E" w:rsidRPr="00302456" w:rsidRDefault="00625F08" w:rsidP="00846F7F">
            <w:pPr>
              <w:spacing w:before="120"/>
              <w:rPr>
                <w:b/>
              </w:rPr>
            </w:pPr>
            <w:r>
              <w:rPr>
                <w:b/>
              </w:rPr>
              <w:t>Sixty-fifth</w:t>
            </w:r>
            <w:r w:rsidRPr="00302456">
              <w:rPr>
                <w:b/>
              </w:rPr>
              <w:t xml:space="preserve"> session</w:t>
            </w:r>
          </w:p>
        </w:tc>
        <w:tc>
          <w:tcPr>
            <w:tcW w:w="5046" w:type="dxa"/>
            <w:shd w:val="clear" w:color="auto" w:fill="auto"/>
          </w:tcPr>
          <w:p w14:paraId="5E7E35E0" w14:textId="09091AD0" w:rsidR="004B0D5E" w:rsidRPr="00302456" w:rsidRDefault="00891787" w:rsidP="00846F7F">
            <w:pPr>
              <w:spacing w:before="120"/>
              <w:rPr>
                <w:b/>
              </w:rPr>
            </w:pPr>
            <w:r w:rsidRPr="00FF3379">
              <w:rPr>
                <w:b/>
              </w:rPr>
              <w:t>Forty-seventh session</w:t>
            </w:r>
          </w:p>
        </w:tc>
      </w:tr>
      <w:tr w:rsidR="004B0D5E" w:rsidRPr="00302456" w14:paraId="1C71CFE7" w14:textId="77777777" w:rsidTr="00A3696E">
        <w:tc>
          <w:tcPr>
            <w:tcW w:w="4593" w:type="dxa"/>
            <w:shd w:val="clear" w:color="auto" w:fill="auto"/>
          </w:tcPr>
          <w:p w14:paraId="49C737BC" w14:textId="47A34379" w:rsidR="004B0D5E" w:rsidRPr="00302456" w:rsidRDefault="003C1029" w:rsidP="00846F7F">
            <w:pPr>
              <w:rPr>
                <w:b/>
              </w:rPr>
            </w:pPr>
            <w:r>
              <w:t>Geneva, 25 November-3 December 2024</w:t>
            </w:r>
          </w:p>
        </w:tc>
        <w:tc>
          <w:tcPr>
            <w:tcW w:w="5046" w:type="dxa"/>
            <w:shd w:val="clear" w:color="auto" w:fill="auto"/>
          </w:tcPr>
          <w:p w14:paraId="7AB21237" w14:textId="478D3A52" w:rsidR="004B0D5E" w:rsidRPr="00302456" w:rsidRDefault="009408C2" w:rsidP="00846F7F">
            <w:pPr>
              <w:rPr>
                <w:b/>
              </w:rPr>
            </w:pPr>
            <w:r w:rsidRPr="00FF3379">
              <w:t>Geneva, 4-6 December 2024</w:t>
            </w:r>
          </w:p>
        </w:tc>
      </w:tr>
      <w:tr w:rsidR="004B0D5E" w:rsidRPr="00302456" w14:paraId="2BC8F530" w14:textId="77777777" w:rsidTr="00A3696E">
        <w:tc>
          <w:tcPr>
            <w:tcW w:w="4593" w:type="dxa"/>
            <w:shd w:val="clear" w:color="auto" w:fill="auto"/>
          </w:tcPr>
          <w:p w14:paraId="0C26ED15" w14:textId="08DEBDC6" w:rsidR="004B0D5E" w:rsidRPr="00FA4E21" w:rsidRDefault="004B0D5E" w:rsidP="00846F7F">
            <w:r w:rsidRPr="00FA4E21">
              <w:t xml:space="preserve">Item </w:t>
            </w:r>
            <w:r w:rsidR="00CC3574" w:rsidRPr="00FA4E21">
              <w:t>10 (</w:t>
            </w:r>
            <w:r w:rsidR="00B96E5B" w:rsidRPr="00FA4E21">
              <w:t>c</w:t>
            </w:r>
            <w:r w:rsidR="00CC3574" w:rsidRPr="00FA4E21">
              <w:t>)</w:t>
            </w:r>
            <w:r w:rsidRPr="00FA4E21">
              <w:t xml:space="preserve"> of the provisional agenda</w:t>
            </w:r>
          </w:p>
          <w:p w14:paraId="55419793" w14:textId="2EBA93F0" w:rsidR="002B58B9" w:rsidRDefault="002B58B9" w:rsidP="00846F7F">
            <w:r w:rsidRPr="00FA4E21">
              <w:rPr>
                <w:b/>
                <w:bCs/>
              </w:rPr>
              <w:t>Issues relating to the Globally Harmonized System</w:t>
            </w:r>
            <w:r w:rsidRPr="00FA4E21">
              <w:rPr>
                <w:b/>
                <w:bCs/>
              </w:rPr>
              <w:br/>
              <w:t>of Classification and Labelling of Chemicals:</w:t>
            </w:r>
            <w:r w:rsidRPr="00FA4E21">
              <w:rPr>
                <w:b/>
                <w:bCs/>
              </w:rPr>
              <w:br/>
            </w:r>
            <w:r w:rsidR="00B96E5B" w:rsidRPr="00FA4E21">
              <w:rPr>
                <w:b/>
                <w:bCs/>
              </w:rPr>
              <w:t>Miscellaneous</w:t>
            </w:r>
          </w:p>
        </w:tc>
        <w:tc>
          <w:tcPr>
            <w:tcW w:w="5046" w:type="dxa"/>
            <w:shd w:val="clear" w:color="auto" w:fill="auto"/>
          </w:tcPr>
          <w:p w14:paraId="4608C6FE" w14:textId="4D46CB2E" w:rsidR="004B0D5E" w:rsidRDefault="004C2F09" w:rsidP="00846F7F">
            <w:r w:rsidRPr="00FF3379">
              <w:t>Item 2 (</w:t>
            </w:r>
            <w:r w:rsidR="00FA4E21">
              <w:t>b</w:t>
            </w:r>
            <w:r w:rsidRPr="00FF3379">
              <w:t>) of the provisional agenda</w:t>
            </w:r>
          </w:p>
          <w:p w14:paraId="5060C741" w14:textId="5D42B3A4" w:rsidR="00263607" w:rsidRDefault="00263607" w:rsidP="00263607">
            <w:r w:rsidRPr="00FF3379">
              <w:rPr>
                <w:b/>
                <w:bCs/>
              </w:rPr>
              <w:t>Work on the Globally Harmonized System of Classification and Labelling of Chemicals:</w:t>
            </w:r>
            <w:r w:rsidRPr="00FF3379">
              <w:rPr>
                <w:b/>
                <w:bCs/>
              </w:rPr>
              <w:br/>
            </w:r>
            <w:r w:rsidR="00FA4E21" w:rsidRPr="00FA4E21">
              <w:rPr>
                <w:b/>
                <w:bCs/>
              </w:rPr>
              <w:t>Work of the Sub-Committee of Experts on the Transport of Dangerous Goods on matters of interest to the Sub-Committee of Experts on the Globally Harmonized System of Classification and Labelling of Chemicals</w:t>
            </w:r>
          </w:p>
        </w:tc>
      </w:tr>
      <w:tr w:rsidR="004B0D5E" w:rsidRPr="00E66746" w14:paraId="70269A8E" w14:textId="77777777" w:rsidTr="00A3696E">
        <w:tc>
          <w:tcPr>
            <w:tcW w:w="4593" w:type="dxa"/>
            <w:shd w:val="clear" w:color="auto" w:fill="auto"/>
          </w:tcPr>
          <w:p w14:paraId="5772ED7B" w14:textId="77777777" w:rsidR="004B0D5E" w:rsidRPr="00E66746" w:rsidRDefault="004B0D5E" w:rsidP="00846F7F">
            <w:pPr>
              <w:rPr>
                <w:b/>
              </w:rPr>
            </w:pPr>
          </w:p>
        </w:tc>
        <w:tc>
          <w:tcPr>
            <w:tcW w:w="5046" w:type="dxa"/>
            <w:shd w:val="clear" w:color="auto" w:fill="auto"/>
          </w:tcPr>
          <w:p w14:paraId="6F0D669D" w14:textId="77777777" w:rsidR="004B0D5E" w:rsidRPr="00E66746" w:rsidRDefault="004B0D5E" w:rsidP="00846F7F">
            <w:pPr>
              <w:rPr>
                <w:b/>
              </w:rPr>
            </w:pPr>
          </w:p>
        </w:tc>
      </w:tr>
    </w:tbl>
    <w:p w14:paraId="737862BB" w14:textId="77777777" w:rsidR="008B46B6" w:rsidRDefault="008B46B6" w:rsidP="008B46B6">
      <w:pPr>
        <w:pStyle w:val="HChG"/>
        <w:rPr>
          <w:rFonts w:eastAsia="MS Mincho"/>
          <w:lang w:val="en-US" w:eastAsia="ja-JP"/>
        </w:rPr>
      </w:pPr>
      <w:r>
        <w:tab/>
      </w:r>
      <w:r>
        <w:tab/>
      </w:r>
      <w:r>
        <w:rPr>
          <w:rFonts w:eastAsia="MS Mincho"/>
          <w:lang w:val="en-US" w:eastAsia="ja-JP"/>
        </w:rPr>
        <w:t xml:space="preserve">Aerosols – Alignment of </w:t>
      </w:r>
      <w:r>
        <w:rPr>
          <w:rFonts w:eastAsia="MS Mincho"/>
        </w:rPr>
        <w:t>s</w:t>
      </w:r>
      <w:r w:rsidRPr="00AB2474">
        <w:rPr>
          <w:rFonts w:eastAsia="MS Mincho"/>
        </w:rPr>
        <w:t>pecial</w:t>
      </w:r>
      <w:r>
        <w:rPr>
          <w:rFonts w:eastAsia="MS Mincho"/>
          <w:lang w:val="en-US" w:eastAsia="ja-JP"/>
        </w:rPr>
        <w:t xml:space="preserve"> provision 63 with special provision 362</w:t>
      </w:r>
    </w:p>
    <w:p w14:paraId="6C7085D5" w14:textId="77777777" w:rsidR="008B46B6" w:rsidRPr="00634278" w:rsidRDefault="008B46B6" w:rsidP="008B46B6">
      <w:pPr>
        <w:pStyle w:val="H1G"/>
        <w:rPr>
          <w:lang w:val="en-US" w:eastAsia="ja-JP"/>
        </w:rPr>
      </w:pPr>
      <w:r>
        <w:rPr>
          <w:lang w:val="en-US" w:eastAsia="ja-JP"/>
        </w:rPr>
        <w:tab/>
      </w:r>
      <w:r>
        <w:rPr>
          <w:lang w:val="en-US" w:eastAsia="ja-JP"/>
        </w:rPr>
        <w:tab/>
      </w:r>
      <w:r>
        <w:rPr>
          <w:szCs w:val="24"/>
        </w:rPr>
        <w:t>Transmitted</w:t>
      </w:r>
      <w:r w:rsidRPr="004B2595">
        <w:rPr>
          <w:szCs w:val="24"/>
        </w:rPr>
        <w:t xml:space="preserve"> by the European Aerosol Federation (FEA)</w:t>
      </w:r>
      <w:r w:rsidRPr="00484C6C">
        <w:rPr>
          <w:rStyle w:val="FootnoteReference"/>
          <w:sz w:val="20"/>
          <w:szCs w:val="24"/>
        </w:rPr>
        <w:footnoteReference w:customMarkFollows="1" w:id="2"/>
        <w:t>*</w:t>
      </w:r>
    </w:p>
    <w:p w14:paraId="33CB3DC8" w14:textId="77777777" w:rsidR="008B46B6" w:rsidRPr="004E1EC6" w:rsidRDefault="008B46B6" w:rsidP="008B46B6">
      <w:pPr>
        <w:pStyle w:val="HChG"/>
      </w:pPr>
      <w:r w:rsidRPr="004E1EC6">
        <w:tab/>
        <w:t>I.</w:t>
      </w:r>
      <w:r w:rsidRPr="004E1EC6">
        <w:tab/>
        <w:t>Introduction</w:t>
      </w:r>
    </w:p>
    <w:p w14:paraId="170DEFCF" w14:textId="77777777" w:rsidR="008B46B6" w:rsidRPr="00FF3379" w:rsidRDefault="008B46B6" w:rsidP="008B46B6">
      <w:pPr>
        <w:pStyle w:val="SingleTxtG"/>
      </w:pPr>
      <w:r w:rsidRPr="004E1EC6">
        <w:t>1.</w:t>
      </w:r>
      <w:r w:rsidRPr="004E1EC6">
        <w:tab/>
      </w:r>
      <w:r>
        <w:t>At its sixty-fourth session, the Sub-</w:t>
      </w:r>
      <w:r w:rsidRPr="00B8116C">
        <w:t>Committee</w:t>
      </w:r>
      <w:r>
        <w:t xml:space="preserve"> of Experts on the Transport of Dangerous Goods (TDG Sub-Committee) noted general support on</w:t>
      </w:r>
      <w:r w:rsidRPr="00837B90">
        <w:t xml:space="preserve"> the </w:t>
      </w:r>
      <w:r>
        <w:t xml:space="preserve">amendments to the </w:t>
      </w:r>
      <w:r w:rsidRPr="005B009F">
        <w:rPr>
          <w:i/>
          <w:iCs/>
        </w:rPr>
        <w:t>Manual of Tests and Criteria</w:t>
      </w:r>
      <w:r>
        <w:t xml:space="preserve">, </w:t>
      </w:r>
      <w:r w:rsidRPr="00837B90">
        <w:t>proposed in</w:t>
      </w:r>
      <w:r>
        <w:t xml:space="preserve"> paragraph 7 of document </w:t>
      </w:r>
      <w:r w:rsidRPr="0049377D">
        <w:t>ST/SG/AC.10/C.3/2024/6 (FEA)</w:t>
      </w:r>
      <w:r>
        <w:t>. On the proposal in paragraph 6, the Sub-Committee expressed support in principle but considered that additional clarification was needed on the text before it could be considered for adoption</w:t>
      </w:r>
      <w:r w:rsidRPr="00FF3379">
        <w:t>.</w:t>
      </w:r>
    </w:p>
    <w:p w14:paraId="0CB59CFD" w14:textId="77777777" w:rsidR="008B46B6" w:rsidRPr="00FF3379" w:rsidRDefault="008B46B6" w:rsidP="008B46B6">
      <w:pPr>
        <w:pStyle w:val="SingleTxtG"/>
      </w:pPr>
      <w:r w:rsidRPr="00FF3379">
        <w:t>2.</w:t>
      </w:r>
      <w:r w:rsidRPr="00FF3379">
        <w:tab/>
        <w:t>The updated proposal below has been prepared in cooperation with the Household and Commercial Products Association (HCPA) of the United States of America.</w:t>
      </w:r>
    </w:p>
    <w:p w14:paraId="2E543FA6" w14:textId="77777777" w:rsidR="008B46B6" w:rsidRPr="004E1EC6" w:rsidRDefault="008B46B6" w:rsidP="008B46B6">
      <w:pPr>
        <w:pStyle w:val="HChG"/>
      </w:pPr>
      <w:r w:rsidRPr="004E1EC6">
        <w:tab/>
        <w:t>II.</w:t>
      </w:r>
      <w:r w:rsidRPr="004E1EC6">
        <w:tab/>
      </w:r>
      <w:r>
        <w:t>Discussion</w:t>
      </w:r>
    </w:p>
    <w:p w14:paraId="711A7D72" w14:textId="77777777" w:rsidR="008B46B6" w:rsidRDefault="008B46B6" w:rsidP="008B46B6">
      <w:pPr>
        <w:pStyle w:val="SingleTxtG"/>
      </w:pPr>
      <w:r>
        <w:t>3.</w:t>
      </w:r>
      <w:r>
        <w:tab/>
        <w:t>FEA would like to remind that the aerosol industry does not use most of the components covered by the prohibitions but agreed to address the legal gap.</w:t>
      </w:r>
    </w:p>
    <w:p w14:paraId="204B7CD2" w14:textId="076C27FB" w:rsidR="008B46B6" w:rsidRPr="00BC31EC" w:rsidRDefault="008B46B6" w:rsidP="008B46B6">
      <w:pPr>
        <w:pStyle w:val="SingleTxtG"/>
      </w:pPr>
      <w:r w:rsidRPr="00BC31EC">
        <w:t>4.</w:t>
      </w:r>
      <w:r w:rsidRPr="00BC31EC">
        <w:tab/>
        <w:t xml:space="preserve">It is proposed to replace the wording “Class 3, liquid desensitized explosives” by “Liquid desensitized explosives of Class 3” in </w:t>
      </w:r>
      <w:r>
        <w:t>chapter 2.0, paragraph 2.0.3.1 of the</w:t>
      </w:r>
      <w:r w:rsidRPr="00BC31EC">
        <w:t xml:space="preserve"> </w:t>
      </w:r>
      <w:r w:rsidRPr="005B009F">
        <w:rPr>
          <w:i/>
          <w:iCs/>
        </w:rPr>
        <w:t xml:space="preserve">Model </w:t>
      </w:r>
      <w:r w:rsidRPr="005B009F">
        <w:rPr>
          <w:i/>
          <w:iCs/>
        </w:rPr>
        <w:lastRenderedPageBreak/>
        <w:t>Regulations</w:t>
      </w:r>
      <w:r w:rsidRPr="00BC31EC">
        <w:t xml:space="preserve">. </w:t>
      </w:r>
      <w:proofErr w:type="gramStart"/>
      <w:r w:rsidRPr="00BC31EC">
        <w:t>However</w:t>
      </w:r>
      <w:proofErr w:type="gramEnd"/>
      <w:r w:rsidRPr="00BC31EC">
        <w:t xml:space="preserve"> FEA notes that “Class 3, liquid desensitized explosives” is the wording currently used under special provision 362.</w:t>
      </w:r>
    </w:p>
    <w:p w14:paraId="0B004841" w14:textId="77777777" w:rsidR="008B46B6" w:rsidRDefault="008B46B6" w:rsidP="008B46B6">
      <w:pPr>
        <w:pStyle w:val="SingleTxtG"/>
      </w:pPr>
      <w:r>
        <w:t>5</w:t>
      </w:r>
      <w:r w:rsidRPr="005E44D5">
        <w:t>.</w:t>
      </w:r>
      <w:r w:rsidRPr="005E44D5">
        <w:tab/>
      </w:r>
      <w:r>
        <w:t xml:space="preserve">It has been clarified at previous sessions that the proposed prohibitions will be related to the contents/mixtures and not to individual components/substances which will be the main difference with special provision 362. </w:t>
      </w:r>
      <w:proofErr w:type="gramStart"/>
      <w:r>
        <w:t>H</w:t>
      </w:r>
      <w:r w:rsidRPr="00CA70CC">
        <w:t>owever</w:t>
      </w:r>
      <w:proofErr w:type="gramEnd"/>
      <w:r w:rsidRPr="00CA70CC">
        <w:t xml:space="preserve"> several delegations pointed out that the scope of the special provision </w:t>
      </w:r>
      <w:r>
        <w:t xml:space="preserve">63 </w:t>
      </w:r>
      <w:r w:rsidRPr="00CA70CC">
        <w:t>would become unclear, as it regards classification based on the overall contents of the aerosol (including the propellant</w:t>
      </w:r>
      <w:r>
        <w:t xml:space="preserve"> gas</w:t>
      </w:r>
      <w:r w:rsidRPr="00CA70CC">
        <w:t>) or on contents other than the propellant</w:t>
      </w:r>
      <w:r>
        <w:t xml:space="preserve"> gas</w:t>
      </w:r>
      <w:r w:rsidRPr="00CA70CC">
        <w:t>.</w:t>
      </w:r>
    </w:p>
    <w:p w14:paraId="24E08F6D" w14:textId="77777777" w:rsidR="008B46B6" w:rsidRDefault="008B46B6" w:rsidP="008B46B6">
      <w:pPr>
        <w:pStyle w:val="SingleTxtG"/>
      </w:pPr>
      <w:r>
        <w:t>6.</w:t>
      </w:r>
      <w:r>
        <w:tab/>
        <w:t>FEA has no one-fit-all answer to this question because it will depend on the type of technology (conventional vs compartmented aerosols), the type of propellant gas (liquefied vs compressed gas), the hazard class (physical, health or environment), specific provisions in a hazard class, relevance and feasibility of testing, and the application of bridging principles or calculation method.</w:t>
      </w:r>
    </w:p>
    <w:p w14:paraId="55EB09B6" w14:textId="77777777" w:rsidR="008B46B6" w:rsidRDefault="008B46B6" w:rsidP="008B46B6">
      <w:pPr>
        <w:pStyle w:val="SingleTxtG"/>
        <w:tabs>
          <w:tab w:val="clear" w:pos="1701"/>
          <w:tab w:val="clear" w:pos="2268"/>
          <w:tab w:val="clear" w:pos="2835"/>
        </w:tabs>
      </w:pPr>
      <w:r>
        <w:t>7.</w:t>
      </w:r>
      <w:r>
        <w:tab/>
      </w:r>
      <w:r w:rsidRPr="00DE0A12">
        <w:t xml:space="preserve">FEA </w:t>
      </w:r>
      <w:r>
        <w:t>proposes to use</w:t>
      </w:r>
      <w:r w:rsidRPr="00DE0A12">
        <w:t xml:space="preserve"> the wording “Where the contents other than the propellant gas” in (e) for Division 6.1 (Toxic substances)</w:t>
      </w:r>
      <w:r>
        <w:t xml:space="preserve"> </w:t>
      </w:r>
      <w:r w:rsidRPr="00DE0A12">
        <w:t xml:space="preserve">and Class 8 (Corrosive substances) </w:t>
      </w:r>
      <w:r>
        <w:t xml:space="preserve">and merging (e) and (f) because dealing with the same hazard division and class. Concerning the other prohibitions, it is proposed to use “Where the contents” which covers the contents/mixtures, not individual components/substances. </w:t>
      </w:r>
      <w:proofErr w:type="gramStart"/>
      <w:r>
        <w:t>However</w:t>
      </w:r>
      <w:proofErr w:type="gramEnd"/>
      <w:r>
        <w:t xml:space="preserve"> it is not considered appropriate to detail when and how the propellant gas must or not be taken into account as explained above. The consignor remains responsible of the correct classification of its dangerous goods.</w:t>
      </w:r>
    </w:p>
    <w:p w14:paraId="34E05F0A" w14:textId="77777777" w:rsidR="008B46B6" w:rsidRDefault="008B46B6" w:rsidP="008B46B6">
      <w:pPr>
        <w:pStyle w:val="SingleTxtG"/>
      </w:pPr>
      <w:r>
        <w:t>8.</w:t>
      </w:r>
      <w:r>
        <w:tab/>
        <w:t xml:space="preserve">It is proposed to </w:t>
      </w:r>
      <w:r w:rsidRPr="00720DC4">
        <w:t xml:space="preserve">use the term “classification criteria” </w:t>
      </w:r>
      <w:r>
        <w:t xml:space="preserve">which is </w:t>
      </w:r>
      <w:r w:rsidRPr="00720DC4">
        <w:t xml:space="preserve">usually used throughout the </w:t>
      </w:r>
      <w:r w:rsidRPr="005B009F">
        <w:rPr>
          <w:i/>
          <w:iCs/>
        </w:rPr>
        <w:t>Model Regulations</w:t>
      </w:r>
      <w:r w:rsidRPr="00720DC4">
        <w:t xml:space="preserve">, instead of the </w:t>
      </w:r>
      <w:r>
        <w:t>term</w:t>
      </w:r>
      <w:r w:rsidRPr="00720DC4">
        <w:t xml:space="preserve"> “assignment criteria”.</w:t>
      </w:r>
    </w:p>
    <w:p w14:paraId="1EAAC6E5" w14:textId="77777777" w:rsidR="008B46B6" w:rsidRDefault="008B46B6" w:rsidP="008B46B6">
      <w:pPr>
        <w:pStyle w:val="SingleTxtG"/>
      </w:pPr>
      <w:r>
        <w:t>9.</w:t>
      </w:r>
      <w:r>
        <w:tab/>
        <w:t>For a clearer reading, it is proposed to list the division and classes which are prohibited</w:t>
      </w:r>
      <w:r w:rsidRPr="00720DC4">
        <w:t>.</w:t>
      </w:r>
    </w:p>
    <w:p w14:paraId="189D04E1" w14:textId="5B467FC7" w:rsidR="008B46B6" w:rsidRPr="00394A29" w:rsidRDefault="008B46B6" w:rsidP="008B46B6">
      <w:pPr>
        <w:pStyle w:val="SingleTxtG"/>
      </w:pPr>
      <w:r w:rsidRPr="00394A29">
        <w:t>10.</w:t>
      </w:r>
      <w:r w:rsidRPr="00394A29">
        <w:tab/>
      </w:r>
      <w:r w:rsidR="00E538C3">
        <w:t xml:space="preserve">ISO </w:t>
      </w:r>
      <w:r w:rsidRPr="00394A29">
        <w:t>Standard 13943 only provides definitions but no methods. It is proposed to replace the outdated text related to the methods to determine heats of combustion by “</w:t>
      </w:r>
      <w:r w:rsidRPr="00E93E74">
        <w:t>The chemical heats of combustion shall be determined either by reference to published scientific literature, calculation or by using suitable tests (e.g., ASTM D 240 and NFPA 30B)</w:t>
      </w:r>
      <w:r w:rsidRPr="00394A29">
        <w:t>”.</w:t>
      </w:r>
    </w:p>
    <w:p w14:paraId="5AD0DC5E" w14:textId="0ECE87F8" w:rsidR="008B46B6" w:rsidRPr="00394A29" w:rsidRDefault="008B46B6" w:rsidP="008B46B6">
      <w:pPr>
        <w:pStyle w:val="SingleTxtG"/>
      </w:pPr>
      <w:r w:rsidRPr="00394A29">
        <w:t>11.</w:t>
      </w:r>
      <w:r w:rsidRPr="00394A29">
        <w:tab/>
        <w:t xml:space="preserve">The changes in special provision 63 should then be reflected in the </w:t>
      </w:r>
      <w:r w:rsidRPr="005B009F">
        <w:rPr>
          <w:i/>
          <w:iCs/>
        </w:rPr>
        <w:t>Manual of Tests and Criteria</w:t>
      </w:r>
      <w:r w:rsidRPr="00394A29">
        <w:t>. It is proposed to align the definition of flammable components under section</w:t>
      </w:r>
      <w:r>
        <w:t> </w:t>
      </w:r>
      <w:r w:rsidRPr="00394A29">
        <w:t xml:space="preserve">31, paragraph 31.1.3 as well as paragraph 31.3.3 </w:t>
      </w:r>
      <w:r w:rsidR="00790A90">
        <w:t>addressing</w:t>
      </w:r>
      <w:r w:rsidRPr="00394A29">
        <w:t xml:space="preserve"> </w:t>
      </w:r>
      <w:r w:rsidR="00DD043C">
        <w:t xml:space="preserve">the </w:t>
      </w:r>
      <w:r w:rsidRPr="00394A29">
        <w:t>heat of combustion.</w:t>
      </w:r>
    </w:p>
    <w:p w14:paraId="19A2D792" w14:textId="77777777" w:rsidR="008B46B6" w:rsidRPr="005E44D5" w:rsidRDefault="008B46B6" w:rsidP="008B46B6">
      <w:pPr>
        <w:pStyle w:val="HChG"/>
      </w:pPr>
      <w:r w:rsidRPr="005E44D5">
        <w:tab/>
        <w:t>III.</w:t>
      </w:r>
      <w:r w:rsidRPr="005E44D5">
        <w:tab/>
        <w:t>Proposal for the Model Regulations</w:t>
      </w:r>
    </w:p>
    <w:p w14:paraId="1734B237" w14:textId="77777777" w:rsidR="008B46B6" w:rsidRPr="005E44D5" w:rsidRDefault="008B46B6" w:rsidP="008B46B6">
      <w:pPr>
        <w:pStyle w:val="SingleTxtG"/>
      </w:pPr>
      <w:r w:rsidRPr="009346B1">
        <w:t>12</w:t>
      </w:r>
      <w:r w:rsidRPr="005E44D5">
        <w:t>.</w:t>
      </w:r>
      <w:r w:rsidRPr="005E44D5">
        <w:tab/>
        <w:t xml:space="preserve">FEA proposes to amend special provision 63 in the </w:t>
      </w:r>
      <w:r w:rsidRPr="00CB3B9D">
        <w:rPr>
          <w:i/>
          <w:iCs/>
        </w:rPr>
        <w:t>Model Regulations</w:t>
      </w:r>
      <w:r w:rsidRPr="005E44D5">
        <w:t xml:space="preserve"> as follows (new text is shown</w:t>
      </w:r>
      <w:r>
        <w:t xml:space="preserve"> in</w:t>
      </w:r>
      <w:r w:rsidRPr="005E44D5">
        <w:t xml:space="preserve"> </w:t>
      </w:r>
      <w:r w:rsidRPr="005E44D5">
        <w:rPr>
          <w:b/>
          <w:bCs/>
          <w:u w:val="single"/>
        </w:rPr>
        <w:t>bold, underlined</w:t>
      </w:r>
      <w:r w:rsidRPr="005E44D5">
        <w:t xml:space="preserve">, deleted text is marked as </w:t>
      </w:r>
      <w:r w:rsidRPr="005E44D5">
        <w:rPr>
          <w:strike/>
        </w:rPr>
        <w:t>strikethrough</w:t>
      </w:r>
      <w:r w:rsidRPr="005E44D5">
        <w:t>):</w:t>
      </w:r>
    </w:p>
    <w:p w14:paraId="5BA5A7F8" w14:textId="77777777" w:rsidR="008B46B6" w:rsidRPr="005E44D5" w:rsidRDefault="008B46B6" w:rsidP="008B46B6">
      <w:pPr>
        <w:pStyle w:val="SingleTxtG"/>
        <w:ind w:left="1701"/>
      </w:pPr>
      <w:r>
        <w:t>“63</w:t>
      </w:r>
      <w:r>
        <w:tab/>
      </w:r>
      <w:r w:rsidRPr="005E44D5">
        <w:t>The division of Class 2 and the subsidiary hazards depend on the nature of the contents of the aerosol dispenser. The following provisions shall apply:</w:t>
      </w:r>
    </w:p>
    <w:p w14:paraId="7D29B393" w14:textId="77777777" w:rsidR="008B46B6" w:rsidRPr="005E44D5" w:rsidRDefault="008B46B6" w:rsidP="008B46B6">
      <w:pPr>
        <w:pStyle w:val="SingleTxtG"/>
        <w:ind w:left="2268" w:hanging="567"/>
      </w:pPr>
      <w:r w:rsidRPr="005E44D5">
        <w:t>(a)</w:t>
      </w:r>
      <w:r w:rsidRPr="005E44D5">
        <w:tab/>
        <w:t xml:space="preserve">Division 2.1 applies if the contents include 85 % by mass or more flammable components and the chemical heat of combustion is 30 kJ/g or </w:t>
      </w:r>
      <w:proofErr w:type="gramStart"/>
      <w:r w:rsidRPr="005E44D5">
        <w:t>more;</w:t>
      </w:r>
      <w:proofErr w:type="gramEnd"/>
    </w:p>
    <w:p w14:paraId="43DB107A" w14:textId="77777777" w:rsidR="008B46B6" w:rsidRPr="005E44D5" w:rsidRDefault="008B46B6" w:rsidP="008B46B6">
      <w:pPr>
        <w:pStyle w:val="SingleTxtG"/>
        <w:ind w:left="2268" w:hanging="567"/>
      </w:pPr>
      <w:r w:rsidRPr="005E44D5">
        <w:t>(b)</w:t>
      </w:r>
      <w:r w:rsidRPr="005E44D5">
        <w:tab/>
        <w:t>Division 2.2 applies if the contents contain 1 % by mass or less flammable components and the heat of combustion is less than 20 kJ/</w:t>
      </w:r>
      <w:proofErr w:type="gramStart"/>
      <w:r w:rsidRPr="005E44D5">
        <w:t>g;</w:t>
      </w:r>
      <w:proofErr w:type="gramEnd"/>
    </w:p>
    <w:p w14:paraId="4613FEBF" w14:textId="77777777" w:rsidR="008B46B6" w:rsidRPr="005E44D5" w:rsidRDefault="008B46B6" w:rsidP="008B46B6">
      <w:pPr>
        <w:pStyle w:val="SingleTxtG"/>
        <w:ind w:left="2268" w:hanging="567"/>
      </w:pPr>
      <w:r w:rsidRPr="005E44D5">
        <w:t>(c)</w:t>
      </w:r>
      <w:r w:rsidRPr="005E44D5">
        <w:tab/>
      </w:r>
      <w:proofErr w:type="gramStart"/>
      <w:r w:rsidRPr="005E44D5">
        <w:t>Otherwise</w:t>
      </w:r>
      <w:proofErr w:type="gramEnd"/>
      <w:r w:rsidRPr="005E44D5">
        <w:t xml:space="preserve"> the product shall be classified as tested by the tests described in the </w:t>
      </w:r>
      <w:r w:rsidRPr="005E44D5">
        <w:rPr>
          <w:i/>
          <w:iCs/>
        </w:rPr>
        <w:t>Manual of Tests and Criteria</w:t>
      </w:r>
      <w:r w:rsidRPr="005E44D5">
        <w:t xml:space="preserve">, part III, section 31. Extremely flammable and flammable aerosols shall be classified in Division 2.1; non-flammable in Division </w:t>
      </w:r>
      <w:proofErr w:type="gramStart"/>
      <w:r w:rsidRPr="005E44D5">
        <w:t>2.2;</w:t>
      </w:r>
      <w:proofErr w:type="gramEnd"/>
    </w:p>
    <w:p w14:paraId="0820CAD8" w14:textId="77777777" w:rsidR="008B46B6" w:rsidRPr="005E44D5" w:rsidRDefault="008B46B6" w:rsidP="008B46B6">
      <w:pPr>
        <w:pStyle w:val="SingleTxtG"/>
        <w:ind w:left="2268" w:hanging="567"/>
      </w:pPr>
      <w:r w:rsidRPr="005E44D5">
        <w:t>(d)</w:t>
      </w:r>
      <w:r w:rsidRPr="005E44D5">
        <w:tab/>
        <w:t xml:space="preserve">Gases of Division 2.3 shall not be used as a propellant in an aerosol </w:t>
      </w:r>
      <w:proofErr w:type="gramStart"/>
      <w:r w:rsidRPr="005E44D5">
        <w:t>dispenser;</w:t>
      </w:r>
      <w:proofErr w:type="gramEnd"/>
    </w:p>
    <w:p w14:paraId="6D1271B2" w14:textId="77777777" w:rsidR="008B46B6" w:rsidRDefault="008B46B6" w:rsidP="008B46B6">
      <w:pPr>
        <w:pStyle w:val="SingleTxtG"/>
        <w:ind w:left="2268" w:hanging="567"/>
      </w:pPr>
      <w:r w:rsidRPr="005E44D5">
        <w:t>(e)</w:t>
      </w:r>
      <w:r w:rsidRPr="005E44D5">
        <w:tab/>
      </w:r>
      <w:r w:rsidRPr="00562F4C">
        <w:rPr>
          <w:b/>
          <w:bCs/>
          <w:u w:val="single"/>
        </w:rPr>
        <w:t xml:space="preserve">The aerosol shall have a subsidiary hazard of Division 6.1 or Class 8 </w:t>
      </w:r>
      <w:proofErr w:type="spellStart"/>
      <w:r w:rsidRPr="00562F4C">
        <w:rPr>
          <w:b/>
          <w:bCs/>
          <w:u w:val="single"/>
        </w:rPr>
        <w:t>w</w:t>
      </w:r>
      <w:r w:rsidRPr="00562F4C">
        <w:rPr>
          <w:strike/>
        </w:rPr>
        <w:t>W</w:t>
      </w:r>
      <w:r w:rsidRPr="005E44D5">
        <w:t>here</w:t>
      </w:r>
      <w:proofErr w:type="spellEnd"/>
      <w:r w:rsidRPr="005E44D5">
        <w:t xml:space="preserve"> the contents</w:t>
      </w:r>
      <w:r w:rsidRPr="00B92ACF">
        <w:rPr>
          <w:b/>
          <w:bCs/>
        </w:rPr>
        <w:t>,</w:t>
      </w:r>
      <w:r w:rsidRPr="005E44D5">
        <w:t xml:space="preserve"> other than the propellant of aerosol dispensers</w:t>
      </w:r>
      <w:r w:rsidRPr="00B92ACF">
        <w:rPr>
          <w:b/>
          <w:bCs/>
        </w:rPr>
        <w:t>,</w:t>
      </w:r>
      <w:r w:rsidRPr="005E44D5">
        <w:t xml:space="preserve"> </w:t>
      </w:r>
      <w:r w:rsidRPr="00B92ACF">
        <w:rPr>
          <w:strike/>
        </w:rPr>
        <w:t xml:space="preserve">to be ejected </w:t>
      </w:r>
      <w:r w:rsidRPr="005E44D5">
        <w:t>are classified as</w:t>
      </w:r>
      <w:r w:rsidRPr="00812FF7">
        <w:rPr>
          <w:b/>
          <w:bCs/>
        </w:rPr>
        <w:t>:</w:t>
      </w:r>
    </w:p>
    <w:p w14:paraId="77A0A076" w14:textId="77777777" w:rsidR="008B46B6" w:rsidRDefault="008B46B6" w:rsidP="008B46B6">
      <w:pPr>
        <w:pStyle w:val="SingleTxtG"/>
        <w:ind w:left="2835" w:hanging="567"/>
      </w:pPr>
      <w:r w:rsidRPr="00812FF7">
        <w:rPr>
          <w:b/>
          <w:bCs/>
          <w:u w:val="single"/>
        </w:rPr>
        <w:t>(i)</w:t>
      </w:r>
      <w:r w:rsidRPr="00812FF7">
        <w:rPr>
          <w:b/>
          <w:bCs/>
          <w:u w:val="single"/>
        </w:rPr>
        <w:tab/>
      </w:r>
      <w:r w:rsidRPr="005E44D5">
        <w:t>Division 6.1 packing groups II or III or</w:t>
      </w:r>
    </w:p>
    <w:p w14:paraId="6838D729" w14:textId="77777777" w:rsidR="008B46B6" w:rsidRDefault="008B46B6" w:rsidP="008B46B6">
      <w:pPr>
        <w:pStyle w:val="SingleTxtG"/>
        <w:ind w:left="2835" w:hanging="567"/>
        <w:rPr>
          <w:b/>
          <w:bCs/>
        </w:rPr>
      </w:pPr>
      <w:r w:rsidRPr="00812FF7">
        <w:rPr>
          <w:b/>
          <w:bCs/>
          <w:u w:val="single"/>
        </w:rPr>
        <w:lastRenderedPageBreak/>
        <w:t>(ii)</w:t>
      </w:r>
      <w:r w:rsidRPr="00812FF7">
        <w:rPr>
          <w:b/>
          <w:bCs/>
          <w:u w:val="single"/>
        </w:rPr>
        <w:tab/>
      </w:r>
      <w:r w:rsidRPr="005E44D5">
        <w:t>Class 8 packing groups II or III</w:t>
      </w:r>
      <w:r w:rsidRPr="00562F4C">
        <w:rPr>
          <w:strike/>
        </w:rPr>
        <w:t xml:space="preserve">, the aerosol shall have a subsidiary hazard of Division 6.1 or Class </w:t>
      </w:r>
      <w:proofErr w:type="gramStart"/>
      <w:r w:rsidRPr="00562F4C">
        <w:rPr>
          <w:strike/>
        </w:rPr>
        <w:t>8;</w:t>
      </w:r>
      <w:r w:rsidRPr="00AD114A">
        <w:rPr>
          <w:b/>
          <w:bCs/>
        </w:rPr>
        <w:t>.</w:t>
      </w:r>
      <w:proofErr w:type="gramEnd"/>
    </w:p>
    <w:p w14:paraId="67A32951" w14:textId="77777777" w:rsidR="008B46B6" w:rsidRDefault="008B46B6" w:rsidP="008B46B6">
      <w:pPr>
        <w:pStyle w:val="SingleTxtG"/>
        <w:ind w:left="2268"/>
        <w:rPr>
          <w:b/>
          <w:bCs/>
          <w:u w:val="single"/>
        </w:rPr>
      </w:pPr>
      <w:r>
        <w:rPr>
          <w:b/>
          <w:bCs/>
          <w:u w:val="single"/>
        </w:rPr>
        <w:t>The aerosol</w:t>
      </w:r>
      <w:r w:rsidRPr="00BD79DD">
        <w:rPr>
          <w:b/>
          <w:bCs/>
          <w:u w:val="single"/>
        </w:rPr>
        <w:t xml:space="preserve"> shall be prohibited from transport </w:t>
      </w:r>
      <w:r>
        <w:rPr>
          <w:b/>
          <w:bCs/>
          <w:u w:val="single"/>
        </w:rPr>
        <w:t>w</w:t>
      </w:r>
      <w:r w:rsidRPr="00BD79DD">
        <w:rPr>
          <w:b/>
          <w:bCs/>
          <w:u w:val="single"/>
        </w:rPr>
        <w:t>here the contents</w:t>
      </w:r>
      <w:r>
        <w:rPr>
          <w:b/>
          <w:bCs/>
          <w:u w:val="single"/>
        </w:rPr>
        <w:t>,</w:t>
      </w:r>
      <w:r w:rsidRPr="00BD79DD">
        <w:rPr>
          <w:b/>
          <w:bCs/>
          <w:u w:val="single"/>
        </w:rPr>
        <w:t xml:space="preserve"> other</w:t>
      </w:r>
      <w:r>
        <w:rPr>
          <w:b/>
          <w:bCs/>
          <w:u w:val="single"/>
        </w:rPr>
        <w:t xml:space="preserve"> </w:t>
      </w:r>
      <w:r w:rsidRPr="00BD79DD">
        <w:rPr>
          <w:b/>
          <w:bCs/>
          <w:u w:val="single"/>
        </w:rPr>
        <w:t>than the propellant of aerosol dispensers</w:t>
      </w:r>
      <w:r>
        <w:rPr>
          <w:b/>
          <w:bCs/>
          <w:u w:val="single"/>
        </w:rPr>
        <w:t>,</w:t>
      </w:r>
      <w:r w:rsidRPr="00BD79DD">
        <w:rPr>
          <w:b/>
          <w:bCs/>
          <w:u w:val="single"/>
        </w:rPr>
        <w:t xml:space="preserve"> are classified as</w:t>
      </w:r>
      <w:r>
        <w:rPr>
          <w:b/>
          <w:bCs/>
          <w:u w:val="single"/>
        </w:rPr>
        <w:t>:</w:t>
      </w:r>
    </w:p>
    <w:p w14:paraId="7974F811" w14:textId="77777777" w:rsidR="008B46B6" w:rsidRDefault="008B46B6" w:rsidP="008B46B6">
      <w:pPr>
        <w:pStyle w:val="SingleTxtG"/>
        <w:ind w:left="2268"/>
        <w:rPr>
          <w:b/>
          <w:bCs/>
          <w:u w:val="single"/>
        </w:rPr>
      </w:pPr>
      <w:r>
        <w:rPr>
          <w:b/>
          <w:bCs/>
          <w:u w:val="single"/>
        </w:rPr>
        <w:t>(i)</w:t>
      </w:r>
      <w:r>
        <w:rPr>
          <w:b/>
          <w:bCs/>
          <w:u w:val="single"/>
        </w:rPr>
        <w:tab/>
      </w:r>
      <w:r w:rsidRPr="00BD79DD">
        <w:rPr>
          <w:b/>
          <w:bCs/>
          <w:u w:val="single"/>
        </w:rPr>
        <w:t xml:space="preserve">Division 6.1, packing group I or </w:t>
      </w:r>
    </w:p>
    <w:p w14:paraId="175D96BE" w14:textId="77777777" w:rsidR="008B46B6" w:rsidRPr="005E44D5" w:rsidRDefault="008B46B6" w:rsidP="008B46B6">
      <w:pPr>
        <w:pStyle w:val="SingleTxtG"/>
        <w:ind w:left="2268"/>
      </w:pPr>
      <w:r>
        <w:rPr>
          <w:b/>
          <w:bCs/>
          <w:u w:val="single"/>
        </w:rPr>
        <w:t>(ii)</w:t>
      </w:r>
      <w:r>
        <w:rPr>
          <w:b/>
          <w:bCs/>
          <w:u w:val="single"/>
        </w:rPr>
        <w:tab/>
      </w:r>
      <w:r w:rsidRPr="00BD79DD">
        <w:rPr>
          <w:b/>
          <w:bCs/>
          <w:u w:val="single"/>
        </w:rPr>
        <w:t xml:space="preserve">Class 8, packing group </w:t>
      </w:r>
      <w:proofErr w:type="gramStart"/>
      <w:r w:rsidRPr="00BD79DD">
        <w:rPr>
          <w:b/>
          <w:bCs/>
          <w:u w:val="single"/>
        </w:rPr>
        <w:t>I;</w:t>
      </w:r>
      <w:proofErr w:type="gramEnd"/>
    </w:p>
    <w:p w14:paraId="7C6CC685" w14:textId="77777777" w:rsidR="008B46B6" w:rsidRPr="003D57BF" w:rsidRDefault="008B46B6" w:rsidP="008B46B6">
      <w:pPr>
        <w:pStyle w:val="SingleTxtG"/>
        <w:ind w:left="2268" w:hanging="567"/>
        <w:rPr>
          <w:strike/>
        </w:rPr>
      </w:pPr>
      <w:r w:rsidRPr="003D57BF">
        <w:t>(f)</w:t>
      </w:r>
      <w:r w:rsidRPr="003D57BF">
        <w:tab/>
      </w:r>
      <w:r w:rsidRPr="00F635A2">
        <w:rPr>
          <w:strike/>
        </w:rPr>
        <w:t>Aerosols with contents meeting the criteria for packing group I for toxicity or</w:t>
      </w:r>
      <w:r w:rsidRPr="00F635A2">
        <w:rPr>
          <w:b/>
          <w:bCs/>
          <w:strike/>
          <w:u w:val="single"/>
        </w:rPr>
        <w:t xml:space="preserve"> </w:t>
      </w:r>
      <w:r w:rsidRPr="00F635A2">
        <w:rPr>
          <w:strike/>
        </w:rPr>
        <w:t>corrosivity shall be prohibited from transport;</w:t>
      </w:r>
      <w:r>
        <w:rPr>
          <w:strike/>
        </w:rPr>
        <w:t xml:space="preserve"> </w:t>
      </w:r>
      <w:r w:rsidRPr="003D57BF">
        <w:rPr>
          <w:b/>
          <w:bCs/>
        </w:rPr>
        <w:t>T</w:t>
      </w:r>
      <w:r w:rsidRPr="00B70842">
        <w:rPr>
          <w:b/>
          <w:bCs/>
          <w:u w:val="single"/>
        </w:rPr>
        <w:t xml:space="preserve">he aerosol shall be prohibited from transport </w:t>
      </w:r>
      <w:r>
        <w:rPr>
          <w:b/>
          <w:bCs/>
          <w:u w:val="single"/>
        </w:rPr>
        <w:t>w</w:t>
      </w:r>
      <w:r w:rsidRPr="00B70842">
        <w:rPr>
          <w:b/>
          <w:bCs/>
          <w:u w:val="single"/>
        </w:rPr>
        <w:t>here the contents additionally meet the classification criteria of:</w:t>
      </w:r>
    </w:p>
    <w:p w14:paraId="7408D1CD" w14:textId="77777777" w:rsidR="008B46B6" w:rsidRDefault="008B46B6" w:rsidP="008B46B6">
      <w:pPr>
        <w:pStyle w:val="SingleTxtG"/>
        <w:ind w:left="2835" w:hanging="567"/>
        <w:rPr>
          <w:b/>
          <w:bCs/>
          <w:u w:val="single"/>
        </w:rPr>
      </w:pPr>
      <w:r w:rsidRPr="00B70842">
        <w:rPr>
          <w:b/>
          <w:bCs/>
          <w:u w:val="single"/>
        </w:rPr>
        <w:t>(i)</w:t>
      </w:r>
      <w:r w:rsidRPr="00B70842">
        <w:rPr>
          <w:b/>
          <w:bCs/>
          <w:u w:val="single"/>
        </w:rPr>
        <w:tab/>
        <w:t xml:space="preserve">Class 1, </w:t>
      </w:r>
      <w:proofErr w:type="gramStart"/>
      <w:r w:rsidRPr="00B70842">
        <w:rPr>
          <w:b/>
          <w:bCs/>
          <w:u w:val="single"/>
        </w:rPr>
        <w:t>explosives;</w:t>
      </w:r>
      <w:proofErr w:type="gramEnd"/>
    </w:p>
    <w:p w14:paraId="11659E7C" w14:textId="77777777" w:rsidR="008B46B6" w:rsidRPr="009346B1" w:rsidRDefault="008B46B6" w:rsidP="008B46B6">
      <w:pPr>
        <w:pStyle w:val="SingleTxtG"/>
        <w:ind w:left="2835" w:hanging="567"/>
        <w:rPr>
          <w:b/>
          <w:bCs/>
          <w:u w:val="single"/>
        </w:rPr>
      </w:pPr>
      <w:r w:rsidRPr="009346B1">
        <w:rPr>
          <w:b/>
          <w:bCs/>
          <w:u w:val="single"/>
        </w:rPr>
        <w:t>(ii)</w:t>
      </w:r>
      <w:r w:rsidRPr="009346B1">
        <w:rPr>
          <w:b/>
          <w:bCs/>
          <w:u w:val="single"/>
        </w:rPr>
        <w:tab/>
        <w:t xml:space="preserve">Liquid desensitized explosives of Class </w:t>
      </w:r>
      <w:proofErr w:type="gramStart"/>
      <w:r w:rsidRPr="009346B1">
        <w:rPr>
          <w:b/>
          <w:bCs/>
          <w:u w:val="single"/>
        </w:rPr>
        <w:t>3;</w:t>
      </w:r>
      <w:proofErr w:type="gramEnd"/>
    </w:p>
    <w:p w14:paraId="027DBC04" w14:textId="77777777" w:rsidR="008B46B6" w:rsidRDefault="008B46B6" w:rsidP="008B46B6">
      <w:pPr>
        <w:pStyle w:val="SingleTxtG"/>
        <w:ind w:left="2835" w:hanging="567"/>
        <w:rPr>
          <w:b/>
          <w:bCs/>
          <w:u w:val="single"/>
        </w:rPr>
      </w:pPr>
      <w:r w:rsidRPr="00B70842">
        <w:rPr>
          <w:b/>
          <w:bCs/>
          <w:u w:val="single"/>
        </w:rPr>
        <w:t>(iii)</w:t>
      </w:r>
      <w:r w:rsidRPr="00B70842">
        <w:rPr>
          <w:b/>
          <w:bCs/>
          <w:u w:val="single"/>
        </w:rPr>
        <w:tab/>
        <w:t xml:space="preserve">Division 4.1, self-reactive substances and solid desensitized </w:t>
      </w:r>
      <w:proofErr w:type="gramStart"/>
      <w:r w:rsidRPr="00B70842">
        <w:rPr>
          <w:b/>
          <w:bCs/>
          <w:u w:val="single"/>
        </w:rPr>
        <w:t>explosives;</w:t>
      </w:r>
      <w:proofErr w:type="gramEnd"/>
    </w:p>
    <w:p w14:paraId="2CA28513" w14:textId="77777777" w:rsidR="008B46B6" w:rsidRDefault="008B46B6" w:rsidP="008B46B6">
      <w:pPr>
        <w:pStyle w:val="SingleTxtG"/>
        <w:ind w:left="2835" w:hanging="567"/>
        <w:rPr>
          <w:b/>
          <w:bCs/>
          <w:u w:val="single"/>
        </w:rPr>
      </w:pPr>
      <w:r w:rsidRPr="00B70842">
        <w:rPr>
          <w:b/>
          <w:bCs/>
          <w:u w:val="single"/>
        </w:rPr>
        <w:t>(iv)</w:t>
      </w:r>
      <w:r w:rsidRPr="00B70842">
        <w:rPr>
          <w:b/>
          <w:bCs/>
          <w:u w:val="single"/>
        </w:rPr>
        <w:tab/>
        <w:t xml:space="preserve">Division 4.2, substances liable to spontaneous </w:t>
      </w:r>
      <w:proofErr w:type="gramStart"/>
      <w:r w:rsidRPr="00B70842">
        <w:rPr>
          <w:b/>
          <w:bCs/>
          <w:u w:val="single"/>
        </w:rPr>
        <w:t>combustion;</w:t>
      </w:r>
      <w:proofErr w:type="gramEnd"/>
    </w:p>
    <w:p w14:paraId="71D7F667" w14:textId="77777777" w:rsidR="008B46B6" w:rsidRDefault="008B46B6" w:rsidP="008B46B6">
      <w:pPr>
        <w:pStyle w:val="SingleTxtG"/>
        <w:ind w:left="2835" w:hanging="567"/>
        <w:rPr>
          <w:b/>
          <w:bCs/>
          <w:u w:val="single"/>
        </w:rPr>
      </w:pPr>
      <w:r w:rsidRPr="00B70842">
        <w:rPr>
          <w:b/>
          <w:bCs/>
          <w:u w:val="single"/>
        </w:rPr>
        <w:t>(v)</w:t>
      </w:r>
      <w:r w:rsidRPr="00B70842">
        <w:rPr>
          <w:b/>
          <w:bCs/>
          <w:u w:val="single"/>
        </w:rPr>
        <w:tab/>
        <w:t xml:space="preserve">Division 4.3, substances which, in contact with water, emit flammable </w:t>
      </w:r>
      <w:proofErr w:type="gramStart"/>
      <w:r w:rsidRPr="00B70842">
        <w:rPr>
          <w:b/>
          <w:bCs/>
          <w:u w:val="single"/>
        </w:rPr>
        <w:t>gases;</w:t>
      </w:r>
      <w:proofErr w:type="gramEnd"/>
    </w:p>
    <w:p w14:paraId="0514CFB9" w14:textId="77777777" w:rsidR="008B46B6" w:rsidRDefault="008B46B6" w:rsidP="008B46B6">
      <w:pPr>
        <w:pStyle w:val="SingleTxtG"/>
        <w:ind w:left="2835" w:hanging="567"/>
        <w:rPr>
          <w:b/>
          <w:bCs/>
          <w:u w:val="single"/>
        </w:rPr>
      </w:pPr>
      <w:r w:rsidRPr="00B70842">
        <w:rPr>
          <w:b/>
          <w:bCs/>
          <w:u w:val="single"/>
        </w:rPr>
        <w:t>(vi)</w:t>
      </w:r>
      <w:r w:rsidRPr="00B70842">
        <w:rPr>
          <w:b/>
          <w:bCs/>
          <w:u w:val="single"/>
        </w:rPr>
        <w:tab/>
        <w:t xml:space="preserve">Division 5.2, organic </w:t>
      </w:r>
      <w:proofErr w:type="gramStart"/>
      <w:r w:rsidRPr="00B70842">
        <w:rPr>
          <w:b/>
          <w:bCs/>
          <w:u w:val="single"/>
        </w:rPr>
        <w:t>peroxides;</w:t>
      </w:r>
      <w:proofErr w:type="gramEnd"/>
    </w:p>
    <w:p w14:paraId="0A719AE4" w14:textId="77777777" w:rsidR="008B46B6" w:rsidRDefault="008B46B6" w:rsidP="008B46B6">
      <w:pPr>
        <w:pStyle w:val="SingleTxtG"/>
        <w:ind w:left="2835" w:hanging="567"/>
        <w:rPr>
          <w:b/>
          <w:bCs/>
          <w:u w:val="single"/>
        </w:rPr>
      </w:pPr>
      <w:r w:rsidRPr="00B70842">
        <w:rPr>
          <w:b/>
          <w:bCs/>
          <w:u w:val="single"/>
        </w:rPr>
        <w:t>(vii)</w:t>
      </w:r>
      <w:r w:rsidRPr="00B70842">
        <w:rPr>
          <w:b/>
          <w:bCs/>
          <w:u w:val="single"/>
        </w:rPr>
        <w:tab/>
        <w:t>Division 6.2, infectious substances; or</w:t>
      </w:r>
    </w:p>
    <w:p w14:paraId="434FD686" w14:textId="77777777" w:rsidR="008B46B6" w:rsidRPr="00B70842" w:rsidRDefault="008B46B6" w:rsidP="008B46B6">
      <w:pPr>
        <w:pStyle w:val="SingleTxtG"/>
        <w:ind w:left="2835" w:hanging="567"/>
        <w:rPr>
          <w:b/>
          <w:bCs/>
          <w:u w:val="single"/>
        </w:rPr>
      </w:pPr>
      <w:r w:rsidRPr="00B70842">
        <w:rPr>
          <w:b/>
          <w:bCs/>
          <w:u w:val="single"/>
        </w:rPr>
        <w:t>(viii)</w:t>
      </w:r>
      <w:r w:rsidRPr="00B70842">
        <w:rPr>
          <w:b/>
          <w:bCs/>
          <w:u w:val="single"/>
        </w:rPr>
        <w:tab/>
        <w:t xml:space="preserve">Class 7, radioactive </w:t>
      </w:r>
      <w:proofErr w:type="gramStart"/>
      <w:r w:rsidRPr="00B70842">
        <w:rPr>
          <w:b/>
          <w:bCs/>
          <w:u w:val="single"/>
        </w:rPr>
        <w:t>material</w:t>
      </w:r>
      <w:r>
        <w:rPr>
          <w:b/>
          <w:bCs/>
          <w:u w:val="single"/>
        </w:rPr>
        <w:t>;</w:t>
      </w:r>
      <w:proofErr w:type="gramEnd"/>
    </w:p>
    <w:p w14:paraId="68E5A746" w14:textId="77777777" w:rsidR="008B46B6" w:rsidRPr="005E44D5" w:rsidRDefault="008B46B6" w:rsidP="008B46B6">
      <w:pPr>
        <w:pStyle w:val="SingleTxtG"/>
        <w:ind w:left="2268" w:hanging="567"/>
      </w:pPr>
      <w:r w:rsidRPr="00B70842">
        <w:t>(g)</w:t>
      </w:r>
      <w:r w:rsidRPr="005E44D5">
        <w:tab/>
        <w:t>Subsidiary hazard labels may be required for air transport.</w:t>
      </w:r>
    </w:p>
    <w:p w14:paraId="4D4F050A" w14:textId="77777777" w:rsidR="008B46B6" w:rsidRPr="005E44D5" w:rsidRDefault="008B46B6" w:rsidP="008B46B6">
      <w:pPr>
        <w:pStyle w:val="SingleTxtG"/>
        <w:ind w:left="1701"/>
      </w:pPr>
      <w:r w:rsidRPr="005E44D5">
        <w:t xml:space="preserve">Flammable components are flammable liquids, flammable solids or flammable gases and gas mixtures as defined in notes 1 to 3 of sub-section 31.1.3 of part III of the </w:t>
      </w:r>
      <w:r w:rsidRPr="005E44D5">
        <w:rPr>
          <w:i/>
          <w:iCs/>
        </w:rPr>
        <w:t>Manual of Tests and Criteria</w:t>
      </w:r>
      <w:r w:rsidRPr="005E44D5">
        <w:t xml:space="preserve">. </w:t>
      </w:r>
      <w:r w:rsidRPr="005E44D5">
        <w:rPr>
          <w:strike/>
        </w:rPr>
        <w:t xml:space="preserve">This designation does not cover pyrophoric, self-heating or water-reactive substances. </w:t>
      </w:r>
      <w:r w:rsidRPr="005E44D5">
        <w:t xml:space="preserve">The </w:t>
      </w:r>
      <w:r w:rsidRPr="00DF0CAF">
        <w:t>chemical</w:t>
      </w:r>
      <w:r w:rsidRPr="005E44D5">
        <w:t xml:space="preserve"> heat</w:t>
      </w:r>
      <w:r w:rsidRPr="00CE6FD7">
        <w:rPr>
          <w:b/>
          <w:bCs/>
          <w:u w:val="single"/>
        </w:rPr>
        <w:t>s</w:t>
      </w:r>
      <w:r w:rsidRPr="005E44D5">
        <w:t xml:space="preserve"> of combustion</w:t>
      </w:r>
      <w:r w:rsidRPr="00CE6FD7">
        <w:t xml:space="preserve"> </w:t>
      </w:r>
      <w:r w:rsidRPr="00477A21">
        <w:t>shall be</w:t>
      </w:r>
      <w:r w:rsidRPr="005E44D5">
        <w:t xml:space="preserve"> determined </w:t>
      </w:r>
      <w:r w:rsidRPr="008327BD">
        <w:rPr>
          <w:b/>
          <w:bCs/>
          <w:u w:val="single"/>
        </w:rPr>
        <w:t>either by reference to published scientific literature, calculation or</w:t>
      </w:r>
      <w:r w:rsidRPr="008327BD">
        <w:rPr>
          <w:b/>
          <w:bCs/>
        </w:rPr>
        <w:t xml:space="preserve"> </w:t>
      </w:r>
      <w:r w:rsidRPr="005E44D5">
        <w:t xml:space="preserve">by </w:t>
      </w:r>
      <w:r w:rsidRPr="008327BD">
        <w:rPr>
          <w:b/>
          <w:bCs/>
          <w:u w:val="single"/>
        </w:rPr>
        <w:t>using suitable</w:t>
      </w:r>
      <w:r w:rsidRPr="008327BD">
        <w:rPr>
          <w:u w:val="single"/>
        </w:rPr>
        <w:t xml:space="preserve"> </w:t>
      </w:r>
      <w:r w:rsidRPr="008327BD">
        <w:rPr>
          <w:b/>
          <w:bCs/>
          <w:u w:val="single"/>
        </w:rPr>
        <w:t>tests</w:t>
      </w:r>
      <w:r>
        <w:t xml:space="preserve"> </w:t>
      </w:r>
      <w:r w:rsidRPr="00506DE2">
        <w:rPr>
          <w:strike/>
        </w:rPr>
        <w:t>one of the following methods</w:t>
      </w:r>
      <w:r w:rsidRPr="00506DE2">
        <w:rPr>
          <w:b/>
          <w:bCs/>
          <w:u w:val="single"/>
        </w:rPr>
        <w:t xml:space="preserve"> (</w:t>
      </w:r>
      <w:r>
        <w:rPr>
          <w:b/>
          <w:bCs/>
          <w:u w:val="single"/>
        </w:rPr>
        <w:t>e.g.,</w:t>
      </w:r>
      <w:r w:rsidRPr="00506DE2">
        <w:t xml:space="preserve"> </w:t>
      </w:r>
      <w:r w:rsidRPr="005E44D5">
        <w:t>ASTM D 240</w:t>
      </w:r>
      <w:r>
        <w:t xml:space="preserve"> </w:t>
      </w:r>
      <w:proofErr w:type="gramStart"/>
      <w:r w:rsidRPr="00506DE2">
        <w:rPr>
          <w:b/>
          <w:bCs/>
          <w:u w:val="single"/>
        </w:rPr>
        <w:t>and</w:t>
      </w:r>
      <w:r>
        <w:t xml:space="preserve"> </w:t>
      </w:r>
      <w:r w:rsidRPr="00506DE2">
        <w:rPr>
          <w:strike/>
        </w:rPr>
        <w:t>,</w:t>
      </w:r>
      <w:proofErr w:type="gramEnd"/>
      <w:r w:rsidRPr="00506DE2">
        <w:rPr>
          <w:strike/>
        </w:rPr>
        <w:t xml:space="preserve"> ISO/FDIS 13943: 1999 (E/F) 86.1 to 86.3 or</w:t>
      </w:r>
      <w:r w:rsidRPr="005E44D5">
        <w:t xml:space="preserve"> NFPA 30B</w:t>
      </w:r>
      <w:r w:rsidRPr="00506DE2">
        <w:rPr>
          <w:b/>
          <w:bCs/>
          <w:u w:val="single"/>
        </w:rPr>
        <w:t>)</w:t>
      </w:r>
      <w:r w:rsidRPr="005E44D5">
        <w:t>.</w:t>
      </w:r>
      <w:r>
        <w:t>”</w:t>
      </w:r>
    </w:p>
    <w:p w14:paraId="6B813DF3" w14:textId="77777777" w:rsidR="008B46B6" w:rsidRPr="004E1EC6" w:rsidRDefault="008B46B6" w:rsidP="008B46B6">
      <w:pPr>
        <w:pStyle w:val="HChG"/>
      </w:pPr>
      <w:r w:rsidRPr="004E1EC6">
        <w:tab/>
        <w:t>I</w:t>
      </w:r>
      <w:r>
        <w:t>V</w:t>
      </w:r>
      <w:r w:rsidRPr="004E1EC6">
        <w:t>.</w:t>
      </w:r>
      <w:r w:rsidRPr="004E1EC6">
        <w:tab/>
      </w:r>
      <w:r>
        <w:t>Proposals for the Manual of Test and Criteria</w:t>
      </w:r>
    </w:p>
    <w:p w14:paraId="58329401" w14:textId="77777777" w:rsidR="008B46B6" w:rsidRPr="00481B1E" w:rsidRDefault="008B46B6" w:rsidP="008B46B6">
      <w:pPr>
        <w:pStyle w:val="SingleTxtG"/>
      </w:pPr>
      <w:r w:rsidRPr="00481B1E">
        <w:t>13.</w:t>
      </w:r>
      <w:r w:rsidRPr="00481B1E">
        <w:tab/>
        <w:t xml:space="preserve">It is proposed to align the definition of flammable components under section 31, paragraph 31.1.3 in the </w:t>
      </w:r>
      <w:r w:rsidRPr="00481B1E">
        <w:rPr>
          <w:i/>
          <w:iCs/>
        </w:rPr>
        <w:t>Manual of Tests and Criteria</w:t>
      </w:r>
      <w:r w:rsidRPr="00481B1E">
        <w:t xml:space="preserve"> as follows (new text is shown </w:t>
      </w:r>
      <w:r w:rsidRPr="00481B1E">
        <w:rPr>
          <w:b/>
          <w:bCs/>
          <w:u w:val="single"/>
        </w:rPr>
        <w:t>bold, underlined</w:t>
      </w:r>
      <w:r w:rsidRPr="00481B1E">
        <w:t xml:space="preserve">, deleted text is marked as </w:t>
      </w:r>
      <w:r w:rsidRPr="00481B1E">
        <w:rPr>
          <w:strike/>
        </w:rPr>
        <w:t>strikethrough</w:t>
      </w:r>
      <w:r w:rsidRPr="00481B1E">
        <w:t>):</w:t>
      </w:r>
    </w:p>
    <w:p w14:paraId="2764C69A" w14:textId="77777777" w:rsidR="008B46B6" w:rsidRPr="00481B1E" w:rsidRDefault="008B46B6" w:rsidP="008B46B6">
      <w:pPr>
        <w:pStyle w:val="SingleTxtG"/>
        <w:ind w:left="1701"/>
      </w:pPr>
      <w:r w:rsidRPr="00481B1E">
        <w:t>“Flammable components are flammable liquids, flammable solids or flammable gases and gas mixtures.</w:t>
      </w:r>
      <w:r w:rsidRPr="00481B1E">
        <w:rPr>
          <w:strike/>
        </w:rPr>
        <w:t xml:space="preserve"> This designation does not cover pyrophoric, self-heating or water-reactive substances.</w:t>
      </w:r>
      <w:r w:rsidRPr="00481B1E">
        <w:t>”</w:t>
      </w:r>
    </w:p>
    <w:p w14:paraId="6023CC6C" w14:textId="77777777" w:rsidR="008B46B6" w:rsidRPr="00457F8F" w:rsidRDefault="008B46B6" w:rsidP="008B46B6">
      <w:pPr>
        <w:pStyle w:val="SingleTxtG"/>
      </w:pPr>
      <w:r w:rsidRPr="00457F8F">
        <w:t>14.</w:t>
      </w:r>
      <w:r w:rsidRPr="00457F8F">
        <w:tab/>
        <w:t xml:space="preserve">It is proposed to align paragraph 31.3.3 related to heat of combustion in the </w:t>
      </w:r>
      <w:r w:rsidRPr="00457F8F">
        <w:rPr>
          <w:i/>
          <w:iCs/>
        </w:rPr>
        <w:t>Manual of Tests and Criteria</w:t>
      </w:r>
      <w:r w:rsidRPr="00457F8F">
        <w:t xml:space="preserve"> as follows (new text is shown </w:t>
      </w:r>
      <w:r w:rsidRPr="00457F8F">
        <w:rPr>
          <w:b/>
          <w:bCs/>
          <w:u w:val="single"/>
        </w:rPr>
        <w:t>bold, underlined</w:t>
      </w:r>
      <w:r w:rsidRPr="00457F8F">
        <w:t xml:space="preserve">, deleted text is marked as </w:t>
      </w:r>
      <w:r w:rsidRPr="00457F8F">
        <w:rPr>
          <w:strike/>
        </w:rPr>
        <w:t>strikethrough</w:t>
      </w:r>
      <w:r w:rsidRPr="00457F8F">
        <w:t>):</w:t>
      </w:r>
    </w:p>
    <w:p w14:paraId="58663A34" w14:textId="77777777" w:rsidR="008B46B6" w:rsidRPr="00457F8F" w:rsidRDefault="008B46B6" w:rsidP="008B46B6">
      <w:pPr>
        <w:pStyle w:val="SingleTxtG"/>
        <w:ind w:left="1701"/>
      </w:pPr>
      <w:r w:rsidRPr="00457F8F">
        <w:t>“The chemical heat</w:t>
      </w:r>
      <w:r w:rsidRPr="00457F8F">
        <w:rPr>
          <w:b/>
          <w:bCs/>
          <w:u w:val="single"/>
        </w:rPr>
        <w:t>s</w:t>
      </w:r>
      <w:r w:rsidRPr="00457F8F">
        <w:t xml:space="preserve"> of combustion shall be determined</w:t>
      </w:r>
      <w:r w:rsidRPr="00457F8F">
        <w:rPr>
          <w:b/>
          <w:bCs/>
          <w:u w:val="single"/>
        </w:rPr>
        <w:t xml:space="preserve"> either by reference to published scientific literature, calculation or</w:t>
      </w:r>
      <w:r w:rsidRPr="00457F8F">
        <w:t xml:space="preserve"> </w:t>
      </w:r>
      <w:r w:rsidRPr="00457F8F">
        <w:rPr>
          <w:b/>
          <w:bCs/>
          <w:u w:val="single"/>
        </w:rPr>
        <w:t xml:space="preserve">by using suitable tests </w:t>
      </w:r>
      <w:r w:rsidRPr="00457F8F">
        <w:rPr>
          <w:strike/>
        </w:rPr>
        <w:t xml:space="preserve">following one of the methods described in the following standards: </w:t>
      </w:r>
      <w:r w:rsidRPr="00457F8F">
        <w:rPr>
          <w:b/>
          <w:bCs/>
          <w:u w:val="single"/>
        </w:rPr>
        <w:t>(e.g.,</w:t>
      </w:r>
      <w:r w:rsidRPr="00457F8F">
        <w:t xml:space="preserve"> ASTM D 240</w:t>
      </w:r>
      <w:r w:rsidRPr="00457F8F">
        <w:rPr>
          <w:strike/>
        </w:rPr>
        <w:t>, ISO/FDIS 13943:1999 (E/F) 86.1 to 86.3</w:t>
      </w:r>
      <w:r w:rsidRPr="00457F8F">
        <w:t xml:space="preserve"> and NFPA 30B</w:t>
      </w:r>
      <w:r w:rsidRPr="00457F8F">
        <w:rPr>
          <w:b/>
          <w:bCs/>
          <w:u w:val="single"/>
        </w:rPr>
        <w:t>)</w:t>
      </w:r>
      <w:r w:rsidRPr="00457F8F">
        <w:t>.”</w:t>
      </w:r>
    </w:p>
    <w:p w14:paraId="292454F6" w14:textId="77777777" w:rsidR="008B46B6" w:rsidRPr="004E23F7" w:rsidRDefault="008B46B6" w:rsidP="008B46B6">
      <w:pPr>
        <w:spacing w:before="240"/>
        <w:jc w:val="center"/>
        <w:rPr>
          <w:u w:val="single"/>
        </w:rPr>
      </w:pPr>
      <w:r>
        <w:rPr>
          <w:u w:val="single"/>
        </w:rPr>
        <w:tab/>
      </w:r>
      <w:r>
        <w:rPr>
          <w:u w:val="single"/>
        </w:rPr>
        <w:tab/>
      </w:r>
      <w:r>
        <w:rPr>
          <w:u w:val="single"/>
        </w:rPr>
        <w:tab/>
      </w:r>
    </w:p>
    <w:sectPr w:rsidR="008B46B6" w:rsidRPr="004E23F7" w:rsidSect="004B0D5E">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8528" w14:textId="77777777" w:rsidR="0091300A" w:rsidRPr="00C47B2E" w:rsidRDefault="0091300A" w:rsidP="00C47B2E">
      <w:pPr>
        <w:pStyle w:val="Footer"/>
      </w:pPr>
    </w:p>
  </w:endnote>
  <w:endnote w:type="continuationSeparator" w:id="0">
    <w:p w14:paraId="6A06DB54" w14:textId="77777777" w:rsidR="0091300A" w:rsidRPr="00C47B2E" w:rsidRDefault="0091300A" w:rsidP="00C47B2E">
      <w:pPr>
        <w:pStyle w:val="Footer"/>
      </w:pPr>
    </w:p>
  </w:endnote>
  <w:endnote w:type="continuationNotice" w:id="1">
    <w:p w14:paraId="726185AE" w14:textId="77777777" w:rsidR="0091300A" w:rsidRPr="00C47B2E" w:rsidRDefault="0091300A"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77C2" w14:textId="6481EC30" w:rsidR="00D94B05" w:rsidRPr="004B0D5E" w:rsidRDefault="004B0D5E" w:rsidP="00D85308">
    <w:pPr>
      <w:pStyle w:val="Footer"/>
      <w:tabs>
        <w:tab w:val="right" w:pos="9639"/>
      </w:tabs>
      <w:rPr>
        <w:sz w:val="18"/>
      </w:rPr>
    </w:pPr>
    <w:r w:rsidRPr="004B0D5E">
      <w:rPr>
        <w:b/>
        <w:sz w:val="18"/>
      </w:rPr>
      <w:fldChar w:fldCharType="begin"/>
    </w:r>
    <w:r w:rsidRPr="004B0D5E">
      <w:rPr>
        <w:b/>
        <w:sz w:val="18"/>
      </w:rPr>
      <w:instrText xml:space="preserve"> PAGE  \* MERGEFORMAT </w:instrText>
    </w:r>
    <w:r w:rsidRPr="004B0D5E">
      <w:rPr>
        <w:b/>
        <w:sz w:val="18"/>
      </w:rPr>
      <w:fldChar w:fldCharType="separate"/>
    </w:r>
    <w:r w:rsidRPr="004B0D5E">
      <w:rPr>
        <w:b/>
        <w:noProof/>
        <w:sz w:val="18"/>
      </w:rPr>
      <w:t>2</w:t>
    </w:r>
    <w:r w:rsidRPr="004B0D5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0C54" w14:textId="6B8298D1" w:rsidR="00D94B05" w:rsidRPr="004B0D5E" w:rsidRDefault="004B0D5E" w:rsidP="00D85308">
    <w:pPr>
      <w:pStyle w:val="Footer"/>
      <w:tabs>
        <w:tab w:val="right" w:pos="9639"/>
      </w:tabs>
      <w:rPr>
        <w:b/>
        <w:bCs/>
        <w:sz w:val="18"/>
      </w:rPr>
    </w:pPr>
    <w:r>
      <w:rPr>
        <w:bCs/>
        <w:sz w:val="18"/>
      </w:rPr>
      <w:tab/>
    </w:r>
    <w:r w:rsidRPr="004B0D5E">
      <w:rPr>
        <w:b/>
        <w:bCs/>
        <w:sz w:val="18"/>
      </w:rPr>
      <w:fldChar w:fldCharType="begin"/>
    </w:r>
    <w:r w:rsidRPr="004B0D5E">
      <w:rPr>
        <w:b/>
        <w:bCs/>
        <w:sz w:val="18"/>
      </w:rPr>
      <w:instrText xml:space="preserve"> PAGE  \* MERGEFORMAT </w:instrText>
    </w:r>
    <w:r w:rsidRPr="004B0D5E">
      <w:rPr>
        <w:b/>
        <w:bCs/>
        <w:sz w:val="18"/>
      </w:rPr>
      <w:fldChar w:fldCharType="separate"/>
    </w:r>
    <w:r w:rsidRPr="004B0D5E">
      <w:rPr>
        <w:b/>
        <w:bCs/>
        <w:noProof/>
        <w:sz w:val="18"/>
      </w:rPr>
      <w:t>3</w:t>
    </w:r>
    <w:r w:rsidRPr="004B0D5E">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DD25" w14:textId="68925B87" w:rsidR="00D2553D" w:rsidRDefault="00D2553D" w:rsidP="00D2553D">
    <w:pPr>
      <w:pStyle w:val="Footer"/>
    </w:pPr>
    <w:r w:rsidRPr="0027112F">
      <w:rPr>
        <w:noProof/>
        <w:lang w:val="en-US"/>
      </w:rPr>
      <w:drawing>
        <wp:anchor distT="0" distB="0" distL="114300" distR="114300" simplePos="0" relativeHeight="251659264" behindDoc="0" locked="1" layoutInCell="1" allowOverlap="1" wp14:anchorId="51CE25FB" wp14:editId="6C93E326">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2DB44C5" w14:textId="038A9216" w:rsidR="00D2553D" w:rsidRPr="00D2553D" w:rsidRDefault="00D2553D" w:rsidP="00D2553D">
    <w:pPr>
      <w:pStyle w:val="Footer"/>
      <w:ind w:right="1134"/>
      <w:rPr>
        <w:sz w:val="20"/>
      </w:rPr>
    </w:pPr>
    <w:r>
      <w:rPr>
        <w:sz w:val="20"/>
      </w:rPr>
      <w:t>GE.24-</w:t>
    </w:r>
    <w:proofErr w:type="gramStart"/>
    <w:r>
      <w:rPr>
        <w:sz w:val="20"/>
      </w:rPr>
      <w:t>16581  (</w:t>
    </w:r>
    <w:proofErr w:type="gramEnd"/>
    <w:r>
      <w:rPr>
        <w:sz w:val="20"/>
      </w:rPr>
      <w:t>E)</w:t>
    </w:r>
    <w:r>
      <w:rPr>
        <w:noProof/>
        <w:sz w:val="20"/>
      </w:rPr>
      <w:drawing>
        <wp:anchor distT="0" distB="0" distL="114300" distR="114300" simplePos="0" relativeHeight="251660288" behindDoc="0" locked="0" layoutInCell="1" allowOverlap="1" wp14:anchorId="3754AC73" wp14:editId="68C0AAE8">
          <wp:simplePos x="0" y="0"/>
          <wp:positionH relativeFrom="margin">
            <wp:posOffset>5615940</wp:posOffset>
          </wp:positionH>
          <wp:positionV relativeFrom="margin">
            <wp:posOffset>8905875</wp:posOffset>
          </wp:positionV>
          <wp:extent cx="571500" cy="571500"/>
          <wp:effectExtent l="0" t="0" r="0" b="0"/>
          <wp:wrapNone/>
          <wp:docPr id="1244407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FF82" w14:textId="77777777" w:rsidR="0091300A" w:rsidRPr="00C47B2E" w:rsidRDefault="0091300A" w:rsidP="00C47B2E">
      <w:pPr>
        <w:tabs>
          <w:tab w:val="right" w:pos="2155"/>
        </w:tabs>
        <w:spacing w:after="80" w:line="240" w:lineRule="auto"/>
        <w:ind w:left="680"/>
      </w:pPr>
      <w:r>
        <w:rPr>
          <w:u w:val="single"/>
        </w:rPr>
        <w:tab/>
      </w:r>
    </w:p>
  </w:footnote>
  <w:footnote w:type="continuationSeparator" w:id="0">
    <w:p w14:paraId="23C53BBE" w14:textId="77777777" w:rsidR="0091300A" w:rsidRPr="00C47B2E" w:rsidRDefault="0091300A" w:rsidP="005E716E">
      <w:pPr>
        <w:tabs>
          <w:tab w:val="right" w:pos="2155"/>
        </w:tabs>
        <w:spacing w:after="80" w:line="240" w:lineRule="auto"/>
        <w:ind w:left="680"/>
      </w:pPr>
      <w:r>
        <w:rPr>
          <w:u w:val="single"/>
        </w:rPr>
        <w:tab/>
      </w:r>
    </w:p>
  </w:footnote>
  <w:footnote w:type="continuationNotice" w:id="1">
    <w:p w14:paraId="4FB09085" w14:textId="77777777" w:rsidR="0091300A" w:rsidRPr="00C47B2E" w:rsidRDefault="0091300A" w:rsidP="00C47B2E">
      <w:pPr>
        <w:pStyle w:val="Footer"/>
      </w:pPr>
    </w:p>
  </w:footnote>
  <w:footnote w:id="2">
    <w:p w14:paraId="71DC2626" w14:textId="77777777" w:rsidR="008B46B6" w:rsidRPr="0082113E" w:rsidRDefault="008B46B6" w:rsidP="008B46B6">
      <w:pPr>
        <w:pStyle w:val="FootnoteText"/>
      </w:pPr>
      <w:r>
        <w:rPr>
          <w:rStyle w:val="FootnoteReference"/>
        </w:rPr>
        <w:tab/>
      </w:r>
      <w:r w:rsidRPr="00D6333C">
        <w:rPr>
          <w:rStyle w:val="FootnoteReference"/>
        </w:rPr>
        <w:t>*</w:t>
      </w:r>
      <w:r>
        <w:rPr>
          <w:rStyle w:val="FootnoteReference"/>
          <w:sz w:val="20"/>
        </w:rPr>
        <w:tab/>
      </w:r>
      <w:r w:rsidRPr="0082113E">
        <w:t>A/78/6 (Sect. 20), table 20.5</w:t>
      </w:r>
      <w:r>
        <w:t>.</w:t>
      </w:r>
    </w:p>
    <w:p w14:paraId="25B07645" w14:textId="77777777" w:rsidR="008B46B6" w:rsidRPr="00484C6C" w:rsidRDefault="008B46B6" w:rsidP="008B46B6">
      <w:pPr>
        <w:pStyle w:val="Footnote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FD95" w14:textId="1CC49521" w:rsidR="004B0D5E" w:rsidRPr="004B0D5E" w:rsidRDefault="00D2553D">
    <w:pPr>
      <w:pStyle w:val="Header"/>
    </w:pPr>
    <w:r>
      <w:fldChar w:fldCharType="begin"/>
    </w:r>
    <w:r>
      <w:instrText xml:space="preserve"> TITLE  \* MERGEFORMAT </w:instrText>
    </w:r>
    <w:r>
      <w:fldChar w:fldCharType="separate"/>
    </w:r>
    <w:r w:rsidR="004B0D5E">
      <w:t>ST/SG/AC.10/C.3/2024/105</w:t>
    </w:r>
    <w:r>
      <w:fldChar w:fldCharType="end"/>
    </w:r>
    <w:r w:rsidR="004B0D5E">
      <w:br/>
    </w:r>
    <w:r>
      <w:fldChar w:fldCharType="begin"/>
    </w:r>
    <w:r>
      <w:instrText xml:space="preserve"> KEYWORDS  \* MERGEFORMAT </w:instrText>
    </w:r>
    <w:r>
      <w:fldChar w:fldCharType="separate"/>
    </w:r>
    <w:r w:rsidR="004B0D5E">
      <w:t>ST/SG/AC.10/C.4/2024/16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773" w14:textId="5AE8F8E4" w:rsidR="00D94B05" w:rsidRPr="004B0D5E" w:rsidRDefault="00D2553D" w:rsidP="004B0D5E">
    <w:pPr>
      <w:pStyle w:val="Header"/>
      <w:jc w:val="right"/>
    </w:pPr>
    <w:r>
      <w:fldChar w:fldCharType="begin"/>
    </w:r>
    <w:r>
      <w:instrText xml:space="preserve"> TITLE  \* MERGEFORMAT </w:instrText>
    </w:r>
    <w:r>
      <w:fldChar w:fldCharType="separate"/>
    </w:r>
    <w:r w:rsidR="004B0D5E">
      <w:t>ST/SG/AC.10/C.3/2024/105</w:t>
    </w:r>
    <w:r>
      <w:fldChar w:fldCharType="end"/>
    </w:r>
    <w:r w:rsidR="004B0D5E">
      <w:br/>
    </w:r>
    <w:r>
      <w:fldChar w:fldCharType="begin"/>
    </w:r>
    <w:r>
      <w:instrText xml:space="preserve"> KEYWORDS  \* MERGEFORMAT </w:instrText>
    </w:r>
    <w:r>
      <w:fldChar w:fldCharType="separate"/>
    </w:r>
    <w:r w:rsidR="004B0D5E">
      <w:t>ST/SG/AC.10/C.4/2024/16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172172">
    <w:abstractNumId w:val="5"/>
  </w:num>
  <w:num w:numId="2" w16cid:durableId="1073159890">
    <w:abstractNumId w:val="4"/>
  </w:num>
  <w:num w:numId="3" w16cid:durableId="551188904">
    <w:abstractNumId w:val="0"/>
  </w:num>
  <w:num w:numId="4" w16cid:durableId="44254624">
    <w:abstractNumId w:val="6"/>
  </w:num>
  <w:num w:numId="5" w16cid:durableId="1816027029">
    <w:abstractNumId w:val="7"/>
  </w:num>
  <w:num w:numId="6" w16cid:durableId="1836190579">
    <w:abstractNumId w:val="9"/>
  </w:num>
  <w:num w:numId="7" w16cid:durableId="634676252">
    <w:abstractNumId w:val="3"/>
  </w:num>
  <w:num w:numId="8" w16cid:durableId="1039166836">
    <w:abstractNumId w:val="1"/>
  </w:num>
  <w:num w:numId="9" w16cid:durableId="644969981">
    <w:abstractNumId w:val="8"/>
  </w:num>
  <w:num w:numId="10" w16cid:durableId="525103391">
    <w:abstractNumId w:val="1"/>
  </w:num>
  <w:num w:numId="11" w16cid:durableId="297342166">
    <w:abstractNumId w:val="8"/>
  </w:num>
  <w:num w:numId="12" w16cid:durableId="1280380300">
    <w:abstractNumId w:val="2"/>
  </w:num>
  <w:num w:numId="13" w16cid:durableId="198869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5E"/>
    <w:rsid w:val="00024813"/>
    <w:rsid w:val="00046E92"/>
    <w:rsid w:val="00063C90"/>
    <w:rsid w:val="00070000"/>
    <w:rsid w:val="00101B98"/>
    <w:rsid w:val="00123FE3"/>
    <w:rsid w:val="001514D1"/>
    <w:rsid w:val="00171E6A"/>
    <w:rsid w:val="00247E2C"/>
    <w:rsid w:val="00263607"/>
    <w:rsid w:val="002A32CB"/>
    <w:rsid w:val="002B58B9"/>
    <w:rsid w:val="002D5B2C"/>
    <w:rsid w:val="002D6C53"/>
    <w:rsid w:val="002F5595"/>
    <w:rsid w:val="00334F6A"/>
    <w:rsid w:val="00342AC8"/>
    <w:rsid w:val="00343302"/>
    <w:rsid w:val="0037204D"/>
    <w:rsid w:val="003979DE"/>
    <w:rsid w:val="003B1248"/>
    <w:rsid w:val="003B4550"/>
    <w:rsid w:val="003C1029"/>
    <w:rsid w:val="003D2A18"/>
    <w:rsid w:val="00413386"/>
    <w:rsid w:val="00443071"/>
    <w:rsid w:val="00461253"/>
    <w:rsid w:val="004858F5"/>
    <w:rsid w:val="004A2814"/>
    <w:rsid w:val="004B0D5E"/>
    <w:rsid w:val="004C0622"/>
    <w:rsid w:val="004C2F09"/>
    <w:rsid w:val="004F4780"/>
    <w:rsid w:val="004F73D0"/>
    <w:rsid w:val="005042C2"/>
    <w:rsid w:val="00567D42"/>
    <w:rsid w:val="005C279E"/>
    <w:rsid w:val="005E716E"/>
    <w:rsid w:val="00625F08"/>
    <w:rsid w:val="0064553B"/>
    <w:rsid w:val="006476E1"/>
    <w:rsid w:val="006604DF"/>
    <w:rsid w:val="00671529"/>
    <w:rsid w:val="006F1EF5"/>
    <w:rsid w:val="006F3E46"/>
    <w:rsid w:val="0070489D"/>
    <w:rsid w:val="007200A1"/>
    <w:rsid w:val="007268F9"/>
    <w:rsid w:val="00750282"/>
    <w:rsid w:val="00764440"/>
    <w:rsid w:val="00767B02"/>
    <w:rsid w:val="0077101B"/>
    <w:rsid w:val="00790A90"/>
    <w:rsid w:val="007C52B0"/>
    <w:rsid w:val="007C6033"/>
    <w:rsid w:val="008147C8"/>
    <w:rsid w:val="0081753A"/>
    <w:rsid w:val="00857D23"/>
    <w:rsid w:val="00891787"/>
    <w:rsid w:val="008B46B6"/>
    <w:rsid w:val="008D71CC"/>
    <w:rsid w:val="0091300A"/>
    <w:rsid w:val="009408C2"/>
    <w:rsid w:val="009411B4"/>
    <w:rsid w:val="00946F1D"/>
    <w:rsid w:val="009A0A7F"/>
    <w:rsid w:val="009D0139"/>
    <w:rsid w:val="009D717D"/>
    <w:rsid w:val="009F5CDC"/>
    <w:rsid w:val="009F605F"/>
    <w:rsid w:val="00A072D7"/>
    <w:rsid w:val="00A3696E"/>
    <w:rsid w:val="00A5536D"/>
    <w:rsid w:val="00A775CF"/>
    <w:rsid w:val="00A8240D"/>
    <w:rsid w:val="00AD1A9C"/>
    <w:rsid w:val="00AF5DE1"/>
    <w:rsid w:val="00B06045"/>
    <w:rsid w:val="00B206DD"/>
    <w:rsid w:val="00B52EF4"/>
    <w:rsid w:val="00B777AD"/>
    <w:rsid w:val="00B96E5B"/>
    <w:rsid w:val="00BC43D1"/>
    <w:rsid w:val="00BD592E"/>
    <w:rsid w:val="00C03015"/>
    <w:rsid w:val="00C0358D"/>
    <w:rsid w:val="00C35A27"/>
    <w:rsid w:val="00C47B2E"/>
    <w:rsid w:val="00C7469D"/>
    <w:rsid w:val="00CC3574"/>
    <w:rsid w:val="00D2553D"/>
    <w:rsid w:val="00D63CD2"/>
    <w:rsid w:val="00D85308"/>
    <w:rsid w:val="00D87DC2"/>
    <w:rsid w:val="00D93887"/>
    <w:rsid w:val="00D94B05"/>
    <w:rsid w:val="00DC7379"/>
    <w:rsid w:val="00DD043C"/>
    <w:rsid w:val="00E02C2B"/>
    <w:rsid w:val="00E21C27"/>
    <w:rsid w:val="00E26BCF"/>
    <w:rsid w:val="00E52109"/>
    <w:rsid w:val="00E538C3"/>
    <w:rsid w:val="00E57072"/>
    <w:rsid w:val="00E75317"/>
    <w:rsid w:val="00EC0CE6"/>
    <w:rsid w:val="00EC7C1D"/>
    <w:rsid w:val="00ED6C48"/>
    <w:rsid w:val="00EE3045"/>
    <w:rsid w:val="00F22430"/>
    <w:rsid w:val="00F26186"/>
    <w:rsid w:val="00F65F5D"/>
    <w:rsid w:val="00F662DB"/>
    <w:rsid w:val="00F86A3A"/>
    <w:rsid w:val="00FA42DA"/>
    <w:rsid w:val="00FA4E21"/>
    <w:rsid w:val="00FE2AC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174A4"/>
  <w15:docId w15:val="{16266497-9A9C-4BDF-80F6-A634DAB3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5C279E"/>
    <w:pPr>
      <w:spacing w:line="240" w:lineRule="auto"/>
    </w:pPr>
  </w:style>
  <w:style w:type="character" w:customStyle="1" w:styleId="HChGChar">
    <w:name w:val="_ H _Ch_G Char"/>
    <w:link w:val="HChG"/>
    <w:qFormat/>
    <w:rsid w:val="00F22430"/>
    <w:rPr>
      <w:b/>
      <w:sz w:val="28"/>
    </w:rPr>
  </w:style>
  <w:style w:type="character" w:customStyle="1" w:styleId="SingleTxtGChar">
    <w:name w:val="_ Single Txt_G Char"/>
    <w:link w:val="SingleTxtG"/>
    <w:qFormat/>
    <w:rsid w:val="00F2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Couto\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2.xml><?xml version="1.0" encoding="utf-8"?>
<ds:datastoreItem xmlns:ds="http://schemas.openxmlformats.org/officeDocument/2006/customXml" ds:itemID="{0E96D6C7-A69F-4CC1-9C48-E5514C6CF912}">
  <ds:schemaRefs>
    <ds:schemaRef ds:uri="http://schemas.microsoft.com/sharepoint/v3/contenttype/forms"/>
  </ds:schemaRefs>
</ds:datastoreItem>
</file>

<file path=customXml/itemProps3.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F38C5971-2783-4BC2-8DBB-DA1E5B5BA8C6}"/>
</file>

<file path=docProps/app.xml><?xml version="1.0" encoding="utf-8"?>
<Properties xmlns="http://schemas.openxmlformats.org/officeDocument/2006/extended-properties" xmlns:vt="http://schemas.openxmlformats.org/officeDocument/2006/docPropsVTypes">
  <Template>SGAC10_E.dotm</Template>
  <TotalTime>0</TotalTime>
  <Pages>3</Pages>
  <Words>1288</Words>
  <Characters>7070</Characters>
  <Application>Microsoft Office Word</Application>
  <DocSecurity>0</DocSecurity>
  <Lines>141</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ST/SG/AC.10/C.3/2024/105</dc:title>
  <dc:subject>2416581</dc:subject>
  <dc:creator>Rosa Garcia-Couto</dc:creator>
  <cp:keywords>ST/SG/AC.10/C.4/2024/16</cp:keywords>
  <dc:description/>
  <cp:lastModifiedBy>Pauline Anne Escalante</cp:lastModifiedBy>
  <cp:revision>2</cp:revision>
  <dcterms:created xsi:type="dcterms:W3CDTF">2024-09-13T14:29:00Z</dcterms:created>
  <dcterms:modified xsi:type="dcterms:W3CDTF">2024-09-13T14:29:00Z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