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6712" w14:textId="2DFDA8AA" w:rsidR="00793357" w:rsidRDefault="00535788" w:rsidP="0056628A">
      <w:pPr>
        <w:pStyle w:val="HChG"/>
        <w:tabs>
          <w:tab w:val="left" w:pos="8504"/>
        </w:tabs>
        <w:ind w:hanging="708"/>
        <w:jc w:val="center"/>
        <w:rPr>
          <w:rFonts w:eastAsia="Malgun Gothic"/>
          <w:lang w:eastAsia="ko-KR"/>
        </w:rPr>
      </w:pPr>
      <w:r w:rsidRPr="00C61605">
        <w:t xml:space="preserve">Proposal for </w:t>
      </w:r>
      <w:r w:rsidR="00793357">
        <w:rPr>
          <w:rFonts w:hint="eastAsia"/>
          <w:lang w:eastAsia="ja-JP"/>
        </w:rPr>
        <w:t>a</w:t>
      </w:r>
      <w:r w:rsidR="00793357">
        <w:rPr>
          <w:lang w:eastAsia="ja-JP"/>
        </w:rPr>
        <w:t xml:space="preserve">mendment </w:t>
      </w:r>
      <w:r w:rsidR="004D0270">
        <w:rPr>
          <w:rFonts w:eastAsia="Malgun Gothic" w:hint="eastAsia"/>
          <w:lang w:eastAsia="ko-KR"/>
        </w:rPr>
        <w:t>of</w:t>
      </w:r>
      <w:r w:rsidR="00793357">
        <w:rPr>
          <w:lang w:eastAsia="ja-JP"/>
        </w:rPr>
        <w:t xml:space="preserve"> </w:t>
      </w:r>
      <w:r w:rsidR="00793357" w:rsidRPr="00793357">
        <w:rPr>
          <w:lang w:eastAsia="ja-JP"/>
        </w:rPr>
        <w:t>ECE</w:t>
      </w:r>
      <w:r w:rsidR="00793357">
        <w:rPr>
          <w:lang w:eastAsia="ja-JP"/>
        </w:rPr>
        <w:t>/</w:t>
      </w:r>
      <w:r w:rsidR="00793357" w:rsidRPr="00793357">
        <w:rPr>
          <w:lang w:eastAsia="ja-JP"/>
        </w:rPr>
        <w:t>TRANS</w:t>
      </w:r>
      <w:r w:rsidR="00793357">
        <w:rPr>
          <w:lang w:eastAsia="ja-JP"/>
        </w:rPr>
        <w:t>/</w:t>
      </w:r>
      <w:r w:rsidR="00793357" w:rsidRPr="00793357">
        <w:rPr>
          <w:lang w:eastAsia="ja-JP"/>
        </w:rPr>
        <w:t>WP.29</w:t>
      </w:r>
      <w:r w:rsidR="00793357">
        <w:rPr>
          <w:lang w:eastAsia="ja-JP"/>
        </w:rPr>
        <w:t>/</w:t>
      </w:r>
      <w:r w:rsidR="00793357" w:rsidRPr="00793357">
        <w:rPr>
          <w:lang w:eastAsia="ja-JP"/>
        </w:rPr>
        <w:t>GRSG</w:t>
      </w:r>
      <w:r w:rsidR="00793357">
        <w:rPr>
          <w:lang w:eastAsia="ja-JP"/>
        </w:rPr>
        <w:t>/</w:t>
      </w:r>
      <w:r w:rsidR="00793357" w:rsidRPr="00793357">
        <w:rPr>
          <w:lang w:eastAsia="ja-JP"/>
        </w:rPr>
        <w:t>202</w:t>
      </w:r>
      <w:r w:rsidR="009B66B9">
        <w:rPr>
          <w:lang w:eastAsia="ja-JP"/>
        </w:rPr>
        <w:t>4</w:t>
      </w:r>
      <w:r w:rsidR="00793357">
        <w:rPr>
          <w:lang w:eastAsia="ja-JP"/>
        </w:rPr>
        <w:t>/</w:t>
      </w:r>
      <w:r w:rsidR="00183BAC">
        <w:rPr>
          <w:rFonts w:eastAsia="Malgun Gothic" w:hint="eastAsia"/>
          <w:lang w:eastAsia="ko-KR"/>
        </w:rPr>
        <w:t>35</w:t>
      </w:r>
    </w:p>
    <w:p w14:paraId="35FCDB9F" w14:textId="13F6C222" w:rsidR="00183BAC" w:rsidRPr="00183BAC" w:rsidRDefault="00183BAC" w:rsidP="00183BAC">
      <w:pPr>
        <w:jc w:val="center"/>
        <w:rPr>
          <w:rFonts w:eastAsia="Malgun Gothic"/>
          <w:lang w:eastAsia="ko-KR"/>
        </w:rPr>
      </w:pPr>
      <w:r>
        <w:rPr>
          <w:rFonts w:eastAsia="Malgun Gothic" w:hint="eastAsia"/>
          <w:b/>
          <w:sz w:val="28"/>
          <w:lang w:eastAsia="ko-KR"/>
        </w:rPr>
        <w:t>and to combine GRSG-128-14</w:t>
      </w:r>
    </w:p>
    <w:p w14:paraId="58BE2221" w14:textId="3B86F707" w:rsidR="00535788" w:rsidRPr="003E10F6" w:rsidRDefault="009B66B9" w:rsidP="0056628A">
      <w:pPr>
        <w:pStyle w:val="HChG"/>
        <w:tabs>
          <w:tab w:val="left" w:pos="8504"/>
        </w:tabs>
        <w:ind w:hanging="708"/>
        <w:jc w:val="center"/>
      </w:pPr>
      <w:r w:rsidRPr="00600FAF">
        <w:tab/>
      </w:r>
      <w:r w:rsidRPr="00671E56">
        <w:rPr>
          <w:szCs w:val="28"/>
        </w:rPr>
        <w:t>(</w:t>
      </w:r>
      <w:r w:rsidR="00183BAC">
        <w:rPr>
          <w:rFonts w:eastAsia="Malgun Gothic" w:hint="eastAsia"/>
          <w:szCs w:val="28"/>
          <w:lang w:eastAsia="ko-KR"/>
        </w:rPr>
        <w:t>Reversing motion</w:t>
      </w:r>
      <w:r w:rsidR="007970CF">
        <w:rPr>
          <w:rFonts w:eastAsia="Malgun Gothic" w:hint="eastAsia"/>
          <w:szCs w:val="28"/>
          <w:lang w:eastAsia="ko-KR"/>
        </w:rPr>
        <w:t>)</w:t>
      </w:r>
    </w:p>
    <w:p w14:paraId="11303CC2" w14:textId="3F2925D5" w:rsidR="00535788" w:rsidRPr="00C61605" w:rsidRDefault="00535788" w:rsidP="00535788">
      <w:pPr>
        <w:pStyle w:val="H1G"/>
      </w:pPr>
      <w:r w:rsidRPr="003E10F6">
        <w:tab/>
      </w:r>
      <w:r w:rsidRPr="003E10F6">
        <w:tab/>
        <w:t xml:space="preserve">Submitted by the expert </w:t>
      </w:r>
      <w:r w:rsidRPr="00C61605">
        <w:t xml:space="preserve">from </w:t>
      </w:r>
      <w:r w:rsidR="007970CF">
        <w:rPr>
          <w:rFonts w:eastAsia="Malgun Gothic" w:hint="eastAsia"/>
          <w:lang w:eastAsia="ko-KR"/>
        </w:rPr>
        <w:t>Republic of Korea</w:t>
      </w:r>
    </w:p>
    <w:p w14:paraId="0297A01E" w14:textId="1DF52D8E" w:rsidR="00535788" w:rsidRDefault="00535788" w:rsidP="00535788">
      <w:pPr>
        <w:pStyle w:val="SingleTxtG"/>
        <w:ind w:left="1138" w:right="1138" w:firstLine="563"/>
        <w:rPr>
          <w:rFonts w:eastAsia="Malgun Gothic"/>
          <w:lang w:eastAsia="ko-KR"/>
        </w:rPr>
      </w:pPr>
      <w:r w:rsidRPr="00C61605">
        <w:t xml:space="preserve">The text reproduced below was prepared by the experts from </w:t>
      </w:r>
      <w:r w:rsidR="007970CF">
        <w:rPr>
          <w:rFonts w:eastAsia="Malgun Gothic" w:hint="eastAsia"/>
          <w:lang w:eastAsia="ko-KR"/>
        </w:rPr>
        <w:t>Republic of Korea</w:t>
      </w:r>
      <w:r w:rsidRPr="00C61605">
        <w:t xml:space="preserve"> to amend </w:t>
      </w:r>
      <w:r w:rsidR="004D0270">
        <w:rPr>
          <w:rFonts w:eastAsia="Malgun Gothic" w:hint="eastAsia"/>
          <w:lang w:eastAsia="ko-KR"/>
        </w:rPr>
        <w:t xml:space="preserve">the </w:t>
      </w:r>
      <w:r w:rsidR="00183BAC">
        <w:rPr>
          <w:rFonts w:eastAsia="Malgun Gothic" w:hint="eastAsia"/>
          <w:lang w:eastAsia="ko-KR"/>
        </w:rPr>
        <w:t xml:space="preserve">supplement </w:t>
      </w:r>
      <w:r w:rsidR="00183BAC" w:rsidRPr="00183BAC">
        <w:rPr>
          <w:rFonts w:hint="eastAsia"/>
          <w:color w:val="000000" w:themeColor="text1"/>
          <w:szCs w:val="28"/>
          <w:lang w:eastAsia="ko-KR"/>
        </w:rPr>
        <w:t>5</w:t>
      </w:r>
      <w:r w:rsidR="00183BAC" w:rsidRPr="00CA27E8">
        <w:rPr>
          <w:szCs w:val="28"/>
        </w:rPr>
        <w:t xml:space="preserve"> to the </w:t>
      </w:r>
      <w:r w:rsidR="00183BAC" w:rsidRPr="00CA27E8">
        <w:rPr>
          <w:szCs w:val="28"/>
          <w:lang w:eastAsia="ko-KR"/>
        </w:rPr>
        <w:t xml:space="preserve">Original Version of </w:t>
      </w:r>
      <w:r w:rsidR="00183BAC" w:rsidRPr="00CA27E8">
        <w:t xml:space="preserve">UN </w:t>
      </w:r>
      <w:r w:rsidR="00183BAC" w:rsidRPr="00CA27E8">
        <w:rPr>
          <w:szCs w:val="28"/>
        </w:rPr>
        <w:t>Regulation No. 1</w:t>
      </w:r>
      <w:r w:rsidR="00183BAC" w:rsidRPr="00CA27E8">
        <w:rPr>
          <w:szCs w:val="28"/>
          <w:lang w:eastAsia="ko-KR"/>
        </w:rPr>
        <w:t>58</w:t>
      </w:r>
      <w:r w:rsidR="003134C4">
        <w:rPr>
          <w:rFonts w:eastAsia="Malgun Gothic" w:hint="eastAsia"/>
          <w:szCs w:val="28"/>
          <w:lang w:eastAsia="ko-KR"/>
        </w:rPr>
        <w:t xml:space="preserve"> </w:t>
      </w:r>
      <w:r w:rsidR="007970CF">
        <w:rPr>
          <w:rFonts w:eastAsia="Malgun Gothic" w:hint="eastAsia"/>
          <w:lang w:eastAsia="ko-KR"/>
        </w:rPr>
        <w:t xml:space="preserve">and this proposal </w:t>
      </w:r>
      <w:r w:rsidR="004D0270">
        <w:rPr>
          <w:rFonts w:eastAsia="Malgun Gothic" w:hint="eastAsia"/>
          <w:lang w:eastAsia="ko-KR"/>
        </w:rPr>
        <w:t xml:space="preserve"> correct</w:t>
      </w:r>
      <w:r w:rsidR="003134C4">
        <w:rPr>
          <w:rFonts w:eastAsia="Malgun Gothic" w:hint="eastAsia"/>
          <w:lang w:eastAsia="ko-KR"/>
        </w:rPr>
        <w:t>s</w:t>
      </w:r>
      <w:r w:rsidR="004D0270">
        <w:rPr>
          <w:rFonts w:eastAsia="Malgun Gothic" w:hint="eastAsia"/>
          <w:lang w:eastAsia="ko-KR"/>
        </w:rPr>
        <w:t xml:space="preserve"> the contents of the w</w:t>
      </w:r>
      <w:r w:rsidR="007970CF">
        <w:rPr>
          <w:rFonts w:eastAsia="Malgun Gothic" w:hint="eastAsia"/>
          <w:lang w:eastAsia="ko-KR"/>
        </w:rPr>
        <w:t>orking document</w:t>
      </w:r>
      <w:r w:rsidR="004D0270">
        <w:rPr>
          <w:rFonts w:eastAsia="Malgun Gothic" w:hint="eastAsia"/>
          <w:lang w:eastAsia="ko-KR"/>
        </w:rPr>
        <w:t xml:space="preserve"> </w:t>
      </w:r>
      <w:r w:rsidR="007970CF">
        <w:rPr>
          <w:rFonts w:eastAsia="Malgun Gothic" w:hint="eastAsia"/>
          <w:lang w:eastAsia="ko-KR"/>
        </w:rPr>
        <w:t>(</w:t>
      </w:r>
      <w:r w:rsidR="00F56989" w:rsidRPr="00F43313">
        <w:t>ECE/TRANS/WP.29/GRSG/202</w:t>
      </w:r>
      <w:r w:rsidR="009B66B9" w:rsidRPr="00F43313">
        <w:t>4</w:t>
      </w:r>
      <w:r w:rsidR="00F56989" w:rsidRPr="00F43313">
        <w:t>/</w:t>
      </w:r>
      <w:r w:rsidR="007970CF">
        <w:rPr>
          <w:rFonts w:eastAsia="Malgun Gothic" w:hint="eastAsia"/>
          <w:lang w:eastAsia="ko-KR"/>
        </w:rPr>
        <w:t xml:space="preserve">4) </w:t>
      </w:r>
      <w:r w:rsidR="004D0270">
        <w:rPr>
          <w:rFonts w:eastAsia="Malgun Gothic" w:hint="eastAsia"/>
          <w:lang w:eastAsia="ko-KR"/>
        </w:rPr>
        <w:t>and  combine</w:t>
      </w:r>
      <w:r w:rsidR="003134C4">
        <w:rPr>
          <w:rFonts w:eastAsia="Malgun Gothic" w:hint="eastAsia"/>
          <w:lang w:eastAsia="ko-KR"/>
        </w:rPr>
        <w:t>s</w:t>
      </w:r>
      <w:r w:rsidR="004D0270">
        <w:rPr>
          <w:rFonts w:eastAsia="Malgun Gothic" w:hint="eastAsia"/>
          <w:lang w:eastAsia="ko-KR"/>
        </w:rPr>
        <w:t xml:space="preserve"> the informal document(GRSG-128-14) </w:t>
      </w:r>
      <w:r w:rsidR="007970CF">
        <w:rPr>
          <w:rFonts w:eastAsia="Malgun Gothic" w:hint="eastAsia"/>
          <w:lang w:eastAsia="ko-KR"/>
        </w:rPr>
        <w:t>that ha</w:t>
      </w:r>
      <w:r w:rsidR="004D0270">
        <w:rPr>
          <w:rFonts w:eastAsia="Malgun Gothic" w:hint="eastAsia"/>
          <w:lang w:eastAsia="ko-KR"/>
        </w:rPr>
        <w:t>ve</w:t>
      </w:r>
      <w:r w:rsidR="007970CF">
        <w:rPr>
          <w:rFonts w:eastAsia="Malgun Gothic" w:hint="eastAsia"/>
          <w:lang w:eastAsia="ko-KR"/>
        </w:rPr>
        <w:t xml:space="preserve"> already been submitted. </w:t>
      </w:r>
      <w:r w:rsidRPr="00F43313">
        <w:t xml:space="preserve">The modifications to the existing </w:t>
      </w:r>
      <w:r w:rsidR="007970CF">
        <w:rPr>
          <w:rFonts w:eastAsia="Malgun Gothic" w:hint="eastAsia"/>
          <w:lang w:eastAsia="ko-KR"/>
        </w:rPr>
        <w:t xml:space="preserve">text of  </w:t>
      </w:r>
      <w:r w:rsidR="00144F2A" w:rsidRPr="00F43313">
        <w:rPr>
          <w:rFonts w:hint="eastAsia"/>
          <w:lang w:eastAsia="ja-JP"/>
        </w:rPr>
        <w:t>Regulation</w:t>
      </w:r>
      <w:r w:rsidR="007970CF">
        <w:rPr>
          <w:rFonts w:eastAsia="Malgun Gothic" w:hint="eastAsia"/>
          <w:lang w:eastAsia="ko-KR"/>
        </w:rPr>
        <w:t xml:space="preserve"> 1</w:t>
      </w:r>
      <w:r w:rsidR="004D0270">
        <w:rPr>
          <w:rFonts w:eastAsia="Malgun Gothic" w:hint="eastAsia"/>
          <w:lang w:eastAsia="ko-KR"/>
        </w:rPr>
        <w:t>58</w:t>
      </w:r>
      <w:r w:rsidR="007970CF">
        <w:rPr>
          <w:rFonts w:eastAsia="Malgun Gothic" w:hint="eastAsia"/>
          <w:lang w:eastAsia="ko-KR"/>
        </w:rPr>
        <w:t xml:space="preserve"> are</w:t>
      </w:r>
      <w:r w:rsidRPr="00F43313">
        <w:t xml:space="preserve"> </w:t>
      </w:r>
      <w:r w:rsidR="007970CF">
        <w:rPr>
          <w:rFonts w:eastAsia="Malgun Gothic" w:hint="eastAsia"/>
          <w:lang w:eastAsia="ko-KR"/>
        </w:rPr>
        <w:t xml:space="preserve">displayed in </w:t>
      </w:r>
      <w:r w:rsidR="00C64E17">
        <w:rPr>
          <w:rFonts w:eastAsia="Malgun Gothic" w:hint="eastAsia"/>
          <w:lang w:eastAsia="ko-KR"/>
        </w:rPr>
        <w:t xml:space="preserve">bold </w:t>
      </w:r>
      <w:r w:rsidRPr="00C61605">
        <w:t>for</w:t>
      </w:r>
      <w:r w:rsidR="007970CF">
        <w:rPr>
          <w:rFonts w:eastAsia="Malgun Gothic" w:hint="eastAsia"/>
          <w:lang w:eastAsia="ko-KR"/>
        </w:rPr>
        <w:t xml:space="preserve"> </w:t>
      </w:r>
      <w:r w:rsidRPr="00C61605">
        <w:t>new</w:t>
      </w:r>
      <w:r w:rsidR="009F0E91" w:rsidRPr="00CA27E8">
        <w:rPr>
          <w:rFonts w:eastAsia="Malgun Gothic"/>
          <w:lang w:eastAsia="ko-KR"/>
        </w:rPr>
        <w:t xml:space="preserve"> </w:t>
      </w:r>
      <w:r w:rsidR="009F0E91" w:rsidRPr="00CA27E8">
        <w:t>or strikethrough for deleted characters.</w:t>
      </w:r>
    </w:p>
    <w:p w14:paraId="616553D1" w14:textId="05031F4A" w:rsidR="0056628A" w:rsidRPr="009F0E91" w:rsidRDefault="0056628A" w:rsidP="00C64E17">
      <w:pPr>
        <w:pStyle w:val="HChG"/>
        <w:ind w:left="0" w:firstLine="0"/>
        <w:rPr>
          <w:rFonts w:asciiTheme="majorBidi" w:eastAsia="Malgun Gothic" w:hAnsiTheme="majorBidi" w:cstheme="majorBidi"/>
          <w:lang w:eastAsia="ko-KR"/>
        </w:rPr>
      </w:pPr>
    </w:p>
    <w:p w14:paraId="50B62D92" w14:textId="1EF3F3F0" w:rsidR="00DF0E34" w:rsidRPr="007970CF" w:rsidRDefault="00DF0E34" w:rsidP="00E12118">
      <w:pPr>
        <w:pStyle w:val="HChG"/>
        <w:rPr>
          <w:rFonts w:asciiTheme="majorBidi" w:eastAsia="Malgun Gothic" w:hAnsiTheme="majorBidi" w:cstheme="majorBidi"/>
          <w:b w:val="0"/>
          <w:lang w:eastAsia="ko-KR"/>
        </w:rPr>
      </w:pPr>
      <w:r w:rsidRPr="00C61605">
        <w:rPr>
          <w:rFonts w:asciiTheme="majorBidi" w:hAnsiTheme="majorBidi" w:cstheme="majorBidi"/>
        </w:rPr>
        <w:t>I.</w:t>
      </w:r>
      <w:r w:rsidR="00D525C9">
        <w:rPr>
          <w:rFonts w:asciiTheme="majorBidi" w:hAnsiTheme="majorBidi" w:cstheme="majorBidi"/>
        </w:rPr>
        <w:t xml:space="preserve"> </w:t>
      </w:r>
      <w:r w:rsidRPr="00C61605">
        <w:rPr>
          <w:rFonts w:asciiTheme="majorBidi" w:hAnsiTheme="majorBidi" w:cstheme="majorBidi"/>
        </w:rPr>
        <w:tab/>
      </w:r>
      <w:r w:rsidRPr="00C61605">
        <w:t>Proposal</w:t>
      </w:r>
    </w:p>
    <w:p w14:paraId="0CBC5BD7" w14:textId="77777777" w:rsidR="009F0E91" w:rsidRPr="00CA27E8" w:rsidRDefault="009F0E91" w:rsidP="009F0E91">
      <w:pPr>
        <w:spacing w:after="120"/>
        <w:ind w:left="1134" w:right="1134"/>
        <w:jc w:val="both"/>
        <w:rPr>
          <w:rFonts w:eastAsia="Malgun Gothic"/>
          <w:i/>
          <w:iCs/>
          <w:lang w:eastAsia="ko-KR"/>
        </w:rPr>
      </w:pPr>
      <w:r w:rsidRPr="00CA27E8">
        <w:rPr>
          <w:rFonts w:eastAsia="Malgun Gothic"/>
          <w:i/>
          <w:iCs/>
          <w:lang w:eastAsia="ko-KR"/>
        </w:rPr>
        <w:t>Annex 9. Test methods for close-proximity rear-view field of vision</w:t>
      </w:r>
    </w:p>
    <w:p w14:paraId="311C07EB" w14:textId="77777777" w:rsidR="009F0E91" w:rsidRPr="00CA27E8" w:rsidRDefault="009F0E91" w:rsidP="009F0E91">
      <w:pPr>
        <w:pStyle w:val="SingleTxtG"/>
      </w:pPr>
      <w:r w:rsidRPr="00CA27E8">
        <w:rPr>
          <w:rFonts w:eastAsia="Malgun Gothic"/>
          <w:i/>
          <w:iCs/>
          <w:lang w:eastAsia="ko-KR"/>
        </w:rPr>
        <w:t>P</w:t>
      </w:r>
      <w:r w:rsidRPr="00CA27E8">
        <w:rPr>
          <w:i/>
          <w:iCs/>
        </w:rPr>
        <w:t xml:space="preserve">aragraph </w:t>
      </w:r>
      <w:r w:rsidRPr="00CA27E8">
        <w:rPr>
          <w:rFonts w:eastAsia="Malgun Gothic"/>
          <w:i/>
          <w:iCs/>
          <w:lang w:eastAsia="ko-KR"/>
        </w:rPr>
        <w:t>1.3.3.4.,</w:t>
      </w:r>
      <w:r w:rsidRPr="00CA27E8">
        <w:t xml:space="preserve"> </w:t>
      </w:r>
      <w:r w:rsidRPr="00CA27E8">
        <w:rPr>
          <w:rFonts w:eastAsia="Malgun Gothic"/>
          <w:lang w:eastAsia="ko-KR"/>
        </w:rPr>
        <w:t xml:space="preserve">amend </w:t>
      </w:r>
      <w:r w:rsidRPr="00CA27E8">
        <w:t>to read:</w:t>
      </w:r>
    </w:p>
    <w:p w14:paraId="1B68A0C9" w14:textId="7F9B9828" w:rsidR="009F0E91" w:rsidRPr="00CA27E8" w:rsidRDefault="009F0E91" w:rsidP="009F0E91">
      <w:pPr>
        <w:tabs>
          <w:tab w:val="left" w:pos="567"/>
          <w:tab w:val="left" w:pos="2268"/>
        </w:tabs>
        <w:spacing w:before="120" w:after="120" w:line="240" w:lineRule="auto"/>
        <w:ind w:leftChars="566" w:left="2125" w:rightChars="567" w:right="1134" w:hanging="993"/>
        <w:jc w:val="both"/>
        <w:rPr>
          <w:rFonts w:asciiTheme="majorBidi" w:hAnsiTheme="majorBidi" w:cstheme="majorBidi"/>
          <w:b/>
          <w:lang w:eastAsia="ja-JP"/>
        </w:rPr>
      </w:pPr>
      <w:r w:rsidRPr="00CA27E8">
        <w:rPr>
          <w:bCs/>
        </w:rPr>
        <w:t>"</w:t>
      </w:r>
      <w:r w:rsidRPr="00CA27E8">
        <w:rPr>
          <w:rFonts w:eastAsia="Malgun Gothic"/>
          <w:bCs/>
          <w:lang w:eastAsia="ko-KR"/>
        </w:rPr>
        <w:t>1.3.3.4</w:t>
      </w:r>
      <w:r w:rsidRPr="00CA27E8">
        <w:rPr>
          <w:rFonts w:asciiTheme="majorBidi" w:hAnsiTheme="majorBidi" w:cstheme="majorBidi"/>
          <w:bCs/>
          <w:lang w:eastAsia="ja-JP"/>
        </w:rPr>
        <w:t>.</w:t>
      </w:r>
      <w:r w:rsidRPr="00CA27E8">
        <w:rPr>
          <w:rFonts w:asciiTheme="majorBidi" w:eastAsia="Malgun Gothic" w:hAnsiTheme="majorBidi" w:cstheme="majorBidi"/>
          <w:bCs/>
          <w:lang w:eastAsia="ko-KR"/>
        </w:rPr>
        <w:tab/>
      </w:r>
      <w:r w:rsidR="00622E3D" w:rsidRPr="00CA27E8">
        <w:rPr>
          <w:rFonts w:asciiTheme="majorBidi" w:hAnsiTheme="majorBidi" w:cstheme="majorBidi"/>
          <w:bCs/>
          <w:lang w:eastAsia="ja-JP"/>
        </w:rPr>
        <w:t>Rear hatch</w:t>
      </w:r>
      <w:r w:rsidR="00622E3D" w:rsidRPr="00837EE6">
        <w:rPr>
          <w:rFonts w:asciiTheme="majorBidi" w:hAnsiTheme="majorBidi" w:cstheme="majorBidi" w:hint="eastAsia"/>
          <w:b/>
          <w:color w:val="000000" w:themeColor="text1"/>
          <w:lang w:eastAsia="ko-KR"/>
        </w:rPr>
        <w:t>es</w:t>
      </w:r>
      <w:r w:rsidR="00622E3D" w:rsidRPr="00CA27E8">
        <w:rPr>
          <w:rFonts w:asciiTheme="majorBidi" w:eastAsia="Malgun Gothic" w:hAnsiTheme="majorBidi" w:cstheme="majorBidi"/>
          <w:bCs/>
          <w:lang w:eastAsia="ko-KR"/>
        </w:rPr>
        <w:t xml:space="preserve"> </w:t>
      </w:r>
      <w:r w:rsidR="00622E3D" w:rsidRPr="00CA27E8">
        <w:rPr>
          <w:rFonts w:asciiTheme="majorBidi" w:eastAsia="Malgun Gothic" w:hAnsiTheme="majorBidi" w:cstheme="majorBidi"/>
          <w:bCs/>
          <w:strike/>
          <w:lang w:eastAsia="ko-KR"/>
        </w:rPr>
        <w:t>and</w:t>
      </w:r>
      <w:r w:rsidR="00622E3D" w:rsidRPr="00CA27E8">
        <w:rPr>
          <w:rFonts w:asciiTheme="majorBidi" w:eastAsia="Malgun Gothic" w:hAnsiTheme="majorBidi" w:cstheme="majorBidi"/>
          <w:b/>
          <w:lang w:eastAsia="ko-KR"/>
        </w:rPr>
        <w:t>,</w:t>
      </w:r>
      <w:r w:rsidR="00622E3D" w:rsidRPr="00CA27E8">
        <w:rPr>
          <w:rFonts w:asciiTheme="majorBidi" w:eastAsia="Malgun Gothic" w:hAnsiTheme="majorBidi" w:cstheme="majorBidi"/>
          <w:bCs/>
          <w:lang w:eastAsia="ko-KR"/>
        </w:rPr>
        <w:t xml:space="preserve"> trunk lids</w:t>
      </w:r>
      <w:r w:rsidR="00622E3D" w:rsidRPr="00CA27E8">
        <w:rPr>
          <w:rFonts w:asciiTheme="majorBidi" w:eastAsia="Malgun Gothic" w:hAnsiTheme="majorBidi" w:cstheme="majorBidi"/>
          <w:bCs/>
          <w:strike/>
          <w:lang w:eastAsia="ko-KR"/>
        </w:rPr>
        <w:t>.</w:t>
      </w:r>
      <w:r w:rsidR="00622E3D" w:rsidRPr="00CA27E8">
        <w:rPr>
          <w:rFonts w:asciiTheme="majorBidi" w:eastAsia="Malgun Gothic" w:hAnsiTheme="majorBidi" w:cstheme="majorBidi"/>
          <w:bCs/>
          <w:lang w:eastAsia="ko-KR"/>
        </w:rPr>
        <w:t xml:space="preserve"> </w:t>
      </w:r>
      <w:r w:rsidR="00622E3D" w:rsidRPr="00CA27E8">
        <w:rPr>
          <w:rFonts w:asciiTheme="majorBidi" w:eastAsia="Malgun Gothic" w:hAnsiTheme="majorBidi" w:cstheme="majorBidi"/>
          <w:b/>
          <w:lang w:eastAsia="ko-KR"/>
        </w:rPr>
        <w:t xml:space="preserve">and </w:t>
      </w:r>
      <w:r w:rsidR="00622E3D" w:rsidRPr="00837EE6">
        <w:rPr>
          <w:rFonts w:asciiTheme="majorBidi" w:eastAsia="Malgun Gothic" w:hAnsiTheme="majorBidi" w:cstheme="majorBidi"/>
          <w:b/>
          <w:color w:val="000000" w:themeColor="text1"/>
          <w:lang w:eastAsia="ko-KR"/>
        </w:rPr>
        <w:t>tailgates</w:t>
      </w:r>
      <w:r w:rsidR="00622E3D" w:rsidRPr="00CA27E8">
        <w:rPr>
          <w:rFonts w:asciiTheme="majorBidi" w:eastAsia="Malgun Gothic" w:hAnsiTheme="majorBidi" w:cstheme="majorBidi"/>
          <w:b/>
          <w:lang w:eastAsia="ko-KR"/>
        </w:rPr>
        <w:t>.</w:t>
      </w:r>
    </w:p>
    <w:p w14:paraId="17ECED67" w14:textId="5AD27718" w:rsidR="009F0E91" w:rsidRDefault="009F0E91" w:rsidP="009F0E91">
      <w:pPr>
        <w:spacing w:after="120"/>
        <w:ind w:left="2126" w:right="1134" w:hanging="1"/>
        <w:jc w:val="both"/>
        <w:rPr>
          <w:rFonts w:eastAsia="Malgun Gothic"/>
          <w:lang w:eastAsia="ko-KR"/>
        </w:rPr>
      </w:pPr>
      <w:r w:rsidRPr="00CA27E8">
        <w:rPr>
          <w:rFonts w:asciiTheme="majorBidi" w:hAnsiTheme="majorBidi" w:cstheme="majorBidi"/>
          <w:lang w:eastAsia="ja-JP"/>
        </w:rPr>
        <w:t>If the vehicle is equipped with rear hatches</w:t>
      </w:r>
      <w:r w:rsidR="00622E3D" w:rsidRPr="00CA27E8">
        <w:rPr>
          <w:rFonts w:asciiTheme="majorBidi" w:hAnsiTheme="majorBidi" w:cstheme="majorBidi"/>
          <w:b/>
          <w:bCs/>
          <w:lang w:eastAsia="ko-KR"/>
        </w:rPr>
        <w:t>,</w:t>
      </w:r>
      <w:r w:rsidR="00622E3D" w:rsidRPr="00CA27E8">
        <w:rPr>
          <w:rFonts w:asciiTheme="majorBidi" w:hAnsiTheme="majorBidi" w:cstheme="majorBidi"/>
          <w:strike/>
          <w:lang w:eastAsia="ja-JP"/>
        </w:rPr>
        <w:t xml:space="preserve"> or</w:t>
      </w:r>
      <w:r w:rsidR="00622E3D" w:rsidRPr="00CA27E8">
        <w:rPr>
          <w:rFonts w:asciiTheme="majorBidi" w:hAnsiTheme="majorBidi" w:cstheme="majorBidi"/>
          <w:lang w:eastAsia="ja-JP"/>
        </w:rPr>
        <w:t xml:space="preserve"> trunk lid</w:t>
      </w:r>
      <w:r w:rsidR="00622E3D" w:rsidRPr="00837EE6">
        <w:rPr>
          <w:rFonts w:asciiTheme="majorBidi" w:hAnsiTheme="majorBidi" w:cstheme="majorBidi"/>
          <w:color w:val="000000" w:themeColor="text1"/>
          <w:lang w:eastAsia="ja-JP"/>
        </w:rPr>
        <w:t>s</w:t>
      </w:r>
      <w:r w:rsidR="00622E3D">
        <w:rPr>
          <w:rFonts w:asciiTheme="majorBidi" w:hAnsiTheme="majorBidi" w:cstheme="majorBidi" w:hint="eastAsia"/>
          <w:color w:val="000000" w:themeColor="text1"/>
          <w:lang w:eastAsia="ko-KR"/>
        </w:rPr>
        <w:t xml:space="preserve"> </w:t>
      </w:r>
      <w:r w:rsidR="00622E3D" w:rsidRPr="00837EE6">
        <w:rPr>
          <w:rFonts w:asciiTheme="majorBidi" w:hAnsiTheme="majorBidi" w:cstheme="majorBidi" w:hint="eastAsia"/>
          <w:b/>
          <w:bCs/>
          <w:color w:val="000000" w:themeColor="text1"/>
          <w:lang w:eastAsia="ko-KR"/>
        </w:rPr>
        <w:t>or tailgates</w:t>
      </w:r>
      <w:r w:rsidR="00622E3D">
        <w:rPr>
          <w:rFonts w:asciiTheme="majorBidi" w:hAnsiTheme="majorBidi" w:cstheme="majorBidi" w:hint="eastAsia"/>
          <w:color w:val="000000" w:themeColor="text1"/>
          <w:lang w:eastAsia="ko-KR"/>
        </w:rPr>
        <w:t>,</w:t>
      </w:r>
      <w:r w:rsidR="00622E3D" w:rsidRPr="008C73ED">
        <w:rPr>
          <w:rFonts w:asciiTheme="majorBidi" w:eastAsia="Malgun Gothic" w:hAnsiTheme="majorBidi" w:cstheme="majorBidi"/>
          <w:color w:val="FF0000"/>
          <w:lang w:eastAsia="ko-KR"/>
        </w:rPr>
        <w:t xml:space="preserve"> </w:t>
      </w:r>
      <w:r w:rsidR="00622E3D" w:rsidRPr="00CA27E8">
        <w:rPr>
          <w:rFonts w:asciiTheme="majorBidi" w:hAnsiTheme="majorBidi" w:cstheme="majorBidi"/>
          <w:lang w:eastAsia="ja-JP"/>
        </w:rPr>
        <w:t>they</w:t>
      </w:r>
      <w:r w:rsidRPr="00CA27E8">
        <w:rPr>
          <w:rFonts w:asciiTheme="majorBidi" w:hAnsiTheme="majorBidi" w:cstheme="majorBidi"/>
          <w:lang w:eastAsia="ja-JP"/>
        </w:rPr>
        <w:t xml:space="preserve"> are closed and latched in their normal vehicle operating condition.</w:t>
      </w:r>
      <w:r w:rsidRPr="00CA27E8">
        <w:t>"</w:t>
      </w:r>
    </w:p>
    <w:p w14:paraId="64FFE63D" w14:textId="77777777" w:rsidR="00622E3D" w:rsidRPr="00622E3D" w:rsidRDefault="00622E3D" w:rsidP="009F0E91">
      <w:pPr>
        <w:spacing w:after="120"/>
        <w:ind w:left="2126" w:right="1134" w:hanging="1"/>
        <w:jc w:val="both"/>
        <w:rPr>
          <w:rFonts w:eastAsia="Malgun Gothic"/>
          <w:i/>
          <w:iCs/>
          <w:lang w:eastAsia="ko-KR"/>
        </w:rPr>
      </w:pPr>
    </w:p>
    <w:p w14:paraId="775C4C9A" w14:textId="77777777" w:rsidR="009F0E91" w:rsidRPr="00CA27E8" w:rsidRDefault="009F0E91" w:rsidP="009F0E91">
      <w:pPr>
        <w:spacing w:after="120"/>
        <w:ind w:left="1134" w:right="1134"/>
        <w:jc w:val="both"/>
        <w:rPr>
          <w:rFonts w:eastAsia="Malgun Gothic"/>
          <w:i/>
          <w:iCs/>
          <w:lang w:eastAsia="ko-KR"/>
        </w:rPr>
      </w:pPr>
      <w:r w:rsidRPr="00CA27E8">
        <w:rPr>
          <w:rFonts w:eastAsia="Malgun Gothic"/>
          <w:i/>
          <w:iCs/>
          <w:lang w:eastAsia="ko-KR"/>
        </w:rPr>
        <w:t>Annex 10., p</w:t>
      </w:r>
      <w:r w:rsidRPr="00CA27E8">
        <w:rPr>
          <w:i/>
          <w:iCs/>
        </w:rPr>
        <w:t xml:space="preserve">aragraph </w:t>
      </w:r>
      <w:r w:rsidRPr="00CA27E8">
        <w:rPr>
          <w:rFonts w:eastAsia="Malgun Gothic"/>
          <w:i/>
          <w:iCs/>
          <w:lang w:eastAsia="ko-KR"/>
        </w:rPr>
        <w:t>1.1.,</w:t>
      </w:r>
      <w:r w:rsidRPr="00CA27E8">
        <w:t xml:space="preserve"> </w:t>
      </w:r>
      <w:r w:rsidRPr="00CA27E8">
        <w:rPr>
          <w:rFonts w:eastAsia="Malgun Gothic"/>
          <w:lang w:eastAsia="ko-KR"/>
        </w:rPr>
        <w:t xml:space="preserve">amend </w:t>
      </w:r>
      <w:r w:rsidRPr="00CA27E8">
        <w:t>to read:</w:t>
      </w:r>
    </w:p>
    <w:p w14:paraId="2AF39506" w14:textId="77777777" w:rsidR="009F0E91" w:rsidRPr="00CA27E8" w:rsidRDefault="009F0E91" w:rsidP="009F0E91">
      <w:pPr>
        <w:tabs>
          <w:tab w:val="left" w:pos="567"/>
          <w:tab w:val="left" w:pos="2127"/>
        </w:tabs>
        <w:spacing w:before="120" w:after="120" w:line="240" w:lineRule="auto"/>
        <w:ind w:leftChars="567" w:left="1134" w:right="1134"/>
        <w:jc w:val="both"/>
        <w:rPr>
          <w:rFonts w:eastAsia="Malgun Gothic"/>
          <w:bCs/>
          <w:lang w:eastAsia="ko-KR"/>
        </w:rPr>
      </w:pPr>
      <w:r w:rsidRPr="00CA27E8">
        <w:rPr>
          <w:bCs/>
        </w:rPr>
        <w:t>"</w:t>
      </w:r>
      <w:r w:rsidRPr="00CA27E8">
        <w:rPr>
          <w:rFonts w:asciiTheme="majorBidi" w:hAnsiTheme="majorBidi" w:cstheme="majorBidi"/>
          <w:bCs/>
          <w:lang w:eastAsia="ja-JP"/>
        </w:rPr>
        <w:t>1.</w:t>
      </w:r>
      <w:r w:rsidRPr="00CA27E8">
        <w:rPr>
          <w:rFonts w:asciiTheme="majorBidi" w:hAnsiTheme="majorBidi" w:cstheme="majorBidi"/>
          <w:bCs/>
          <w:lang w:eastAsia="ko-KR"/>
        </w:rPr>
        <w:t>1</w:t>
      </w:r>
      <w:r w:rsidRPr="00CA27E8">
        <w:rPr>
          <w:rFonts w:asciiTheme="majorBidi" w:hAnsiTheme="majorBidi" w:cstheme="majorBidi"/>
          <w:bCs/>
          <w:lang w:eastAsia="ja-JP"/>
        </w:rPr>
        <w:t>.</w:t>
      </w:r>
      <w:r w:rsidRPr="00CA27E8">
        <w:rPr>
          <w:rFonts w:asciiTheme="majorBidi" w:eastAsia="Malgun Gothic" w:hAnsiTheme="majorBidi" w:cstheme="majorBidi"/>
          <w:bCs/>
          <w:lang w:eastAsia="ko-KR"/>
        </w:rPr>
        <w:t xml:space="preserve"> </w:t>
      </w:r>
      <w:r w:rsidRPr="00CA27E8">
        <w:rPr>
          <w:rFonts w:asciiTheme="majorBidi" w:eastAsia="Malgun Gothic" w:hAnsiTheme="majorBidi" w:cstheme="majorBidi"/>
          <w:bCs/>
          <w:lang w:eastAsia="ko-KR"/>
        </w:rPr>
        <w:tab/>
        <w:t>Test conditions</w:t>
      </w:r>
      <w:r w:rsidRPr="00CA27E8">
        <w:rPr>
          <w:rFonts w:asciiTheme="majorBidi" w:hAnsiTheme="majorBidi" w:cstheme="majorBidi"/>
          <w:bCs/>
          <w:lang w:eastAsia="ja-JP"/>
        </w:rPr>
        <w:t>.</w:t>
      </w:r>
    </w:p>
    <w:p w14:paraId="098390EF" w14:textId="5DA8E25E" w:rsidR="007970CF" w:rsidRDefault="009F0E91" w:rsidP="009F0E91">
      <w:pPr>
        <w:pStyle w:val="SingleTxtG"/>
        <w:ind w:leftChars="1050" w:left="2100"/>
        <w:rPr>
          <w:rFonts w:eastAsia="Malgun Gothic"/>
          <w:bCs/>
          <w:lang w:eastAsia="ko-KR"/>
        </w:rPr>
      </w:pPr>
      <w:r w:rsidRPr="00CA27E8">
        <w:rPr>
          <w:bCs/>
        </w:rPr>
        <w:t>The test object shall be as per paragraph 7.1. of ISO 17386:2010. During testing, the wind speed shall not exceed 1 m/s. The temperature shall be 20±5℃ and the humidity shall be 60±25 percent.</w:t>
      </w:r>
      <w:r w:rsidRPr="00CA27E8">
        <w:rPr>
          <w:rFonts w:eastAsia="Malgun Gothic"/>
          <w:bCs/>
          <w:lang w:eastAsia="ko-KR"/>
        </w:rPr>
        <w:t xml:space="preserve"> </w:t>
      </w:r>
      <w:r w:rsidRPr="00CA27E8">
        <w:rPr>
          <w:bCs/>
        </w:rPr>
        <w:t>There shall be no rain or snow. The test shall be performed on a flat, dry asphalt or concrete surface.</w:t>
      </w:r>
      <w:r w:rsidRPr="00CA27E8">
        <w:rPr>
          <w:rFonts w:eastAsia="Malgun Gothic"/>
          <w:bCs/>
          <w:lang w:eastAsia="ko-KR"/>
        </w:rPr>
        <w:t xml:space="preserve"> </w:t>
      </w:r>
      <w:r w:rsidRPr="00CA27E8">
        <w:rPr>
          <w:bCs/>
        </w:rPr>
        <w:t>The test shall not be affected by the reflection of sound waves or electromagnetic waves from any walls,</w:t>
      </w:r>
      <w:r w:rsidRPr="00CA27E8">
        <w:rPr>
          <w:rFonts w:eastAsia="Malgun Gothic"/>
          <w:bCs/>
          <w:lang w:eastAsia="ko-KR"/>
        </w:rPr>
        <w:t xml:space="preserve"> </w:t>
      </w:r>
      <w:r w:rsidRPr="00CA27E8">
        <w:rPr>
          <w:bCs/>
        </w:rPr>
        <w:t>auxiliary testing equipment or any other objects in the environment.</w:t>
      </w:r>
      <w:r w:rsidRPr="00CA27E8">
        <w:rPr>
          <w:rFonts w:eastAsia="Malgun Gothic"/>
          <w:bCs/>
          <w:lang w:eastAsia="ko-KR"/>
        </w:rPr>
        <w:t xml:space="preserve"> </w:t>
      </w:r>
      <w:r w:rsidRPr="00CA27E8">
        <w:rPr>
          <w:rFonts w:asciiTheme="majorBidi" w:hAnsiTheme="majorBidi" w:cstheme="majorBidi"/>
          <w:b/>
          <w:bCs/>
          <w:lang w:eastAsia="ja-JP"/>
        </w:rPr>
        <w:t>If the vehicle is equipped with rear hatches</w:t>
      </w:r>
      <w:r w:rsidRPr="00CA27E8">
        <w:rPr>
          <w:rFonts w:asciiTheme="majorBidi" w:hAnsiTheme="majorBidi" w:cstheme="majorBidi"/>
          <w:b/>
          <w:bCs/>
          <w:lang w:eastAsia="ko-KR"/>
        </w:rPr>
        <w:t>,</w:t>
      </w:r>
      <w:r w:rsidRPr="00CA27E8">
        <w:rPr>
          <w:rFonts w:asciiTheme="majorBidi" w:eastAsia="Malgun Gothic" w:hAnsiTheme="majorBidi" w:cstheme="majorBidi"/>
          <w:b/>
          <w:bCs/>
          <w:lang w:eastAsia="ko-KR"/>
        </w:rPr>
        <w:t xml:space="preserve"> </w:t>
      </w:r>
      <w:r w:rsidRPr="00CA27E8">
        <w:rPr>
          <w:rFonts w:asciiTheme="majorBidi" w:hAnsiTheme="majorBidi" w:cstheme="majorBidi"/>
          <w:b/>
          <w:bCs/>
          <w:lang w:eastAsia="ja-JP"/>
        </w:rPr>
        <w:t>trunk lid</w:t>
      </w:r>
      <w:r w:rsidRPr="00622E3D">
        <w:rPr>
          <w:rFonts w:asciiTheme="majorBidi" w:hAnsiTheme="majorBidi" w:cstheme="majorBidi"/>
          <w:b/>
          <w:bCs/>
          <w:color w:val="000000" w:themeColor="text1"/>
          <w:lang w:eastAsia="ja-JP"/>
        </w:rPr>
        <w:t>s</w:t>
      </w:r>
      <w:r w:rsidRPr="00CA27E8">
        <w:rPr>
          <w:rFonts w:asciiTheme="majorBidi" w:eastAsia="Malgun Gothic" w:hAnsiTheme="majorBidi" w:cstheme="majorBidi"/>
          <w:b/>
          <w:bCs/>
          <w:lang w:eastAsia="ko-KR"/>
        </w:rPr>
        <w:t xml:space="preserve"> or</w:t>
      </w:r>
      <w:r w:rsidRPr="00CA27E8">
        <w:rPr>
          <w:rFonts w:asciiTheme="majorBidi" w:hAnsiTheme="majorBidi" w:cstheme="majorBidi"/>
          <w:b/>
          <w:bCs/>
          <w:lang w:eastAsia="ja-JP"/>
        </w:rPr>
        <w:t xml:space="preserve"> </w:t>
      </w:r>
      <w:r w:rsidRPr="00CA27E8">
        <w:rPr>
          <w:rFonts w:asciiTheme="majorBidi" w:eastAsia="Malgun Gothic" w:hAnsiTheme="majorBidi" w:cstheme="majorBidi"/>
          <w:b/>
          <w:bCs/>
          <w:lang w:eastAsia="ko-KR"/>
        </w:rPr>
        <w:t xml:space="preserve">tailgates, </w:t>
      </w:r>
      <w:r w:rsidRPr="00CA27E8">
        <w:rPr>
          <w:rFonts w:asciiTheme="majorBidi" w:hAnsiTheme="majorBidi" w:cstheme="majorBidi"/>
          <w:b/>
          <w:bCs/>
          <w:lang w:eastAsia="ja-JP"/>
        </w:rPr>
        <w:t>they are closed and latched in the normal condition</w:t>
      </w:r>
      <w:r>
        <w:rPr>
          <w:rFonts w:asciiTheme="majorBidi" w:hAnsiTheme="majorBidi" w:cstheme="majorBidi"/>
          <w:b/>
          <w:bCs/>
          <w:lang w:eastAsia="ja-JP"/>
        </w:rPr>
        <w:t>s</w:t>
      </w:r>
      <w:r w:rsidRPr="00CA27E8">
        <w:rPr>
          <w:rFonts w:asciiTheme="majorBidi" w:hAnsiTheme="majorBidi" w:cstheme="majorBidi"/>
          <w:b/>
          <w:bCs/>
          <w:lang w:eastAsia="ja-JP"/>
        </w:rPr>
        <w:t xml:space="preserve"> </w:t>
      </w:r>
      <w:r>
        <w:rPr>
          <w:rFonts w:asciiTheme="majorBidi" w:hAnsiTheme="majorBidi" w:cstheme="majorBidi"/>
          <w:b/>
          <w:bCs/>
          <w:lang w:eastAsia="ja-JP"/>
        </w:rPr>
        <w:t xml:space="preserve">of </w:t>
      </w:r>
      <w:r w:rsidRPr="00CA27E8">
        <w:rPr>
          <w:rFonts w:asciiTheme="majorBidi" w:hAnsiTheme="majorBidi" w:cstheme="majorBidi"/>
          <w:b/>
          <w:bCs/>
          <w:lang w:eastAsia="ja-JP"/>
        </w:rPr>
        <w:t>vehicle operati</w:t>
      </w:r>
      <w:r>
        <w:rPr>
          <w:rFonts w:asciiTheme="majorBidi" w:hAnsiTheme="majorBidi" w:cstheme="majorBidi"/>
          <w:b/>
          <w:bCs/>
          <w:lang w:eastAsia="ja-JP"/>
        </w:rPr>
        <w:t>o</w:t>
      </w:r>
      <w:r w:rsidRPr="00CA27E8">
        <w:rPr>
          <w:rFonts w:asciiTheme="majorBidi" w:hAnsiTheme="majorBidi" w:cstheme="majorBidi"/>
          <w:b/>
          <w:bCs/>
          <w:lang w:eastAsia="ja-JP"/>
        </w:rPr>
        <w:t>n.</w:t>
      </w:r>
      <w:r>
        <w:rPr>
          <w:bCs/>
        </w:rPr>
        <w:t>”</w:t>
      </w:r>
    </w:p>
    <w:p w14:paraId="0CA52913" w14:textId="77777777" w:rsidR="00622E3D" w:rsidRPr="00622E3D" w:rsidRDefault="00622E3D" w:rsidP="009F0E91">
      <w:pPr>
        <w:pStyle w:val="SingleTxtG"/>
        <w:ind w:leftChars="1050" w:left="2100"/>
        <w:rPr>
          <w:rFonts w:eastAsia="Malgun Gothic"/>
          <w:bCs/>
          <w:lang w:eastAsia="ko-KR"/>
        </w:rPr>
      </w:pPr>
    </w:p>
    <w:p w14:paraId="7A389072" w14:textId="77777777" w:rsidR="009F0E91" w:rsidRDefault="009F0E91" w:rsidP="009F0E91">
      <w:pPr>
        <w:pStyle w:val="SingleTxtG"/>
        <w:ind w:left="2160" w:hanging="1026"/>
        <w:rPr>
          <w:rFonts w:eastAsia="Malgun Gothic"/>
          <w:lang w:eastAsia="ko-KR"/>
        </w:rPr>
      </w:pPr>
      <w:r w:rsidRPr="009F0E91">
        <w:rPr>
          <w:i/>
          <w:iCs/>
        </w:rPr>
        <w:t>Annex 10, paragraph 1.2.,</w:t>
      </w:r>
      <w:r>
        <w:t xml:space="preserve"> amend to read: </w:t>
      </w:r>
    </w:p>
    <w:p w14:paraId="7FDEA84C" w14:textId="7BE294C4" w:rsidR="009F0E91" w:rsidRDefault="009F0E91" w:rsidP="009F0E91">
      <w:pPr>
        <w:pStyle w:val="SingleTxtG"/>
        <w:ind w:left="2160" w:hanging="1026"/>
        <w:rPr>
          <w:rFonts w:eastAsia="Malgun Gothic"/>
          <w:bCs/>
          <w:lang w:eastAsia="ko-KR"/>
        </w:rPr>
      </w:pPr>
      <w:r>
        <w:t xml:space="preserve">“1.2. </w:t>
      </w:r>
      <w:r>
        <w:rPr>
          <w:rFonts w:eastAsia="Malgun Gothic" w:hint="eastAsia"/>
          <w:lang w:eastAsia="ko-KR"/>
        </w:rPr>
        <w:t xml:space="preserve">           </w:t>
      </w:r>
      <w:r>
        <w:t xml:space="preserve">Test preparation One test object shall be used. The distance from the rear edge to the test object and the position of the test object are selected by the manufacturer to ensure the detection of the test object. The test object shall be located in the detectable grids within the rear horizontal area in 1.3.1. of this annex. The test vehicle in the initial state shall be with the detection system in the activated state, which is declared </w:t>
      </w:r>
      <w:r w:rsidRPr="009F0E91">
        <w:rPr>
          <w:strike/>
        </w:rPr>
        <w:t>[</w:t>
      </w:r>
      <w:r>
        <w:t xml:space="preserve">by the manufacturer </w:t>
      </w:r>
      <w:r w:rsidRPr="009F0E91">
        <w:rPr>
          <w:strike/>
        </w:rPr>
        <w:t>OR in the owner’s manual]</w:t>
      </w:r>
      <w:r>
        <w:t xml:space="preserve"> and shall be in the parking condition. Here, the parking condition means that the P (park) position is selected in the case of vehicles equipped with </w:t>
      </w:r>
      <w:r>
        <w:lastRenderedPageBreak/>
        <w:t>automatic transmissions, whereas it means the neutral gear being selected and the parking brake being engaged in the case of vehicles equipped with manual transmissions.”</w:t>
      </w:r>
    </w:p>
    <w:p w14:paraId="2EE1FB59" w14:textId="77777777" w:rsidR="009F0E91" w:rsidRDefault="009F0E91" w:rsidP="009F0E91">
      <w:pPr>
        <w:pStyle w:val="SingleTxtG"/>
        <w:ind w:left="2160" w:hanging="1026"/>
        <w:rPr>
          <w:rFonts w:eastAsia="Malgun Gothic"/>
          <w:bCs/>
          <w:lang w:eastAsia="ko-KR"/>
        </w:rPr>
      </w:pPr>
    </w:p>
    <w:p w14:paraId="073FB95D" w14:textId="77777777" w:rsidR="007970CF" w:rsidRPr="00CC5602" w:rsidRDefault="007970CF" w:rsidP="007970CF">
      <w:pPr>
        <w:pStyle w:val="HChG"/>
      </w:pPr>
      <w:r w:rsidRPr="00CC5602">
        <w:t>II.</w:t>
      </w:r>
      <w:r w:rsidRPr="00CC5602">
        <w:tab/>
      </w:r>
      <w:r w:rsidRPr="00CC5602">
        <w:tab/>
        <w:t>Justification</w:t>
      </w:r>
    </w:p>
    <w:p w14:paraId="45F15511" w14:textId="75C74FD2" w:rsidR="002D3159" w:rsidRPr="00434199" w:rsidRDefault="00434199" w:rsidP="007970CF">
      <w:pPr>
        <w:suppressAutoHyphens w:val="0"/>
        <w:spacing w:after="120" w:line="276" w:lineRule="auto"/>
        <w:ind w:left="1134" w:right="1134"/>
        <w:jc w:val="both"/>
        <w:rPr>
          <w:rFonts w:eastAsia="Batang"/>
          <w:i/>
          <w:iCs/>
          <w:lang w:eastAsia="ko-KR"/>
        </w:rPr>
      </w:pPr>
      <w:bookmarkStart w:id="0" w:name="_Hlk107411454"/>
      <w:r>
        <w:rPr>
          <w:rFonts w:eastAsia="Batang" w:hint="eastAsia"/>
          <w:i/>
          <w:iCs/>
          <w:lang w:eastAsia="ko-KR"/>
        </w:rPr>
        <w:t>&lt;R</w:t>
      </w:r>
      <w:r w:rsidR="002D3159" w:rsidRPr="00434199">
        <w:rPr>
          <w:rFonts w:eastAsia="Batang" w:hint="eastAsia"/>
          <w:i/>
          <w:iCs/>
          <w:lang w:eastAsia="ko-KR"/>
        </w:rPr>
        <w:t>egarding the working document ECE/TRANS/WP.29/GRSG/2024/35</w:t>
      </w:r>
      <w:r>
        <w:rPr>
          <w:rFonts w:eastAsia="Batang" w:hint="eastAsia"/>
          <w:i/>
          <w:iCs/>
          <w:lang w:eastAsia="ko-KR"/>
        </w:rPr>
        <w:t>&gt;</w:t>
      </w:r>
    </w:p>
    <w:p w14:paraId="4915D5B0" w14:textId="77777777" w:rsidR="002D3159" w:rsidRPr="00CA27E8" w:rsidRDefault="002D3159" w:rsidP="002D3159">
      <w:pPr>
        <w:suppressAutoHyphens w:val="0"/>
        <w:spacing w:after="120" w:line="276" w:lineRule="auto"/>
        <w:ind w:left="1134" w:right="1134"/>
        <w:jc w:val="both"/>
        <w:rPr>
          <w:lang w:eastAsia="ko-KR"/>
        </w:rPr>
      </w:pPr>
      <w:r w:rsidRPr="00CA27E8">
        <w:t>1.</w:t>
      </w:r>
      <w:r w:rsidRPr="00CA27E8">
        <w:tab/>
      </w:r>
      <w:r w:rsidRPr="00CA27E8">
        <w:rPr>
          <w:lang w:eastAsia="ko-KR"/>
        </w:rPr>
        <w:t xml:space="preserve">The vehicle conditions of the test methods for rear-view field of vision are clearly specified in the annex 9 in this Regulation, but </w:t>
      </w:r>
      <w:r>
        <w:rPr>
          <w:lang w:eastAsia="ko-KR"/>
        </w:rPr>
        <w:t xml:space="preserve">not </w:t>
      </w:r>
      <w:r w:rsidRPr="00CA27E8">
        <w:rPr>
          <w:lang w:eastAsia="ko-KR"/>
        </w:rPr>
        <w:t xml:space="preserve">in the case of detection systems in </w:t>
      </w:r>
      <w:r>
        <w:rPr>
          <w:lang w:eastAsia="ko-KR"/>
        </w:rPr>
        <w:t>a</w:t>
      </w:r>
      <w:r w:rsidRPr="00CA27E8">
        <w:rPr>
          <w:lang w:eastAsia="ko-KR"/>
        </w:rPr>
        <w:t>nnex 10. This is a problem of inconsistency between the rear-view field of vision and the detection systems</w:t>
      </w:r>
      <w:r>
        <w:rPr>
          <w:lang w:eastAsia="ko-KR"/>
        </w:rPr>
        <w:t xml:space="preserve"> that </w:t>
      </w:r>
      <w:r w:rsidRPr="00CA27E8">
        <w:rPr>
          <w:lang w:eastAsia="ko-KR"/>
        </w:rPr>
        <w:t>may also cause ambiguity in conducting the test for detection systems.</w:t>
      </w:r>
    </w:p>
    <w:p w14:paraId="65B38CFD" w14:textId="77777777" w:rsidR="002D3159" w:rsidRPr="00CA27E8" w:rsidRDefault="002D3159" w:rsidP="002D3159">
      <w:pPr>
        <w:suppressAutoHyphens w:val="0"/>
        <w:spacing w:after="120" w:line="276" w:lineRule="auto"/>
        <w:ind w:left="1134" w:right="1134"/>
        <w:jc w:val="both"/>
        <w:rPr>
          <w:lang w:eastAsia="ko-KR"/>
        </w:rPr>
      </w:pPr>
      <w:r w:rsidRPr="00CA27E8">
        <w:rPr>
          <w:lang w:eastAsia="ko-KR"/>
        </w:rPr>
        <w:t>2</w:t>
      </w:r>
      <w:r w:rsidRPr="00CA27E8">
        <w:t>.</w:t>
      </w:r>
      <w:r w:rsidRPr="00CA27E8">
        <w:tab/>
      </w:r>
      <w:r w:rsidRPr="00CA27E8">
        <w:rPr>
          <w:lang w:eastAsia="ko-KR"/>
        </w:rPr>
        <w:t>In addition, the test conditions should specify that not only rear hatches or trunk lids but also the tail gates of cargo trucks and van-type vehicles should be closed or latched in the normal condition</w:t>
      </w:r>
      <w:r>
        <w:rPr>
          <w:lang w:eastAsia="ko-KR"/>
        </w:rPr>
        <w:t>s</w:t>
      </w:r>
      <w:r w:rsidRPr="00CA27E8">
        <w:rPr>
          <w:lang w:eastAsia="ko-KR"/>
        </w:rPr>
        <w:t xml:space="preserve"> </w:t>
      </w:r>
      <w:r>
        <w:rPr>
          <w:lang w:eastAsia="ko-KR"/>
        </w:rPr>
        <w:t xml:space="preserve">of </w:t>
      </w:r>
      <w:r w:rsidRPr="00CA27E8">
        <w:rPr>
          <w:lang w:eastAsia="ko-KR"/>
        </w:rPr>
        <w:t>vehicle operati</w:t>
      </w:r>
      <w:r>
        <w:rPr>
          <w:lang w:eastAsia="ko-KR"/>
        </w:rPr>
        <w:t>on</w:t>
      </w:r>
      <w:r w:rsidRPr="00CA27E8">
        <w:rPr>
          <w:lang w:eastAsia="ko-KR"/>
        </w:rPr>
        <w:t xml:space="preserve"> during the test. For additional information on this matter, please refer to the following figures.</w:t>
      </w:r>
    </w:p>
    <w:p w14:paraId="3434ADC3" w14:textId="77777777" w:rsidR="002D3159" w:rsidRPr="00CA27E8" w:rsidRDefault="002D3159" w:rsidP="002D3159">
      <w:pPr>
        <w:suppressAutoHyphens w:val="0"/>
        <w:spacing w:after="120" w:line="276" w:lineRule="auto"/>
        <w:ind w:left="1134" w:right="1134"/>
        <w:rPr>
          <w:b/>
          <w:bCs/>
          <w:lang w:eastAsia="ko-KR"/>
        </w:rPr>
      </w:pPr>
      <w:r w:rsidRPr="00CA27E8">
        <w:rPr>
          <w:lang w:eastAsia="ko-KR"/>
        </w:rPr>
        <w:t xml:space="preserve">Figure 1 </w:t>
      </w:r>
      <w:r w:rsidRPr="00CA27E8">
        <w:rPr>
          <w:lang w:eastAsia="ko-KR"/>
        </w:rPr>
        <w:br/>
      </w:r>
      <w:r w:rsidRPr="00CA27E8">
        <w:rPr>
          <w:b/>
          <w:bCs/>
          <w:lang w:eastAsia="ko-KR"/>
        </w:rPr>
        <w:t xml:space="preserve">Example </w:t>
      </w:r>
      <w:r>
        <w:rPr>
          <w:b/>
          <w:bCs/>
          <w:lang w:eastAsia="ko-KR"/>
        </w:rPr>
        <w:t>of the T</w:t>
      </w:r>
      <w:r w:rsidRPr="00CA27E8">
        <w:rPr>
          <w:b/>
          <w:bCs/>
          <w:lang w:eastAsia="ko-KR"/>
        </w:rPr>
        <w:t xml:space="preserve">ail </w:t>
      </w:r>
      <w:r>
        <w:rPr>
          <w:b/>
          <w:bCs/>
          <w:lang w:eastAsia="ko-KR"/>
        </w:rPr>
        <w:t>G</w:t>
      </w:r>
      <w:r w:rsidRPr="00CA27E8">
        <w:rPr>
          <w:b/>
          <w:bCs/>
          <w:lang w:eastAsia="ko-KR"/>
        </w:rPr>
        <w:t>ate</w:t>
      </w:r>
      <w:r>
        <w:rPr>
          <w:b/>
          <w:bCs/>
          <w:lang w:eastAsia="ko-KR"/>
        </w:rPr>
        <w:t xml:space="preserve"> of C</w:t>
      </w:r>
      <w:r w:rsidRPr="00CA27E8">
        <w:rPr>
          <w:b/>
          <w:bCs/>
          <w:lang w:eastAsia="ko-KR"/>
        </w:rPr>
        <w:t xml:space="preserve">argo </w:t>
      </w:r>
      <w:r>
        <w:rPr>
          <w:b/>
          <w:bCs/>
          <w:lang w:eastAsia="ko-KR"/>
        </w:rPr>
        <w:t>T</w:t>
      </w:r>
      <w:r w:rsidRPr="00CA27E8">
        <w:rPr>
          <w:b/>
          <w:bCs/>
          <w:lang w:eastAsia="ko-KR"/>
        </w:rPr>
        <w:t xml:space="preserve">rucks </w:t>
      </w:r>
    </w:p>
    <w:p w14:paraId="0FB3ED00" w14:textId="555B0E3B" w:rsidR="00434199" w:rsidRDefault="00434199" w:rsidP="00434199">
      <w:pPr>
        <w:suppressAutoHyphens w:val="0"/>
        <w:spacing w:after="120" w:line="276" w:lineRule="auto"/>
        <w:ind w:left="1134" w:right="1134"/>
        <w:jc w:val="both"/>
        <w:rPr>
          <w:rFonts w:eastAsia="Malgun Gothic"/>
          <w:lang w:eastAsia="ko-KR"/>
        </w:rPr>
      </w:pPr>
      <w:r w:rsidRPr="00434199">
        <w:rPr>
          <w:rFonts w:eastAsia="Malgun Gothic"/>
          <w:noProof/>
          <w:lang w:eastAsia="ko-KR"/>
        </w:rPr>
        <w:drawing>
          <wp:inline distT="0" distB="0" distL="0" distR="0" wp14:anchorId="0124ED9F" wp14:editId="6292CE42">
            <wp:extent cx="4232172" cy="2672443"/>
            <wp:effectExtent l="0" t="0" r="0" b="0"/>
            <wp:docPr id="1297432370" name="그림 1" descr="기차, 텍스트, 스크린샷, 평행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32370" name="그림 1" descr="기차, 텍스트, 스크린샷, 평행이(가) 표시된 사진&#10;&#10;자동 생성된 설명"/>
                    <pic:cNvPicPr/>
                  </pic:nvPicPr>
                  <pic:blipFill>
                    <a:blip r:embed="rId11"/>
                    <a:stretch>
                      <a:fillRect/>
                    </a:stretch>
                  </pic:blipFill>
                  <pic:spPr>
                    <a:xfrm>
                      <a:off x="0" y="0"/>
                      <a:ext cx="4253522" cy="2685925"/>
                    </a:xfrm>
                    <a:prstGeom prst="rect">
                      <a:avLst/>
                    </a:prstGeom>
                  </pic:spPr>
                </pic:pic>
              </a:graphicData>
            </a:graphic>
          </wp:inline>
        </w:drawing>
      </w:r>
    </w:p>
    <w:p w14:paraId="4E80B682" w14:textId="77777777" w:rsidR="00434199" w:rsidRDefault="00434199" w:rsidP="002D3159">
      <w:pPr>
        <w:suppressAutoHyphens w:val="0"/>
        <w:spacing w:line="240" w:lineRule="auto"/>
        <w:ind w:leftChars="600" w:left="1200"/>
        <w:rPr>
          <w:rFonts w:eastAsia="Malgun Gothic"/>
          <w:lang w:eastAsia="ko-KR"/>
        </w:rPr>
      </w:pPr>
    </w:p>
    <w:p w14:paraId="3840492C" w14:textId="77777777" w:rsidR="00434199" w:rsidRDefault="00434199" w:rsidP="002D3159">
      <w:pPr>
        <w:suppressAutoHyphens w:val="0"/>
        <w:spacing w:line="240" w:lineRule="auto"/>
        <w:ind w:leftChars="600" w:left="1200"/>
        <w:rPr>
          <w:rFonts w:eastAsia="Malgun Gothic"/>
          <w:lang w:eastAsia="ko-KR"/>
        </w:rPr>
      </w:pPr>
    </w:p>
    <w:p w14:paraId="0C00F045" w14:textId="78073FF3" w:rsidR="002D3159" w:rsidRPr="00CA27E8" w:rsidRDefault="002D3159" w:rsidP="002D3159">
      <w:pPr>
        <w:suppressAutoHyphens w:val="0"/>
        <w:spacing w:line="240" w:lineRule="auto"/>
        <w:ind w:leftChars="600" w:left="1200"/>
        <w:rPr>
          <w:b/>
          <w:bCs/>
          <w:lang w:eastAsia="ko-KR"/>
        </w:rPr>
      </w:pPr>
      <w:r w:rsidRPr="00CA27E8">
        <w:rPr>
          <w:lang w:eastAsia="ko-KR"/>
        </w:rPr>
        <w:t xml:space="preserve">Figure 2 </w:t>
      </w:r>
      <w:r w:rsidRPr="00CA27E8">
        <w:rPr>
          <w:lang w:eastAsia="ko-KR"/>
        </w:rPr>
        <w:br/>
      </w:r>
      <w:r w:rsidRPr="00CA27E8">
        <w:rPr>
          <w:b/>
          <w:bCs/>
          <w:lang w:eastAsia="ko-KR"/>
        </w:rPr>
        <w:t xml:space="preserve">Example </w:t>
      </w:r>
      <w:r>
        <w:rPr>
          <w:b/>
          <w:bCs/>
          <w:lang w:eastAsia="ko-KR"/>
        </w:rPr>
        <w:t>of the Tail Gate for V</w:t>
      </w:r>
      <w:r w:rsidRPr="00CA27E8">
        <w:rPr>
          <w:b/>
          <w:bCs/>
          <w:lang w:eastAsia="ko-KR"/>
        </w:rPr>
        <w:t xml:space="preserve">an </w:t>
      </w:r>
      <w:r>
        <w:rPr>
          <w:b/>
          <w:bCs/>
          <w:lang w:eastAsia="ko-KR"/>
        </w:rPr>
        <w:t>T</w:t>
      </w:r>
      <w:r w:rsidRPr="00CA27E8">
        <w:rPr>
          <w:b/>
          <w:bCs/>
          <w:lang w:eastAsia="ko-KR"/>
        </w:rPr>
        <w:t xml:space="preserve">ype </w:t>
      </w:r>
      <w:r>
        <w:rPr>
          <w:b/>
          <w:bCs/>
          <w:lang w:eastAsia="ko-KR"/>
        </w:rPr>
        <w:t>V</w:t>
      </w:r>
      <w:r w:rsidRPr="00CA27E8">
        <w:rPr>
          <w:b/>
          <w:bCs/>
          <w:lang w:eastAsia="ko-KR"/>
        </w:rPr>
        <w:t>ehicles</w:t>
      </w:r>
    </w:p>
    <w:p w14:paraId="1B0E4C74" w14:textId="6952069C" w:rsidR="002D3159" w:rsidRPr="00CA27E8" w:rsidRDefault="002D3159" w:rsidP="002D3159">
      <w:pPr>
        <w:suppressAutoHyphens w:val="0"/>
        <w:spacing w:after="120" w:line="276" w:lineRule="auto"/>
        <w:ind w:left="1134" w:right="1134"/>
        <w:jc w:val="both"/>
        <w:rPr>
          <w:lang w:eastAsia="ko-KR"/>
        </w:rPr>
      </w:pPr>
    </w:p>
    <w:p w14:paraId="0E97B943" w14:textId="7AC32E7E" w:rsidR="002D3159" w:rsidRDefault="00434199" w:rsidP="00434199">
      <w:pPr>
        <w:suppressAutoHyphens w:val="0"/>
        <w:spacing w:after="120" w:line="276" w:lineRule="auto"/>
        <w:ind w:left="1134" w:right="1134" w:firstLineChars="50" w:firstLine="100"/>
        <w:jc w:val="both"/>
        <w:rPr>
          <w:rFonts w:eastAsia="Malgun Gothic"/>
          <w:lang w:eastAsia="ko-KR"/>
        </w:rPr>
      </w:pPr>
      <w:r w:rsidRPr="00434199">
        <w:rPr>
          <w:rFonts w:eastAsia="Malgun Gothic"/>
          <w:noProof/>
          <w:lang w:eastAsia="ko-KR"/>
        </w:rPr>
        <w:lastRenderedPageBreak/>
        <w:drawing>
          <wp:inline distT="0" distB="0" distL="0" distR="0" wp14:anchorId="2CDB83AC" wp14:editId="405FC65E">
            <wp:extent cx="3126598" cy="2732315"/>
            <wp:effectExtent l="0" t="0" r="0" b="0"/>
            <wp:docPr id="12785623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6232" name=""/>
                    <pic:cNvPicPr/>
                  </pic:nvPicPr>
                  <pic:blipFill>
                    <a:blip r:embed="rId12"/>
                    <a:stretch>
                      <a:fillRect/>
                    </a:stretch>
                  </pic:blipFill>
                  <pic:spPr>
                    <a:xfrm>
                      <a:off x="0" y="0"/>
                      <a:ext cx="3138198" cy="2742452"/>
                    </a:xfrm>
                    <a:prstGeom prst="rect">
                      <a:avLst/>
                    </a:prstGeom>
                  </pic:spPr>
                </pic:pic>
              </a:graphicData>
            </a:graphic>
          </wp:inline>
        </w:drawing>
      </w:r>
    </w:p>
    <w:p w14:paraId="74D0C9A9" w14:textId="77777777" w:rsidR="00434199" w:rsidRDefault="00434199" w:rsidP="002D3159">
      <w:pPr>
        <w:suppressAutoHyphens w:val="0"/>
        <w:spacing w:after="120" w:line="276" w:lineRule="auto"/>
        <w:ind w:left="1134" w:right="1134"/>
        <w:jc w:val="both"/>
        <w:rPr>
          <w:rFonts w:eastAsia="Malgun Gothic"/>
          <w:lang w:eastAsia="ko-KR"/>
        </w:rPr>
      </w:pPr>
    </w:p>
    <w:p w14:paraId="5167B07F" w14:textId="5712E905" w:rsidR="00434199" w:rsidRDefault="00434199" w:rsidP="002D3159">
      <w:pPr>
        <w:suppressAutoHyphens w:val="0"/>
        <w:spacing w:after="120" w:line="276" w:lineRule="auto"/>
        <w:ind w:left="1134" w:right="1134"/>
        <w:jc w:val="both"/>
        <w:rPr>
          <w:rFonts w:eastAsia="Malgun Gothic"/>
          <w:lang w:eastAsia="ko-KR"/>
        </w:rPr>
      </w:pPr>
      <w:r w:rsidRPr="00434199">
        <w:rPr>
          <w:rFonts w:eastAsia="Malgun Gothic"/>
          <w:noProof/>
          <w:lang w:eastAsia="ko-KR"/>
        </w:rPr>
        <w:drawing>
          <wp:inline distT="0" distB="0" distL="0" distR="0" wp14:anchorId="0B82421B" wp14:editId="2FCD4D46">
            <wp:extent cx="4065814" cy="2983763"/>
            <wp:effectExtent l="0" t="0" r="0" b="7620"/>
            <wp:docPr id="85650918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09184" name=""/>
                    <pic:cNvPicPr/>
                  </pic:nvPicPr>
                  <pic:blipFill>
                    <a:blip r:embed="rId13"/>
                    <a:stretch>
                      <a:fillRect/>
                    </a:stretch>
                  </pic:blipFill>
                  <pic:spPr>
                    <a:xfrm>
                      <a:off x="0" y="0"/>
                      <a:ext cx="4089879" cy="3001423"/>
                    </a:xfrm>
                    <a:prstGeom prst="rect">
                      <a:avLst/>
                    </a:prstGeom>
                  </pic:spPr>
                </pic:pic>
              </a:graphicData>
            </a:graphic>
          </wp:inline>
        </w:drawing>
      </w:r>
    </w:p>
    <w:p w14:paraId="7B389FA9" w14:textId="2E6C4D70" w:rsidR="00434199" w:rsidRDefault="00434199" w:rsidP="002D3159">
      <w:pPr>
        <w:suppressAutoHyphens w:val="0"/>
        <w:spacing w:after="120" w:line="276" w:lineRule="auto"/>
        <w:ind w:left="1134" w:right="1134"/>
        <w:jc w:val="both"/>
        <w:rPr>
          <w:rFonts w:eastAsia="Malgun Gothic"/>
          <w:lang w:eastAsia="ko-KR"/>
        </w:rPr>
      </w:pPr>
      <w:r w:rsidRPr="00434199">
        <w:rPr>
          <w:rFonts w:eastAsia="Malgun Gothic"/>
          <w:noProof/>
          <w:lang w:eastAsia="ko-KR"/>
        </w:rPr>
        <w:lastRenderedPageBreak/>
        <w:drawing>
          <wp:inline distT="0" distB="0" distL="0" distR="0" wp14:anchorId="0BE38F04" wp14:editId="1B7033F2">
            <wp:extent cx="4073264" cy="2960915"/>
            <wp:effectExtent l="0" t="0" r="3810" b="0"/>
            <wp:docPr id="103379809" name="그림 1" descr="텍스트, 도표, 스크린샷, 평면도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9809" name="그림 1" descr="텍스트, 도표, 스크린샷, 평면도이(가) 표시된 사진&#10;&#10;자동 생성된 설명"/>
                    <pic:cNvPicPr/>
                  </pic:nvPicPr>
                  <pic:blipFill>
                    <a:blip r:embed="rId14"/>
                    <a:stretch>
                      <a:fillRect/>
                    </a:stretch>
                  </pic:blipFill>
                  <pic:spPr>
                    <a:xfrm>
                      <a:off x="0" y="0"/>
                      <a:ext cx="4117338" cy="2992953"/>
                    </a:xfrm>
                    <a:prstGeom prst="rect">
                      <a:avLst/>
                    </a:prstGeom>
                  </pic:spPr>
                </pic:pic>
              </a:graphicData>
            </a:graphic>
          </wp:inline>
        </w:drawing>
      </w:r>
    </w:p>
    <w:p w14:paraId="7B96F22F" w14:textId="77777777" w:rsidR="00434199" w:rsidRDefault="00434199" w:rsidP="002D3159">
      <w:pPr>
        <w:suppressAutoHyphens w:val="0"/>
        <w:spacing w:after="120" w:line="276" w:lineRule="auto"/>
        <w:ind w:left="1134" w:right="1134"/>
        <w:jc w:val="both"/>
        <w:rPr>
          <w:rFonts w:eastAsia="Malgun Gothic"/>
          <w:lang w:eastAsia="ko-KR"/>
        </w:rPr>
      </w:pPr>
    </w:p>
    <w:p w14:paraId="5EC5436A" w14:textId="765EBF42" w:rsidR="00434199" w:rsidRDefault="00434199" w:rsidP="002D3159">
      <w:pPr>
        <w:suppressAutoHyphens w:val="0"/>
        <w:spacing w:after="120" w:line="276" w:lineRule="auto"/>
        <w:ind w:left="1134" w:right="1134"/>
        <w:jc w:val="both"/>
        <w:rPr>
          <w:rFonts w:eastAsia="Malgun Gothic"/>
          <w:lang w:eastAsia="ko-KR"/>
        </w:rPr>
      </w:pPr>
      <w:r>
        <w:rPr>
          <w:rFonts w:eastAsia="Batang" w:hint="eastAsia"/>
          <w:i/>
          <w:iCs/>
          <w:lang w:eastAsia="ko-KR"/>
        </w:rPr>
        <w:t>&lt;R</w:t>
      </w:r>
      <w:r w:rsidRPr="00434199">
        <w:rPr>
          <w:rFonts w:eastAsia="Batang" w:hint="eastAsia"/>
          <w:i/>
          <w:iCs/>
          <w:lang w:eastAsia="ko-KR"/>
        </w:rPr>
        <w:t xml:space="preserve">egarding the </w:t>
      </w:r>
      <w:r>
        <w:rPr>
          <w:rFonts w:eastAsia="Batang" w:hint="eastAsia"/>
          <w:i/>
          <w:iCs/>
          <w:lang w:eastAsia="ko-KR"/>
        </w:rPr>
        <w:t xml:space="preserve">informal </w:t>
      </w:r>
      <w:r w:rsidRPr="00434199">
        <w:rPr>
          <w:rFonts w:eastAsia="Batang" w:hint="eastAsia"/>
          <w:i/>
          <w:iCs/>
          <w:lang w:eastAsia="ko-KR"/>
        </w:rPr>
        <w:t xml:space="preserve">document </w:t>
      </w:r>
      <w:r>
        <w:rPr>
          <w:rFonts w:eastAsia="Batang" w:hint="eastAsia"/>
          <w:i/>
          <w:iCs/>
          <w:lang w:eastAsia="ko-KR"/>
        </w:rPr>
        <w:t>GRSG-128-14&gt;</w:t>
      </w:r>
    </w:p>
    <w:p w14:paraId="214061DB" w14:textId="679BDE73" w:rsidR="00434199" w:rsidRDefault="00434199" w:rsidP="00434199">
      <w:pPr>
        <w:suppressAutoHyphens w:val="0"/>
        <w:spacing w:after="120" w:line="276" w:lineRule="auto"/>
        <w:ind w:left="1134" w:right="1134"/>
        <w:jc w:val="both"/>
        <w:rPr>
          <w:rFonts w:eastAsia="Malgun Gothic"/>
          <w:lang w:eastAsia="ko-KR"/>
        </w:rPr>
      </w:pPr>
      <w:r>
        <w:rPr>
          <w:rFonts w:eastAsia="Malgun Gothic" w:hint="eastAsia"/>
          <w:lang w:eastAsia="ko-KR"/>
        </w:rPr>
        <w:t>3</w:t>
      </w:r>
      <w:r w:rsidRPr="00CA27E8">
        <w:t>.</w:t>
      </w:r>
      <w:r w:rsidRPr="00CA27E8">
        <w:tab/>
      </w:r>
      <w:r w:rsidRPr="00434199">
        <w:t xml:space="preserve">The text remained in brackets in the original version of Regulation No. 158 is no longer the subject of discussion. With the proposed modification clarification is given as the vehicle owner is not concerned with test preparation and it shall not be implemented in the owner’s manual. The manufacturer shall deliver the required information at the time of approval to run the test appropriately. </w:t>
      </w:r>
    </w:p>
    <w:p w14:paraId="00202CE5" w14:textId="77777777" w:rsidR="00434199" w:rsidRPr="00434199" w:rsidRDefault="00434199" w:rsidP="00434199">
      <w:pPr>
        <w:suppressAutoHyphens w:val="0"/>
        <w:spacing w:after="120" w:line="276" w:lineRule="auto"/>
        <w:ind w:left="1134" w:right="1134"/>
        <w:jc w:val="both"/>
        <w:rPr>
          <w:rFonts w:eastAsia="Malgun Gothic"/>
          <w:lang w:eastAsia="ko-KR"/>
        </w:rPr>
      </w:pPr>
    </w:p>
    <w:bookmarkEnd w:id="0"/>
    <w:p w14:paraId="6D92663F" w14:textId="6C6A5406" w:rsidR="007970CF" w:rsidRPr="007970CF" w:rsidRDefault="007970CF" w:rsidP="007970CF">
      <w:pPr>
        <w:pStyle w:val="SingleTxtG"/>
        <w:ind w:left="2160" w:hanging="1026"/>
        <w:jc w:val="center"/>
        <w:rPr>
          <w:rFonts w:eastAsia="Malgun Gothic"/>
          <w:iCs/>
          <w:color w:val="000000" w:themeColor="text1"/>
          <w:lang w:eastAsia="ko-KR"/>
        </w:rPr>
      </w:pPr>
      <w:r>
        <w:rPr>
          <w:rFonts w:eastAsia="Malgun Gothic"/>
          <w:u w:val="single"/>
          <w:lang w:eastAsia="ko-KR"/>
        </w:rPr>
        <w:tab/>
      </w:r>
      <w:r>
        <w:rPr>
          <w:rFonts w:eastAsia="Malgun Gothic"/>
          <w:u w:val="single"/>
          <w:lang w:eastAsia="ko-KR"/>
        </w:rPr>
        <w:tab/>
      </w:r>
      <w:r>
        <w:rPr>
          <w:rFonts w:eastAsia="Malgun Gothic"/>
          <w:u w:val="single"/>
          <w:lang w:eastAsia="ko-KR"/>
        </w:rPr>
        <w:tab/>
      </w:r>
      <w:r>
        <w:rPr>
          <w:rFonts w:eastAsia="Malgun Gothic"/>
          <w:u w:val="single"/>
          <w:lang w:eastAsia="ko-KR"/>
        </w:rPr>
        <w:tab/>
      </w:r>
    </w:p>
    <w:sectPr w:rsidR="007970CF" w:rsidRPr="007970CF" w:rsidSect="001043C7">
      <w:headerReference w:type="even" r:id="rId15"/>
      <w:headerReference w:type="default" r:id="rId16"/>
      <w:footerReference w:type="even" r:id="rId17"/>
      <w:footerReference w:type="default" r:id="rId18"/>
      <w:headerReference w:type="first" r:id="rId19"/>
      <w:footerReference w:type="first" r:id="rId20"/>
      <w:footnotePr>
        <w:numFmt w:val="decimalFullWidth"/>
      </w:footnotePr>
      <w:type w:val="continuous"/>
      <w:pgSz w:w="11906" w:h="16838" w:code="9"/>
      <w:pgMar w:top="1418" w:right="1134" w:bottom="1134" w:left="1134" w:header="1474"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BAB7" w14:textId="77777777" w:rsidR="001043C7" w:rsidRDefault="001043C7" w:rsidP="00203C11">
      <w:pPr>
        <w:spacing w:line="240" w:lineRule="auto"/>
      </w:pPr>
      <w:r>
        <w:separator/>
      </w:r>
    </w:p>
  </w:endnote>
  <w:endnote w:type="continuationSeparator" w:id="0">
    <w:p w14:paraId="6119CE8B" w14:textId="77777777" w:rsidR="001043C7" w:rsidRDefault="001043C7" w:rsidP="00203C11">
      <w:pPr>
        <w:spacing w:line="240" w:lineRule="auto"/>
      </w:pPr>
      <w:r>
        <w:continuationSeparator/>
      </w:r>
    </w:p>
  </w:endnote>
  <w:endnote w:type="continuationNotice" w:id="1">
    <w:p w14:paraId="77B86CE7" w14:textId="77777777" w:rsidR="001043C7" w:rsidRDefault="001043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iberation Sans">
    <w:altName w:val="Segoe Print"/>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9DCD" w14:textId="63AAA98A" w:rsidR="00CE7D4D" w:rsidRDefault="00CE7D4D">
    <w:pPr>
      <w:pStyle w:val="Footer"/>
    </w:pPr>
    <w:r>
      <w:rPr>
        <w:noProof/>
      </w:rPr>
      <mc:AlternateContent>
        <mc:Choice Requires="wps">
          <w:drawing>
            <wp:anchor distT="0" distB="0" distL="0" distR="0" simplePos="0" relativeHeight="251659264" behindDoc="0" locked="0" layoutInCell="1" allowOverlap="1" wp14:anchorId="2536F3DE" wp14:editId="1CF4D379">
              <wp:simplePos x="635" y="635"/>
              <wp:positionH relativeFrom="page">
                <wp:align>left</wp:align>
              </wp:positionH>
              <wp:positionV relativeFrom="page">
                <wp:align>bottom</wp:align>
              </wp:positionV>
              <wp:extent cx="443865" cy="443865"/>
              <wp:effectExtent l="0" t="0" r="13970" b="0"/>
              <wp:wrapNone/>
              <wp:docPr id="1117365549" name="Text Box 2"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A371F" w14:textId="70F15AEE" w:rsidR="00CE7D4D" w:rsidRPr="00CE7D4D" w:rsidRDefault="00CE7D4D" w:rsidP="00CE7D4D">
                          <w:pPr>
                            <w:rPr>
                              <w:rFonts w:ascii="Calibri" w:eastAsia="Calibri" w:hAnsi="Calibri" w:cs="Calibri"/>
                              <w:noProof/>
                              <w:color w:val="000000"/>
                              <w:lang w:eastAsia="ko-KR"/>
                            </w:rPr>
                          </w:pPr>
                          <w:r w:rsidRPr="00CE7D4D">
                            <w:rPr>
                              <w:rFonts w:ascii="Calibri" w:eastAsia="Calibri" w:hAnsi="Calibri" w:cs="Calibri"/>
                              <w:noProof/>
                              <w:color w:val="000000"/>
                              <w:lang w:eastAsia="ko-KR"/>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36F3DE" id="_x0000_t202" coordsize="21600,21600" o:spt="202" path="m,l,21600r21600,l21600,xe">
              <v:stroke joinstyle="miter"/>
              <v:path gradientshapeok="t" o:connecttype="rect"/>
            </v:shapetype>
            <v:shape id="Text Box 2" o:spid="_x0000_s1026" type="#_x0000_t202" alt="본 문서는 현대자동차·기아의 정보자산으로 귀사와의 비밀유지계약 및 제반법률에 따라 법적 보호를 받습니다."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60A371F" w14:textId="70F15AEE" w:rsidR="00CE7D4D" w:rsidRPr="00CE7D4D" w:rsidRDefault="00CE7D4D" w:rsidP="00CE7D4D">
                    <w:pPr>
                      <w:rPr>
                        <w:rFonts w:ascii="Calibri" w:eastAsia="Calibri" w:hAnsi="Calibri" w:cs="Calibri"/>
                        <w:noProof/>
                        <w:color w:val="000000"/>
                        <w:lang w:eastAsia="ko-KR"/>
                      </w:rPr>
                    </w:pPr>
                    <w:r w:rsidRPr="00CE7D4D">
                      <w:rPr>
                        <w:rFonts w:ascii="Calibri" w:eastAsia="Calibri" w:hAnsi="Calibri" w:cs="Calibri"/>
                        <w:noProof/>
                        <w:color w:val="000000"/>
                        <w:lang w:eastAsia="ko-KR"/>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F64F" w14:textId="7592D617" w:rsidR="00CE7D4D" w:rsidRDefault="00CE7D4D">
    <w:pPr>
      <w:pStyle w:val="Footer"/>
    </w:pPr>
    <w:r>
      <w:rPr>
        <w:noProof/>
      </w:rPr>
      <mc:AlternateContent>
        <mc:Choice Requires="wps">
          <w:drawing>
            <wp:anchor distT="0" distB="0" distL="0" distR="0" simplePos="0" relativeHeight="251660288" behindDoc="0" locked="0" layoutInCell="1" allowOverlap="1" wp14:anchorId="1D2C37C1" wp14:editId="3180F6ED">
              <wp:simplePos x="635" y="635"/>
              <wp:positionH relativeFrom="page">
                <wp:align>left</wp:align>
              </wp:positionH>
              <wp:positionV relativeFrom="page">
                <wp:align>bottom</wp:align>
              </wp:positionV>
              <wp:extent cx="443865" cy="443865"/>
              <wp:effectExtent l="0" t="0" r="13970" b="0"/>
              <wp:wrapNone/>
              <wp:docPr id="1138981406" name="Text Box 3"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BB63C0" w14:textId="79EE9011" w:rsidR="00CE7D4D" w:rsidRPr="00CE7D4D" w:rsidRDefault="00CE7D4D" w:rsidP="00CE7D4D">
                          <w:pPr>
                            <w:rPr>
                              <w:rFonts w:ascii="Calibri" w:eastAsia="Calibri" w:hAnsi="Calibri" w:cs="Calibri"/>
                              <w:noProof/>
                              <w:color w:val="000000"/>
                              <w:lang w:eastAsia="ko-KR"/>
                            </w:rPr>
                          </w:pPr>
                          <w:r w:rsidRPr="00CE7D4D">
                            <w:rPr>
                              <w:rFonts w:ascii="Calibri" w:eastAsia="Calibri" w:hAnsi="Calibri" w:cs="Calibri"/>
                              <w:noProof/>
                              <w:color w:val="000000"/>
                              <w:lang w:eastAsia="ko-KR"/>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2C37C1" id="_x0000_t202" coordsize="21600,21600" o:spt="202" path="m,l,21600r21600,l21600,xe">
              <v:stroke joinstyle="miter"/>
              <v:path gradientshapeok="t" o:connecttype="rect"/>
            </v:shapetype>
            <v:shape id="Text Box 3" o:spid="_x0000_s1027" type="#_x0000_t202" alt="본 문서는 현대자동차·기아의 정보자산으로 귀사와의 비밀유지계약 및 제반법률에 따라 법적 보호를 받습니다."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2BB63C0" w14:textId="79EE9011" w:rsidR="00CE7D4D" w:rsidRPr="00CE7D4D" w:rsidRDefault="00CE7D4D" w:rsidP="00CE7D4D">
                    <w:pPr>
                      <w:rPr>
                        <w:rFonts w:ascii="Calibri" w:eastAsia="Calibri" w:hAnsi="Calibri" w:cs="Calibri"/>
                        <w:noProof/>
                        <w:color w:val="000000"/>
                        <w:lang w:eastAsia="ko-KR"/>
                      </w:rPr>
                    </w:pPr>
                    <w:r w:rsidRPr="00CE7D4D">
                      <w:rPr>
                        <w:rFonts w:ascii="Calibri" w:eastAsia="Calibri" w:hAnsi="Calibri" w:cs="Calibri"/>
                        <w:noProof/>
                        <w:color w:val="000000"/>
                        <w:lang w:eastAsia="ko-KR"/>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9764" w14:textId="7C6B72E6" w:rsidR="00CE7D4D" w:rsidRDefault="00CE7D4D">
    <w:pPr>
      <w:pStyle w:val="Footer"/>
    </w:pPr>
    <w:r>
      <w:rPr>
        <w:noProof/>
      </w:rPr>
      <mc:AlternateContent>
        <mc:Choice Requires="wps">
          <w:drawing>
            <wp:anchor distT="0" distB="0" distL="0" distR="0" simplePos="0" relativeHeight="251658240" behindDoc="0" locked="0" layoutInCell="1" allowOverlap="1" wp14:anchorId="4123D5D8" wp14:editId="03F1C16F">
              <wp:simplePos x="721360" y="10215880"/>
              <wp:positionH relativeFrom="page">
                <wp:align>left</wp:align>
              </wp:positionH>
              <wp:positionV relativeFrom="page">
                <wp:align>bottom</wp:align>
              </wp:positionV>
              <wp:extent cx="443865" cy="443865"/>
              <wp:effectExtent l="0" t="0" r="13970" b="0"/>
              <wp:wrapNone/>
              <wp:docPr id="154810198" name="Text Box 1" descr="본 문서는 현대자동차·기아의 정보자산으로 귀사와의 비밀유지계약 및 제반법률에 따라 법적 보호를 받습니다.">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06426" w14:textId="69CEE868" w:rsidR="00CE7D4D" w:rsidRPr="00CE7D4D" w:rsidRDefault="00CE7D4D" w:rsidP="00CE7D4D">
                          <w:pPr>
                            <w:rPr>
                              <w:rFonts w:ascii="Calibri" w:eastAsia="Calibri" w:hAnsi="Calibri" w:cs="Calibri"/>
                              <w:noProof/>
                              <w:color w:val="000000"/>
                              <w:lang w:eastAsia="ko-KR"/>
                            </w:rPr>
                          </w:pPr>
                          <w:r w:rsidRPr="00CE7D4D">
                            <w:rPr>
                              <w:rFonts w:ascii="Calibri" w:eastAsia="Calibri" w:hAnsi="Calibri" w:cs="Calibri"/>
                              <w:noProof/>
                              <w:color w:val="000000"/>
                              <w:lang w:eastAsia="ko-KR"/>
                            </w:rPr>
                            <w:t>본 문서는 현대자동차·기아의 정보자산으로 귀사와의 비밀유지계약 및 제반법률에 따라 법적 보호를 받습니다.</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23D5D8" id="_x0000_t202" coordsize="21600,21600" o:spt="202" path="m,l,21600r21600,l21600,xe">
              <v:stroke joinstyle="miter"/>
              <v:path gradientshapeok="t" o:connecttype="rect"/>
            </v:shapetype>
            <v:shape id="Text Box 1" o:spid="_x0000_s1028" type="#_x0000_t202" alt="본 문서는 현대자동차·기아의 정보자산으로 귀사와의 비밀유지계약 및 제반법률에 따라 법적 보호를 받습니다."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2C06426" w14:textId="69CEE868" w:rsidR="00CE7D4D" w:rsidRPr="00CE7D4D" w:rsidRDefault="00CE7D4D" w:rsidP="00CE7D4D">
                    <w:pPr>
                      <w:rPr>
                        <w:rFonts w:ascii="Calibri" w:eastAsia="Calibri" w:hAnsi="Calibri" w:cs="Calibri"/>
                        <w:noProof/>
                        <w:color w:val="000000"/>
                        <w:lang w:eastAsia="ko-KR"/>
                      </w:rPr>
                    </w:pPr>
                    <w:r w:rsidRPr="00CE7D4D">
                      <w:rPr>
                        <w:rFonts w:ascii="Calibri" w:eastAsia="Calibri" w:hAnsi="Calibri" w:cs="Calibri"/>
                        <w:noProof/>
                        <w:color w:val="000000"/>
                        <w:lang w:eastAsia="ko-KR"/>
                      </w:rPr>
                      <w:t>본 문서는 현대자동차·기아의 정보자산으로 귀사와의 비밀유지계약 및 제반법률에 따라 법적 보호를 받습니다.</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1D0E" w14:textId="77777777" w:rsidR="001043C7" w:rsidRPr="00E378AC" w:rsidRDefault="001043C7" w:rsidP="00E378AC">
      <w:pPr>
        <w:tabs>
          <w:tab w:val="right" w:pos="2155"/>
        </w:tabs>
        <w:spacing w:after="80"/>
        <w:ind w:left="680"/>
        <w:rPr>
          <w:u w:val="single"/>
        </w:rPr>
      </w:pPr>
      <w:r>
        <w:rPr>
          <w:u w:val="single"/>
        </w:rPr>
        <w:tab/>
      </w:r>
    </w:p>
  </w:footnote>
  <w:footnote w:type="continuationSeparator" w:id="0">
    <w:p w14:paraId="6264E2A0" w14:textId="77777777" w:rsidR="001043C7" w:rsidRDefault="001043C7">
      <w:r>
        <w:continuationSeparator/>
      </w:r>
    </w:p>
  </w:footnote>
  <w:footnote w:type="continuationNotice" w:id="1">
    <w:p w14:paraId="4C9184C2" w14:textId="77777777" w:rsidR="001043C7" w:rsidRDefault="001043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CC74" w14:textId="77777777" w:rsidR="004F1891" w:rsidRDefault="004F18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8036" w14:textId="77777777" w:rsidR="004F1891" w:rsidRDefault="004F1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E5692" w14:paraId="3C29110B" w14:textId="77777777" w:rsidTr="00372AA8">
      <w:tc>
        <w:tcPr>
          <w:tcW w:w="4814" w:type="dxa"/>
        </w:tcPr>
        <w:p w14:paraId="6B6EB1CA" w14:textId="778A04D9" w:rsidR="00FE5692" w:rsidRDefault="00FE5692" w:rsidP="00FE5692">
          <w:pPr>
            <w:pStyle w:val="Header"/>
            <w:pBdr>
              <w:bottom w:val="none" w:sz="0" w:space="0" w:color="auto"/>
            </w:pBdr>
            <w:rPr>
              <w:b w:val="0"/>
              <w:bCs/>
              <w:sz w:val="22"/>
              <w:szCs w:val="22"/>
              <w:lang w:val="en-US"/>
            </w:rPr>
          </w:pPr>
          <w:r>
            <w:rPr>
              <w:b w:val="0"/>
              <w:bCs/>
              <w:sz w:val="22"/>
              <w:szCs w:val="22"/>
              <w:lang w:val="en-US"/>
            </w:rPr>
            <w:t xml:space="preserve">Submitted by the experts from </w:t>
          </w:r>
          <w:r>
            <w:rPr>
              <w:b w:val="0"/>
              <w:bCs/>
              <w:sz w:val="22"/>
              <w:szCs w:val="22"/>
              <w:lang w:val="en-US"/>
            </w:rPr>
            <w:t>the Republic of Korea</w:t>
          </w:r>
        </w:p>
      </w:tc>
      <w:tc>
        <w:tcPr>
          <w:tcW w:w="4815" w:type="dxa"/>
        </w:tcPr>
        <w:p w14:paraId="10A7713F" w14:textId="2D7AB817" w:rsidR="00FE5692" w:rsidRPr="00AD41D7" w:rsidRDefault="00FE5692" w:rsidP="00FE5692">
          <w:pPr>
            <w:pStyle w:val="Header"/>
            <w:pBdr>
              <w:bottom w:val="none" w:sz="0" w:space="0" w:color="auto"/>
            </w:pBdr>
            <w:jc w:val="right"/>
            <w:rPr>
              <w:b w:val="0"/>
              <w:bCs/>
              <w:sz w:val="22"/>
              <w:szCs w:val="22"/>
              <w:lang w:val="en-US"/>
            </w:rPr>
          </w:pPr>
          <w:r w:rsidRPr="00AB3D9D">
            <w:rPr>
              <w:b w:val="0"/>
              <w:bCs/>
              <w:sz w:val="22"/>
              <w:szCs w:val="22"/>
              <w:u w:val="single"/>
              <w:lang w:val="en-US"/>
            </w:rPr>
            <w:t>Informal document</w:t>
          </w:r>
          <w:r>
            <w:rPr>
              <w:b w:val="0"/>
              <w:bCs/>
              <w:sz w:val="22"/>
              <w:szCs w:val="22"/>
              <w:lang w:val="en-US"/>
            </w:rPr>
            <w:t xml:space="preserve"> </w:t>
          </w:r>
          <w:r w:rsidRPr="00AB3D9D">
            <w:rPr>
              <w:sz w:val="22"/>
              <w:szCs w:val="22"/>
              <w:lang w:val="en-US"/>
            </w:rPr>
            <w:t>GR</w:t>
          </w:r>
          <w:r>
            <w:rPr>
              <w:sz w:val="22"/>
              <w:szCs w:val="22"/>
              <w:lang w:val="en-US"/>
            </w:rPr>
            <w:t>SG-128-</w:t>
          </w:r>
          <w:r>
            <w:rPr>
              <w:sz w:val="22"/>
              <w:szCs w:val="22"/>
              <w:lang w:val="en-US"/>
            </w:rPr>
            <w:t>35</w:t>
          </w:r>
          <w:r>
            <w:rPr>
              <w:b w:val="0"/>
              <w:bCs/>
              <w:sz w:val="22"/>
              <w:szCs w:val="22"/>
              <w:lang w:val="en-US"/>
            </w:rPr>
            <w:br/>
          </w:r>
          <w:r w:rsidRPr="00A66F8F">
            <w:rPr>
              <w:b w:val="0"/>
              <w:bCs/>
              <w:sz w:val="22"/>
              <w:szCs w:val="22"/>
              <w:lang w:val="en-US"/>
            </w:rPr>
            <w:t>1</w:t>
          </w:r>
          <w:r>
            <w:rPr>
              <w:b w:val="0"/>
              <w:bCs/>
              <w:sz w:val="22"/>
              <w:szCs w:val="22"/>
              <w:lang w:val="en-US"/>
            </w:rPr>
            <w:t>28</w:t>
          </w:r>
          <w:r w:rsidRPr="004344AC">
            <w:rPr>
              <w:b w:val="0"/>
              <w:bCs/>
              <w:sz w:val="22"/>
              <w:szCs w:val="22"/>
              <w:vertAlign w:val="superscript"/>
              <w:lang w:val="en-US"/>
            </w:rPr>
            <w:t>th</w:t>
          </w:r>
          <w:r w:rsidRPr="004344AC">
            <w:rPr>
              <w:b w:val="0"/>
              <w:bCs/>
              <w:sz w:val="22"/>
              <w:szCs w:val="22"/>
              <w:lang w:val="en-US"/>
            </w:rPr>
            <w:t xml:space="preserve"> GR</w:t>
          </w:r>
          <w:r>
            <w:rPr>
              <w:b w:val="0"/>
              <w:bCs/>
              <w:sz w:val="22"/>
              <w:szCs w:val="22"/>
              <w:lang w:val="en-US"/>
            </w:rPr>
            <w:t>SG</w:t>
          </w:r>
          <w:r w:rsidRPr="004344AC">
            <w:rPr>
              <w:b w:val="0"/>
              <w:bCs/>
              <w:sz w:val="22"/>
              <w:szCs w:val="22"/>
              <w:lang w:val="en-US"/>
            </w:rPr>
            <w:t xml:space="preserve">, </w:t>
          </w:r>
          <w:r>
            <w:rPr>
              <w:b w:val="0"/>
              <w:bCs/>
              <w:sz w:val="22"/>
              <w:szCs w:val="22"/>
              <w:lang w:val="en-US"/>
            </w:rPr>
            <w:t>7-11 October</w:t>
          </w:r>
          <w:r w:rsidRPr="004344AC">
            <w:rPr>
              <w:b w:val="0"/>
              <w:bCs/>
              <w:sz w:val="22"/>
              <w:szCs w:val="22"/>
              <w:lang w:val="en-US"/>
            </w:rPr>
            <w:t xml:space="preserve"> </w:t>
          </w:r>
          <w:r>
            <w:rPr>
              <w:b w:val="0"/>
              <w:bCs/>
              <w:sz w:val="22"/>
              <w:szCs w:val="22"/>
              <w:lang w:val="en-US"/>
            </w:rPr>
            <w:t>2024</w:t>
          </w:r>
        </w:p>
        <w:p w14:paraId="02B02FDE" w14:textId="77777777" w:rsidR="00FE5692" w:rsidRDefault="00FE5692" w:rsidP="00FE5692">
          <w:pPr>
            <w:pStyle w:val="Header"/>
            <w:pBdr>
              <w:bottom w:val="none" w:sz="0" w:space="0" w:color="auto"/>
            </w:pBdr>
            <w:jc w:val="right"/>
            <w:rPr>
              <w:b w:val="0"/>
              <w:bCs/>
              <w:sz w:val="22"/>
              <w:szCs w:val="22"/>
              <w:lang w:val="en-US"/>
            </w:rPr>
          </w:pPr>
          <w:r w:rsidRPr="00AD41D7">
            <w:rPr>
              <w:b w:val="0"/>
              <w:bCs/>
            </w:rPr>
            <w:t xml:space="preserve">Agenda item </w:t>
          </w:r>
          <w:r>
            <w:rPr>
              <w:b w:val="0"/>
              <w:bCs/>
            </w:rPr>
            <w:t>4(b)</w:t>
          </w:r>
        </w:p>
      </w:tc>
    </w:tr>
  </w:tbl>
  <w:p w14:paraId="776108F8" w14:textId="77777777" w:rsidR="004F1891" w:rsidRDefault="004F1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F22EF"/>
    <w:multiLevelType w:val="hybridMultilevel"/>
    <w:tmpl w:val="CFEABA3A"/>
    <w:lvl w:ilvl="0" w:tplc="0ABC540A">
      <w:numFmt w:val="bullet"/>
      <w:lvlText w:val="-"/>
      <w:lvlJc w:val="left"/>
      <w:pPr>
        <w:ind w:left="2628" w:hanging="360"/>
      </w:pPr>
      <w:rPr>
        <w:rFonts w:ascii="Times New Roman" w:eastAsia="DengXian"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11"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20968"/>
    <w:multiLevelType w:val="hybridMultilevel"/>
    <w:tmpl w:val="F4701F80"/>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30EC15F1"/>
    <w:multiLevelType w:val="multilevel"/>
    <w:tmpl w:val="CDEC752A"/>
    <w:lvl w:ilvl="0">
      <w:start w:val="5"/>
      <w:numFmt w:val="decimal"/>
      <w:lvlText w:val="%1."/>
      <w:lvlJc w:val="left"/>
      <w:pPr>
        <w:ind w:left="1494" w:hanging="360"/>
      </w:pPr>
      <w:rPr>
        <w:rFonts w:hint="default"/>
      </w:rPr>
    </w:lvl>
    <w:lvl w:ilvl="1">
      <w:start w:val="3"/>
      <w:numFmt w:val="decimal"/>
      <w:isLgl/>
      <w:lvlText w:val="%1.%2."/>
      <w:lvlJc w:val="left"/>
      <w:pPr>
        <w:ind w:left="1778" w:hanging="360"/>
      </w:pPr>
      <w:rPr>
        <w:rFonts w:hint="default"/>
        <w:strike w:val="0"/>
      </w:rPr>
    </w:lvl>
    <w:lvl w:ilvl="2">
      <w:start w:val="3"/>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4"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7AD70A7"/>
    <w:multiLevelType w:val="multilevel"/>
    <w:tmpl w:val="541073A6"/>
    <w:lvl w:ilvl="0">
      <w:start w:val="1"/>
      <w:numFmt w:val="decimal"/>
      <w:lvlText w:val="%1."/>
      <w:lvlJc w:val="left"/>
      <w:pPr>
        <w:ind w:left="1494" w:hanging="360"/>
      </w:pPr>
      <w:rPr>
        <w:rFonts w:hint="default"/>
      </w:rPr>
    </w:lvl>
    <w:lvl w:ilvl="1">
      <w:start w:val="1"/>
      <w:numFmt w:val="decimal"/>
      <w:isLgl/>
      <w:lvlText w:val="%1.%2."/>
      <w:lvlJc w:val="left"/>
      <w:pPr>
        <w:ind w:left="1636" w:hanging="360"/>
      </w:pPr>
      <w:rPr>
        <w:rFonts w:hint="default"/>
        <w:strike w:val="0"/>
        <w:lang w:val="en-GB"/>
      </w:rPr>
    </w:lvl>
    <w:lvl w:ilvl="2">
      <w:start w:val="1"/>
      <w:numFmt w:val="decimal"/>
      <w:isLgl/>
      <w:lvlText w:val="%1.%2.%3."/>
      <w:lvlJc w:val="left"/>
      <w:pPr>
        <w:ind w:left="2847"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62" w:hanging="1080"/>
      </w:pPr>
      <w:rPr>
        <w:rFonts w:hint="default"/>
      </w:rPr>
    </w:lvl>
    <w:lvl w:ilvl="5">
      <w:start w:val="1"/>
      <w:numFmt w:val="decimal"/>
      <w:isLgl/>
      <w:lvlText w:val="%1.%2.%3.%4.%5.%6."/>
      <w:lvlJc w:val="left"/>
      <w:pPr>
        <w:ind w:left="2274" w:hanging="1080"/>
      </w:pPr>
      <w:rPr>
        <w:rFonts w:hint="default"/>
      </w:rPr>
    </w:lvl>
    <w:lvl w:ilvl="6">
      <w:start w:val="1"/>
      <w:numFmt w:val="decimal"/>
      <w:isLgl/>
      <w:lvlText w:val="%1.%2.%3.%4.%5.%6.%7."/>
      <w:lvlJc w:val="left"/>
      <w:pPr>
        <w:ind w:left="2286" w:hanging="1080"/>
      </w:pPr>
      <w:rPr>
        <w:rFonts w:hint="default"/>
      </w:rPr>
    </w:lvl>
    <w:lvl w:ilvl="7">
      <w:start w:val="1"/>
      <w:numFmt w:val="decimal"/>
      <w:isLgl/>
      <w:lvlText w:val="%1.%2.%3.%4.%5.%6.%7.%8."/>
      <w:lvlJc w:val="left"/>
      <w:pPr>
        <w:ind w:left="2658" w:hanging="1440"/>
      </w:pPr>
      <w:rPr>
        <w:rFonts w:hint="default"/>
      </w:rPr>
    </w:lvl>
    <w:lvl w:ilvl="8">
      <w:start w:val="1"/>
      <w:numFmt w:val="decimal"/>
      <w:isLgl/>
      <w:lvlText w:val="%1.%2.%3.%4.%5.%6.%7.%8.%9."/>
      <w:lvlJc w:val="left"/>
      <w:pPr>
        <w:ind w:left="2670" w:hanging="1440"/>
      </w:pPr>
      <w:rPr>
        <w:rFonts w:hint="default"/>
      </w:rPr>
    </w:lvl>
  </w:abstractNum>
  <w:abstractNum w:abstractNumId="16" w15:restartNumberingAfterBreak="0">
    <w:nsid w:val="4C0B0359"/>
    <w:multiLevelType w:val="hybridMultilevel"/>
    <w:tmpl w:val="B5FC2FA6"/>
    <w:lvl w:ilvl="0" w:tplc="6F8E1A1A">
      <w:start w:val="1"/>
      <w:numFmt w:val="decimal"/>
      <w:lvlText w:val="%1."/>
      <w:lvlJc w:val="left"/>
      <w:pPr>
        <w:ind w:left="3704" w:hanging="360"/>
      </w:pPr>
      <w:rPr>
        <w:rFonts w:hint="default"/>
      </w:rPr>
    </w:lvl>
    <w:lvl w:ilvl="1" w:tplc="041D0019">
      <w:start w:val="1"/>
      <w:numFmt w:val="lowerLetter"/>
      <w:lvlText w:val="%2."/>
      <w:lvlJc w:val="left"/>
      <w:pPr>
        <w:ind w:left="4424" w:hanging="360"/>
      </w:pPr>
    </w:lvl>
    <w:lvl w:ilvl="2" w:tplc="041D001B" w:tentative="1">
      <w:start w:val="1"/>
      <w:numFmt w:val="lowerRoman"/>
      <w:lvlText w:val="%3."/>
      <w:lvlJc w:val="right"/>
      <w:pPr>
        <w:ind w:left="5144" w:hanging="180"/>
      </w:pPr>
    </w:lvl>
    <w:lvl w:ilvl="3" w:tplc="041D000F" w:tentative="1">
      <w:start w:val="1"/>
      <w:numFmt w:val="decimal"/>
      <w:lvlText w:val="%4."/>
      <w:lvlJc w:val="left"/>
      <w:pPr>
        <w:ind w:left="5864" w:hanging="360"/>
      </w:pPr>
    </w:lvl>
    <w:lvl w:ilvl="4" w:tplc="041D0019" w:tentative="1">
      <w:start w:val="1"/>
      <w:numFmt w:val="lowerLetter"/>
      <w:lvlText w:val="%5."/>
      <w:lvlJc w:val="left"/>
      <w:pPr>
        <w:ind w:left="6584" w:hanging="360"/>
      </w:pPr>
    </w:lvl>
    <w:lvl w:ilvl="5" w:tplc="041D001B" w:tentative="1">
      <w:start w:val="1"/>
      <w:numFmt w:val="lowerRoman"/>
      <w:lvlText w:val="%6."/>
      <w:lvlJc w:val="right"/>
      <w:pPr>
        <w:ind w:left="7304" w:hanging="180"/>
      </w:pPr>
    </w:lvl>
    <w:lvl w:ilvl="6" w:tplc="041D000F" w:tentative="1">
      <w:start w:val="1"/>
      <w:numFmt w:val="decimal"/>
      <w:lvlText w:val="%7."/>
      <w:lvlJc w:val="left"/>
      <w:pPr>
        <w:ind w:left="8024" w:hanging="360"/>
      </w:pPr>
    </w:lvl>
    <w:lvl w:ilvl="7" w:tplc="041D0019" w:tentative="1">
      <w:start w:val="1"/>
      <w:numFmt w:val="lowerLetter"/>
      <w:lvlText w:val="%8."/>
      <w:lvlJc w:val="left"/>
      <w:pPr>
        <w:ind w:left="8744" w:hanging="360"/>
      </w:pPr>
    </w:lvl>
    <w:lvl w:ilvl="8" w:tplc="041D001B" w:tentative="1">
      <w:start w:val="1"/>
      <w:numFmt w:val="lowerRoman"/>
      <w:lvlText w:val="%9."/>
      <w:lvlJc w:val="right"/>
      <w:pPr>
        <w:ind w:left="9464" w:hanging="180"/>
      </w:pPr>
    </w:lvl>
  </w:abstractNum>
  <w:abstractNum w:abstractNumId="17"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58BE32C5"/>
    <w:multiLevelType w:val="hybridMultilevel"/>
    <w:tmpl w:val="C1684772"/>
    <w:lvl w:ilvl="0" w:tplc="E238394E">
      <w:start w:val="1"/>
      <w:numFmt w:val="lowerLetter"/>
      <w:lvlText w:val="(%1)"/>
      <w:lvlJc w:val="left"/>
      <w:pPr>
        <w:ind w:left="2199" w:hanging="360"/>
      </w:pPr>
      <w:rPr>
        <w:rFonts w:hint="default"/>
      </w:rPr>
    </w:lvl>
    <w:lvl w:ilvl="1" w:tplc="040C0019" w:tentative="1">
      <w:start w:val="1"/>
      <w:numFmt w:val="lowerLetter"/>
      <w:lvlText w:val="%2."/>
      <w:lvlJc w:val="left"/>
      <w:pPr>
        <w:ind w:left="2919" w:hanging="360"/>
      </w:pPr>
    </w:lvl>
    <w:lvl w:ilvl="2" w:tplc="040C001B" w:tentative="1">
      <w:start w:val="1"/>
      <w:numFmt w:val="lowerRoman"/>
      <w:lvlText w:val="%3."/>
      <w:lvlJc w:val="right"/>
      <w:pPr>
        <w:ind w:left="3639" w:hanging="180"/>
      </w:pPr>
    </w:lvl>
    <w:lvl w:ilvl="3" w:tplc="040C000F" w:tentative="1">
      <w:start w:val="1"/>
      <w:numFmt w:val="decimal"/>
      <w:lvlText w:val="%4."/>
      <w:lvlJc w:val="left"/>
      <w:pPr>
        <w:ind w:left="4359" w:hanging="360"/>
      </w:pPr>
    </w:lvl>
    <w:lvl w:ilvl="4" w:tplc="040C0019" w:tentative="1">
      <w:start w:val="1"/>
      <w:numFmt w:val="lowerLetter"/>
      <w:lvlText w:val="%5."/>
      <w:lvlJc w:val="left"/>
      <w:pPr>
        <w:ind w:left="5079" w:hanging="360"/>
      </w:pPr>
    </w:lvl>
    <w:lvl w:ilvl="5" w:tplc="040C001B" w:tentative="1">
      <w:start w:val="1"/>
      <w:numFmt w:val="lowerRoman"/>
      <w:lvlText w:val="%6."/>
      <w:lvlJc w:val="right"/>
      <w:pPr>
        <w:ind w:left="5799" w:hanging="180"/>
      </w:pPr>
    </w:lvl>
    <w:lvl w:ilvl="6" w:tplc="040C000F" w:tentative="1">
      <w:start w:val="1"/>
      <w:numFmt w:val="decimal"/>
      <w:lvlText w:val="%7."/>
      <w:lvlJc w:val="left"/>
      <w:pPr>
        <w:ind w:left="6519" w:hanging="360"/>
      </w:pPr>
    </w:lvl>
    <w:lvl w:ilvl="7" w:tplc="040C0019" w:tentative="1">
      <w:start w:val="1"/>
      <w:numFmt w:val="lowerLetter"/>
      <w:lvlText w:val="%8."/>
      <w:lvlJc w:val="left"/>
      <w:pPr>
        <w:ind w:left="7239" w:hanging="360"/>
      </w:pPr>
    </w:lvl>
    <w:lvl w:ilvl="8" w:tplc="040C001B" w:tentative="1">
      <w:start w:val="1"/>
      <w:numFmt w:val="lowerRoman"/>
      <w:lvlText w:val="%9."/>
      <w:lvlJc w:val="right"/>
      <w:pPr>
        <w:ind w:left="7959" w:hanging="180"/>
      </w:pPr>
    </w:lvl>
  </w:abstractNum>
  <w:abstractNum w:abstractNumId="19" w15:restartNumberingAfterBreak="0">
    <w:nsid w:val="591C419D"/>
    <w:multiLevelType w:val="hybridMultilevel"/>
    <w:tmpl w:val="E8AE03E4"/>
    <w:lvl w:ilvl="0" w:tplc="0ABC540A">
      <w:numFmt w:val="bullet"/>
      <w:lvlText w:val="-"/>
      <w:lvlJc w:val="left"/>
      <w:pPr>
        <w:ind w:left="3555" w:hanging="360"/>
      </w:pPr>
      <w:rPr>
        <w:rFonts w:ascii="Times New Roman" w:eastAsia="DengXian" w:hAnsi="Times New Roman" w:cs="Times New Roman"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0" w15:restartNumberingAfterBreak="0">
    <w:nsid w:val="59B301AC"/>
    <w:multiLevelType w:val="hybridMultilevel"/>
    <w:tmpl w:val="C98A693E"/>
    <w:lvl w:ilvl="0" w:tplc="1870DAC0">
      <w:start w:val="1"/>
      <w:numFmt w:val="lowerLetter"/>
      <w:lvlText w:val="(%1)"/>
      <w:lvlJc w:val="left"/>
      <w:pPr>
        <w:ind w:left="2628" w:hanging="360"/>
      </w:pPr>
      <w:rPr>
        <w:rFonts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1" w15:restartNumberingAfterBreak="0">
    <w:nsid w:val="6280268C"/>
    <w:multiLevelType w:val="hybridMultilevel"/>
    <w:tmpl w:val="DFEE5888"/>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6AB851F6"/>
    <w:multiLevelType w:val="hybridMultilevel"/>
    <w:tmpl w:val="17F805CE"/>
    <w:lvl w:ilvl="0" w:tplc="1870DAC0">
      <w:start w:val="1"/>
      <w:numFmt w:val="lowerLetter"/>
      <w:lvlText w:val="(%1)"/>
      <w:lvlJc w:val="left"/>
      <w:pPr>
        <w:ind w:left="3555" w:hanging="360"/>
      </w:pPr>
      <w:rPr>
        <w:rFonts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23" w15:restartNumberingAfterBreak="0">
    <w:nsid w:val="6E2004E1"/>
    <w:multiLevelType w:val="hybridMultilevel"/>
    <w:tmpl w:val="5636DADE"/>
    <w:lvl w:ilvl="0" w:tplc="084C86F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num w:numId="1" w16cid:durableId="2018849605">
    <w:abstractNumId w:val="9"/>
  </w:num>
  <w:num w:numId="2" w16cid:durableId="143663534">
    <w:abstractNumId w:val="7"/>
  </w:num>
  <w:num w:numId="3" w16cid:durableId="478961994">
    <w:abstractNumId w:val="6"/>
  </w:num>
  <w:num w:numId="4" w16cid:durableId="243032297">
    <w:abstractNumId w:val="5"/>
  </w:num>
  <w:num w:numId="5" w16cid:durableId="1492987023">
    <w:abstractNumId w:val="4"/>
  </w:num>
  <w:num w:numId="6" w16cid:durableId="1130123978">
    <w:abstractNumId w:val="8"/>
  </w:num>
  <w:num w:numId="7" w16cid:durableId="1160268861">
    <w:abstractNumId w:val="3"/>
  </w:num>
  <w:num w:numId="8" w16cid:durableId="1678115993">
    <w:abstractNumId w:val="2"/>
  </w:num>
  <w:num w:numId="9" w16cid:durableId="502474403">
    <w:abstractNumId w:val="1"/>
  </w:num>
  <w:num w:numId="10" w16cid:durableId="1656102673">
    <w:abstractNumId w:val="0"/>
  </w:num>
  <w:num w:numId="11" w16cid:durableId="1638149822">
    <w:abstractNumId w:val="9"/>
  </w:num>
  <w:num w:numId="12" w16cid:durableId="398554803">
    <w:abstractNumId w:val="7"/>
  </w:num>
  <w:num w:numId="13" w16cid:durableId="1273905465">
    <w:abstractNumId w:val="6"/>
  </w:num>
  <w:num w:numId="14" w16cid:durableId="2062551349">
    <w:abstractNumId w:val="5"/>
  </w:num>
  <w:num w:numId="15" w16cid:durableId="625505682">
    <w:abstractNumId w:val="4"/>
  </w:num>
  <w:num w:numId="16" w16cid:durableId="398753252">
    <w:abstractNumId w:val="8"/>
  </w:num>
  <w:num w:numId="17" w16cid:durableId="1710254383">
    <w:abstractNumId w:val="3"/>
  </w:num>
  <w:num w:numId="18" w16cid:durableId="2094353726">
    <w:abstractNumId w:val="2"/>
  </w:num>
  <w:num w:numId="19" w16cid:durableId="1319111296">
    <w:abstractNumId w:val="1"/>
  </w:num>
  <w:num w:numId="20" w16cid:durableId="906305881">
    <w:abstractNumId w:val="0"/>
  </w:num>
  <w:num w:numId="21" w16cid:durableId="273169251">
    <w:abstractNumId w:val="11"/>
  </w:num>
  <w:num w:numId="22" w16cid:durableId="1521167548">
    <w:abstractNumId w:val="26"/>
  </w:num>
  <w:num w:numId="23" w16cid:durableId="473833231">
    <w:abstractNumId w:val="17"/>
  </w:num>
  <w:num w:numId="24" w16cid:durableId="753630417">
    <w:abstractNumId w:val="25"/>
  </w:num>
  <w:num w:numId="25" w16cid:durableId="163515936">
    <w:abstractNumId w:val="24"/>
  </w:num>
  <w:num w:numId="26" w16cid:durableId="1947225069">
    <w:abstractNumId w:val="14"/>
  </w:num>
  <w:num w:numId="27" w16cid:durableId="1876044854">
    <w:abstractNumId w:val="21"/>
  </w:num>
  <w:num w:numId="28" w16cid:durableId="614680128">
    <w:abstractNumId w:val="16"/>
  </w:num>
  <w:num w:numId="29" w16cid:durableId="2031486847">
    <w:abstractNumId w:val="18"/>
  </w:num>
  <w:num w:numId="30" w16cid:durableId="1463570241">
    <w:abstractNumId w:val="15"/>
  </w:num>
  <w:num w:numId="31" w16cid:durableId="37164263">
    <w:abstractNumId w:val="19"/>
  </w:num>
  <w:num w:numId="32" w16cid:durableId="1814638524">
    <w:abstractNumId w:val="10"/>
  </w:num>
  <w:num w:numId="33" w16cid:durableId="1051929296">
    <w:abstractNumId w:val="13"/>
  </w:num>
  <w:num w:numId="34" w16cid:durableId="1027750815">
    <w:abstractNumId w:val="20"/>
  </w:num>
  <w:num w:numId="35" w16cid:durableId="1914198495">
    <w:abstractNumId w:val="22"/>
  </w:num>
  <w:num w:numId="36" w16cid:durableId="126051793">
    <w:abstractNumId w:val="12"/>
  </w:num>
  <w:num w:numId="37" w16cid:durableId="184342530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567"/>
  <w:hyphenationZone w:val="425"/>
  <w:evenAndOddHeaders/>
  <w:characterSpacingControl w:val="doNotCompress"/>
  <w:hdrShapeDefaults>
    <o:shapedefaults v:ext="edit" spidmax="2050">
      <v:textbox inset="5.85pt,.7pt,5.85pt,.7pt"/>
    </o:shapedefaults>
  </w:hdrShapeDefaults>
  <w:footnotePr>
    <w:numFmt w:val="decimalFullWidth"/>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11"/>
    <w:rsid w:val="00001812"/>
    <w:rsid w:val="000107D8"/>
    <w:rsid w:val="00012716"/>
    <w:rsid w:val="00025CF8"/>
    <w:rsid w:val="000313AB"/>
    <w:rsid w:val="000350BE"/>
    <w:rsid w:val="00044292"/>
    <w:rsid w:val="00055FA8"/>
    <w:rsid w:val="00056FD9"/>
    <w:rsid w:val="0005715A"/>
    <w:rsid w:val="00066E26"/>
    <w:rsid w:val="00071608"/>
    <w:rsid w:val="00093C25"/>
    <w:rsid w:val="000A219B"/>
    <w:rsid w:val="000B7E36"/>
    <w:rsid w:val="000C356D"/>
    <w:rsid w:val="000C75E6"/>
    <w:rsid w:val="000D0D93"/>
    <w:rsid w:val="000D367D"/>
    <w:rsid w:val="000D5239"/>
    <w:rsid w:val="000E252E"/>
    <w:rsid w:val="000E773D"/>
    <w:rsid w:val="00101BEF"/>
    <w:rsid w:val="001043C7"/>
    <w:rsid w:val="00104600"/>
    <w:rsid w:val="0011327F"/>
    <w:rsid w:val="00115362"/>
    <w:rsid w:val="00120BF2"/>
    <w:rsid w:val="001309F4"/>
    <w:rsid w:val="00144F2A"/>
    <w:rsid w:val="00151208"/>
    <w:rsid w:val="00154B1D"/>
    <w:rsid w:val="00156754"/>
    <w:rsid w:val="001661A8"/>
    <w:rsid w:val="0016717E"/>
    <w:rsid w:val="001708E2"/>
    <w:rsid w:val="0017097E"/>
    <w:rsid w:val="00170E8B"/>
    <w:rsid w:val="00174CAC"/>
    <w:rsid w:val="00183BAC"/>
    <w:rsid w:val="00186822"/>
    <w:rsid w:val="001906F5"/>
    <w:rsid w:val="00190BEE"/>
    <w:rsid w:val="00192C4B"/>
    <w:rsid w:val="00197A14"/>
    <w:rsid w:val="00197E0D"/>
    <w:rsid w:val="001A3756"/>
    <w:rsid w:val="001B4466"/>
    <w:rsid w:val="001B5B00"/>
    <w:rsid w:val="001C03BD"/>
    <w:rsid w:val="001C3ACD"/>
    <w:rsid w:val="001C5728"/>
    <w:rsid w:val="001D0DAC"/>
    <w:rsid w:val="001D6C5C"/>
    <w:rsid w:val="001E50C1"/>
    <w:rsid w:val="001E6F5C"/>
    <w:rsid w:val="001F067D"/>
    <w:rsid w:val="001F1DCE"/>
    <w:rsid w:val="001F27DC"/>
    <w:rsid w:val="001F3F6A"/>
    <w:rsid w:val="002022EC"/>
    <w:rsid w:val="00203BAB"/>
    <w:rsid w:val="00203C11"/>
    <w:rsid w:val="00214421"/>
    <w:rsid w:val="002145EE"/>
    <w:rsid w:val="00216BF2"/>
    <w:rsid w:val="00222D9F"/>
    <w:rsid w:val="00223E27"/>
    <w:rsid w:val="0023058A"/>
    <w:rsid w:val="002312DA"/>
    <w:rsid w:val="00242021"/>
    <w:rsid w:val="002474FC"/>
    <w:rsid w:val="00253068"/>
    <w:rsid w:val="00254D5C"/>
    <w:rsid w:val="00255851"/>
    <w:rsid w:val="00255A96"/>
    <w:rsid w:val="00261443"/>
    <w:rsid w:val="00265779"/>
    <w:rsid w:val="0027542D"/>
    <w:rsid w:val="00277E64"/>
    <w:rsid w:val="00281FED"/>
    <w:rsid w:val="00284717"/>
    <w:rsid w:val="002879CA"/>
    <w:rsid w:val="002B3BEA"/>
    <w:rsid w:val="002B4811"/>
    <w:rsid w:val="002C0C47"/>
    <w:rsid w:val="002D24E5"/>
    <w:rsid w:val="002D3159"/>
    <w:rsid w:val="002E1A58"/>
    <w:rsid w:val="002E3A07"/>
    <w:rsid w:val="002E5C78"/>
    <w:rsid w:val="002E6B62"/>
    <w:rsid w:val="00302B09"/>
    <w:rsid w:val="0031013E"/>
    <w:rsid w:val="003134C4"/>
    <w:rsid w:val="00323083"/>
    <w:rsid w:val="00326F61"/>
    <w:rsid w:val="003303C9"/>
    <w:rsid w:val="003341C3"/>
    <w:rsid w:val="00340A6E"/>
    <w:rsid w:val="00343F08"/>
    <w:rsid w:val="00351879"/>
    <w:rsid w:val="00362A08"/>
    <w:rsid w:val="00363633"/>
    <w:rsid w:val="00363C7A"/>
    <w:rsid w:val="003668EB"/>
    <w:rsid w:val="003828E4"/>
    <w:rsid w:val="00386259"/>
    <w:rsid w:val="0039598B"/>
    <w:rsid w:val="00395AF4"/>
    <w:rsid w:val="00397754"/>
    <w:rsid w:val="003A4A40"/>
    <w:rsid w:val="003C567E"/>
    <w:rsid w:val="003C7D56"/>
    <w:rsid w:val="003D4CFE"/>
    <w:rsid w:val="003E10F6"/>
    <w:rsid w:val="003E46C0"/>
    <w:rsid w:val="003F5420"/>
    <w:rsid w:val="003F6A1F"/>
    <w:rsid w:val="0040340A"/>
    <w:rsid w:val="00411DA6"/>
    <w:rsid w:val="00416C08"/>
    <w:rsid w:val="00432AB5"/>
    <w:rsid w:val="00434199"/>
    <w:rsid w:val="00436A7E"/>
    <w:rsid w:val="00443D8B"/>
    <w:rsid w:val="004459AA"/>
    <w:rsid w:val="00447533"/>
    <w:rsid w:val="00454729"/>
    <w:rsid w:val="00461D8F"/>
    <w:rsid w:val="004827C6"/>
    <w:rsid w:val="004866EB"/>
    <w:rsid w:val="004A29E9"/>
    <w:rsid w:val="004C01D3"/>
    <w:rsid w:val="004C1F24"/>
    <w:rsid w:val="004C7EC4"/>
    <w:rsid w:val="004D0240"/>
    <w:rsid w:val="004D0270"/>
    <w:rsid w:val="004D0435"/>
    <w:rsid w:val="004D133E"/>
    <w:rsid w:val="004D3868"/>
    <w:rsid w:val="004D3A5F"/>
    <w:rsid w:val="004D4317"/>
    <w:rsid w:val="004D5823"/>
    <w:rsid w:val="004D5A4F"/>
    <w:rsid w:val="004E1C7E"/>
    <w:rsid w:val="004E39C6"/>
    <w:rsid w:val="004E652D"/>
    <w:rsid w:val="004F1891"/>
    <w:rsid w:val="004F2445"/>
    <w:rsid w:val="00502847"/>
    <w:rsid w:val="00504ACC"/>
    <w:rsid w:val="00507731"/>
    <w:rsid w:val="00516F85"/>
    <w:rsid w:val="00527503"/>
    <w:rsid w:val="005350D6"/>
    <w:rsid w:val="00535788"/>
    <w:rsid w:val="00540D96"/>
    <w:rsid w:val="00541748"/>
    <w:rsid w:val="00547077"/>
    <w:rsid w:val="00565A08"/>
    <w:rsid w:val="0056628A"/>
    <w:rsid w:val="005750C8"/>
    <w:rsid w:val="005762BC"/>
    <w:rsid w:val="00577F18"/>
    <w:rsid w:val="005830F4"/>
    <w:rsid w:val="00592DED"/>
    <w:rsid w:val="0059330F"/>
    <w:rsid w:val="005A393A"/>
    <w:rsid w:val="005A39FD"/>
    <w:rsid w:val="005B07E6"/>
    <w:rsid w:val="005B3E3F"/>
    <w:rsid w:val="005B6C32"/>
    <w:rsid w:val="005C1204"/>
    <w:rsid w:val="005C55E1"/>
    <w:rsid w:val="005D0473"/>
    <w:rsid w:val="005D27CB"/>
    <w:rsid w:val="005D37CC"/>
    <w:rsid w:val="005D3C17"/>
    <w:rsid w:val="005D69EF"/>
    <w:rsid w:val="005F3F70"/>
    <w:rsid w:val="006007D4"/>
    <w:rsid w:val="00602464"/>
    <w:rsid w:val="0060374F"/>
    <w:rsid w:val="00603B01"/>
    <w:rsid w:val="00604083"/>
    <w:rsid w:val="00605F2E"/>
    <w:rsid w:val="00606343"/>
    <w:rsid w:val="00622E3D"/>
    <w:rsid w:val="0062389C"/>
    <w:rsid w:val="0062604B"/>
    <w:rsid w:val="00627026"/>
    <w:rsid w:val="006321A9"/>
    <w:rsid w:val="00647E02"/>
    <w:rsid w:val="0065651D"/>
    <w:rsid w:val="0068126D"/>
    <w:rsid w:val="00686461"/>
    <w:rsid w:val="00691C29"/>
    <w:rsid w:val="00692C41"/>
    <w:rsid w:val="006A2B1F"/>
    <w:rsid w:val="006B40F3"/>
    <w:rsid w:val="006C2F16"/>
    <w:rsid w:val="006F13D9"/>
    <w:rsid w:val="006F2B2E"/>
    <w:rsid w:val="006F4C48"/>
    <w:rsid w:val="006F6664"/>
    <w:rsid w:val="007021CC"/>
    <w:rsid w:val="00705242"/>
    <w:rsid w:val="00717F9C"/>
    <w:rsid w:val="00741F61"/>
    <w:rsid w:val="0074607C"/>
    <w:rsid w:val="00750D10"/>
    <w:rsid w:val="00750E06"/>
    <w:rsid w:val="00750FB3"/>
    <w:rsid w:val="00781FDD"/>
    <w:rsid w:val="0078308E"/>
    <w:rsid w:val="00785AC2"/>
    <w:rsid w:val="00793357"/>
    <w:rsid w:val="007970CF"/>
    <w:rsid w:val="007A32FB"/>
    <w:rsid w:val="007B4AD8"/>
    <w:rsid w:val="007C4E7A"/>
    <w:rsid w:val="007C5525"/>
    <w:rsid w:val="007C5EE4"/>
    <w:rsid w:val="007D1613"/>
    <w:rsid w:val="007D1EE3"/>
    <w:rsid w:val="007D3A93"/>
    <w:rsid w:val="007D4144"/>
    <w:rsid w:val="007D4306"/>
    <w:rsid w:val="007D43EB"/>
    <w:rsid w:val="007D4B49"/>
    <w:rsid w:val="007D725D"/>
    <w:rsid w:val="007D7F66"/>
    <w:rsid w:val="007E05EA"/>
    <w:rsid w:val="007E6B7A"/>
    <w:rsid w:val="007F68D2"/>
    <w:rsid w:val="008058D9"/>
    <w:rsid w:val="00810A73"/>
    <w:rsid w:val="00813236"/>
    <w:rsid w:val="008162AE"/>
    <w:rsid w:val="0082103C"/>
    <w:rsid w:val="008317EC"/>
    <w:rsid w:val="00831DAA"/>
    <w:rsid w:val="00832E67"/>
    <w:rsid w:val="00840DF3"/>
    <w:rsid w:val="0084718D"/>
    <w:rsid w:val="00851340"/>
    <w:rsid w:val="00852CAE"/>
    <w:rsid w:val="00862068"/>
    <w:rsid w:val="00864117"/>
    <w:rsid w:val="008647A4"/>
    <w:rsid w:val="00873DD3"/>
    <w:rsid w:val="00874127"/>
    <w:rsid w:val="00875329"/>
    <w:rsid w:val="00875CD1"/>
    <w:rsid w:val="00890C66"/>
    <w:rsid w:val="00891C12"/>
    <w:rsid w:val="0089676E"/>
    <w:rsid w:val="008A4549"/>
    <w:rsid w:val="008B5987"/>
    <w:rsid w:val="008D28DC"/>
    <w:rsid w:val="008D5A13"/>
    <w:rsid w:val="008E33D0"/>
    <w:rsid w:val="008F1276"/>
    <w:rsid w:val="008F3F56"/>
    <w:rsid w:val="00915571"/>
    <w:rsid w:val="0092617C"/>
    <w:rsid w:val="00926B71"/>
    <w:rsid w:val="00931D2D"/>
    <w:rsid w:val="00933439"/>
    <w:rsid w:val="00941811"/>
    <w:rsid w:val="009523F1"/>
    <w:rsid w:val="00955848"/>
    <w:rsid w:val="00956A1C"/>
    <w:rsid w:val="00967C9A"/>
    <w:rsid w:val="0097132E"/>
    <w:rsid w:val="00973A7E"/>
    <w:rsid w:val="009A2543"/>
    <w:rsid w:val="009A4E96"/>
    <w:rsid w:val="009B0B1C"/>
    <w:rsid w:val="009B1D25"/>
    <w:rsid w:val="009B279C"/>
    <w:rsid w:val="009B4427"/>
    <w:rsid w:val="009B55B4"/>
    <w:rsid w:val="009B66B9"/>
    <w:rsid w:val="009B6B25"/>
    <w:rsid w:val="009C2EAF"/>
    <w:rsid w:val="009C403A"/>
    <w:rsid w:val="009C5365"/>
    <w:rsid w:val="009C5C5C"/>
    <w:rsid w:val="009C681F"/>
    <w:rsid w:val="009D0DA6"/>
    <w:rsid w:val="009E1190"/>
    <w:rsid w:val="009E646F"/>
    <w:rsid w:val="009E6A52"/>
    <w:rsid w:val="009F0E91"/>
    <w:rsid w:val="00A04921"/>
    <w:rsid w:val="00A06F32"/>
    <w:rsid w:val="00A11034"/>
    <w:rsid w:val="00A1240F"/>
    <w:rsid w:val="00A13274"/>
    <w:rsid w:val="00A21BD6"/>
    <w:rsid w:val="00A2214E"/>
    <w:rsid w:val="00A240E8"/>
    <w:rsid w:val="00A30A47"/>
    <w:rsid w:val="00A31792"/>
    <w:rsid w:val="00A333A6"/>
    <w:rsid w:val="00A35240"/>
    <w:rsid w:val="00A40BF6"/>
    <w:rsid w:val="00A540DB"/>
    <w:rsid w:val="00A655EC"/>
    <w:rsid w:val="00A83E8D"/>
    <w:rsid w:val="00A87E12"/>
    <w:rsid w:val="00A968BD"/>
    <w:rsid w:val="00AA28F4"/>
    <w:rsid w:val="00AA6F27"/>
    <w:rsid w:val="00AA7959"/>
    <w:rsid w:val="00AB142A"/>
    <w:rsid w:val="00AC4428"/>
    <w:rsid w:val="00AD5209"/>
    <w:rsid w:val="00AD58C9"/>
    <w:rsid w:val="00AD64F3"/>
    <w:rsid w:val="00AD7A91"/>
    <w:rsid w:val="00AE2011"/>
    <w:rsid w:val="00AE23A3"/>
    <w:rsid w:val="00AE439A"/>
    <w:rsid w:val="00AE6268"/>
    <w:rsid w:val="00AE6E78"/>
    <w:rsid w:val="00AF54A0"/>
    <w:rsid w:val="00AF702D"/>
    <w:rsid w:val="00B00785"/>
    <w:rsid w:val="00B10910"/>
    <w:rsid w:val="00B17A0D"/>
    <w:rsid w:val="00B22616"/>
    <w:rsid w:val="00B268B1"/>
    <w:rsid w:val="00B33913"/>
    <w:rsid w:val="00B4239A"/>
    <w:rsid w:val="00B477C3"/>
    <w:rsid w:val="00B47A63"/>
    <w:rsid w:val="00B641B7"/>
    <w:rsid w:val="00B80BC8"/>
    <w:rsid w:val="00B82ED8"/>
    <w:rsid w:val="00B9350C"/>
    <w:rsid w:val="00BA2AF9"/>
    <w:rsid w:val="00BA51DC"/>
    <w:rsid w:val="00BA5A6C"/>
    <w:rsid w:val="00BB65D9"/>
    <w:rsid w:val="00BE257A"/>
    <w:rsid w:val="00BE40B1"/>
    <w:rsid w:val="00BE7A0C"/>
    <w:rsid w:val="00C0018B"/>
    <w:rsid w:val="00C026FB"/>
    <w:rsid w:val="00C03ED8"/>
    <w:rsid w:val="00C04036"/>
    <w:rsid w:val="00C05EAD"/>
    <w:rsid w:val="00C075BC"/>
    <w:rsid w:val="00C174CE"/>
    <w:rsid w:val="00C36E03"/>
    <w:rsid w:val="00C41001"/>
    <w:rsid w:val="00C45436"/>
    <w:rsid w:val="00C539CE"/>
    <w:rsid w:val="00C57497"/>
    <w:rsid w:val="00C61605"/>
    <w:rsid w:val="00C61D52"/>
    <w:rsid w:val="00C6222E"/>
    <w:rsid w:val="00C64E17"/>
    <w:rsid w:val="00C67E7F"/>
    <w:rsid w:val="00C74127"/>
    <w:rsid w:val="00C756B1"/>
    <w:rsid w:val="00C77684"/>
    <w:rsid w:val="00C909FE"/>
    <w:rsid w:val="00C97203"/>
    <w:rsid w:val="00CA2168"/>
    <w:rsid w:val="00CA2779"/>
    <w:rsid w:val="00CD1564"/>
    <w:rsid w:val="00CD29FA"/>
    <w:rsid w:val="00CE333B"/>
    <w:rsid w:val="00CE7D4D"/>
    <w:rsid w:val="00CF3016"/>
    <w:rsid w:val="00CF5AE2"/>
    <w:rsid w:val="00D01EAC"/>
    <w:rsid w:val="00D06F91"/>
    <w:rsid w:val="00D104D9"/>
    <w:rsid w:val="00D10E22"/>
    <w:rsid w:val="00D25ADF"/>
    <w:rsid w:val="00D26521"/>
    <w:rsid w:val="00D525C9"/>
    <w:rsid w:val="00D55DBE"/>
    <w:rsid w:val="00D71217"/>
    <w:rsid w:val="00D7196E"/>
    <w:rsid w:val="00D7493A"/>
    <w:rsid w:val="00D82442"/>
    <w:rsid w:val="00D84DB0"/>
    <w:rsid w:val="00D87149"/>
    <w:rsid w:val="00D87F6B"/>
    <w:rsid w:val="00D9262A"/>
    <w:rsid w:val="00D93D8E"/>
    <w:rsid w:val="00D97F19"/>
    <w:rsid w:val="00DA0B89"/>
    <w:rsid w:val="00DA42EC"/>
    <w:rsid w:val="00DB6400"/>
    <w:rsid w:val="00DB7AD1"/>
    <w:rsid w:val="00DB7DA0"/>
    <w:rsid w:val="00DC0D2A"/>
    <w:rsid w:val="00DC3EA1"/>
    <w:rsid w:val="00DC6A9F"/>
    <w:rsid w:val="00DF0E34"/>
    <w:rsid w:val="00DF5B41"/>
    <w:rsid w:val="00E00D92"/>
    <w:rsid w:val="00E01D68"/>
    <w:rsid w:val="00E12118"/>
    <w:rsid w:val="00E20B39"/>
    <w:rsid w:val="00E25EA4"/>
    <w:rsid w:val="00E3089E"/>
    <w:rsid w:val="00E378AC"/>
    <w:rsid w:val="00E37B92"/>
    <w:rsid w:val="00E41DA7"/>
    <w:rsid w:val="00E43A91"/>
    <w:rsid w:val="00E63B7E"/>
    <w:rsid w:val="00E70DDA"/>
    <w:rsid w:val="00E71A27"/>
    <w:rsid w:val="00E807AB"/>
    <w:rsid w:val="00E8137B"/>
    <w:rsid w:val="00E866A5"/>
    <w:rsid w:val="00E87D2A"/>
    <w:rsid w:val="00E967C3"/>
    <w:rsid w:val="00E97B60"/>
    <w:rsid w:val="00EA7838"/>
    <w:rsid w:val="00EB2713"/>
    <w:rsid w:val="00EC6C24"/>
    <w:rsid w:val="00ED2A2A"/>
    <w:rsid w:val="00ED7D35"/>
    <w:rsid w:val="00EE1470"/>
    <w:rsid w:val="00EE1CA3"/>
    <w:rsid w:val="00EE415B"/>
    <w:rsid w:val="00EF0E0D"/>
    <w:rsid w:val="00EF3BC6"/>
    <w:rsid w:val="00F00C55"/>
    <w:rsid w:val="00F03DB5"/>
    <w:rsid w:val="00F102C5"/>
    <w:rsid w:val="00F13418"/>
    <w:rsid w:val="00F15B64"/>
    <w:rsid w:val="00F15C8E"/>
    <w:rsid w:val="00F25052"/>
    <w:rsid w:val="00F26835"/>
    <w:rsid w:val="00F42818"/>
    <w:rsid w:val="00F43313"/>
    <w:rsid w:val="00F44D0B"/>
    <w:rsid w:val="00F46647"/>
    <w:rsid w:val="00F56989"/>
    <w:rsid w:val="00F607C0"/>
    <w:rsid w:val="00F675A7"/>
    <w:rsid w:val="00F73D43"/>
    <w:rsid w:val="00F740FA"/>
    <w:rsid w:val="00F7502A"/>
    <w:rsid w:val="00F75616"/>
    <w:rsid w:val="00F77AD7"/>
    <w:rsid w:val="00F8597C"/>
    <w:rsid w:val="00F877FE"/>
    <w:rsid w:val="00F943EE"/>
    <w:rsid w:val="00FA07FE"/>
    <w:rsid w:val="00FB3167"/>
    <w:rsid w:val="00FB6628"/>
    <w:rsid w:val="00FB6924"/>
    <w:rsid w:val="00FB7AEC"/>
    <w:rsid w:val="00FC5A7E"/>
    <w:rsid w:val="00FC653E"/>
    <w:rsid w:val="00FD5DF2"/>
    <w:rsid w:val="00FE569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0AD080"/>
  <w15:docId w15:val="{626881A8-E3A2-4C1E-9A26-ACB0DCAB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lsdException w:name="Subtitle" w:locked="1" w:qFormat="1"/>
    <w:lsdException w:name="Salutation" w:locked="1" w:semiHidden="1" w:uiPriority="0"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nhideWhenUsed="1"/>
    <w:lsdException w:name="Table Web 1" w:semiHidden="1" w:unhideWhenUsed="1"/>
    <w:lsdException w:name="Table Web 2" w:semiHidden="1" w:unhideWhenUsed="1"/>
    <w:lsdException w:name="Table Web 3" w:locked="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qFormat/>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4_GR,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5_GR Char1,-E Fußnotentext Char,footnote text Char,Fußnotentext Ursprung Char,Footnote Text Char Char Char Char Char,Footnote Text1 Char,Footnote Text Char Char Char Char1,Fußnotentext Char1 Char,Fußn Char"/>
    <w:link w:val="FootnoteText"/>
    <w:uiPriority w:val="99"/>
    <w:qFormat/>
    <w:locked/>
    <w:rPr>
      <w:sz w:val="18"/>
      <w:lang w:val="en-GB"/>
    </w:rPr>
  </w:style>
  <w:style w:type="character" w:customStyle="1" w:styleId="HChGChar">
    <w:name w:val="_ H _Ch_G Char"/>
    <w:link w:val="HChG"/>
    <w:qFormat/>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qFormat/>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203C11"/>
  </w:style>
  <w:style w:type="character" w:customStyle="1" w:styleId="FootnoteTextChar1">
    <w:name w:val="Footnote Text Char1"/>
    <w:aliases w:val="5_GR Char,Footnote Text Char Char"/>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qFormat/>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 w:type="paragraph" w:styleId="Revision">
    <w:name w:val="Revision"/>
    <w:hidden/>
    <w:uiPriority w:val="99"/>
    <w:semiHidden/>
    <w:rsid w:val="00504ACC"/>
    <w:rPr>
      <w:lang w:val="en-GB" w:eastAsia="en-US"/>
    </w:rPr>
  </w:style>
  <w:style w:type="character" w:customStyle="1" w:styleId="eop">
    <w:name w:val="eop"/>
    <w:basedOn w:val="DefaultParagraphFont"/>
    <w:rsid w:val="00647E02"/>
  </w:style>
  <w:style w:type="character" w:styleId="Hyperlink">
    <w:name w:val="Hyperlink"/>
    <w:basedOn w:val="DefaultParagraphFont"/>
    <w:uiPriority w:val="99"/>
    <w:rsid w:val="009B66B9"/>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3965">
      <w:bodyDiv w:val="1"/>
      <w:marLeft w:val="0"/>
      <w:marRight w:val="0"/>
      <w:marTop w:val="0"/>
      <w:marBottom w:val="0"/>
      <w:divBdr>
        <w:top w:val="none" w:sz="0" w:space="0" w:color="auto"/>
        <w:left w:val="none" w:sz="0" w:space="0" w:color="auto"/>
        <w:bottom w:val="none" w:sz="0" w:space="0" w:color="auto"/>
        <w:right w:val="none" w:sz="0" w:space="0" w:color="auto"/>
      </w:divBdr>
    </w:div>
    <w:div w:id="12798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78AAF6A4-B3FB-4CC1-9D16-FCA0EAEDF8D0}">
  <ds:schemaRefs>
    <ds:schemaRef ds:uri="http://schemas.microsoft.com/sharepoint/v3/contenttype/forms"/>
  </ds:schemaRefs>
</ds:datastoreItem>
</file>

<file path=customXml/itemProps2.xml><?xml version="1.0" encoding="utf-8"?>
<ds:datastoreItem xmlns:ds="http://schemas.openxmlformats.org/officeDocument/2006/customXml" ds:itemID="{7B1AFC38-5D2A-4AD8-ADF5-B5B129883C29}">
  <ds:schemaRefs>
    <ds:schemaRef ds:uri="http://schemas.openxmlformats.org/officeDocument/2006/bibliography"/>
  </ds:schemaRefs>
</ds:datastoreItem>
</file>

<file path=customXml/itemProps3.xml><?xml version="1.0" encoding="utf-8"?>
<ds:datastoreItem xmlns:ds="http://schemas.openxmlformats.org/officeDocument/2006/customXml" ds:itemID="{D891983D-9CFD-4BAE-A126-7395260CC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FE845-EBBE-47EC-B2D2-F090260E9226}">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3218</Characters>
  <Application>Microsoft Office Word</Application>
  <DocSecurity>0</DocSecurity>
  <Lines>74</Lines>
  <Paragraphs>27</Paragraphs>
  <ScaleCrop>false</ScaleCrop>
  <HeadingPairs>
    <vt:vector size="10" baseType="variant">
      <vt:variant>
        <vt:lpstr>제목</vt:lpstr>
      </vt:variant>
      <vt:variant>
        <vt:i4>1</vt:i4>
      </vt:variant>
      <vt:variant>
        <vt:lpstr>タイトル</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5" baseType="lpstr">
      <vt:lpstr>ECE/TRANS/WP.29/GRSG/2022/10</vt:lpstr>
      <vt:lpstr>ECE/TRANS/WP.29/GRSG/2022/10</vt:lpstr>
      <vt:lpstr>ECE/TRANS/WP.29/GRSG/2021/11</vt:lpstr>
      <vt:lpstr>ECE/TRANS/WP.29/GRSG/2021/11</vt:lpstr>
      <vt:lpstr>ECE/TRANS/WP.29/GRSG/2019/34</vt:lpstr>
    </vt:vector>
  </TitlesOfParts>
  <Company>MIT</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ECE/TRANS/WP.29/GRSG/2022/10</dc:title>
  <dc:subject>2200377</dc:subject>
  <dc:creator>MIT</dc:creator>
  <cp:keywords/>
  <dc:description/>
  <cp:lastModifiedBy>Edoardo Gianotti</cp:lastModifiedBy>
  <cp:revision>2</cp:revision>
  <cp:lastPrinted>2019-07-19T11:29:00Z</cp:lastPrinted>
  <dcterms:created xsi:type="dcterms:W3CDTF">2024-10-09T12:27:00Z</dcterms:created>
  <dcterms:modified xsi:type="dcterms:W3CDTF">2024-10-09T12:27:00Z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y fmtid="{D5CDD505-2E9C-101B-9397-08002B2CF9AE}" pid="10" name="Order">
    <vt:r8>7078600</vt:r8>
  </property>
  <property fmtid="{D5CDD505-2E9C-101B-9397-08002B2CF9AE}" pid="11" name="ClassificationContentMarkingFooterShapeIds">
    <vt:lpwstr>6677d249,fc0cfac,5abb9e76,93a3756,4299a52d,43e37a1e</vt:lpwstr>
  </property>
  <property fmtid="{D5CDD505-2E9C-101B-9397-08002B2CF9AE}" pid="12" name="ClassificationContentMarkingFooterFontProps">
    <vt:lpwstr>#000000,10,Calibri</vt:lpwstr>
  </property>
  <property fmtid="{D5CDD505-2E9C-101B-9397-08002B2CF9AE}" pid="13" name="ClassificationContentMarkingFooterText">
    <vt:lpwstr>본 문서는 현대자동차·기아의 정보자산으로 귀사와의 비밀유지계약 및 제반법률에 따라 법적 보호를 받습니다.</vt:lpwstr>
  </property>
  <property fmtid="{D5CDD505-2E9C-101B-9397-08002B2CF9AE}" pid="14" name="MSIP_Label_84883e49-c40c-4c70-af6e-4047d87bba49_Enabled">
    <vt:lpwstr>true</vt:lpwstr>
  </property>
  <property fmtid="{D5CDD505-2E9C-101B-9397-08002B2CF9AE}" pid="15" name="MSIP_Label_84883e49-c40c-4c70-af6e-4047d87bba49_SetDate">
    <vt:lpwstr>2024-04-17T19:21:10Z</vt:lpwstr>
  </property>
  <property fmtid="{D5CDD505-2E9C-101B-9397-08002B2CF9AE}" pid="16" name="MSIP_Label_84883e49-c40c-4c70-af6e-4047d87bba49_Method">
    <vt:lpwstr>Privileged</vt:lpwstr>
  </property>
  <property fmtid="{D5CDD505-2E9C-101B-9397-08002B2CF9AE}" pid="17" name="MSIP_Label_84883e49-c40c-4c70-af6e-4047d87bba49_Name">
    <vt:lpwstr>평문 (AnyUser)</vt:lpwstr>
  </property>
  <property fmtid="{D5CDD505-2E9C-101B-9397-08002B2CF9AE}" pid="18" name="MSIP_Label_84883e49-c40c-4c70-af6e-4047d87bba49_SiteId">
    <vt:lpwstr>f85ca5f1-aa23-4252-a83a-443d333b1fe7</vt:lpwstr>
  </property>
  <property fmtid="{D5CDD505-2E9C-101B-9397-08002B2CF9AE}" pid="19" name="MSIP_Label_84883e49-c40c-4c70-af6e-4047d87bba49_ActionId">
    <vt:lpwstr>5a6e5f1d-1ca6-406c-ba8a-61fd291e1dcd</vt:lpwstr>
  </property>
  <property fmtid="{D5CDD505-2E9C-101B-9397-08002B2CF9AE}" pid="20" name="MSIP_Label_84883e49-c40c-4c70-af6e-4047d87bba49_ContentBits">
    <vt:lpwstr>2</vt:lpwstr>
  </property>
  <property fmtid="{D5CDD505-2E9C-101B-9397-08002B2CF9AE}" pid="21" name="MediaServiceImageTags">
    <vt:lpwstr/>
  </property>
  <property fmtid="{D5CDD505-2E9C-101B-9397-08002B2CF9AE}" pid="22" name="gba66df640194346a5267c50f24d4797">
    <vt:lpwstr/>
  </property>
  <property fmtid="{D5CDD505-2E9C-101B-9397-08002B2CF9AE}" pid="23" name="Office_x0020_of_x0020_Origin">
    <vt:lpwstr/>
  </property>
  <property fmtid="{D5CDD505-2E9C-101B-9397-08002B2CF9AE}" pid="24" name="Office of Origin">
    <vt:lpwstr/>
  </property>
</Properties>
</file>