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2ADC" w14:textId="55E69F17" w:rsidR="00F03BBD" w:rsidRDefault="00F03BBD" w:rsidP="00F03BBD">
      <w:pPr>
        <w:rPr>
          <w:lang w:eastAsia="ko-KR"/>
        </w:rPr>
      </w:pPr>
    </w:p>
    <w:p w14:paraId="43E35BAF" w14:textId="7689B0A2" w:rsidR="002C6A50" w:rsidRDefault="002C6A50" w:rsidP="002C6A50">
      <w:pPr>
        <w:keepNext/>
        <w:keepLines/>
        <w:tabs>
          <w:tab w:val="right" w:pos="851"/>
        </w:tabs>
        <w:spacing w:before="360" w:after="240" w:line="300" w:lineRule="exact"/>
        <w:ind w:left="567" w:right="1134" w:hanging="1134"/>
        <w:rPr>
          <w:b/>
          <w:sz w:val="28"/>
        </w:rPr>
      </w:pPr>
      <w:r>
        <w:rPr>
          <w:b/>
          <w:sz w:val="28"/>
        </w:rPr>
        <w:tab/>
      </w:r>
      <w:r>
        <w:rPr>
          <w:b/>
          <w:sz w:val="28"/>
        </w:rPr>
        <w:tab/>
      </w:r>
      <w:r>
        <w:rPr>
          <w:b/>
          <w:sz w:val="28"/>
        </w:rPr>
        <w:tab/>
        <w:t>Request for Guidance from GRSG Experts</w:t>
      </w:r>
    </w:p>
    <w:p w14:paraId="2ECB41BB" w14:textId="2DAC086E" w:rsidR="00B75F8F" w:rsidRPr="00B75F8F" w:rsidRDefault="006E3B2B" w:rsidP="00B75F8F">
      <w:pPr>
        <w:pStyle w:val="SingleTxtG"/>
        <w:rPr>
          <w:lang w:val="fr-FR"/>
        </w:rPr>
      </w:pPr>
      <w:r>
        <w:t>1.</w:t>
      </w:r>
      <w:r>
        <w:tab/>
      </w:r>
      <w:r w:rsidR="00B75F8F">
        <w:t xml:space="preserve">In </w:t>
      </w:r>
      <w:r w:rsidR="00B75F8F" w:rsidRPr="00B75F8F">
        <w:t>order to evaluate the conformity to « particular specifications » for devices operation under different test conditions</w:t>
      </w:r>
      <w:r w:rsidR="00221008">
        <w:t xml:space="preserve">, </w:t>
      </w:r>
      <w:r w:rsidR="00A37EA4">
        <w:t xml:space="preserve">is there an intention </w:t>
      </w:r>
      <w:r w:rsidR="001E7B2F">
        <w:t>to</w:t>
      </w:r>
      <w:r w:rsidR="00B75F8F" w:rsidRPr="00B75F8F">
        <w:t xml:space="preserve"> perform the test on a combined testing bench including different systems to</w:t>
      </w:r>
      <w:r w:rsidR="00D837A2">
        <w:t xml:space="preserve"> </w:t>
      </w:r>
      <w:r w:rsidR="00573DD8">
        <w:t>evaluate</w:t>
      </w:r>
      <w:r w:rsidR="00B8543F">
        <w:t xml:space="preserve"> </w:t>
      </w:r>
      <w:r w:rsidR="006E0EBE">
        <w:t xml:space="preserve">if </w:t>
      </w:r>
      <w:r w:rsidR="00B8543F">
        <w:t xml:space="preserve">the final </w:t>
      </w:r>
      <w:proofErr w:type="spellStart"/>
      <w:r w:rsidR="00B8543F">
        <w:t>operationability</w:t>
      </w:r>
      <w:proofErr w:type="spellEnd"/>
      <w:r w:rsidR="00573DD8">
        <w:t xml:space="preserve"> including</w:t>
      </w:r>
      <w:r w:rsidR="006E0EBE">
        <w:t xml:space="preserve"> </w:t>
      </w:r>
      <w:r w:rsidR="00B75F8F" w:rsidRPr="00B75F8F">
        <w:t>interactions with other devices</w:t>
      </w:r>
      <w:r w:rsidR="00C71733">
        <w:t xml:space="preserve"> </w:t>
      </w:r>
      <w:r w:rsidR="001E7B2F" w:rsidRPr="001E7B2F">
        <w:rPr>
          <w:lang w:val="en-US"/>
        </w:rPr>
        <w:t>is ensured</w:t>
      </w:r>
      <w:r w:rsidR="00C71733">
        <w:rPr>
          <w:lang w:val="en-US"/>
        </w:rPr>
        <w:t xml:space="preserve"> or </w:t>
      </w:r>
      <w:r w:rsidR="00AB04E0">
        <w:rPr>
          <w:lang w:val="en-US"/>
        </w:rPr>
        <w:t xml:space="preserve">only testing of separate components is sufficient to </w:t>
      </w:r>
      <w:r w:rsidR="00522AED">
        <w:rPr>
          <w:lang w:val="en-US"/>
        </w:rPr>
        <w:t>demonstrate conformity</w:t>
      </w:r>
      <w:r w:rsidR="0037018B">
        <w:rPr>
          <w:lang w:val="en-US"/>
        </w:rPr>
        <w:t xml:space="preserve"> due to complexity of </w:t>
      </w:r>
      <w:r w:rsidR="00221008">
        <w:rPr>
          <w:lang w:val="en-US"/>
        </w:rPr>
        <w:t>some electronic architectures</w:t>
      </w:r>
      <w:r w:rsidR="008638CB">
        <w:rPr>
          <w:lang w:val="en-US"/>
        </w:rPr>
        <w:t xml:space="preserve"> ?</w:t>
      </w:r>
    </w:p>
    <w:p w14:paraId="0441136E" w14:textId="54F5B202" w:rsidR="002C6A50" w:rsidRDefault="002C6A50" w:rsidP="002C6A50">
      <w:pPr>
        <w:pStyle w:val="SingleTxtG"/>
      </w:pPr>
    </w:p>
    <w:p w14:paraId="4F93280B" w14:textId="1CDF270F" w:rsidR="002C6A50" w:rsidRDefault="006E3B2B" w:rsidP="002C6A50">
      <w:pPr>
        <w:pStyle w:val="SingleTxtG"/>
      </w:pPr>
      <w:r w:rsidRPr="0027075F">
        <w:t>2.</w:t>
      </w:r>
      <w:r w:rsidRPr="0027075F">
        <w:tab/>
      </w:r>
      <w:r w:rsidR="002C6A50" w:rsidRPr="0027075F">
        <w:t>The current text in the English version reads as follows:</w:t>
      </w:r>
    </w:p>
    <w:p w14:paraId="1CAFF672" w14:textId="3E82BFC4" w:rsidR="00730AA4" w:rsidRDefault="00F569A6" w:rsidP="002C6A50">
      <w:pPr>
        <w:pStyle w:val="SingleTxtG"/>
      </w:pPr>
      <w:r>
        <w:t xml:space="preserve">“ </w:t>
      </w:r>
      <w:r w:rsidR="00A73E11" w:rsidRPr="00A73E11">
        <w:t>2.1. “component” means a device subject to the requirements of this regulation and intended to be part of a vehicle, which may be type-approved independently of a vehicle where this regulation makes express provisions for so doing;</w:t>
      </w:r>
    </w:p>
    <w:p w14:paraId="59B72CFA" w14:textId="77777777" w:rsidR="00F569A6" w:rsidRDefault="00F569A6" w:rsidP="002C6A50">
      <w:pPr>
        <w:pStyle w:val="SingleTxtG"/>
      </w:pPr>
    </w:p>
    <w:p w14:paraId="3042FC12" w14:textId="006E16B7" w:rsidR="00573E98" w:rsidRPr="00730AA4" w:rsidRDefault="00573E98" w:rsidP="002C6A50">
      <w:pPr>
        <w:pStyle w:val="SingleTxtG"/>
        <w:rPr>
          <w:u w:val="single"/>
        </w:rPr>
      </w:pPr>
      <w:r w:rsidRPr="00730AA4">
        <w:rPr>
          <w:u w:val="single"/>
        </w:rPr>
        <w:t>Immobilizer</w:t>
      </w:r>
    </w:p>
    <w:p w14:paraId="360E4D87" w14:textId="77777777" w:rsidR="00730AA4" w:rsidRDefault="002C6A50" w:rsidP="00730AA4">
      <w:pPr>
        <w:ind w:left="567" w:right="1275" w:firstLine="567"/>
      </w:pPr>
      <w:r>
        <w:t>"</w:t>
      </w:r>
      <w:r w:rsidR="00F81793" w:rsidRPr="002C3225">
        <w:t>8.3.3. Operating safety</w:t>
      </w:r>
    </w:p>
    <w:p w14:paraId="530D5F76" w14:textId="77777777" w:rsidR="00730AA4" w:rsidRDefault="00730AA4" w:rsidP="00306620">
      <w:pPr>
        <w:ind w:right="1275" w:firstLine="567"/>
      </w:pPr>
    </w:p>
    <w:p w14:paraId="3767A050" w14:textId="5DC11346" w:rsidR="00306620" w:rsidRDefault="00F81793" w:rsidP="0077493D">
      <w:pPr>
        <w:ind w:left="1134" w:right="1275"/>
        <w:jc w:val="both"/>
      </w:pPr>
      <w:r w:rsidRPr="002C3225">
        <w:t>It shall be ensured that the immobilizer does not change its state (set/unset) as a result of any of the tests in paragraph 8.4.</w:t>
      </w:r>
    </w:p>
    <w:p w14:paraId="03B25663" w14:textId="77777777" w:rsidR="00306620" w:rsidRDefault="00306620" w:rsidP="00306620">
      <w:pPr>
        <w:ind w:left="1134" w:right="1275" w:firstLine="567"/>
        <w:jc w:val="both"/>
      </w:pPr>
    </w:p>
    <w:p w14:paraId="1C92F690" w14:textId="1D7DF1CF" w:rsidR="00F81793" w:rsidRPr="002C3225" w:rsidRDefault="00F81793" w:rsidP="0077493D">
      <w:pPr>
        <w:ind w:left="1134" w:right="1275"/>
        <w:jc w:val="both"/>
      </w:pPr>
      <w:r w:rsidRPr="002C3225">
        <w:t xml:space="preserve">8.4.1 </w:t>
      </w:r>
      <w:r w:rsidRPr="002C3225">
        <w:tab/>
        <w:t xml:space="preserve">All components of the immobilizer shall comply with prescriptions given in paragraph 6.4. of this Regulation. This requirement does not apply to: </w:t>
      </w:r>
    </w:p>
    <w:p w14:paraId="19451ACB" w14:textId="77777777" w:rsidR="0077493D" w:rsidRDefault="00F81793" w:rsidP="00306620">
      <w:pPr>
        <w:ind w:right="1275" w:firstLine="567"/>
      </w:pPr>
      <w:r w:rsidRPr="002C3225">
        <w:tab/>
        <w:t xml:space="preserve"> </w:t>
      </w:r>
    </w:p>
    <w:p w14:paraId="4D09AE68" w14:textId="3071CFFE" w:rsidR="00F81793" w:rsidRPr="002C3225" w:rsidRDefault="00F81793" w:rsidP="0077493D">
      <w:pPr>
        <w:ind w:left="1134" w:right="1275"/>
        <w:jc w:val="both"/>
      </w:pPr>
      <w:r w:rsidRPr="002C3225">
        <w:t>(</w:t>
      </w:r>
      <w:proofErr w:type="spellStart"/>
      <w:r w:rsidRPr="002C3225">
        <w:t>i</w:t>
      </w:r>
      <w:proofErr w:type="spellEnd"/>
      <w:r w:rsidRPr="002C3225">
        <w:t xml:space="preserve">) those components that are fitted and tested as part of the vehicle, whether or not an immobilizer is fitted (e.g. lamps), or </w:t>
      </w:r>
    </w:p>
    <w:p w14:paraId="47EEBEE1" w14:textId="77777777" w:rsidR="0077493D" w:rsidRDefault="00F81793" w:rsidP="00306620">
      <w:pPr>
        <w:ind w:right="1275" w:firstLine="567"/>
      </w:pPr>
      <w:r w:rsidRPr="002C3225">
        <w:tab/>
      </w:r>
    </w:p>
    <w:p w14:paraId="07749930" w14:textId="22B2FF09" w:rsidR="00F81793" w:rsidRPr="002C3225" w:rsidRDefault="00F81793" w:rsidP="0077493D">
      <w:pPr>
        <w:ind w:left="1134" w:right="1275"/>
        <w:jc w:val="both"/>
      </w:pPr>
      <w:r w:rsidRPr="002C3225">
        <w:t xml:space="preserve">(ii) those components that have previously been tested as part of the vehicle and documentary evidence has been provided, or </w:t>
      </w:r>
    </w:p>
    <w:p w14:paraId="660D1AC0" w14:textId="77777777" w:rsidR="0077493D" w:rsidRDefault="00F81793" w:rsidP="00306620">
      <w:pPr>
        <w:ind w:right="1275" w:firstLine="567"/>
      </w:pPr>
      <w:r w:rsidRPr="002C3225">
        <w:tab/>
        <w:t xml:space="preserve"> </w:t>
      </w:r>
    </w:p>
    <w:p w14:paraId="1F256BE7" w14:textId="2D1DA9F0" w:rsidR="00F81793" w:rsidRPr="002C3225" w:rsidRDefault="00F81793" w:rsidP="0077493D">
      <w:pPr>
        <w:ind w:left="567" w:right="1275" w:firstLine="567"/>
        <w:jc w:val="both"/>
      </w:pPr>
      <w:r w:rsidRPr="002C3225">
        <w:t>(iii) components that are not embedded in the vehicle, e.g. keys.</w:t>
      </w:r>
    </w:p>
    <w:p w14:paraId="79A94FDC" w14:textId="77777777" w:rsidR="00F81793" w:rsidRPr="002C3225" w:rsidRDefault="00F81793" w:rsidP="00306620">
      <w:pPr>
        <w:ind w:left="1134" w:right="1275" w:firstLine="567"/>
        <w:jc w:val="both"/>
      </w:pPr>
    </w:p>
    <w:p w14:paraId="625BCD8F" w14:textId="77777777" w:rsidR="00D7299A" w:rsidRDefault="00F81793" w:rsidP="00D7299A">
      <w:pPr>
        <w:ind w:left="567" w:right="1275" w:firstLine="567"/>
      </w:pPr>
      <w:r w:rsidRPr="002C3225">
        <w:t xml:space="preserve">8.4.2. </w:t>
      </w:r>
      <w:r w:rsidRPr="002C3225">
        <w:tab/>
        <w:t>Test conditions</w:t>
      </w:r>
    </w:p>
    <w:p w14:paraId="027021B8" w14:textId="77777777" w:rsidR="00D7299A" w:rsidRDefault="00D7299A" w:rsidP="0077493D">
      <w:pPr>
        <w:ind w:right="1275"/>
      </w:pPr>
    </w:p>
    <w:p w14:paraId="6F69AE0B" w14:textId="76E9CD26" w:rsidR="00F81793" w:rsidRPr="002C3225" w:rsidRDefault="00F81793" w:rsidP="0077493D">
      <w:pPr>
        <w:ind w:left="1134" w:right="1275"/>
        <w:jc w:val="both"/>
      </w:pPr>
      <w:r w:rsidRPr="002C3225">
        <w:t>All the tests shall be carried out in sequence on a single immobilizer. However, at the discretion of the test authority, other samples may be used if this is not considered to affect the results of the other tests.</w:t>
      </w:r>
    </w:p>
    <w:p w14:paraId="634E6350" w14:textId="77777777" w:rsidR="00573E98" w:rsidRDefault="00573E98" w:rsidP="00306620">
      <w:pPr>
        <w:spacing w:after="120"/>
        <w:ind w:left="1134" w:right="1275" w:firstLine="567"/>
        <w:jc w:val="both"/>
      </w:pPr>
    </w:p>
    <w:p w14:paraId="2F0B733D" w14:textId="77777777" w:rsidR="00113ADE" w:rsidRDefault="009515E6" w:rsidP="0077493D">
      <w:pPr>
        <w:spacing w:after="120"/>
        <w:ind w:left="1134" w:right="1275"/>
        <w:jc w:val="both"/>
      </w:pPr>
      <w:r w:rsidRPr="009515E6">
        <w:t xml:space="preserve">8.4.3. Operation test </w:t>
      </w:r>
    </w:p>
    <w:p w14:paraId="26278CD3" w14:textId="22F3F0EB" w:rsidR="00510087" w:rsidRDefault="00113ADE" w:rsidP="002C6A50">
      <w:pPr>
        <w:pStyle w:val="SingleTxtG"/>
      </w:pPr>
      <w:r w:rsidRPr="00113ADE">
        <w:t xml:space="preserve">Upon completion of all the tests specified below, the immobilizer shall be tested under the normal test conditions specified in paragraph 6.4.2.1.2. of this Regulation to check that it continues to function normally. Where necessary, fuses may be replaced prior to the test. All components of the immobilizer shall comply with prescriptions given in paragraphs 6.4.2.2. to 6.4.2.8. and 6.4.2.12. of this Regulation. </w:t>
      </w:r>
    </w:p>
    <w:p w14:paraId="3530842A" w14:textId="77777777" w:rsidR="00F569A6" w:rsidRDefault="00F569A6" w:rsidP="002C6A50">
      <w:pPr>
        <w:pStyle w:val="SingleTxtG"/>
      </w:pPr>
    </w:p>
    <w:p w14:paraId="743911F4" w14:textId="77777777" w:rsidR="001E542F" w:rsidRPr="00730AA4" w:rsidRDefault="001E542F" w:rsidP="001E542F">
      <w:pPr>
        <w:pStyle w:val="SingleTxtG"/>
        <w:rPr>
          <w:u w:val="single"/>
        </w:rPr>
      </w:pPr>
      <w:r w:rsidRPr="00730AA4">
        <w:rPr>
          <w:u w:val="single"/>
        </w:rPr>
        <w:t>Alarm (VAS)</w:t>
      </w:r>
    </w:p>
    <w:p w14:paraId="4C72A0B2" w14:textId="77777777" w:rsidR="001E542F" w:rsidRPr="002C3225" w:rsidRDefault="001E542F" w:rsidP="001E542F">
      <w:pPr>
        <w:ind w:left="1134" w:right="1275" w:firstLine="567"/>
        <w:jc w:val="both"/>
      </w:pPr>
    </w:p>
    <w:p w14:paraId="648BAB99" w14:textId="77777777" w:rsidR="001E542F" w:rsidRPr="002C3225" w:rsidRDefault="001E542F" w:rsidP="001E542F">
      <w:pPr>
        <w:ind w:left="567" w:right="1275" w:firstLine="567"/>
        <w:jc w:val="both"/>
      </w:pPr>
      <w:r>
        <w:t xml:space="preserve">“ </w:t>
      </w:r>
      <w:r w:rsidRPr="002C3225">
        <w:t xml:space="preserve">6.4.2.1. Operation tests </w:t>
      </w:r>
    </w:p>
    <w:p w14:paraId="5D42EBBD" w14:textId="77777777" w:rsidR="001E542F" w:rsidRDefault="001E542F" w:rsidP="001E542F">
      <w:pPr>
        <w:spacing w:after="120"/>
        <w:ind w:left="1134" w:right="1275" w:firstLine="567"/>
        <w:jc w:val="both"/>
      </w:pPr>
      <w:r w:rsidRPr="002C3225">
        <w:tab/>
      </w:r>
    </w:p>
    <w:p w14:paraId="6B5AA5B9" w14:textId="77777777" w:rsidR="001E542F" w:rsidRDefault="001E542F" w:rsidP="008638CB">
      <w:pPr>
        <w:spacing w:after="120"/>
        <w:ind w:left="1134" w:right="1275"/>
        <w:jc w:val="both"/>
      </w:pPr>
      <w:r w:rsidRPr="002C3225">
        <w:t xml:space="preserve">For the operation tests required according to paragraphs 6.4.2.3., 6.4.2.4., 6.4.2.5., 6.4.2.6. and 6.4.2.8.4., if some of the tests required in each of these paragraphs prior to the operation </w:t>
      </w:r>
      <w:r w:rsidRPr="002C3225">
        <w:lastRenderedPageBreak/>
        <w:t>tests are performed in series on a single VAS, the operation test may be carried out one time only after the chosen tests are completed instead of performing the operation tests required in the paragraphs after each of the chosen tests. Vehicle manufacturers and suppliers have to guarantee satisfactory results only on non accumulated procedures.</w:t>
      </w:r>
      <w:r>
        <w:t>”</w:t>
      </w:r>
    </w:p>
    <w:p w14:paraId="3334A668" w14:textId="77777777" w:rsidR="00113ADE" w:rsidRDefault="00113ADE" w:rsidP="002C6A50">
      <w:pPr>
        <w:pStyle w:val="SingleTxtG"/>
      </w:pPr>
    </w:p>
    <w:p w14:paraId="34854D7C" w14:textId="71041BE3" w:rsidR="002F561C" w:rsidRDefault="008638CB" w:rsidP="002C6A50">
      <w:pPr>
        <w:pStyle w:val="SingleTxtG"/>
        <w:rPr>
          <w:iCs/>
        </w:rPr>
      </w:pPr>
      <w:r>
        <w:rPr>
          <w:iCs/>
        </w:rPr>
        <w:t>3</w:t>
      </w:r>
      <w:r w:rsidR="006E3B2B">
        <w:rPr>
          <w:iCs/>
        </w:rPr>
        <w:t>.</w:t>
      </w:r>
      <w:r w:rsidR="006E3B2B">
        <w:rPr>
          <w:iCs/>
        </w:rPr>
        <w:tab/>
        <w:t>T</w:t>
      </w:r>
      <w:r w:rsidR="002C6A50">
        <w:rPr>
          <w:iCs/>
        </w:rPr>
        <w:t>he experts</w:t>
      </w:r>
      <w:r w:rsidR="006E3B2B">
        <w:rPr>
          <w:iCs/>
        </w:rPr>
        <w:t xml:space="preserve"> </w:t>
      </w:r>
      <w:r w:rsidR="00F569A6">
        <w:rPr>
          <w:iCs/>
        </w:rPr>
        <w:t xml:space="preserve">from France requests guidance from GRSG to confirm understandings of application and harmonize </w:t>
      </w:r>
      <w:r w:rsidR="002F561C">
        <w:rPr>
          <w:iCs/>
        </w:rPr>
        <w:t>the way of practices around the 3 following views :</w:t>
      </w:r>
    </w:p>
    <w:p w14:paraId="7DFFAC22" w14:textId="7D8274ED" w:rsidR="001101D5" w:rsidRPr="001101D5" w:rsidRDefault="001101D5" w:rsidP="001101D5">
      <w:pPr>
        <w:pStyle w:val="SingleTxtG"/>
        <w:rPr>
          <w:iCs/>
        </w:rPr>
      </w:pPr>
      <w:r w:rsidRPr="001101D5">
        <w:rPr>
          <w:iCs/>
        </w:rPr>
        <w:t>A/</w:t>
      </w:r>
      <w:r w:rsidRPr="001101D5">
        <w:rPr>
          <w:iCs/>
        </w:rPr>
        <w:tab/>
      </w:r>
      <w:r w:rsidR="00182FC8" w:rsidRPr="001101D5">
        <w:rPr>
          <w:iCs/>
        </w:rPr>
        <w:t>The components of the im</w:t>
      </w:r>
      <w:r w:rsidR="0072277C">
        <w:rPr>
          <w:iCs/>
        </w:rPr>
        <w:t>m</w:t>
      </w:r>
      <w:r w:rsidR="00182FC8" w:rsidRPr="001101D5">
        <w:rPr>
          <w:iCs/>
        </w:rPr>
        <w:t>obili</w:t>
      </w:r>
      <w:r w:rsidR="00545138">
        <w:rPr>
          <w:iCs/>
        </w:rPr>
        <w:t>z</w:t>
      </w:r>
      <w:r w:rsidR="00182FC8" w:rsidRPr="001101D5">
        <w:rPr>
          <w:iCs/>
        </w:rPr>
        <w:t>er are tested individually.</w:t>
      </w:r>
    </w:p>
    <w:p w14:paraId="409D9B17" w14:textId="10CCB3FE" w:rsidR="001101D5" w:rsidRDefault="001101D5" w:rsidP="001101D5">
      <w:pPr>
        <w:pStyle w:val="SingleTxtG"/>
        <w:rPr>
          <w:iCs/>
        </w:rPr>
      </w:pPr>
      <w:r w:rsidRPr="001101D5">
        <w:rPr>
          <w:iCs/>
        </w:rPr>
        <w:t>B/</w:t>
      </w:r>
      <w:r w:rsidRPr="001101D5">
        <w:rPr>
          <w:iCs/>
        </w:rPr>
        <w:tab/>
      </w:r>
      <w:r w:rsidR="005536ED" w:rsidRPr="001101D5">
        <w:rPr>
          <w:iCs/>
        </w:rPr>
        <w:t>The entire assembled im</w:t>
      </w:r>
      <w:r w:rsidR="0072277C">
        <w:rPr>
          <w:iCs/>
        </w:rPr>
        <w:t>m</w:t>
      </w:r>
      <w:r w:rsidR="005536ED" w:rsidRPr="001101D5">
        <w:rPr>
          <w:iCs/>
        </w:rPr>
        <w:t>obili</w:t>
      </w:r>
      <w:r w:rsidR="00545138">
        <w:rPr>
          <w:iCs/>
        </w:rPr>
        <w:t>z</w:t>
      </w:r>
      <w:r w:rsidR="005536ED" w:rsidRPr="001101D5">
        <w:rPr>
          <w:iCs/>
        </w:rPr>
        <w:t>er is tested</w:t>
      </w:r>
    </w:p>
    <w:p w14:paraId="56246472" w14:textId="6C11AF64" w:rsidR="005536ED" w:rsidRDefault="001101D5" w:rsidP="001101D5">
      <w:pPr>
        <w:pStyle w:val="SingleTxtG"/>
        <w:rPr>
          <w:iCs/>
        </w:rPr>
      </w:pPr>
      <w:r>
        <w:rPr>
          <w:iCs/>
        </w:rPr>
        <w:t>C/</w:t>
      </w:r>
      <w:r>
        <w:rPr>
          <w:iCs/>
        </w:rPr>
        <w:tab/>
      </w:r>
      <w:r w:rsidRPr="001101D5">
        <w:rPr>
          <w:iCs/>
        </w:rPr>
        <w:t>The components of the im</w:t>
      </w:r>
      <w:r w:rsidR="0072277C">
        <w:rPr>
          <w:iCs/>
        </w:rPr>
        <w:t>m</w:t>
      </w:r>
      <w:r w:rsidRPr="001101D5">
        <w:rPr>
          <w:iCs/>
        </w:rPr>
        <w:t>obili</w:t>
      </w:r>
      <w:r w:rsidR="00545138">
        <w:rPr>
          <w:iCs/>
        </w:rPr>
        <w:t>z</w:t>
      </w:r>
      <w:r w:rsidRPr="001101D5">
        <w:rPr>
          <w:iCs/>
        </w:rPr>
        <w:t>er are tested as a unit, with functional validation of the entire assembled device.</w:t>
      </w:r>
    </w:p>
    <w:p w14:paraId="32D5CD6A" w14:textId="77777777" w:rsidR="002F561C" w:rsidRDefault="002F561C" w:rsidP="00FE25D8">
      <w:pPr>
        <w:spacing w:before="240"/>
        <w:jc w:val="center"/>
        <w:rPr>
          <w:u w:val="single"/>
        </w:rPr>
      </w:pPr>
    </w:p>
    <w:p w14:paraId="380044F7" w14:textId="0BE03173" w:rsidR="001C6663" w:rsidRPr="00FE25D8" w:rsidRDefault="00FE25D8" w:rsidP="00FE25D8">
      <w:pPr>
        <w:spacing w:before="240"/>
        <w:jc w:val="center"/>
        <w:rPr>
          <w:u w:val="single"/>
        </w:rPr>
      </w:pPr>
      <w:r>
        <w:rPr>
          <w:u w:val="single"/>
        </w:rPr>
        <w:tab/>
      </w:r>
      <w:r>
        <w:rPr>
          <w:u w:val="single"/>
        </w:rPr>
        <w:tab/>
      </w:r>
      <w:r>
        <w:rPr>
          <w:u w:val="single"/>
        </w:rPr>
        <w:tab/>
      </w:r>
    </w:p>
    <w:sectPr w:rsidR="001C6663" w:rsidRPr="00FE25D8" w:rsidSect="00F03BB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623D" w14:textId="77777777" w:rsidR="006E3880" w:rsidRDefault="006E3880"/>
  </w:endnote>
  <w:endnote w:type="continuationSeparator" w:id="0">
    <w:p w14:paraId="3C967D9B" w14:textId="77777777" w:rsidR="006E3880" w:rsidRDefault="006E3880"/>
  </w:endnote>
  <w:endnote w:type="continuationNotice" w:id="1">
    <w:p w14:paraId="3FE4E001" w14:textId="77777777" w:rsidR="006E3880" w:rsidRDefault="006E3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E5B3" w14:textId="3E7BF238" w:rsidR="00F03BBD" w:rsidRPr="00F03BBD" w:rsidRDefault="00DE2DA0" w:rsidP="00F03BBD">
    <w:pPr>
      <w:pStyle w:val="Footer"/>
      <w:tabs>
        <w:tab w:val="right" w:pos="9638"/>
      </w:tabs>
      <w:rPr>
        <w:sz w:val="18"/>
      </w:rPr>
    </w:pPr>
    <w:r>
      <w:rPr>
        <w:b/>
        <w:noProof/>
        <w:sz w:val="18"/>
      </w:rPr>
      <mc:AlternateContent>
        <mc:Choice Requires="wps">
          <w:drawing>
            <wp:anchor distT="0" distB="0" distL="0" distR="0" simplePos="0" relativeHeight="251662336" behindDoc="0" locked="0" layoutInCell="1" allowOverlap="1" wp14:anchorId="34083479" wp14:editId="03ED6820">
              <wp:simplePos x="720969" y="10204938"/>
              <wp:positionH relativeFrom="page">
                <wp:align>center</wp:align>
              </wp:positionH>
              <wp:positionV relativeFrom="page">
                <wp:align>bottom</wp:align>
              </wp:positionV>
              <wp:extent cx="1285240" cy="342900"/>
              <wp:effectExtent l="0" t="0" r="10160" b="0"/>
              <wp:wrapNone/>
              <wp:docPr id="808073147" name="Zone de texte 2"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5240" cy="342900"/>
                      </a:xfrm>
                      <a:prstGeom prst="rect">
                        <a:avLst/>
                      </a:prstGeom>
                      <a:noFill/>
                      <a:ln>
                        <a:noFill/>
                      </a:ln>
                    </wps:spPr>
                    <wps:txbx>
                      <w:txbxContent>
                        <w:p w14:paraId="295B1DC6" w14:textId="2791FE96"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4083479" id="_x0000_t202" coordsize="21600,21600" o:spt="202" path="m,l,21600r21600,l21600,xe">
              <v:stroke joinstyle="miter"/>
              <v:path gradientshapeok="t" o:connecttype="rect"/>
            </v:shapetype>
            <v:shape id="Zone de texte 2" o:spid="_x0000_s1026" type="#_x0000_t202" alt="Confidential Document" style="position:absolute;margin-left:0;margin-top:0;width:101.2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" filled="f" stroked="f">
              <v:fill o:detectmouseclick="t"/>
              <v:textbox style="mso-fit-shape-to-text:t" inset="0,0,0,15pt">
                <w:txbxContent>
                  <w:p w14:paraId="295B1DC6" w14:textId="2791FE96"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v:textbox>
              <w10:wrap anchorx="page" anchory="page"/>
            </v:shape>
          </w:pict>
        </mc:Fallback>
      </mc:AlternateContent>
    </w:r>
    <w:r w:rsidR="00F03BBD" w:rsidRPr="00F03BBD">
      <w:rPr>
        <w:b/>
        <w:sz w:val="18"/>
      </w:rPr>
      <w:fldChar w:fldCharType="begin"/>
    </w:r>
    <w:r w:rsidR="00F03BBD" w:rsidRPr="00F03BBD">
      <w:rPr>
        <w:b/>
        <w:sz w:val="18"/>
      </w:rPr>
      <w:instrText xml:space="preserve"> PAGE  \* MERGEFORMAT </w:instrText>
    </w:r>
    <w:r w:rsidR="00F03BBD" w:rsidRPr="00F03BBD">
      <w:rPr>
        <w:b/>
        <w:sz w:val="18"/>
      </w:rPr>
      <w:fldChar w:fldCharType="separate"/>
    </w:r>
    <w:r w:rsidR="00F03BBD" w:rsidRPr="00F03BBD">
      <w:rPr>
        <w:b/>
        <w:noProof/>
        <w:sz w:val="18"/>
      </w:rPr>
      <w:t>2</w:t>
    </w:r>
    <w:r w:rsidR="00F03BBD" w:rsidRPr="00F03BBD">
      <w:rPr>
        <w:b/>
        <w:sz w:val="18"/>
      </w:rPr>
      <w:fldChar w:fldCharType="end"/>
    </w:r>
    <w:r w:rsidR="00F03BBD">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01A8" w14:textId="7C7761FC" w:rsidR="00F03BBD" w:rsidRPr="00F03BBD" w:rsidRDefault="00DE2DA0" w:rsidP="00F03BBD">
    <w:pPr>
      <w:pStyle w:val="Footer"/>
      <w:tabs>
        <w:tab w:val="right" w:pos="9638"/>
      </w:tabs>
      <w:rPr>
        <w:b/>
        <w:sz w:val="18"/>
      </w:rPr>
    </w:pPr>
    <w:r>
      <w:rPr>
        <w:noProof/>
      </w:rPr>
      <mc:AlternateContent>
        <mc:Choice Requires="wps">
          <w:drawing>
            <wp:anchor distT="0" distB="0" distL="0" distR="0" simplePos="0" relativeHeight="251663360" behindDoc="0" locked="0" layoutInCell="1" allowOverlap="1" wp14:anchorId="0AF6FC2F" wp14:editId="7ABCDD91">
              <wp:simplePos x="720725" y="10202545"/>
              <wp:positionH relativeFrom="page">
                <wp:align>center</wp:align>
              </wp:positionH>
              <wp:positionV relativeFrom="page">
                <wp:align>bottom</wp:align>
              </wp:positionV>
              <wp:extent cx="1285240" cy="342900"/>
              <wp:effectExtent l="0" t="0" r="10160" b="0"/>
              <wp:wrapNone/>
              <wp:docPr id="1866712177" name="Zone de texte 3"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5240" cy="342900"/>
                      </a:xfrm>
                      <a:prstGeom prst="rect">
                        <a:avLst/>
                      </a:prstGeom>
                      <a:noFill/>
                      <a:ln>
                        <a:noFill/>
                      </a:ln>
                    </wps:spPr>
                    <wps:txbx>
                      <w:txbxContent>
                        <w:p w14:paraId="3733F6C3" w14:textId="5F8E7A58"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AF6FC2F" id="_x0000_t202" coordsize="21600,21600" o:spt="202" path="m,l,21600r21600,l21600,xe">
              <v:stroke joinstyle="miter"/>
              <v:path gradientshapeok="t" o:connecttype="rect"/>
            </v:shapetype>
            <v:shape id="Zone de texte 3" o:spid="_x0000_s1027" type="#_x0000_t202" alt="Confidential Document" style="position:absolute;margin-left:0;margin-top:0;width:101.2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" filled="f" stroked="f">
              <v:fill o:detectmouseclick="t"/>
              <v:textbox style="mso-fit-shape-to-text:t" inset="0,0,0,15pt">
                <w:txbxContent>
                  <w:p w14:paraId="3733F6C3" w14:textId="5F8E7A58"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v:textbox>
              <w10:wrap anchorx="page" anchory="page"/>
            </v:shape>
          </w:pict>
        </mc:Fallback>
      </mc:AlternateContent>
    </w:r>
    <w:r w:rsidR="00F03BBD">
      <w:tab/>
    </w:r>
    <w:r w:rsidR="00F03BBD" w:rsidRPr="00F03BBD">
      <w:rPr>
        <w:b/>
        <w:sz w:val="18"/>
      </w:rPr>
      <w:fldChar w:fldCharType="begin"/>
    </w:r>
    <w:r w:rsidR="00F03BBD" w:rsidRPr="00F03BBD">
      <w:rPr>
        <w:b/>
        <w:sz w:val="18"/>
      </w:rPr>
      <w:instrText xml:space="preserve"> PAGE  \* MERGEFORMAT </w:instrText>
    </w:r>
    <w:r w:rsidR="00F03BBD" w:rsidRPr="00F03BBD">
      <w:rPr>
        <w:b/>
        <w:sz w:val="18"/>
      </w:rPr>
      <w:fldChar w:fldCharType="separate"/>
    </w:r>
    <w:r w:rsidR="00F03BBD" w:rsidRPr="00F03BBD">
      <w:rPr>
        <w:b/>
        <w:noProof/>
        <w:sz w:val="18"/>
      </w:rPr>
      <w:t>3</w:t>
    </w:r>
    <w:r w:rsidR="00F03BBD" w:rsidRPr="00F03BB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4C55" w14:textId="67438FC2" w:rsidR="00C43DCF" w:rsidRDefault="00DE2DA0" w:rsidP="00C43DCF">
    <w:pPr>
      <w:pStyle w:val="Footer"/>
    </w:pPr>
    <w:r>
      <w:rPr>
        <w:noProof/>
        <w:lang w:val="en-US"/>
      </w:rPr>
      <mc:AlternateContent>
        <mc:Choice Requires="wps">
          <w:drawing>
            <wp:anchor distT="0" distB="0" distL="0" distR="0" simplePos="0" relativeHeight="251661312" behindDoc="0" locked="0" layoutInCell="1" allowOverlap="1" wp14:anchorId="25EEE11E" wp14:editId="2EC23201">
              <wp:simplePos x="720969" y="10070123"/>
              <wp:positionH relativeFrom="page">
                <wp:align>center</wp:align>
              </wp:positionH>
              <wp:positionV relativeFrom="page">
                <wp:align>bottom</wp:align>
              </wp:positionV>
              <wp:extent cx="1285240" cy="342900"/>
              <wp:effectExtent l="0" t="0" r="10160" b="0"/>
              <wp:wrapNone/>
              <wp:docPr id="1110709657" name="Zone de texte 1"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5240" cy="342900"/>
                      </a:xfrm>
                      <a:prstGeom prst="rect">
                        <a:avLst/>
                      </a:prstGeom>
                      <a:noFill/>
                      <a:ln>
                        <a:noFill/>
                      </a:ln>
                    </wps:spPr>
                    <wps:txbx>
                      <w:txbxContent>
                        <w:p w14:paraId="5D39650C" w14:textId="7DE667AE"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5EEE11E" id="_x0000_t202" coordsize="21600,21600" o:spt="202" path="m,l,21600r21600,l21600,xe">
              <v:stroke joinstyle="miter"/>
              <v:path gradientshapeok="t" o:connecttype="rect"/>
            </v:shapetype>
            <v:shape id="Zone de texte 1" o:spid="_x0000_s1028" type="#_x0000_t202" alt="Confidential Document" style="position:absolute;margin-left:0;margin-top:0;width:101.2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" filled="f" stroked="f">
              <v:fill o:detectmouseclick="t"/>
              <v:textbox style="mso-fit-shape-to-text:t" inset="0,0,0,15pt">
                <w:txbxContent>
                  <w:p w14:paraId="5D39650C" w14:textId="7DE667AE" w:rsidR="00DE2DA0" w:rsidRPr="00DE2DA0" w:rsidRDefault="00DE2DA0" w:rsidP="00DE2DA0">
                    <w:pPr>
                      <w:rPr>
                        <w:rFonts w:ascii="Arial" w:eastAsia="Arial" w:hAnsi="Arial" w:cs="Arial"/>
                        <w:noProof/>
                        <w:color w:val="D76600"/>
                      </w:rPr>
                    </w:pPr>
                    <w:r w:rsidRPr="00DE2DA0">
                      <w:rPr>
                        <w:rFonts w:ascii="Arial" w:eastAsia="Arial" w:hAnsi="Arial" w:cs="Arial"/>
                        <w:noProof/>
                        <w:color w:val="D76600"/>
                      </w:rPr>
                      <w:t>Confidential Document</w:t>
                    </w:r>
                  </w:p>
                </w:txbxContent>
              </v:textbox>
              <w10:wrap anchorx="page" anchory="page"/>
            </v:shape>
          </w:pict>
        </mc:Fallback>
      </mc:AlternateContent>
    </w:r>
    <w:r w:rsidR="00C43DCF" w:rsidRPr="0027112F">
      <w:rPr>
        <w:noProof/>
        <w:lang w:val="en-US"/>
      </w:rPr>
      <w:drawing>
        <wp:anchor distT="0" distB="0" distL="114300" distR="114300" simplePos="0" relativeHeight="251659264" behindDoc="0" locked="1" layoutInCell="1" allowOverlap="1" wp14:anchorId="212058CB" wp14:editId="70FB177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7A73" w14:textId="77777777" w:rsidR="006E3880" w:rsidRPr="000B175B" w:rsidRDefault="006E3880" w:rsidP="000B175B">
      <w:pPr>
        <w:tabs>
          <w:tab w:val="right" w:pos="2155"/>
        </w:tabs>
        <w:spacing w:after="80"/>
        <w:ind w:left="680"/>
        <w:rPr>
          <w:u w:val="single"/>
        </w:rPr>
      </w:pPr>
      <w:r>
        <w:rPr>
          <w:u w:val="single"/>
        </w:rPr>
        <w:tab/>
      </w:r>
    </w:p>
  </w:footnote>
  <w:footnote w:type="continuationSeparator" w:id="0">
    <w:p w14:paraId="78A82410" w14:textId="77777777" w:rsidR="006E3880" w:rsidRPr="00FC68B7" w:rsidRDefault="006E3880" w:rsidP="00FC68B7">
      <w:pPr>
        <w:tabs>
          <w:tab w:val="left" w:pos="2155"/>
        </w:tabs>
        <w:spacing w:after="80"/>
        <w:ind w:left="680"/>
        <w:rPr>
          <w:u w:val="single"/>
        </w:rPr>
      </w:pPr>
      <w:r>
        <w:rPr>
          <w:u w:val="single"/>
        </w:rPr>
        <w:tab/>
      </w:r>
    </w:p>
  </w:footnote>
  <w:footnote w:type="continuationNotice" w:id="1">
    <w:p w14:paraId="70F7B8ED" w14:textId="77777777" w:rsidR="006E3880" w:rsidRDefault="006E3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C993" w14:textId="0D0C36C0" w:rsidR="00F03BBD" w:rsidRPr="00F03BBD" w:rsidRDefault="00551D11">
    <w:pPr>
      <w:pStyle w:val="Header"/>
    </w:pPr>
    <w:r>
      <w:t>GRSG-128-XX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EDAE" w14:textId="66BCE66A" w:rsidR="00F03BBD" w:rsidRPr="001D63CE" w:rsidRDefault="001D63CE" w:rsidP="00F03BBD">
    <w:pPr>
      <w:pStyle w:val="Header"/>
      <w:jc w:val="right"/>
      <w:rPr>
        <w:lang w:val="fr-CH"/>
      </w:rPr>
    </w:pPr>
    <w:r>
      <w:rPr>
        <w:lang w:val="fr-CH"/>
      </w:rPr>
      <w:t>ECE/TRANS/WP.29/GRSG/2024/41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96055C" w:rsidRPr="00DD5F08" w14:paraId="46DF2025" w14:textId="77777777" w:rsidTr="00A662A9">
      <w:tc>
        <w:tcPr>
          <w:tcW w:w="4253" w:type="dxa"/>
          <w:hideMark/>
        </w:tcPr>
        <w:p w14:paraId="72B78656" w14:textId="0FF8AED7" w:rsidR="0096055C" w:rsidRPr="00DD5F08" w:rsidRDefault="0096055C" w:rsidP="0096055C">
          <w:pPr>
            <w:tabs>
              <w:tab w:val="center" w:pos="4536"/>
              <w:tab w:val="right" w:pos="9072"/>
            </w:tabs>
            <w:spacing w:line="240" w:lineRule="auto"/>
            <w:rPr>
              <w:rFonts w:eastAsia="Calibri"/>
              <w:kern w:val="2"/>
            </w:rPr>
          </w:pPr>
          <w:r w:rsidRPr="00DD5F08">
            <w:rPr>
              <w:rFonts w:eastAsia="Calibri"/>
              <w:kern w:val="2"/>
            </w:rPr>
            <w:t xml:space="preserve">Submitted by </w:t>
          </w:r>
          <w:r>
            <w:rPr>
              <w:rFonts w:eastAsia="Calibri"/>
              <w:kern w:val="2"/>
            </w:rPr>
            <w:t>the experts of France</w:t>
          </w:r>
        </w:p>
      </w:tc>
      <w:tc>
        <w:tcPr>
          <w:tcW w:w="5245" w:type="dxa"/>
          <w:hideMark/>
        </w:tcPr>
        <w:p w14:paraId="05A98CCE" w14:textId="39E0C4B2" w:rsidR="0096055C" w:rsidRPr="00654807" w:rsidRDefault="0096055C" w:rsidP="0096055C">
          <w:pPr>
            <w:spacing w:line="240" w:lineRule="auto"/>
            <w:ind w:left="1735"/>
            <w:jc w:val="right"/>
            <w:rPr>
              <w:rFonts w:eastAsia="Calibri"/>
              <w:b/>
              <w:bCs/>
              <w:kern w:val="2"/>
            </w:rPr>
          </w:pPr>
          <w:r w:rsidRPr="00654807">
            <w:rPr>
              <w:rFonts w:eastAsia="Calibri"/>
              <w:kern w:val="2"/>
              <w:u w:val="single"/>
            </w:rPr>
            <w:t>Informal document</w:t>
          </w:r>
          <w:r w:rsidRPr="00654807">
            <w:rPr>
              <w:rFonts w:eastAsia="Calibri"/>
              <w:kern w:val="2"/>
            </w:rPr>
            <w:t xml:space="preserve"> </w:t>
          </w:r>
          <w:r w:rsidRPr="00654807">
            <w:rPr>
              <w:rFonts w:eastAsia="Calibri"/>
              <w:b/>
              <w:bCs/>
              <w:kern w:val="2"/>
            </w:rPr>
            <w:t>GRSG-12</w:t>
          </w:r>
          <w:r w:rsidRPr="00654807">
            <w:rPr>
              <w:b/>
              <w:bCs/>
              <w:kern w:val="2"/>
              <w:lang w:eastAsia="ja-JP"/>
            </w:rPr>
            <w:t>8</w:t>
          </w:r>
          <w:r w:rsidRPr="00654807">
            <w:rPr>
              <w:rFonts w:eastAsia="Calibri"/>
              <w:b/>
              <w:bCs/>
              <w:kern w:val="2"/>
            </w:rPr>
            <w:t>-</w:t>
          </w:r>
          <w:r w:rsidR="00E73E09">
            <w:rPr>
              <w:rFonts w:eastAsia="Calibri"/>
              <w:b/>
              <w:bCs/>
              <w:kern w:val="2"/>
            </w:rPr>
            <w:t>33</w:t>
          </w:r>
        </w:p>
        <w:p w14:paraId="548B5C2E" w14:textId="77777777" w:rsidR="0096055C" w:rsidRPr="00654807" w:rsidRDefault="0096055C" w:rsidP="0096055C">
          <w:pPr>
            <w:tabs>
              <w:tab w:val="center" w:pos="4536"/>
              <w:tab w:val="right" w:pos="9072"/>
            </w:tabs>
            <w:spacing w:line="240" w:lineRule="auto"/>
            <w:ind w:left="1735"/>
            <w:jc w:val="right"/>
            <w:rPr>
              <w:rFonts w:eastAsia="Calibri"/>
              <w:kern w:val="2"/>
            </w:rPr>
          </w:pPr>
          <w:r w:rsidRPr="00654807">
            <w:rPr>
              <w:rFonts w:eastAsia="Calibri"/>
              <w:kern w:val="2"/>
            </w:rPr>
            <w:t>(12</w:t>
          </w:r>
          <w:r w:rsidRPr="00654807">
            <w:rPr>
              <w:kern w:val="2"/>
              <w:lang w:eastAsia="ja-JP"/>
            </w:rPr>
            <w:t>8</w:t>
          </w:r>
          <w:r w:rsidRPr="00654807">
            <w:rPr>
              <w:rFonts w:eastAsia="Calibri"/>
              <w:kern w:val="2"/>
            </w:rPr>
            <w:t xml:space="preserve">th GRSG, </w:t>
          </w:r>
          <w:r w:rsidRPr="00654807">
            <w:rPr>
              <w:kern w:val="2"/>
              <w:lang w:eastAsia="ja-JP"/>
            </w:rPr>
            <w:t>7</w:t>
          </w:r>
          <w:r w:rsidRPr="00654807">
            <w:rPr>
              <w:rFonts w:eastAsia="Calibri"/>
              <w:kern w:val="2"/>
            </w:rPr>
            <w:t>–</w:t>
          </w:r>
          <w:r w:rsidRPr="00654807">
            <w:rPr>
              <w:kern w:val="2"/>
              <w:lang w:eastAsia="ja-JP"/>
            </w:rPr>
            <w:t>11 October</w:t>
          </w:r>
          <w:r w:rsidRPr="00654807">
            <w:rPr>
              <w:rFonts w:eastAsia="Calibri"/>
              <w:kern w:val="2"/>
            </w:rPr>
            <w:t xml:space="preserve"> 2024</w:t>
          </w:r>
        </w:p>
        <w:p w14:paraId="015C2409" w14:textId="2EB0C9AF" w:rsidR="0096055C" w:rsidRPr="00DD5F08" w:rsidRDefault="0096055C" w:rsidP="0096055C">
          <w:pPr>
            <w:tabs>
              <w:tab w:val="center" w:pos="4536"/>
              <w:tab w:val="right" w:pos="9072"/>
            </w:tabs>
            <w:spacing w:line="240" w:lineRule="auto"/>
            <w:ind w:left="1735"/>
            <w:jc w:val="right"/>
            <w:rPr>
              <w:rFonts w:eastAsia="Calibri"/>
              <w:kern w:val="2"/>
            </w:rPr>
          </w:pPr>
          <w:r w:rsidRPr="00654807">
            <w:rPr>
              <w:rFonts w:eastAsia="Calibri"/>
              <w:kern w:val="2"/>
            </w:rPr>
            <w:t xml:space="preserve">Agenda item </w:t>
          </w:r>
          <w:r w:rsidR="00D07474">
            <w:rPr>
              <w:rFonts w:eastAsia="Calibri"/>
              <w:kern w:val="2"/>
            </w:rPr>
            <w:t>9</w:t>
          </w:r>
          <w:r>
            <w:rPr>
              <w:rFonts w:hint="eastAsia"/>
              <w:kern w:val="2"/>
              <w:lang w:eastAsia="ja-JP"/>
            </w:rPr>
            <w:t>a</w:t>
          </w:r>
          <w:r w:rsidRPr="00654807">
            <w:rPr>
              <w:rFonts w:eastAsia="Calibri"/>
              <w:kern w:val="2"/>
            </w:rPr>
            <w:t>)</w:t>
          </w:r>
        </w:p>
      </w:tc>
    </w:tr>
  </w:tbl>
  <w:p w14:paraId="4E74D260" w14:textId="77777777" w:rsidR="0096055C" w:rsidRPr="0096055C" w:rsidRDefault="0096055C" w:rsidP="00960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5A4C3D"/>
    <w:multiLevelType w:val="hybridMultilevel"/>
    <w:tmpl w:val="2C2C0926"/>
    <w:lvl w:ilvl="0" w:tplc="8112240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6A2514"/>
    <w:multiLevelType w:val="hybridMultilevel"/>
    <w:tmpl w:val="7D1C3B4E"/>
    <w:lvl w:ilvl="0" w:tplc="6818F16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77802664">
    <w:abstractNumId w:val="1"/>
  </w:num>
  <w:num w:numId="2" w16cid:durableId="1343514416">
    <w:abstractNumId w:val="0"/>
  </w:num>
  <w:num w:numId="3" w16cid:durableId="1063989034">
    <w:abstractNumId w:val="2"/>
  </w:num>
  <w:num w:numId="4" w16cid:durableId="1855806174">
    <w:abstractNumId w:val="3"/>
  </w:num>
  <w:num w:numId="5" w16cid:durableId="1388646508">
    <w:abstractNumId w:val="8"/>
  </w:num>
  <w:num w:numId="6" w16cid:durableId="949430666">
    <w:abstractNumId w:val="9"/>
  </w:num>
  <w:num w:numId="7" w16cid:durableId="1025131784">
    <w:abstractNumId w:val="7"/>
  </w:num>
  <w:num w:numId="8" w16cid:durableId="1922137295">
    <w:abstractNumId w:val="6"/>
  </w:num>
  <w:num w:numId="9" w16cid:durableId="1278757905">
    <w:abstractNumId w:val="5"/>
  </w:num>
  <w:num w:numId="10" w16cid:durableId="1379745652">
    <w:abstractNumId w:val="4"/>
  </w:num>
  <w:num w:numId="11" w16cid:durableId="1516383701">
    <w:abstractNumId w:val="16"/>
  </w:num>
  <w:num w:numId="12" w16cid:durableId="1813714215">
    <w:abstractNumId w:val="15"/>
  </w:num>
  <w:num w:numId="13" w16cid:durableId="1278180441">
    <w:abstractNumId w:val="10"/>
  </w:num>
  <w:num w:numId="14" w16cid:durableId="1545368657">
    <w:abstractNumId w:val="13"/>
  </w:num>
  <w:num w:numId="15" w16cid:durableId="953437500">
    <w:abstractNumId w:val="17"/>
  </w:num>
  <w:num w:numId="16" w16cid:durableId="1921058594">
    <w:abstractNumId w:val="14"/>
  </w:num>
  <w:num w:numId="17" w16cid:durableId="1795444757">
    <w:abstractNumId w:val="19"/>
  </w:num>
  <w:num w:numId="18" w16cid:durableId="2091077979">
    <w:abstractNumId w:val="20"/>
  </w:num>
  <w:num w:numId="19" w16cid:durableId="1382285560">
    <w:abstractNumId w:val="11"/>
  </w:num>
  <w:num w:numId="20" w16cid:durableId="1262183260">
    <w:abstractNumId w:val="12"/>
  </w:num>
  <w:num w:numId="21" w16cid:durableId="23844690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BD"/>
    <w:rsid w:val="00002A7D"/>
    <w:rsid w:val="000038A8"/>
    <w:rsid w:val="00005DF3"/>
    <w:rsid w:val="00006790"/>
    <w:rsid w:val="00027624"/>
    <w:rsid w:val="00050F6B"/>
    <w:rsid w:val="000678CD"/>
    <w:rsid w:val="00071D3F"/>
    <w:rsid w:val="00072C8C"/>
    <w:rsid w:val="000800FC"/>
    <w:rsid w:val="00081CE0"/>
    <w:rsid w:val="00084D30"/>
    <w:rsid w:val="00090320"/>
    <w:rsid w:val="000931C0"/>
    <w:rsid w:val="00097003"/>
    <w:rsid w:val="000A2E09"/>
    <w:rsid w:val="000B175B"/>
    <w:rsid w:val="000B3A0F"/>
    <w:rsid w:val="000C388F"/>
    <w:rsid w:val="000E0415"/>
    <w:rsid w:val="000F7715"/>
    <w:rsid w:val="001031A0"/>
    <w:rsid w:val="001101D5"/>
    <w:rsid w:val="00113ADE"/>
    <w:rsid w:val="00156B99"/>
    <w:rsid w:val="00166124"/>
    <w:rsid w:val="00167466"/>
    <w:rsid w:val="00182FC8"/>
    <w:rsid w:val="00184DDA"/>
    <w:rsid w:val="001900CD"/>
    <w:rsid w:val="001A0452"/>
    <w:rsid w:val="001B4B04"/>
    <w:rsid w:val="001B5875"/>
    <w:rsid w:val="001C2C38"/>
    <w:rsid w:val="001C4B9C"/>
    <w:rsid w:val="001C6663"/>
    <w:rsid w:val="001C7895"/>
    <w:rsid w:val="001D26DF"/>
    <w:rsid w:val="001D63CE"/>
    <w:rsid w:val="001E02F6"/>
    <w:rsid w:val="001E542F"/>
    <w:rsid w:val="001E7B2F"/>
    <w:rsid w:val="001F1599"/>
    <w:rsid w:val="001F19C4"/>
    <w:rsid w:val="002043F0"/>
    <w:rsid w:val="00211E0B"/>
    <w:rsid w:val="00221008"/>
    <w:rsid w:val="00232575"/>
    <w:rsid w:val="00247258"/>
    <w:rsid w:val="00257CAC"/>
    <w:rsid w:val="0027075F"/>
    <w:rsid w:val="0027237A"/>
    <w:rsid w:val="002974E9"/>
    <w:rsid w:val="002A306B"/>
    <w:rsid w:val="002A7F94"/>
    <w:rsid w:val="002B109A"/>
    <w:rsid w:val="002C3225"/>
    <w:rsid w:val="002C6A50"/>
    <w:rsid w:val="002C6D45"/>
    <w:rsid w:val="002D6E53"/>
    <w:rsid w:val="002F046D"/>
    <w:rsid w:val="002F3023"/>
    <w:rsid w:val="002F561C"/>
    <w:rsid w:val="00301764"/>
    <w:rsid w:val="00306620"/>
    <w:rsid w:val="003229D8"/>
    <w:rsid w:val="00336C97"/>
    <w:rsid w:val="00337F88"/>
    <w:rsid w:val="00342432"/>
    <w:rsid w:val="003424F3"/>
    <w:rsid w:val="0035223F"/>
    <w:rsid w:val="00352D4B"/>
    <w:rsid w:val="0035638C"/>
    <w:rsid w:val="0037018B"/>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E3D3E"/>
    <w:rsid w:val="004F6BA0"/>
    <w:rsid w:val="00503BEA"/>
    <w:rsid w:val="00510087"/>
    <w:rsid w:val="00522AED"/>
    <w:rsid w:val="005261B9"/>
    <w:rsid w:val="00533616"/>
    <w:rsid w:val="00535ABA"/>
    <w:rsid w:val="0053768B"/>
    <w:rsid w:val="005420F2"/>
    <w:rsid w:val="0054285C"/>
    <w:rsid w:val="00545138"/>
    <w:rsid w:val="00551D11"/>
    <w:rsid w:val="005536ED"/>
    <w:rsid w:val="00573DD8"/>
    <w:rsid w:val="00573E98"/>
    <w:rsid w:val="00584173"/>
    <w:rsid w:val="00595520"/>
    <w:rsid w:val="005A44B9"/>
    <w:rsid w:val="005B1BA0"/>
    <w:rsid w:val="005B3DB3"/>
    <w:rsid w:val="005C0268"/>
    <w:rsid w:val="005D15CA"/>
    <w:rsid w:val="005F08DF"/>
    <w:rsid w:val="005F3066"/>
    <w:rsid w:val="005F3E61"/>
    <w:rsid w:val="0060218D"/>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0EBE"/>
    <w:rsid w:val="006E3880"/>
    <w:rsid w:val="006E3B2B"/>
    <w:rsid w:val="006E564B"/>
    <w:rsid w:val="006E7154"/>
    <w:rsid w:val="006F4FCF"/>
    <w:rsid w:val="007003CD"/>
    <w:rsid w:val="0070701E"/>
    <w:rsid w:val="0072277C"/>
    <w:rsid w:val="0072632A"/>
    <w:rsid w:val="00730AA4"/>
    <w:rsid w:val="007358E8"/>
    <w:rsid w:val="00736ECE"/>
    <w:rsid w:val="0074533B"/>
    <w:rsid w:val="00747482"/>
    <w:rsid w:val="007643BC"/>
    <w:rsid w:val="0077493D"/>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38CB"/>
    <w:rsid w:val="00866893"/>
    <w:rsid w:val="00866F02"/>
    <w:rsid w:val="00867D18"/>
    <w:rsid w:val="00871F9A"/>
    <w:rsid w:val="00871FD5"/>
    <w:rsid w:val="0088172E"/>
    <w:rsid w:val="00881EFA"/>
    <w:rsid w:val="008879CB"/>
    <w:rsid w:val="008979B1"/>
    <w:rsid w:val="008A6B25"/>
    <w:rsid w:val="008A6C4F"/>
    <w:rsid w:val="008B389E"/>
    <w:rsid w:val="008C49A8"/>
    <w:rsid w:val="008D045E"/>
    <w:rsid w:val="008D3F25"/>
    <w:rsid w:val="008D4D82"/>
    <w:rsid w:val="008E0E46"/>
    <w:rsid w:val="008E7116"/>
    <w:rsid w:val="008F143B"/>
    <w:rsid w:val="008F3882"/>
    <w:rsid w:val="008F4B7C"/>
    <w:rsid w:val="0092556A"/>
    <w:rsid w:val="00926E47"/>
    <w:rsid w:val="00947162"/>
    <w:rsid w:val="009515E6"/>
    <w:rsid w:val="00957598"/>
    <w:rsid w:val="0096055C"/>
    <w:rsid w:val="009610D0"/>
    <w:rsid w:val="0096375C"/>
    <w:rsid w:val="009662E6"/>
    <w:rsid w:val="0097095E"/>
    <w:rsid w:val="0098592B"/>
    <w:rsid w:val="00985FC4"/>
    <w:rsid w:val="00990766"/>
    <w:rsid w:val="00991261"/>
    <w:rsid w:val="009964C4"/>
    <w:rsid w:val="009A55B1"/>
    <w:rsid w:val="009A6D81"/>
    <w:rsid w:val="009A7B81"/>
    <w:rsid w:val="009B011B"/>
    <w:rsid w:val="009B7EB7"/>
    <w:rsid w:val="009C12E7"/>
    <w:rsid w:val="009D01C0"/>
    <w:rsid w:val="009D6A08"/>
    <w:rsid w:val="009D6FF9"/>
    <w:rsid w:val="009E0A16"/>
    <w:rsid w:val="009E6CB7"/>
    <w:rsid w:val="009E7970"/>
    <w:rsid w:val="009F2EAC"/>
    <w:rsid w:val="009F57E1"/>
    <w:rsid w:val="009F57E3"/>
    <w:rsid w:val="00A077A2"/>
    <w:rsid w:val="00A10F4F"/>
    <w:rsid w:val="00A11067"/>
    <w:rsid w:val="00A1704A"/>
    <w:rsid w:val="00A36AC2"/>
    <w:rsid w:val="00A37EA4"/>
    <w:rsid w:val="00A425EB"/>
    <w:rsid w:val="00A72F22"/>
    <w:rsid w:val="00A733BC"/>
    <w:rsid w:val="00A73E11"/>
    <w:rsid w:val="00A748A6"/>
    <w:rsid w:val="00A76A69"/>
    <w:rsid w:val="00A879A4"/>
    <w:rsid w:val="00A93F03"/>
    <w:rsid w:val="00AA0FF8"/>
    <w:rsid w:val="00AA74F8"/>
    <w:rsid w:val="00AB04E0"/>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75F8F"/>
    <w:rsid w:val="00B81E12"/>
    <w:rsid w:val="00B8543F"/>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3DCF"/>
    <w:rsid w:val="00C463DD"/>
    <w:rsid w:val="00C71733"/>
    <w:rsid w:val="00C745C3"/>
    <w:rsid w:val="00C978F5"/>
    <w:rsid w:val="00CA24A4"/>
    <w:rsid w:val="00CB348D"/>
    <w:rsid w:val="00CD12F9"/>
    <w:rsid w:val="00CD46F5"/>
    <w:rsid w:val="00CE113C"/>
    <w:rsid w:val="00CE4A8F"/>
    <w:rsid w:val="00CE4BF4"/>
    <w:rsid w:val="00CF071D"/>
    <w:rsid w:val="00D0123D"/>
    <w:rsid w:val="00D07474"/>
    <w:rsid w:val="00D15B04"/>
    <w:rsid w:val="00D2031B"/>
    <w:rsid w:val="00D25FE2"/>
    <w:rsid w:val="00D27378"/>
    <w:rsid w:val="00D36CAE"/>
    <w:rsid w:val="00D37DA9"/>
    <w:rsid w:val="00D406A7"/>
    <w:rsid w:val="00D41AE9"/>
    <w:rsid w:val="00D43252"/>
    <w:rsid w:val="00D44D86"/>
    <w:rsid w:val="00D50B7D"/>
    <w:rsid w:val="00D52012"/>
    <w:rsid w:val="00D704E5"/>
    <w:rsid w:val="00D72727"/>
    <w:rsid w:val="00D7299A"/>
    <w:rsid w:val="00D837A2"/>
    <w:rsid w:val="00D978C6"/>
    <w:rsid w:val="00DA0956"/>
    <w:rsid w:val="00DA357F"/>
    <w:rsid w:val="00DA3E12"/>
    <w:rsid w:val="00DC18AD"/>
    <w:rsid w:val="00DE2DA0"/>
    <w:rsid w:val="00DF7CAE"/>
    <w:rsid w:val="00E423C0"/>
    <w:rsid w:val="00E45BAA"/>
    <w:rsid w:val="00E55F54"/>
    <w:rsid w:val="00E6414C"/>
    <w:rsid w:val="00E7260F"/>
    <w:rsid w:val="00E73E09"/>
    <w:rsid w:val="00E8702D"/>
    <w:rsid w:val="00E905F4"/>
    <w:rsid w:val="00E916A9"/>
    <w:rsid w:val="00E916DE"/>
    <w:rsid w:val="00E925AD"/>
    <w:rsid w:val="00E96630"/>
    <w:rsid w:val="00EA4842"/>
    <w:rsid w:val="00EC31AC"/>
    <w:rsid w:val="00ED18DC"/>
    <w:rsid w:val="00ED6201"/>
    <w:rsid w:val="00ED7A2A"/>
    <w:rsid w:val="00EF1D7F"/>
    <w:rsid w:val="00F0137E"/>
    <w:rsid w:val="00F03BBD"/>
    <w:rsid w:val="00F04E44"/>
    <w:rsid w:val="00F21786"/>
    <w:rsid w:val="00F25D06"/>
    <w:rsid w:val="00F31CFF"/>
    <w:rsid w:val="00F3742B"/>
    <w:rsid w:val="00F41FDB"/>
    <w:rsid w:val="00F50597"/>
    <w:rsid w:val="00F569A6"/>
    <w:rsid w:val="00F56D63"/>
    <w:rsid w:val="00F609A9"/>
    <w:rsid w:val="00F80C99"/>
    <w:rsid w:val="00F81793"/>
    <w:rsid w:val="00F867EC"/>
    <w:rsid w:val="00F91B2B"/>
    <w:rsid w:val="00FC03CD"/>
    <w:rsid w:val="00FC0646"/>
    <w:rsid w:val="00FC68B7"/>
    <w:rsid w:val="00FE25D8"/>
    <w:rsid w:val="00FE6985"/>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B03E"/>
  <w15:docId w15:val="{85A02A98-D2E3-4496-8689-B9B99151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qFormat/>
    <w:rsid w:val="00F03BBD"/>
    <w:rPr>
      <w:b/>
      <w:sz w:val="28"/>
      <w:lang w:val="en-GB"/>
    </w:rPr>
  </w:style>
  <w:style w:type="character" w:customStyle="1" w:styleId="H1GChar">
    <w:name w:val="_ H_1_G Char"/>
    <w:link w:val="H1G"/>
    <w:locked/>
    <w:rsid w:val="00F03BBD"/>
    <w:rPr>
      <w:b/>
      <w:sz w:val="24"/>
      <w:lang w:val="en-GB"/>
    </w:rPr>
  </w:style>
  <w:style w:type="character" w:customStyle="1" w:styleId="SingleTxtGChar">
    <w:name w:val="_ Single Txt_G Char"/>
    <w:link w:val="SingleTxtG"/>
    <w:qFormat/>
    <w:rsid w:val="002C6A50"/>
    <w:rPr>
      <w:lang w:val="en-GB"/>
    </w:rPr>
  </w:style>
  <w:style w:type="paragraph" w:styleId="ListParagraph">
    <w:name w:val="List Paragraph"/>
    <w:basedOn w:val="Normal"/>
    <w:uiPriority w:val="34"/>
    <w:qFormat/>
    <w:rsid w:val="002C6A50"/>
    <w:pPr>
      <w:suppressAutoHyphens/>
      <w:ind w:left="720"/>
      <w:contextualSpacing/>
    </w:pPr>
    <w:rPr>
      <w:rFonts w:eastAsia="MS Mincho"/>
    </w:rPr>
  </w:style>
  <w:style w:type="paragraph" w:styleId="Revision">
    <w:name w:val="Revision"/>
    <w:hidden/>
    <w:uiPriority w:val="99"/>
    <w:semiHidden/>
    <w:rsid w:val="006E3B2B"/>
    <w:pPr>
      <w:spacing w:line="240" w:lineRule="auto"/>
    </w:pPr>
    <w:rPr>
      <w:lang w:val="en-GB"/>
    </w:rPr>
  </w:style>
  <w:style w:type="character" w:styleId="CommentReference">
    <w:name w:val="annotation reference"/>
    <w:basedOn w:val="DefaultParagraphFont"/>
    <w:semiHidden/>
    <w:unhideWhenUsed/>
    <w:rsid w:val="006E3B2B"/>
    <w:rPr>
      <w:sz w:val="16"/>
      <w:szCs w:val="16"/>
    </w:rPr>
  </w:style>
  <w:style w:type="paragraph" w:styleId="CommentText">
    <w:name w:val="annotation text"/>
    <w:basedOn w:val="Normal"/>
    <w:link w:val="CommentTextChar"/>
    <w:unhideWhenUsed/>
    <w:rsid w:val="006E3B2B"/>
    <w:pPr>
      <w:spacing w:line="240" w:lineRule="auto"/>
    </w:pPr>
  </w:style>
  <w:style w:type="character" w:customStyle="1" w:styleId="CommentTextChar">
    <w:name w:val="Comment Text Char"/>
    <w:basedOn w:val="DefaultParagraphFont"/>
    <w:link w:val="CommentText"/>
    <w:rsid w:val="006E3B2B"/>
    <w:rPr>
      <w:lang w:val="en-GB"/>
    </w:rPr>
  </w:style>
  <w:style w:type="paragraph" w:styleId="CommentSubject">
    <w:name w:val="annotation subject"/>
    <w:basedOn w:val="CommentText"/>
    <w:next w:val="CommentText"/>
    <w:link w:val="CommentSubjectChar"/>
    <w:semiHidden/>
    <w:unhideWhenUsed/>
    <w:rsid w:val="006E3B2B"/>
    <w:rPr>
      <w:b/>
      <w:bCs/>
    </w:rPr>
  </w:style>
  <w:style w:type="character" w:customStyle="1" w:styleId="CommentSubjectChar">
    <w:name w:val="Comment Subject Char"/>
    <w:basedOn w:val="CommentTextChar"/>
    <w:link w:val="CommentSubject"/>
    <w:semiHidden/>
    <w:rsid w:val="006E3B2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0247">
      <w:bodyDiv w:val="1"/>
      <w:marLeft w:val="0"/>
      <w:marRight w:val="0"/>
      <w:marTop w:val="0"/>
      <w:marBottom w:val="0"/>
      <w:divBdr>
        <w:top w:val="none" w:sz="0" w:space="0" w:color="auto"/>
        <w:left w:val="none" w:sz="0" w:space="0" w:color="auto"/>
        <w:bottom w:val="none" w:sz="0" w:space="0" w:color="auto"/>
        <w:right w:val="none" w:sz="0" w:space="0" w:color="auto"/>
      </w:divBdr>
    </w:div>
    <w:div w:id="15355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2CC37CB3F9F34F8E54C3687B94FE80" ma:contentTypeVersion="12" ma:contentTypeDescription="Crée un document." ma:contentTypeScope="" ma:versionID="4485afd166c4b86c83d63f706e737b22">
  <xsd:schema xmlns:xsd="http://www.w3.org/2001/XMLSchema" xmlns:xs="http://www.w3.org/2001/XMLSchema" xmlns:p="http://schemas.microsoft.com/office/2006/metadata/properties" xmlns:ns2="354460e3-7939-4aa1-b4e6-70b07852a4b1" xmlns:ns3="3c175618-5e29-4e5e-b12d-002924f9f8cd" targetNamespace="http://schemas.microsoft.com/office/2006/metadata/properties" ma:root="true" ma:fieldsID="519f80bb2fc101ef380f57ac73349ddc" ns2:_="" ns3:_="">
    <xsd:import namespace="354460e3-7939-4aa1-b4e6-70b07852a4b1"/>
    <xsd:import namespace="3c175618-5e29-4e5e-b12d-002924f9f8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460e3-7939-4aa1-b4e6-70b07852a4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8883208-3f74-4a1c-b609-705badafaa3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75618-5e29-4e5e-b12d-002924f9f8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897e5e-4996-47aa-b81d-cc22a2431d56}" ma:internalName="TaxCatchAll" ma:showField="CatchAllData" ma:web="3c175618-5e29-4e5e-b12d-002924f9f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460e3-7939-4aa1-b4e6-70b07852a4b1">
      <Terms xmlns="http://schemas.microsoft.com/office/infopath/2007/PartnerControls"/>
    </lcf76f155ced4ddcb4097134ff3c332f>
    <TaxCatchAll xmlns="3c175618-5e29-4e5e-b12d-002924f9f8cd"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2BB42E1-A0A3-4030-9DF9-C5DCDEE3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460e3-7939-4aa1-b4e6-70b07852a4b1"/>
    <ds:schemaRef ds:uri="3c175618-5e29-4e5e-b12d-002924f9f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354460e3-7939-4aa1-b4e6-70b07852a4b1"/>
    <ds:schemaRef ds:uri="3c175618-5e29-4e5e-b12d-002924f9f8cd"/>
  </ds:schemaRefs>
</ds:datastoreItem>
</file>

<file path=docMetadata/LabelInfo.xml><?xml version="1.0" encoding="utf-8"?>
<clbl:labelList xmlns:clbl="http://schemas.microsoft.com/office/2020/mipLabelMetadata">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TRANS_WP29_E.dotm</Template>
  <TotalTime>1</TotalTime>
  <Pages>2</Pages>
  <Words>447</Words>
  <Characters>2660</Characters>
  <Application>Microsoft Office Word</Application>
  <DocSecurity>4</DocSecurity>
  <Lines>57</Lines>
  <Paragraphs>36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ECE/TRANS/WP.29/GRSG/2024/41</vt:lpstr>
      <vt:lpstr>ECE/TRANS/WP.29/GRSG/2024/41</vt:lpstr>
      <vt:lpstr/>
    </vt:vector>
  </TitlesOfParts>
  <Company>CSD</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ECE/TRANS/WP.29/GRSG/2024/41</dc:title>
  <dc:subject>2413389</dc:subject>
  <dc:creator>Edoardo Gianotti</dc:creator>
  <cp:keywords/>
  <dc:description/>
  <cp:lastModifiedBy>Edoardo Gianotti</cp:lastModifiedBy>
  <cp:revision>2</cp:revision>
  <cp:lastPrinted>2024-07-22T13:43:00Z</cp:lastPrinted>
  <dcterms:created xsi:type="dcterms:W3CDTF">2024-10-07T14:33:00Z</dcterms:created>
  <dcterms:modified xsi:type="dcterms:W3CDTF">2024-10-07T14:33:00Z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d3d538fd-7cd2-4b8b-bd42-f6ee8cc1e568_Enabled">
    <vt:lpwstr>true</vt:lpwstr>
  </property>
  <property fmtid="{D5CDD505-2E9C-101B-9397-08002B2CF9AE}" pid="8" name="MSIP_Label_d3d538fd-7cd2-4b8b-bd42-f6ee8cc1e568_SetDate">
    <vt:lpwstr>2024-07-19T08:01:38Z</vt:lpwstr>
  </property>
  <property fmtid="{D5CDD505-2E9C-101B-9397-08002B2CF9AE}" pid="9" name="MSIP_Label_d3d538fd-7cd2-4b8b-bd42-f6ee8cc1e568_Method">
    <vt:lpwstr>Standard</vt:lpwstr>
  </property>
  <property fmtid="{D5CDD505-2E9C-101B-9397-08002B2CF9AE}" pid="10" name="MSIP_Label_d3d538fd-7cd2-4b8b-bd42-f6ee8cc1e568_Name">
    <vt:lpwstr>d3d538fd-7cd2-4b8b-bd42-f6ee8cc1e568</vt:lpwstr>
  </property>
  <property fmtid="{D5CDD505-2E9C-101B-9397-08002B2CF9AE}" pid="11" name="MSIP_Label_d3d538fd-7cd2-4b8b-bd42-f6ee8cc1e568_SiteId">
    <vt:lpwstr>255bd3b3-8412-4e31-a3ec-56916c7ae8c0</vt:lpwstr>
  </property>
  <property fmtid="{D5CDD505-2E9C-101B-9397-08002B2CF9AE}" pid="12" name="MSIP_Label_d3d538fd-7cd2-4b8b-bd42-f6ee8cc1e568_ActionId">
    <vt:lpwstr>72d9c5dc-342d-4baf-928c-23b520fe252f</vt:lpwstr>
  </property>
  <property fmtid="{D5CDD505-2E9C-101B-9397-08002B2CF9AE}" pid="13" name="MSIP_Label_d3d538fd-7cd2-4b8b-bd42-f6ee8cc1e568_ContentBits">
    <vt:lpwstr>0</vt:lpwstr>
  </property>
  <property fmtid="{D5CDD505-2E9C-101B-9397-08002B2CF9AE}" pid="14" name="ClassificationContentMarkingFooterShapeIds">
    <vt:lpwstr>42341599,302a37bb,6f43c471</vt:lpwstr>
  </property>
  <property fmtid="{D5CDD505-2E9C-101B-9397-08002B2CF9AE}" pid="15" name="ClassificationContentMarkingFooterFontProps">
    <vt:lpwstr>#d76600,10,Arial</vt:lpwstr>
  </property>
  <property fmtid="{D5CDD505-2E9C-101B-9397-08002B2CF9AE}" pid="16" name="ClassificationContentMarkingFooterText">
    <vt:lpwstr>Confidential Document</vt:lpwstr>
  </property>
</Properties>
</file>