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ECA2A14" w14:textId="77777777" w:rsidTr="00C97039">
        <w:trPr>
          <w:trHeight w:hRule="exact" w:val="851"/>
        </w:trPr>
        <w:tc>
          <w:tcPr>
            <w:tcW w:w="1276" w:type="dxa"/>
            <w:tcBorders>
              <w:bottom w:val="single" w:sz="4" w:space="0" w:color="auto"/>
            </w:tcBorders>
          </w:tcPr>
          <w:p w14:paraId="6174C0C2" w14:textId="77777777" w:rsidR="00F35BAF" w:rsidRPr="00DB58B5" w:rsidRDefault="00F35BAF" w:rsidP="00DF5DBE"/>
        </w:tc>
        <w:tc>
          <w:tcPr>
            <w:tcW w:w="2268" w:type="dxa"/>
            <w:tcBorders>
              <w:bottom w:val="single" w:sz="4" w:space="0" w:color="auto"/>
            </w:tcBorders>
            <w:vAlign w:val="bottom"/>
          </w:tcPr>
          <w:p w14:paraId="5713BC59"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B2D956C" w14:textId="09922E76" w:rsidR="00F35BAF" w:rsidRPr="00DB58B5" w:rsidRDefault="00DF5DBE" w:rsidP="00DF5DBE">
            <w:pPr>
              <w:jc w:val="right"/>
            </w:pPr>
            <w:r w:rsidRPr="00DF5DBE">
              <w:rPr>
                <w:sz w:val="40"/>
              </w:rPr>
              <w:t>ECE</w:t>
            </w:r>
            <w:r>
              <w:t>/TRANS/WP.29/GRE/2024/11</w:t>
            </w:r>
          </w:p>
        </w:tc>
      </w:tr>
      <w:tr w:rsidR="00F35BAF" w:rsidRPr="00DB58B5" w14:paraId="1E312D28" w14:textId="77777777" w:rsidTr="00C97039">
        <w:trPr>
          <w:trHeight w:hRule="exact" w:val="2835"/>
        </w:trPr>
        <w:tc>
          <w:tcPr>
            <w:tcW w:w="1276" w:type="dxa"/>
            <w:tcBorders>
              <w:top w:val="single" w:sz="4" w:space="0" w:color="auto"/>
              <w:bottom w:val="single" w:sz="12" w:space="0" w:color="auto"/>
            </w:tcBorders>
          </w:tcPr>
          <w:p w14:paraId="7CBCEC92" w14:textId="77777777" w:rsidR="00F35BAF" w:rsidRPr="00DB58B5" w:rsidRDefault="00F35BAF" w:rsidP="00C97039">
            <w:pPr>
              <w:spacing w:before="120"/>
              <w:jc w:val="center"/>
            </w:pPr>
            <w:r>
              <w:rPr>
                <w:noProof/>
                <w:lang w:eastAsia="fr-CH"/>
              </w:rPr>
              <w:drawing>
                <wp:inline distT="0" distB="0" distL="0" distR="0" wp14:anchorId="0B515CA7" wp14:editId="4B5C2B0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6CC9CC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D0F824B" w14:textId="77777777" w:rsidR="00F35BAF" w:rsidRDefault="00DF5DBE" w:rsidP="00C97039">
            <w:pPr>
              <w:spacing w:before="240"/>
            </w:pPr>
            <w:r>
              <w:t>Distr. générale</w:t>
            </w:r>
          </w:p>
          <w:p w14:paraId="63CCD298" w14:textId="0AC85ED4" w:rsidR="00DF5DBE" w:rsidRDefault="00DF5DBE" w:rsidP="00DF5DBE">
            <w:pPr>
              <w:spacing w:line="240" w:lineRule="exact"/>
            </w:pPr>
            <w:r>
              <w:t>6 août 2024</w:t>
            </w:r>
          </w:p>
          <w:p w14:paraId="06536D72" w14:textId="77777777" w:rsidR="00DF5DBE" w:rsidRDefault="00DF5DBE" w:rsidP="00DF5DBE">
            <w:pPr>
              <w:spacing w:line="240" w:lineRule="exact"/>
            </w:pPr>
            <w:r>
              <w:t>Français</w:t>
            </w:r>
          </w:p>
          <w:p w14:paraId="22A7E60C" w14:textId="4A4F9E3E" w:rsidR="00DF5DBE" w:rsidRPr="00DB58B5" w:rsidRDefault="00DF5DBE" w:rsidP="00DF5DBE">
            <w:pPr>
              <w:spacing w:line="240" w:lineRule="exact"/>
            </w:pPr>
            <w:r>
              <w:t>Original : anglais</w:t>
            </w:r>
          </w:p>
        </w:tc>
      </w:tr>
    </w:tbl>
    <w:p w14:paraId="5F9E265B" w14:textId="77777777" w:rsidR="007F20FA" w:rsidRPr="000312C0" w:rsidRDefault="007F20FA" w:rsidP="007F20FA">
      <w:pPr>
        <w:spacing w:before="120"/>
        <w:rPr>
          <w:b/>
          <w:sz w:val="28"/>
          <w:szCs w:val="28"/>
        </w:rPr>
      </w:pPr>
      <w:r w:rsidRPr="000312C0">
        <w:rPr>
          <w:b/>
          <w:sz w:val="28"/>
          <w:szCs w:val="28"/>
        </w:rPr>
        <w:t>Commission économique pour l’Europe</w:t>
      </w:r>
    </w:p>
    <w:p w14:paraId="51324E32" w14:textId="77777777" w:rsidR="007F20FA" w:rsidRDefault="007F20FA" w:rsidP="007F20FA">
      <w:pPr>
        <w:spacing w:before="120"/>
        <w:rPr>
          <w:sz w:val="28"/>
          <w:szCs w:val="28"/>
        </w:rPr>
      </w:pPr>
      <w:r w:rsidRPr="00685843">
        <w:rPr>
          <w:sz w:val="28"/>
          <w:szCs w:val="28"/>
        </w:rPr>
        <w:t>Comité des transports intérieurs</w:t>
      </w:r>
    </w:p>
    <w:p w14:paraId="03686B89" w14:textId="0A58F097" w:rsidR="00DF5DBE" w:rsidRPr="00DF5DBE" w:rsidRDefault="00DF5DBE" w:rsidP="00DF5DBE">
      <w:pPr>
        <w:spacing w:before="120"/>
        <w:rPr>
          <w:b/>
          <w:bCs/>
          <w:sz w:val="24"/>
          <w:szCs w:val="24"/>
          <w:lang w:val="fr-FR"/>
        </w:rPr>
      </w:pPr>
      <w:r w:rsidRPr="00DF5DBE">
        <w:rPr>
          <w:b/>
          <w:bCs/>
          <w:sz w:val="24"/>
          <w:szCs w:val="24"/>
          <w:lang w:val="fr-FR"/>
        </w:rPr>
        <w:t xml:space="preserve">Forum mondial de l’harmonisation </w:t>
      </w:r>
      <w:r>
        <w:rPr>
          <w:b/>
          <w:bCs/>
          <w:sz w:val="24"/>
          <w:szCs w:val="24"/>
          <w:lang w:val="fr-FR"/>
        </w:rPr>
        <w:br/>
      </w:r>
      <w:r w:rsidRPr="00DF5DBE">
        <w:rPr>
          <w:b/>
          <w:bCs/>
          <w:sz w:val="24"/>
          <w:szCs w:val="24"/>
          <w:lang w:val="fr-FR"/>
        </w:rPr>
        <w:t>des Règlements concernant les véhicules</w:t>
      </w:r>
    </w:p>
    <w:p w14:paraId="57F216A6" w14:textId="77777777" w:rsidR="00DF5DBE" w:rsidRPr="00DF5DBE" w:rsidRDefault="00DF5DBE" w:rsidP="00DF5DBE">
      <w:pPr>
        <w:spacing w:before="120"/>
        <w:rPr>
          <w:b/>
          <w:bCs/>
          <w:lang w:val="fr-FR"/>
        </w:rPr>
      </w:pPr>
      <w:r w:rsidRPr="00DF5DBE">
        <w:rPr>
          <w:b/>
          <w:bCs/>
          <w:lang w:val="fr-FR"/>
        </w:rPr>
        <w:t>Groupe de travail de l’éclairage et de la signalisation lumineuse</w:t>
      </w:r>
    </w:p>
    <w:p w14:paraId="7D5BBAC3" w14:textId="77777777" w:rsidR="00DF5DBE" w:rsidRPr="009E4C67" w:rsidRDefault="00DF5DBE" w:rsidP="00DF5DBE">
      <w:pPr>
        <w:spacing w:before="120"/>
        <w:rPr>
          <w:b/>
          <w:lang w:val="fr-FR"/>
        </w:rPr>
      </w:pPr>
      <w:r w:rsidRPr="009E4C67">
        <w:rPr>
          <w:b/>
          <w:bCs/>
          <w:lang w:val="fr-FR"/>
        </w:rPr>
        <w:t>Quatre-vingt-onzième session</w:t>
      </w:r>
    </w:p>
    <w:p w14:paraId="4318D096" w14:textId="77777777" w:rsidR="00DF5DBE" w:rsidRPr="009E4C67" w:rsidRDefault="00DF5DBE" w:rsidP="00DF5DBE">
      <w:pPr>
        <w:rPr>
          <w:lang w:val="fr-FR"/>
        </w:rPr>
      </w:pPr>
      <w:r w:rsidRPr="009E4C67">
        <w:rPr>
          <w:lang w:val="fr-FR"/>
        </w:rPr>
        <w:t>Genève, 22-25 octobre 2024</w:t>
      </w:r>
    </w:p>
    <w:p w14:paraId="2A06ED2D" w14:textId="77777777" w:rsidR="00DF5DBE" w:rsidRPr="009E4C67" w:rsidRDefault="00DF5DBE" w:rsidP="00DF5DBE">
      <w:pPr>
        <w:rPr>
          <w:lang w:val="fr-FR"/>
        </w:rPr>
      </w:pPr>
      <w:r w:rsidRPr="009E4C67">
        <w:rPr>
          <w:lang w:val="fr-FR"/>
        </w:rPr>
        <w:t>Point 1 de l</w:t>
      </w:r>
      <w:r>
        <w:rPr>
          <w:lang w:val="fr-FR"/>
        </w:rPr>
        <w:t>’</w:t>
      </w:r>
      <w:r w:rsidRPr="009E4C67">
        <w:rPr>
          <w:lang w:val="fr-FR"/>
        </w:rPr>
        <w:t>ordre du jour provisoire</w:t>
      </w:r>
    </w:p>
    <w:p w14:paraId="66C5934A" w14:textId="77777777" w:rsidR="00DF5DBE" w:rsidRPr="009E4C67" w:rsidRDefault="00DF5DBE" w:rsidP="00DF5DBE">
      <w:pPr>
        <w:rPr>
          <w:b/>
          <w:lang w:val="fr-FR"/>
        </w:rPr>
      </w:pPr>
      <w:r w:rsidRPr="009E4C67">
        <w:rPr>
          <w:b/>
          <w:bCs/>
          <w:lang w:val="fr-FR"/>
        </w:rPr>
        <w:t>Adoption de l</w:t>
      </w:r>
      <w:r>
        <w:rPr>
          <w:b/>
          <w:bCs/>
          <w:lang w:val="fr-FR"/>
        </w:rPr>
        <w:t>’</w:t>
      </w:r>
      <w:r w:rsidRPr="009E4C67">
        <w:rPr>
          <w:b/>
          <w:bCs/>
          <w:lang w:val="fr-FR"/>
        </w:rPr>
        <w:t>ordre du jour</w:t>
      </w:r>
    </w:p>
    <w:p w14:paraId="44B063B6" w14:textId="4186F954" w:rsidR="00DF5DBE" w:rsidRDefault="00DF5DBE" w:rsidP="00DF5DBE">
      <w:pPr>
        <w:pStyle w:val="HChG"/>
        <w:rPr>
          <w:lang w:val="fr-FR"/>
        </w:rPr>
      </w:pPr>
      <w:bookmarkStart w:id="0" w:name="OLE_LINK2"/>
      <w:r w:rsidRPr="009E4C67">
        <w:rPr>
          <w:lang w:val="fr-FR"/>
        </w:rPr>
        <w:tab/>
      </w:r>
      <w:r w:rsidRPr="009E4C67">
        <w:rPr>
          <w:lang w:val="fr-FR"/>
        </w:rPr>
        <w:tab/>
        <w:t>Ordre du jour provisoire annoté de la quatre-vingt-onzième session</w:t>
      </w:r>
      <w:r w:rsidRPr="00DF5DBE">
        <w:rPr>
          <w:rStyle w:val="Appelnotedebasdep"/>
          <w:b w:val="0"/>
          <w:sz w:val="20"/>
          <w:vertAlign w:val="baseline"/>
          <w:lang w:val="fr-FR"/>
        </w:rPr>
        <w:footnoteReference w:customMarkFollows="1" w:id="2"/>
        <w:t>*</w:t>
      </w:r>
      <w:r w:rsidRPr="00DF5DBE">
        <w:rPr>
          <w:b w:val="0"/>
          <w:sz w:val="20"/>
          <w:vertAlign w:val="superscript"/>
          <w:lang w:val="fr-FR"/>
        </w:rPr>
        <w:t xml:space="preserve">, </w:t>
      </w:r>
      <w:r w:rsidRPr="00DF5DBE">
        <w:rPr>
          <w:rStyle w:val="Appelnotedebasdep"/>
          <w:b w:val="0"/>
          <w:sz w:val="20"/>
          <w:vertAlign w:val="baseline"/>
          <w:lang w:val="fr-FR"/>
        </w:rPr>
        <w:footnoteReference w:customMarkFollows="1" w:id="3"/>
        <w:t>**</w:t>
      </w:r>
      <w:bookmarkEnd w:id="0"/>
    </w:p>
    <w:p w14:paraId="3DEE1130" w14:textId="35A9D16C" w:rsidR="00DF5DBE" w:rsidRPr="009E4C67" w:rsidRDefault="005E00F3" w:rsidP="005E00F3">
      <w:pPr>
        <w:pStyle w:val="H56G"/>
        <w:rPr>
          <w:lang w:val="fr-FR"/>
        </w:rPr>
      </w:pPr>
      <w:r>
        <w:rPr>
          <w:lang w:val="fr-FR"/>
        </w:rPr>
        <w:tab/>
      </w:r>
      <w:r>
        <w:rPr>
          <w:lang w:val="fr-FR"/>
        </w:rPr>
        <w:tab/>
        <w:t>Q</w:t>
      </w:r>
      <w:r w:rsidR="00DF5DBE" w:rsidRPr="009E4C67">
        <w:rPr>
          <w:lang w:val="fr-FR"/>
        </w:rPr>
        <w:t>ui se tiendra du 22 octobre 2024 à 9 h 30 au 25 octobre 2024 à 12 h 30</w:t>
      </w:r>
    </w:p>
    <w:p w14:paraId="711630A2" w14:textId="58CFBC4B" w:rsidR="00DF5DBE" w:rsidRPr="009E4C67" w:rsidRDefault="00DF5DBE" w:rsidP="00DF5DBE">
      <w:pPr>
        <w:pStyle w:val="HChG"/>
        <w:rPr>
          <w:lang w:val="fr-FR"/>
        </w:rPr>
      </w:pPr>
      <w:r>
        <w:rPr>
          <w:lang w:val="fr-FR"/>
        </w:rPr>
        <w:tab/>
      </w:r>
      <w:r w:rsidRPr="009E4C67">
        <w:rPr>
          <w:lang w:val="fr-FR"/>
        </w:rPr>
        <w:t>I.</w:t>
      </w:r>
      <w:r w:rsidRPr="009E4C67">
        <w:rPr>
          <w:lang w:val="fr-FR"/>
        </w:rPr>
        <w:tab/>
        <w:t>Ordre du jour provisoire</w:t>
      </w:r>
    </w:p>
    <w:p w14:paraId="7B549AA7" w14:textId="77777777" w:rsidR="00DF5DBE" w:rsidRPr="009E4C67" w:rsidRDefault="00DF5DBE" w:rsidP="00DF5DBE">
      <w:pPr>
        <w:pStyle w:val="SingleTxtG"/>
        <w:ind w:left="1701" w:hanging="567"/>
        <w:jc w:val="left"/>
        <w:rPr>
          <w:lang w:val="fr-FR"/>
        </w:rPr>
      </w:pPr>
      <w:r w:rsidRPr="009E4C67">
        <w:rPr>
          <w:lang w:val="fr-FR"/>
        </w:rPr>
        <w:t>1.</w:t>
      </w:r>
      <w:r w:rsidRPr="009E4C67">
        <w:rPr>
          <w:lang w:val="fr-FR"/>
        </w:rPr>
        <w:tab/>
        <w:t>Adoption de l</w:t>
      </w:r>
      <w:r>
        <w:rPr>
          <w:lang w:val="fr-FR"/>
        </w:rPr>
        <w:t>’</w:t>
      </w:r>
      <w:r w:rsidRPr="009E4C67">
        <w:rPr>
          <w:lang w:val="fr-FR"/>
        </w:rPr>
        <w:t>ordre du jour.</w:t>
      </w:r>
    </w:p>
    <w:p w14:paraId="77BDF6C5" w14:textId="0E856164" w:rsidR="00DF5DBE" w:rsidRPr="009E4C67" w:rsidRDefault="00DF5DBE" w:rsidP="00DF5DBE">
      <w:pPr>
        <w:pStyle w:val="SingleTxtG"/>
        <w:ind w:left="1701" w:hanging="567"/>
        <w:jc w:val="left"/>
        <w:rPr>
          <w:lang w:val="fr-FR"/>
        </w:rPr>
      </w:pPr>
      <w:r w:rsidRPr="009E4C67">
        <w:rPr>
          <w:lang w:val="fr-FR"/>
        </w:rPr>
        <w:t>2.</w:t>
      </w:r>
      <w:r w:rsidRPr="009E4C67">
        <w:rPr>
          <w:lang w:val="fr-FR"/>
        </w:rPr>
        <w:tab/>
        <w:t>Accord de 1998 − Règlements techniques mondiaux ONU</w:t>
      </w:r>
      <w:r>
        <w:rPr>
          <w:lang w:val="fr-FR"/>
        </w:rPr>
        <w:t> :</w:t>
      </w:r>
      <w:r w:rsidRPr="009E4C67">
        <w:rPr>
          <w:lang w:val="fr-FR"/>
        </w:rPr>
        <w:t xml:space="preserve"> Élaboration.</w:t>
      </w:r>
    </w:p>
    <w:p w14:paraId="4DB0D861" w14:textId="4EAA0B16" w:rsidR="00DF5DBE" w:rsidRPr="009E4C67" w:rsidRDefault="00DF5DBE" w:rsidP="00DF5DBE">
      <w:pPr>
        <w:pStyle w:val="SingleTxtG"/>
        <w:ind w:left="1701" w:hanging="567"/>
        <w:jc w:val="left"/>
        <w:rPr>
          <w:lang w:val="fr-FR"/>
        </w:rPr>
      </w:pPr>
      <w:r w:rsidRPr="009E4C67">
        <w:rPr>
          <w:lang w:val="fr-FR"/>
        </w:rPr>
        <w:t>3.</w:t>
      </w:r>
      <w:r w:rsidRPr="009E4C67">
        <w:rPr>
          <w:lang w:val="fr-FR"/>
        </w:rPr>
        <w:tab/>
        <w:t>Accord de 1997 − Règles</w:t>
      </w:r>
      <w:r>
        <w:rPr>
          <w:lang w:val="fr-FR"/>
        </w:rPr>
        <w:t> :</w:t>
      </w:r>
      <w:r w:rsidRPr="009E4C67">
        <w:rPr>
          <w:lang w:val="fr-FR"/>
        </w:rPr>
        <w:t xml:space="preserve"> Élaboration.</w:t>
      </w:r>
    </w:p>
    <w:p w14:paraId="1469E1F9" w14:textId="2F7A2510" w:rsidR="00DF5DBE" w:rsidRPr="009E4C67" w:rsidRDefault="00DF5DBE" w:rsidP="00DF5DBE">
      <w:pPr>
        <w:pStyle w:val="SingleTxtG"/>
        <w:ind w:left="1701" w:hanging="567"/>
        <w:jc w:val="left"/>
        <w:rPr>
          <w:lang w:val="fr-FR"/>
        </w:rPr>
      </w:pPr>
      <w:r w:rsidRPr="009E4C67">
        <w:rPr>
          <w:lang w:val="fr-FR"/>
        </w:rPr>
        <w:t>4.</w:t>
      </w:r>
      <w:r w:rsidRPr="009E4C67">
        <w:rPr>
          <w:lang w:val="fr-FR"/>
        </w:rPr>
        <w:tab/>
        <w:t>Simplification des Règlements ONU relatifs à l</w:t>
      </w:r>
      <w:r>
        <w:rPr>
          <w:lang w:val="fr-FR"/>
        </w:rPr>
        <w:t>’</w:t>
      </w:r>
      <w:r w:rsidRPr="009E4C67">
        <w:rPr>
          <w:lang w:val="fr-FR"/>
        </w:rPr>
        <w:t>éclairage et à la signalisation lumineuse.</w:t>
      </w:r>
    </w:p>
    <w:p w14:paraId="3D0ED40A" w14:textId="0E6ACE97" w:rsidR="00DF5DBE" w:rsidRPr="009E4C67" w:rsidRDefault="00DF5DBE" w:rsidP="00171281">
      <w:pPr>
        <w:pStyle w:val="SingleTxtG"/>
        <w:ind w:left="1701" w:hanging="567"/>
        <w:jc w:val="left"/>
        <w:rPr>
          <w:lang w:val="fr-FR"/>
        </w:rPr>
      </w:pPr>
      <w:r w:rsidRPr="009E4C67">
        <w:rPr>
          <w:lang w:val="fr-FR"/>
        </w:rPr>
        <w:t>5.</w:t>
      </w:r>
      <w:r w:rsidRPr="009E4C67">
        <w:rPr>
          <w:lang w:val="fr-FR"/>
        </w:rPr>
        <w:tab/>
        <w:t>Règlements ONU concernant les sources lumineuses et Résolution d</w:t>
      </w:r>
      <w:r>
        <w:rPr>
          <w:lang w:val="fr-FR"/>
        </w:rPr>
        <w:t>’</w:t>
      </w:r>
      <w:r w:rsidRPr="009E4C67">
        <w:rPr>
          <w:lang w:val="fr-FR"/>
        </w:rPr>
        <w:t xml:space="preserve">ensemble </w:t>
      </w:r>
      <w:r w:rsidR="00171281">
        <w:rPr>
          <w:lang w:val="fr-FR"/>
        </w:rPr>
        <w:br/>
      </w:r>
      <w:r w:rsidRPr="009E4C67">
        <w:rPr>
          <w:lang w:val="fr-FR"/>
        </w:rPr>
        <w:t>sur une spécification commune des catégories de sources lumineuses.</w:t>
      </w:r>
    </w:p>
    <w:p w14:paraId="7CE96184" w14:textId="570D3DDA" w:rsidR="00DF5DBE" w:rsidRDefault="00DF5DBE" w:rsidP="00171281">
      <w:pPr>
        <w:pStyle w:val="SingleTxtG"/>
        <w:keepNext/>
        <w:ind w:left="1701" w:hanging="567"/>
        <w:jc w:val="left"/>
        <w:rPr>
          <w:lang w:val="fr-FR"/>
        </w:rPr>
      </w:pPr>
      <w:r w:rsidRPr="009E4C67">
        <w:rPr>
          <w:lang w:val="fr-FR"/>
        </w:rPr>
        <w:lastRenderedPageBreak/>
        <w:t>6.</w:t>
      </w:r>
      <w:r w:rsidRPr="009E4C67">
        <w:rPr>
          <w:lang w:val="fr-FR"/>
        </w:rPr>
        <w:tab/>
        <w:t>Règlements ONU concernant l</w:t>
      </w:r>
      <w:r>
        <w:rPr>
          <w:lang w:val="fr-FR"/>
        </w:rPr>
        <w:t>’</w:t>
      </w:r>
      <w:r w:rsidRPr="009E4C67">
        <w:rPr>
          <w:lang w:val="fr-FR"/>
        </w:rPr>
        <w:t>installation</w:t>
      </w:r>
      <w:r>
        <w:rPr>
          <w:lang w:val="fr-FR"/>
        </w:rPr>
        <w:t> :</w:t>
      </w:r>
    </w:p>
    <w:p w14:paraId="204EF5A6" w14:textId="4FF894A1" w:rsidR="00DF5DBE" w:rsidRPr="009E4C67" w:rsidRDefault="00DF5DBE" w:rsidP="00DF5DBE">
      <w:pPr>
        <w:pStyle w:val="SingleTxtG"/>
        <w:ind w:left="2268" w:hanging="567"/>
        <w:jc w:val="left"/>
        <w:rPr>
          <w:lang w:val="fr-FR"/>
        </w:rPr>
      </w:pPr>
      <w:r w:rsidRPr="009E4C67">
        <w:rPr>
          <w:lang w:val="fr-FR"/>
        </w:rPr>
        <w:t>a)</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48 (Installation des dispositifs d</w:t>
      </w:r>
      <w:r>
        <w:rPr>
          <w:lang w:val="fr-FR"/>
        </w:rPr>
        <w:t>’</w:t>
      </w:r>
      <w:r w:rsidRPr="009E4C67">
        <w:rPr>
          <w:lang w:val="fr-FR"/>
        </w:rPr>
        <w:t xml:space="preserve">éclairage </w:t>
      </w:r>
      <w:r w:rsidR="00171281">
        <w:rPr>
          <w:lang w:val="fr-FR"/>
        </w:rPr>
        <w:br/>
      </w:r>
      <w:r w:rsidRPr="009E4C67">
        <w:rPr>
          <w:lang w:val="fr-FR"/>
        </w:rPr>
        <w:t>et de signalisation lumineuse)</w:t>
      </w:r>
      <w:r>
        <w:rPr>
          <w:lang w:val="fr-FR"/>
        </w:rPr>
        <w:t> ;</w:t>
      </w:r>
    </w:p>
    <w:p w14:paraId="10329BFA" w14:textId="77777777" w:rsidR="00DF5DBE" w:rsidRPr="009E4C67" w:rsidRDefault="00DF5DBE" w:rsidP="00DF5DBE">
      <w:pPr>
        <w:pStyle w:val="SingleTxtG"/>
        <w:ind w:left="2268" w:hanging="567"/>
        <w:jc w:val="left"/>
        <w:rPr>
          <w:lang w:val="fr-FR"/>
        </w:rPr>
      </w:pPr>
      <w:r w:rsidRPr="009E4C67">
        <w:rPr>
          <w:lang w:val="fr-FR"/>
        </w:rPr>
        <w:t>b)</w:t>
      </w:r>
      <w:r w:rsidRPr="009E4C67">
        <w:rPr>
          <w:lang w:val="fr-FR"/>
        </w:rPr>
        <w:tab/>
        <w:t>Autres Règlements ONU concernant l</w:t>
      </w:r>
      <w:r>
        <w:rPr>
          <w:lang w:val="fr-FR"/>
        </w:rPr>
        <w:t>’</w:t>
      </w:r>
      <w:r w:rsidRPr="009E4C67">
        <w:rPr>
          <w:lang w:val="fr-FR"/>
        </w:rPr>
        <w:t>installation.</w:t>
      </w:r>
    </w:p>
    <w:p w14:paraId="009681EB" w14:textId="4D7C70D4" w:rsidR="00DF5DBE" w:rsidRPr="009E4C67" w:rsidRDefault="00DF5DBE" w:rsidP="00DF5DBE">
      <w:pPr>
        <w:pStyle w:val="SingleTxtG"/>
        <w:ind w:left="1701" w:hanging="567"/>
        <w:jc w:val="left"/>
        <w:rPr>
          <w:lang w:val="fr-FR"/>
        </w:rPr>
      </w:pPr>
      <w:r w:rsidRPr="009E4C67">
        <w:rPr>
          <w:lang w:val="fr-FR"/>
        </w:rPr>
        <w:t>7.</w:t>
      </w:r>
      <w:r w:rsidRPr="009E4C67">
        <w:rPr>
          <w:lang w:val="fr-FR"/>
        </w:rPr>
        <w:tab/>
        <w:t>Règlements ONU concernant les dispositifs</w:t>
      </w:r>
      <w:r>
        <w:rPr>
          <w:lang w:val="fr-FR"/>
        </w:rPr>
        <w:t> :</w:t>
      </w:r>
    </w:p>
    <w:p w14:paraId="2902BB69" w14:textId="3185BBFC" w:rsidR="00DF5DBE" w:rsidRPr="009E4C67" w:rsidRDefault="00DF5DBE" w:rsidP="00DF5DBE">
      <w:pPr>
        <w:pStyle w:val="SingleTxtG"/>
        <w:ind w:left="2268" w:hanging="567"/>
        <w:jc w:val="left"/>
        <w:rPr>
          <w:lang w:val="fr-FR"/>
        </w:rPr>
      </w:pPr>
      <w:r w:rsidRPr="009E4C67">
        <w:rPr>
          <w:lang w:val="fr-FR"/>
        </w:rPr>
        <w:t>a)</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148 (Dispositifs de signalisation lumineuse)</w:t>
      </w:r>
      <w:r>
        <w:rPr>
          <w:lang w:val="fr-FR"/>
        </w:rPr>
        <w:t> ;</w:t>
      </w:r>
    </w:p>
    <w:p w14:paraId="68DC76F9" w14:textId="1FD61AEB" w:rsidR="00DF5DBE" w:rsidRPr="009E4C67" w:rsidRDefault="00DF5DBE" w:rsidP="00DF5DBE">
      <w:pPr>
        <w:pStyle w:val="SingleTxtG"/>
        <w:ind w:left="2268" w:hanging="567"/>
        <w:jc w:val="left"/>
        <w:rPr>
          <w:lang w:val="fr-FR"/>
        </w:rPr>
      </w:pPr>
      <w:r w:rsidRPr="009E4C67">
        <w:rPr>
          <w:lang w:val="fr-FR"/>
        </w:rPr>
        <w:t>b)</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149 (Dispositifs d</w:t>
      </w:r>
      <w:r>
        <w:rPr>
          <w:lang w:val="fr-FR"/>
        </w:rPr>
        <w:t>’</w:t>
      </w:r>
      <w:r w:rsidRPr="009E4C67">
        <w:rPr>
          <w:lang w:val="fr-FR"/>
        </w:rPr>
        <w:t>éclairage de la route).</w:t>
      </w:r>
    </w:p>
    <w:p w14:paraId="6CCD0CE7" w14:textId="1080ACC8" w:rsidR="00DF5DBE" w:rsidRPr="009E4C67" w:rsidRDefault="00DF5DBE" w:rsidP="00DF5DBE">
      <w:pPr>
        <w:pStyle w:val="SingleTxtG"/>
        <w:ind w:left="1701" w:hanging="567"/>
        <w:jc w:val="left"/>
        <w:rPr>
          <w:lang w:val="fr-FR"/>
        </w:rPr>
      </w:pPr>
      <w:r w:rsidRPr="009E4C67">
        <w:rPr>
          <w:lang w:val="fr-FR"/>
        </w:rPr>
        <w:t>8.</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10 (Compatibilité électromagnétique).</w:t>
      </w:r>
    </w:p>
    <w:p w14:paraId="1174E55E" w14:textId="77777777" w:rsidR="00DF5DBE" w:rsidRPr="009E4C67" w:rsidRDefault="00DF5DBE" w:rsidP="00DF5DBE">
      <w:pPr>
        <w:pStyle w:val="SingleTxtG"/>
        <w:ind w:left="1701" w:hanging="567"/>
        <w:jc w:val="left"/>
        <w:rPr>
          <w:lang w:val="fr-FR"/>
        </w:rPr>
      </w:pPr>
      <w:r w:rsidRPr="009E4C67">
        <w:rPr>
          <w:lang w:val="fr-FR"/>
        </w:rPr>
        <w:t>9.</w:t>
      </w:r>
      <w:r w:rsidRPr="009E4C67">
        <w:rPr>
          <w:lang w:val="fr-FR"/>
        </w:rPr>
        <w:tab/>
        <w:t>Autres Règlements ONU.</w:t>
      </w:r>
    </w:p>
    <w:p w14:paraId="4C900CE8" w14:textId="77777777" w:rsidR="00DF5DBE" w:rsidRDefault="00DF5DBE" w:rsidP="00DF5DBE">
      <w:pPr>
        <w:pStyle w:val="SingleTxtG"/>
        <w:ind w:left="1701" w:hanging="567"/>
        <w:jc w:val="left"/>
        <w:rPr>
          <w:lang w:val="fr-FR"/>
        </w:rPr>
      </w:pPr>
      <w:r w:rsidRPr="009E4C67">
        <w:rPr>
          <w:lang w:val="fr-FR"/>
        </w:rPr>
        <w:t>10.</w:t>
      </w:r>
      <w:r w:rsidRPr="009E4C67">
        <w:rPr>
          <w:lang w:val="fr-FR"/>
        </w:rPr>
        <w:tab/>
        <w:t>Propositions d</w:t>
      </w:r>
      <w:r>
        <w:rPr>
          <w:lang w:val="fr-FR"/>
        </w:rPr>
        <w:t>’</w:t>
      </w:r>
      <w:r w:rsidRPr="009E4C67">
        <w:rPr>
          <w:lang w:val="fr-FR"/>
        </w:rPr>
        <w:t>amendements en cours d</w:t>
      </w:r>
      <w:r>
        <w:rPr>
          <w:lang w:val="fr-FR"/>
        </w:rPr>
        <w:t>’</w:t>
      </w:r>
      <w:r w:rsidRPr="009E4C67">
        <w:rPr>
          <w:lang w:val="fr-FR"/>
        </w:rPr>
        <w:t>examen.</w:t>
      </w:r>
    </w:p>
    <w:p w14:paraId="4D4BFE3E" w14:textId="77777777" w:rsidR="00DF5DBE" w:rsidRPr="009E4C67" w:rsidRDefault="00DF5DBE" w:rsidP="00DF5DBE">
      <w:pPr>
        <w:pStyle w:val="SingleTxtG"/>
        <w:ind w:left="1701" w:hanging="567"/>
        <w:jc w:val="left"/>
        <w:rPr>
          <w:lang w:val="fr-FR"/>
        </w:rPr>
      </w:pPr>
      <w:r w:rsidRPr="009E4C67">
        <w:rPr>
          <w:lang w:val="fr-FR"/>
        </w:rPr>
        <w:t>11.</w:t>
      </w:r>
      <w:r w:rsidRPr="009E4C67">
        <w:rPr>
          <w:lang w:val="fr-FR"/>
        </w:rPr>
        <w:tab/>
        <w:t>Questions relatives à l</w:t>
      </w:r>
      <w:r>
        <w:rPr>
          <w:lang w:val="fr-FR"/>
        </w:rPr>
        <w:t>’</w:t>
      </w:r>
      <w:r w:rsidRPr="009E4C67">
        <w:rPr>
          <w:lang w:val="fr-FR"/>
        </w:rPr>
        <w:t>éblouissement.</w:t>
      </w:r>
    </w:p>
    <w:p w14:paraId="776561D1" w14:textId="2528EAAA" w:rsidR="00DF5DBE" w:rsidRPr="009E4C67" w:rsidRDefault="00DF5DBE" w:rsidP="00DF5DBE">
      <w:pPr>
        <w:pStyle w:val="SingleTxtG"/>
        <w:ind w:left="1701" w:hanging="567"/>
        <w:jc w:val="left"/>
        <w:rPr>
          <w:lang w:val="fr-FR"/>
        </w:rPr>
      </w:pPr>
      <w:r w:rsidRPr="009E4C67">
        <w:rPr>
          <w:lang w:val="fr-FR"/>
        </w:rPr>
        <w:t>12.</w:t>
      </w:r>
      <w:r w:rsidRPr="009E4C67">
        <w:rPr>
          <w:lang w:val="fr-FR"/>
        </w:rPr>
        <w:tab/>
        <w:t>Questions diverses</w:t>
      </w:r>
      <w:r>
        <w:rPr>
          <w:lang w:val="fr-FR"/>
        </w:rPr>
        <w:t> :</w:t>
      </w:r>
    </w:p>
    <w:p w14:paraId="07669234" w14:textId="16CCF5A6" w:rsidR="00DF5DBE" w:rsidRPr="009E4C67" w:rsidRDefault="00DF5DBE" w:rsidP="00DF5DBE">
      <w:pPr>
        <w:pStyle w:val="SingleTxtG"/>
        <w:ind w:left="2268" w:hanging="567"/>
        <w:jc w:val="left"/>
        <w:rPr>
          <w:lang w:val="fr-FR"/>
        </w:rPr>
      </w:pPr>
      <w:r w:rsidRPr="009E4C67">
        <w:rPr>
          <w:lang w:val="fr-FR"/>
        </w:rPr>
        <w:t>a)</w:t>
      </w:r>
      <w:r w:rsidRPr="009E4C67">
        <w:rPr>
          <w:lang w:val="fr-FR"/>
        </w:rPr>
        <w:tab/>
        <w:t>Mise au point d</w:t>
      </w:r>
      <w:r>
        <w:rPr>
          <w:lang w:val="fr-FR"/>
        </w:rPr>
        <w:t>’</w:t>
      </w:r>
      <w:r w:rsidRPr="009E4C67">
        <w:rPr>
          <w:lang w:val="fr-FR"/>
        </w:rPr>
        <w:t>une homologation de type internationale de l</w:t>
      </w:r>
      <w:r>
        <w:rPr>
          <w:lang w:val="fr-FR"/>
        </w:rPr>
        <w:t>’</w:t>
      </w:r>
      <w:r w:rsidRPr="009E4C67">
        <w:rPr>
          <w:lang w:val="fr-FR"/>
        </w:rPr>
        <w:t xml:space="preserve">ensemble </w:t>
      </w:r>
      <w:r w:rsidR="00171281">
        <w:rPr>
          <w:lang w:val="fr-FR"/>
        </w:rPr>
        <w:br/>
      </w:r>
      <w:r w:rsidRPr="009E4C67">
        <w:rPr>
          <w:lang w:val="fr-FR"/>
        </w:rPr>
        <w:t>du véhicule</w:t>
      </w:r>
      <w:r>
        <w:rPr>
          <w:lang w:val="fr-FR"/>
        </w:rPr>
        <w:t> ;</w:t>
      </w:r>
    </w:p>
    <w:p w14:paraId="0503915D" w14:textId="2B447F84" w:rsidR="00DF5DBE" w:rsidRPr="009E4C67" w:rsidRDefault="00DF5DBE" w:rsidP="00DF5DBE">
      <w:pPr>
        <w:pStyle w:val="SingleTxtG"/>
        <w:ind w:left="2268" w:hanging="567"/>
        <w:jc w:val="left"/>
        <w:rPr>
          <w:lang w:val="fr-FR"/>
        </w:rPr>
      </w:pPr>
      <w:r w:rsidRPr="009E4C67">
        <w:rPr>
          <w:lang w:val="fr-FR"/>
        </w:rPr>
        <w:t>b)</w:t>
      </w:r>
      <w:r w:rsidRPr="009E4C67">
        <w:rPr>
          <w:lang w:val="fr-FR"/>
        </w:rPr>
        <w:tab/>
        <w:t>Amendements à la Convention sur la circulation routière (Vienne, 1968)</w:t>
      </w:r>
      <w:r>
        <w:rPr>
          <w:lang w:val="fr-FR"/>
        </w:rPr>
        <w:t> ;</w:t>
      </w:r>
    </w:p>
    <w:p w14:paraId="74EC404C" w14:textId="77777777" w:rsidR="00DF5DBE" w:rsidRPr="009E4C67" w:rsidRDefault="00DF5DBE" w:rsidP="00DF5DBE">
      <w:pPr>
        <w:pStyle w:val="SingleTxtG"/>
        <w:ind w:left="2268" w:hanging="567"/>
        <w:jc w:val="left"/>
        <w:rPr>
          <w:lang w:val="fr-FR"/>
        </w:rPr>
      </w:pPr>
      <w:r w:rsidRPr="009E4C67">
        <w:rPr>
          <w:lang w:val="fr-FR"/>
        </w:rPr>
        <w:t>c)</w:t>
      </w:r>
      <w:r w:rsidRPr="009E4C67">
        <w:rPr>
          <w:lang w:val="fr-FR"/>
        </w:rPr>
        <w:tab/>
        <w:t>Autres questions.</w:t>
      </w:r>
    </w:p>
    <w:p w14:paraId="266BA78F" w14:textId="33712609" w:rsidR="00DF5DBE" w:rsidRPr="009E4C67" w:rsidRDefault="00DF5DBE" w:rsidP="00DF5DBE">
      <w:pPr>
        <w:pStyle w:val="SingleTxtG"/>
        <w:ind w:left="1701" w:hanging="567"/>
        <w:jc w:val="left"/>
        <w:rPr>
          <w:lang w:val="fr-FR"/>
        </w:rPr>
      </w:pPr>
      <w:r w:rsidRPr="009E4C67">
        <w:rPr>
          <w:lang w:val="fr-FR"/>
        </w:rPr>
        <w:t>13.</w:t>
      </w:r>
      <w:r w:rsidRPr="009E4C67">
        <w:rPr>
          <w:lang w:val="fr-FR"/>
        </w:rPr>
        <w:tab/>
        <w:t>Orientation des travaux futurs du Groupe de travail de l</w:t>
      </w:r>
      <w:r>
        <w:rPr>
          <w:lang w:val="fr-FR"/>
        </w:rPr>
        <w:t>’</w:t>
      </w:r>
      <w:r w:rsidRPr="009E4C67">
        <w:rPr>
          <w:lang w:val="fr-FR"/>
        </w:rPr>
        <w:t xml:space="preserve">éclairage </w:t>
      </w:r>
      <w:r w:rsidR="00171281">
        <w:rPr>
          <w:lang w:val="fr-FR"/>
        </w:rPr>
        <w:br/>
      </w:r>
      <w:r w:rsidRPr="009E4C67">
        <w:rPr>
          <w:lang w:val="fr-FR"/>
        </w:rPr>
        <w:t>et de la signalisation lumineuse.</w:t>
      </w:r>
    </w:p>
    <w:p w14:paraId="0B07EDD9" w14:textId="77777777" w:rsidR="00DF5DBE" w:rsidRDefault="00DF5DBE" w:rsidP="00DF5DBE">
      <w:pPr>
        <w:pStyle w:val="SingleTxtG"/>
        <w:ind w:left="1701" w:hanging="567"/>
        <w:jc w:val="left"/>
        <w:rPr>
          <w:lang w:val="fr-FR"/>
        </w:rPr>
      </w:pPr>
      <w:r w:rsidRPr="009E4C67">
        <w:rPr>
          <w:lang w:val="fr-FR"/>
        </w:rPr>
        <w:t>14.</w:t>
      </w:r>
      <w:r w:rsidRPr="009E4C67">
        <w:rPr>
          <w:lang w:val="fr-FR"/>
        </w:rPr>
        <w:tab/>
        <w:t>Ordre du jour provisoire de la prochaine session.</w:t>
      </w:r>
    </w:p>
    <w:p w14:paraId="4A3C4997" w14:textId="77777777" w:rsidR="00DF5DBE" w:rsidRDefault="00DF5DBE" w:rsidP="00DF5DBE">
      <w:pPr>
        <w:pStyle w:val="SingleTxtG"/>
        <w:ind w:left="1701" w:hanging="567"/>
        <w:jc w:val="left"/>
        <w:rPr>
          <w:lang w:val="fr-FR"/>
        </w:rPr>
      </w:pPr>
      <w:r w:rsidRPr="009E4C67">
        <w:rPr>
          <w:lang w:val="fr-FR"/>
        </w:rPr>
        <w:t>15.</w:t>
      </w:r>
      <w:r w:rsidRPr="009E4C67">
        <w:rPr>
          <w:lang w:val="fr-FR"/>
        </w:rPr>
        <w:tab/>
        <w:t>Élection des personnes qui assureront la présidence et la vice-présidence.</w:t>
      </w:r>
    </w:p>
    <w:p w14:paraId="05E002B2" w14:textId="6BC8D0A2" w:rsidR="00DF5DBE" w:rsidRPr="009E4C67" w:rsidRDefault="00DF5DBE" w:rsidP="00DF5DBE">
      <w:pPr>
        <w:pStyle w:val="HChG"/>
        <w:rPr>
          <w:lang w:val="fr-FR"/>
        </w:rPr>
      </w:pPr>
      <w:r>
        <w:rPr>
          <w:lang w:val="fr-FR"/>
        </w:rPr>
        <w:tab/>
      </w:r>
      <w:r w:rsidRPr="009E4C67">
        <w:rPr>
          <w:lang w:val="fr-FR"/>
        </w:rPr>
        <w:t>II.</w:t>
      </w:r>
      <w:r w:rsidRPr="009E4C67">
        <w:rPr>
          <w:lang w:val="fr-FR"/>
        </w:rPr>
        <w:tab/>
        <w:t>Annotations</w:t>
      </w:r>
    </w:p>
    <w:p w14:paraId="7DD41C29" w14:textId="260D6AD9" w:rsidR="00DF5DBE" w:rsidRPr="009E4C67" w:rsidRDefault="00DF5DBE" w:rsidP="00DF5DBE">
      <w:pPr>
        <w:pStyle w:val="H1G"/>
        <w:rPr>
          <w:lang w:val="fr-FR"/>
        </w:rPr>
      </w:pPr>
      <w:r>
        <w:rPr>
          <w:lang w:val="fr-FR"/>
        </w:rPr>
        <w:tab/>
      </w:r>
      <w:r w:rsidRPr="009E4C67">
        <w:rPr>
          <w:lang w:val="fr-FR"/>
        </w:rPr>
        <w:t>1.</w:t>
      </w:r>
      <w:r w:rsidRPr="009E4C67">
        <w:rPr>
          <w:lang w:val="fr-FR"/>
        </w:rPr>
        <w:tab/>
        <w:t>Adoption de l</w:t>
      </w:r>
      <w:r>
        <w:rPr>
          <w:lang w:val="fr-FR"/>
        </w:rPr>
        <w:t>’</w:t>
      </w:r>
      <w:r w:rsidRPr="009E4C67">
        <w:rPr>
          <w:lang w:val="fr-FR"/>
        </w:rPr>
        <w:t>ordre du jour</w:t>
      </w:r>
    </w:p>
    <w:p w14:paraId="4D494542" w14:textId="588BE89A" w:rsidR="00DF5DBE" w:rsidRPr="009E4C67" w:rsidRDefault="00DF5DBE" w:rsidP="00171281">
      <w:pPr>
        <w:pStyle w:val="SingleTxtG"/>
        <w:ind w:firstLine="567"/>
        <w:rPr>
          <w:lang w:val="fr-FR"/>
        </w:rPr>
      </w:pPr>
      <w:r w:rsidRPr="009E4C67">
        <w:rPr>
          <w:lang w:val="fr-FR"/>
        </w:rPr>
        <w:t>Conformément à l</w:t>
      </w:r>
      <w:r>
        <w:rPr>
          <w:lang w:val="fr-FR"/>
        </w:rPr>
        <w:t>’</w:t>
      </w:r>
      <w:r w:rsidRPr="009E4C67">
        <w:rPr>
          <w:lang w:val="fr-FR"/>
        </w:rPr>
        <w:t>article</w:t>
      </w:r>
      <w:r w:rsidR="00171281">
        <w:rPr>
          <w:lang w:val="fr-FR"/>
        </w:rPr>
        <w:t xml:space="preserve"> </w:t>
      </w:r>
      <w:r w:rsidRPr="009E4C67">
        <w:rPr>
          <w:lang w:val="fr-FR"/>
        </w:rPr>
        <w:t>7 du chapitre</w:t>
      </w:r>
      <w:r w:rsidR="00171281">
        <w:rPr>
          <w:lang w:val="fr-FR"/>
        </w:rPr>
        <w:t xml:space="preserve"> </w:t>
      </w:r>
      <w:r w:rsidRPr="009E4C67">
        <w:rPr>
          <w:lang w:val="fr-FR"/>
        </w:rPr>
        <w:t>III du Règlement intérieur du Forum mondial de l</w:t>
      </w:r>
      <w:r>
        <w:rPr>
          <w:lang w:val="fr-FR"/>
        </w:rPr>
        <w:t>’</w:t>
      </w:r>
      <w:r w:rsidRPr="009E4C67">
        <w:rPr>
          <w:lang w:val="fr-FR"/>
        </w:rPr>
        <w:t>harmonisation des Règlements concernant les véhicules (WP.29) (ECE/TRANS/</w:t>
      </w:r>
      <w:r w:rsidR="00171281">
        <w:rPr>
          <w:lang w:val="fr-FR"/>
        </w:rPr>
        <w:t xml:space="preserve"> </w:t>
      </w:r>
      <w:r w:rsidRPr="009E4C67">
        <w:rPr>
          <w:lang w:val="fr-FR"/>
        </w:rPr>
        <w:t>WP.29/690/Rev.2), le premier point de l</w:t>
      </w:r>
      <w:r>
        <w:rPr>
          <w:lang w:val="fr-FR"/>
        </w:rPr>
        <w:t>’</w:t>
      </w:r>
      <w:r w:rsidRPr="009E4C67">
        <w:rPr>
          <w:lang w:val="fr-FR"/>
        </w:rPr>
        <w:t>ordre du jour provisoire est son adoption.</w:t>
      </w:r>
    </w:p>
    <w:p w14:paraId="0EF2D244" w14:textId="1BFF5166"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5E00F3">
        <w:rPr>
          <w:lang w:val="fr-FR"/>
        </w:rPr>
        <w:t>:</w:t>
      </w:r>
      <w:r>
        <w:rPr>
          <w:lang w:val="fr-FR"/>
        </w:rPr>
        <w:tab/>
      </w:r>
      <w:r w:rsidRPr="009E4C67">
        <w:rPr>
          <w:lang w:val="fr-FR"/>
        </w:rPr>
        <w:t>ECE/TRANS/WP.29/GRE/2024/11</w:t>
      </w:r>
    </w:p>
    <w:p w14:paraId="147933A7" w14:textId="583D6BAD" w:rsidR="00DF5DBE" w:rsidRPr="009E4C67" w:rsidRDefault="00DF5DBE" w:rsidP="00DF5DBE">
      <w:pPr>
        <w:pStyle w:val="H1G"/>
        <w:rPr>
          <w:lang w:val="fr-FR"/>
        </w:rPr>
      </w:pPr>
      <w:r>
        <w:rPr>
          <w:lang w:val="fr-FR"/>
        </w:rPr>
        <w:tab/>
      </w:r>
      <w:r w:rsidRPr="009E4C67">
        <w:rPr>
          <w:lang w:val="fr-FR"/>
        </w:rPr>
        <w:t>2.</w:t>
      </w:r>
      <w:r w:rsidRPr="009E4C67">
        <w:rPr>
          <w:lang w:val="fr-FR"/>
        </w:rPr>
        <w:tab/>
        <w:t xml:space="preserve">Accord de 1998 </w:t>
      </w:r>
      <w:r w:rsidR="00171281">
        <w:rPr>
          <w:lang w:val="fr-FR"/>
        </w:rPr>
        <w:t>−</w:t>
      </w:r>
      <w:r w:rsidRPr="009E4C67">
        <w:rPr>
          <w:lang w:val="fr-FR"/>
        </w:rPr>
        <w:t xml:space="preserve"> Règlements techniques mondiaux ONU</w:t>
      </w:r>
      <w:r>
        <w:rPr>
          <w:lang w:val="fr-FR"/>
        </w:rPr>
        <w:t> :</w:t>
      </w:r>
      <w:r w:rsidRPr="009E4C67">
        <w:rPr>
          <w:lang w:val="fr-FR"/>
        </w:rPr>
        <w:t xml:space="preserve"> Élaboration</w:t>
      </w:r>
    </w:p>
    <w:p w14:paraId="08BF42F2" w14:textId="77777777" w:rsidR="00DF5DBE" w:rsidRPr="009E4C67" w:rsidRDefault="00DF5DBE" w:rsidP="00171281">
      <w:pPr>
        <w:pStyle w:val="SingleTxtG"/>
        <w:ind w:firstLine="567"/>
        <w:rPr>
          <w:lang w:val="fr-FR"/>
        </w:rPr>
      </w:pPr>
      <w:r w:rsidRPr="009E4C67">
        <w:rPr>
          <w:lang w:val="fr-FR"/>
        </w:rPr>
        <w:t>Le Groupe de travail de l</w:t>
      </w:r>
      <w:r>
        <w:rPr>
          <w:lang w:val="fr-FR"/>
        </w:rPr>
        <w:t>’</w:t>
      </w:r>
      <w:r w:rsidRPr="009E4C67">
        <w:rPr>
          <w:lang w:val="fr-FR"/>
        </w:rPr>
        <w:t>éclairage et de la signalisation lumineuse (GRE) souhaitera sans doute reprendre l</w:t>
      </w:r>
      <w:r>
        <w:rPr>
          <w:lang w:val="fr-FR"/>
        </w:rPr>
        <w:t>’</w:t>
      </w:r>
      <w:r w:rsidRPr="009E4C67">
        <w:rPr>
          <w:lang w:val="fr-FR"/>
        </w:rPr>
        <w:t>examen de cette question. Il attend que de nouvelles propositions soient formulées et que des contributeurs se manifestent pour élaborer un Règlement technique mondial ONU (RTM ONU).</w:t>
      </w:r>
    </w:p>
    <w:p w14:paraId="2C77F703" w14:textId="498D3F34" w:rsidR="00DF5DBE" w:rsidRPr="009E4C67" w:rsidRDefault="00DF5DBE" w:rsidP="00DF5DBE">
      <w:pPr>
        <w:pStyle w:val="H1G"/>
        <w:rPr>
          <w:lang w:val="fr-FR"/>
        </w:rPr>
      </w:pPr>
      <w:r>
        <w:rPr>
          <w:lang w:val="fr-FR"/>
        </w:rPr>
        <w:tab/>
      </w:r>
      <w:r w:rsidRPr="009E4C67">
        <w:rPr>
          <w:lang w:val="fr-FR"/>
        </w:rPr>
        <w:t>3.</w:t>
      </w:r>
      <w:r w:rsidRPr="009E4C67">
        <w:rPr>
          <w:lang w:val="fr-FR"/>
        </w:rPr>
        <w:tab/>
        <w:t>Accord de 1997 − Règles</w:t>
      </w:r>
      <w:r>
        <w:rPr>
          <w:lang w:val="fr-FR"/>
        </w:rPr>
        <w:t> :</w:t>
      </w:r>
      <w:r w:rsidRPr="009E4C67">
        <w:rPr>
          <w:lang w:val="fr-FR"/>
        </w:rPr>
        <w:t xml:space="preserve"> Élaboration</w:t>
      </w:r>
    </w:p>
    <w:p w14:paraId="114BF14E" w14:textId="77777777" w:rsidR="00DF5DBE" w:rsidRDefault="00DF5DBE" w:rsidP="00171281">
      <w:pPr>
        <w:pStyle w:val="SingleTxtG"/>
        <w:ind w:firstLine="567"/>
        <w:rPr>
          <w:lang w:val="fr-FR"/>
        </w:rPr>
      </w:pPr>
      <w:r w:rsidRPr="009E4C67">
        <w:rPr>
          <w:lang w:val="fr-FR"/>
        </w:rPr>
        <w:t>Le GRE examinera d</w:t>
      </w:r>
      <w:r>
        <w:rPr>
          <w:lang w:val="fr-FR"/>
        </w:rPr>
        <w:t>’</w:t>
      </w:r>
      <w:r w:rsidRPr="009E4C67">
        <w:rPr>
          <w:lang w:val="fr-FR"/>
        </w:rPr>
        <w:t>éventuelles propositions d</w:t>
      </w:r>
      <w:r>
        <w:rPr>
          <w:lang w:val="fr-FR"/>
        </w:rPr>
        <w:t>’</w:t>
      </w:r>
      <w:r w:rsidRPr="009E4C67">
        <w:rPr>
          <w:lang w:val="fr-FR"/>
        </w:rPr>
        <w:t>amendements aux Règles annexées à l</w:t>
      </w:r>
      <w:r>
        <w:rPr>
          <w:lang w:val="fr-FR"/>
        </w:rPr>
        <w:t>’</w:t>
      </w:r>
      <w:r w:rsidRPr="009E4C67">
        <w:rPr>
          <w:lang w:val="fr-FR"/>
        </w:rPr>
        <w:t>Accord de 1997 sur le contrôle technique périodique.</w:t>
      </w:r>
    </w:p>
    <w:p w14:paraId="2974EE31" w14:textId="4758AC81" w:rsidR="00DF5DBE" w:rsidRPr="009E4C67" w:rsidRDefault="00DF5DBE" w:rsidP="00DF5DBE">
      <w:pPr>
        <w:pStyle w:val="H1G"/>
        <w:rPr>
          <w:lang w:val="fr-FR"/>
        </w:rPr>
      </w:pPr>
      <w:r>
        <w:rPr>
          <w:lang w:val="fr-FR"/>
        </w:rPr>
        <w:lastRenderedPageBreak/>
        <w:tab/>
      </w:r>
      <w:r w:rsidRPr="009E4C67">
        <w:rPr>
          <w:lang w:val="fr-FR"/>
        </w:rPr>
        <w:t>4.</w:t>
      </w:r>
      <w:r w:rsidRPr="009E4C67">
        <w:rPr>
          <w:lang w:val="fr-FR"/>
        </w:rPr>
        <w:tab/>
        <w:t>Simplification des Règlements ONU relatifs à l</w:t>
      </w:r>
      <w:r>
        <w:rPr>
          <w:lang w:val="fr-FR"/>
        </w:rPr>
        <w:t>’</w:t>
      </w:r>
      <w:r w:rsidRPr="009E4C67">
        <w:rPr>
          <w:lang w:val="fr-FR"/>
        </w:rPr>
        <w:t xml:space="preserve">éclairage </w:t>
      </w:r>
      <w:r w:rsidR="00171281">
        <w:rPr>
          <w:lang w:val="fr-FR"/>
        </w:rPr>
        <w:br/>
      </w:r>
      <w:r w:rsidRPr="009E4C67">
        <w:rPr>
          <w:lang w:val="fr-FR"/>
        </w:rPr>
        <w:t>et à la signalisation lumineuse</w:t>
      </w:r>
    </w:p>
    <w:p w14:paraId="05E291C4" w14:textId="77777777" w:rsidR="00DF5DBE" w:rsidRDefault="00DF5DBE" w:rsidP="005E00F3">
      <w:pPr>
        <w:pStyle w:val="SingleTxtG"/>
        <w:keepLines/>
        <w:ind w:firstLine="567"/>
        <w:rPr>
          <w:lang w:val="fr-FR"/>
        </w:rPr>
      </w:pPr>
      <w:r w:rsidRPr="009E4C67">
        <w:rPr>
          <w:lang w:val="fr-FR"/>
        </w:rPr>
        <w:t>Le GRE sera informé de l</w:t>
      </w:r>
      <w:r>
        <w:rPr>
          <w:lang w:val="fr-FR"/>
        </w:rPr>
        <w:t>’</w:t>
      </w:r>
      <w:r w:rsidRPr="009E4C67">
        <w:rPr>
          <w:lang w:val="fr-FR"/>
        </w:rPr>
        <w:t>état d</w:t>
      </w:r>
      <w:r>
        <w:rPr>
          <w:lang w:val="fr-FR"/>
        </w:rPr>
        <w:t>’</w:t>
      </w:r>
      <w:r w:rsidRPr="009E4C67">
        <w:rPr>
          <w:lang w:val="fr-FR"/>
        </w:rPr>
        <w:t>avancement des travaux du groupe de travail informel de la simplification des Règlements ONU relatifs à l</w:t>
      </w:r>
      <w:r>
        <w:rPr>
          <w:lang w:val="fr-FR"/>
        </w:rPr>
        <w:t>’</w:t>
      </w:r>
      <w:r w:rsidRPr="009E4C67">
        <w:rPr>
          <w:lang w:val="fr-FR"/>
        </w:rPr>
        <w:t>éclairage et à la signalisation lumineuse (groupe SLR) et examinera les propositions d</w:t>
      </w:r>
      <w:r>
        <w:rPr>
          <w:lang w:val="fr-FR"/>
        </w:rPr>
        <w:t>’</w:t>
      </w:r>
      <w:r w:rsidRPr="009E4C67">
        <w:rPr>
          <w:lang w:val="fr-FR"/>
        </w:rPr>
        <w:t>amendements préparées par le groupe SLR, le cas échéant.</w:t>
      </w:r>
    </w:p>
    <w:p w14:paraId="5FFEB603" w14:textId="0E19381D" w:rsidR="00DF5DBE" w:rsidRDefault="00DF5DBE" w:rsidP="00DF5DBE">
      <w:pPr>
        <w:pStyle w:val="H1G"/>
        <w:rPr>
          <w:lang w:val="fr-FR"/>
        </w:rPr>
      </w:pPr>
      <w:r>
        <w:rPr>
          <w:lang w:val="fr-FR"/>
        </w:rPr>
        <w:tab/>
      </w:r>
      <w:r w:rsidRPr="009E4C67">
        <w:rPr>
          <w:lang w:val="fr-FR"/>
        </w:rPr>
        <w:t>5.</w:t>
      </w:r>
      <w:r w:rsidRPr="009E4C67">
        <w:rPr>
          <w:lang w:val="fr-FR"/>
        </w:rPr>
        <w:tab/>
        <w:t xml:space="preserve">Règlements ONU concernant les sources lumineuses </w:t>
      </w:r>
      <w:r w:rsidR="00171281">
        <w:rPr>
          <w:lang w:val="fr-FR"/>
        </w:rPr>
        <w:br/>
      </w:r>
      <w:r w:rsidRPr="009E4C67">
        <w:rPr>
          <w:lang w:val="fr-FR"/>
        </w:rPr>
        <w:t>et Résolution d</w:t>
      </w:r>
      <w:r>
        <w:rPr>
          <w:lang w:val="fr-FR"/>
        </w:rPr>
        <w:t>’</w:t>
      </w:r>
      <w:r w:rsidRPr="009E4C67">
        <w:rPr>
          <w:lang w:val="fr-FR"/>
        </w:rPr>
        <w:t xml:space="preserve">ensemble sur une spécification commune </w:t>
      </w:r>
      <w:r w:rsidR="00171281">
        <w:rPr>
          <w:lang w:val="fr-FR"/>
        </w:rPr>
        <w:br/>
      </w:r>
      <w:r w:rsidRPr="009E4C67">
        <w:rPr>
          <w:lang w:val="fr-FR"/>
        </w:rPr>
        <w:t>des catégories de sources lumineuses</w:t>
      </w:r>
    </w:p>
    <w:p w14:paraId="49997891" w14:textId="3EF0444E" w:rsidR="00DF5DBE" w:rsidRDefault="00DF5DBE" w:rsidP="00171281">
      <w:pPr>
        <w:pStyle w:val="SingleTxtG"/>
        <w:ind w:firstLine="567"/>
        <w:rPr>
          <w:lang w:val="fr-FR"/>
        </w:rPr>
      </w:pPr>
      <w:r w:rsidRPr="009E4C67">
        <w:rPr>
          <w:lang w:val="fr-FR"/>
        </w:rPr>
        <w:t>Le GRE examinera des projets d</w:t>
      </w:r>
      <w:r>
        <w:rPr>
          <w:lang w:val="fr-FR"/>
        </w:rPr>
        <w:t>’</w:t>
      </w:r>
      <w:r w:rsidRPr="009E4C67">
        <w:rPr>
          <w:lang w:val="fr-FR"/>
        </w:rPr>
        <w:t>amendements à la Résolution d</w:t>
      </w:r>
      <w:r>
        <w:rPr>
          <w:lang w:val="fr-FR"/>
        </w:rPr>
        <w:t>’</w:t>
      </w:r>
      <w:r w:rsidRPr="009E4C67">
        <w:rPr>
          <w:lang w:val="fr-FR"/>
        </w:rPr>
        <w:t>ensemble sur une spécification commune des catégories de sources lumineuses (R.E.5) soumis par l</w:t>
      </w:r>
      <w:r>
        <w:rPr>
          <w:lang w:val="fr-FR"/>
        </w:rPr>
        <w:t>’</w:t>
      </w:r>
      <w:r w:rsidRPr="009E4C67">
        <w:rPr>
          <w:lang w:val="fr-FR"/>
        </w:rPr>
        <w:t>expert du Groupe de travail «</w:t>
      </w:r>
      <w:r w:rsidR="00171281">
        <w:rPr>
          <w:lang w:val="fr-FR"/>
        </w:rPr>
        <w:t> </w:t>
      </w:r>
      <w:r w:rsidRPr="009E4C67">
        <w:rPr>
          <w:lang w:val="fr-FR"/>
        </w:rPr>
        <w:t>Bruxelles 1952</w:t>
      </w:r>
      <w:r w:rsidR="00171281">
        <w:rPr>
          <w:lang w:val="fr-FR"/>
        </w:rPr>
        <w:t> </w:t>
      </w:r>
      <w:r w:rsidRPr="009E4C67">
        <w:rPr>
          <w:lang w:val="fr-FR"/>
        </w:rPr>
        <w:t>» (GTB).</w:t>
      </w:r>
    </w:p>
    <w:p w14:paraId="1FB32699" w14:textId="084D7AEC" w:rsidR="00DF5DBE"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ECE/TRANS/WP.29/GRE/2024/14</w:t>
      </w:r>
    </w:p>
    <w:p w14:paraId="36DC7FD8" w14:textId="77777777" w:rsidR="00DF5DBE" w:rsidRPr="009E4C67" w:rsidRDefault="00DF5DBE" w:rsidP="00171281">
      <w:pPr>
        <w:pStyle w:val="SingleTxtG"/>
        <w:ind w:firstLine="567"/>
        <w:rPr>
          <w:lang w:val="fr-FR"/>
        </w:rPr>
      </w:pPr>
      <w:r w:rsidRPr="009E4C67">
        <w:rPr>
          <w:lang w:val="fr-FR"/>
        </w:rPr>
        <w:t>Le GRE souhaitera peut-être également être informé par le GTB des résultats de son étude sur les avantages des diodes électroluminescentes (DEL) en matière de consommation d</w:t>
      </w:r>
      <w:r>
        <w:rPr>
          <w:lang w:val="fr-FR"/>
        </w:rPr>
        <w:t>’</w:t>
      </w:r>
      <w:r w:rsidRPr="009E4C67">
        <w:rPr>
          <w:lang w:val="fr-FR"/>
        </w:rPr>
        <w:t>énergie électrique et de réduction des émissions de gaz à effet de serre.</w:t>
      </w:r>
    </w:p>
    <w:p w14:paraId="44214727" w14:textId="2C445C54" w:rsidR="00DF5DBE" w:rsidRPr="009E4C67" w:rsidRDefault="00DF5DBE" w:rsidP="00DF5DBE">
      <w:pPr>
        <w:pStyle w:val="H1G"/>
        <w:rPr>
          <w:lang w:val="fr-FR"/>
        </w:rPr>
      </w:pPr>
      <w:r>
        <w:rPr>
          <w:lang w:val="fr-FR"/>
        </w:rPr>
        <w:tab/>
      </w:r>
      <w:r w:rsidRPr="009E4C67">
        <w:rPr>
          <w:lang w:val="fr-FR"/>
        </w:rPr>
        <w:t>6.</w:t>
      </w:r>
      <w:r w:rsidRPr="009E4C67">
        <w:rPr>
          <w:lang w:val="fr-FR"/>
        </w:rPr>
        <w:tab/>
        <w:t>Règlements ONU concernant l</w:t>
      </w:r>
      <w:r>
        <w:rPr>
          <w:lang w:val="fr-FR"/>
        </w:rPr>
        <w:t>’</w:t>
      </w:r>
      <w:r w:rsidRPr="009E4C67">
        <w:rPr>
          <w:lang w:val="fr-FR"/>
        </w:rPr>
        <w:t>installation</w:t>
      </w:r>
    </w:p>
    <w:p w14:paraId="4BB37A29" w14:textId="47698595" w:rsidR="00DF5DBE" w:rsidRDefault="00DF5DBE" w:rsidP="00DF5DBE">
      <w:pPr>
        <w:pStyle w:val="H23G"/>
        <w:rPr>
          <w:lang w:val="fr-FR"/>
        </w:rPr>
      </w:pPr>
      <w:r>
        <w:rPr>
          <w:lang w:val="fr-FR"/>
        </w:rPr>
        <w:tab/>
      </w:r>
      <w:r w:rsidRPr="009E4C67">
        <w:rPr>
          <w:lang w:val="fr-FR"/>
        </w:rPr>
        <w:t>a)</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48 (Installation des dispositifs d</w:t>
      </w:r>
      <w:r>
        <w:rPr>
          <w:lang w:val="fr-FR"/>
        </w:rPr>
        <w:t>’</w:t>
      </w:r>
      <w:r w:rsidRPr="009E4C67">
        <w:rPr>
          <w:lang w:val="fr-FR"/>
        </w:rPr>
        <w:t xml:space="preserve">éclairage </w:t>
      </w:r>
      <w:r w:rsidR="00171281">
        <w:rPr>
          <w:lang w:val="fr-FR"/>
        </w:rPr>
        <w:br/>
      </w:r>
      <w:r w:rsidRPr="009E4C67">
        <w:rPr>
          <w:lang w:val="fr-FR"/>
        </w:rPr>
        <w:t>et de signalisation lumineuse)</w:t>
      </w:r>
    </w:p>
    <w:p w14:paraId="3F624C50" w14:textId="77777777" w:rsidR="00DF5DBE" w:rsidRDefault="00DF5DBE" w:rsidP="00171281">
      <w:pPr>
        <w:pStyle w:val="SingleTxtG"/>
        <w:ind w:firstLine="567"/>
        <w:rPr>
          <w:lang w:val="fr-FR"/>
        </w:rPr>
      </w:pPr>
      <w:r w:rsidRPr="009E4C67">
        <w:rPr>
          <w:lang w:val="fr-FR"/>
        </w:rPr>
        <w:tab/>
        <w:t>Le GRE examinera une proposition soumise par l</w:t>
      </w:r>
      <w:r>
        <w:rPr>
          <w:lang w:val="fr-FR"/>
        </w:rPr>
        <w:t>’</w:t>
      </w:r>
      <w:r w:rsidRPr="009E4C67">
        <w:rPr>
          <w:lang w:val="fr-FR"/>
        </w:rPr>
        <w:t>expert de l</w:t>
      </w:r>
      <w:r>
        <w:rPr>
          <w:lang w:val="fr-FR"/>
        </w:rPr>
        <w:t>’</w:t>
      </w:r>
      <w:r w:rsidRPr="009E4C67">
        <w:rPr>
          <w:lang w:val="fr-FR"/>
        </w:rPr>
        <w:t>Allemagne, qui vise à préciser que seuls les dispositifs de signalisation lumineuse peuvent incorporer le logo du constructeur.</w:t>
      </w:r>
    </w:p>
    <w:p w14:paraId="3916759A" w14:textId="5D061422"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ECE/TRANS/WP.29/GRE/2024/13</w:t>
      </w:r>
    </w:p>
    <w:p w14:paraId="2DAA54EF" w14:textId="77777777" w:rsidR="00DF5DBE" w:rsidRDefault="00DF5DBE" w:rsidP="005E00F3">
      <w:pPr>
        <w:pStyle w:val="SingleTxtG"/>
        <w:ind w:firstLine="567"/>
        <w:rPr>
          <w:lang w:val="fr-FR"/>
        </w:rPr>
      </w:pPr>
      <w:r w:rsidRPr="009E4C67">
        <w:rPr>
          <w:lang w:val="fr-FR"/>
        </w:rPr>
        <w:tab/>
        <w:t>Le GRE examinera une proposition d</w:t>
      </w:r>
      <w:r>
        <w:rPr>
          <w:lang w:val="fr-FR"/>
        </w:rPr>
        <w:t>’</w:t>
      </w:r>
      <w:r w:rsidRPr="009E4C67">
        <w:rPr>
          <w:lang w:val="fr-FR"/>
        </w:rPr>
        <w:t>amendements relative aux projecteurs de travail, soumise par l</w:t>
      </w:r>
      <w:r>
        <w:rPr>
          <w:lang w:val="fr-FR"/>
        </w:rPr>
        <w:t>’</w:t>
      </w:r>
      <w:r w:rsidRPr="009E4C67">
        <w:rPr>
          <w:lang w:val="fr-FR"/>
        </w:rPr>
        <w:t>expert de la France.</w:t>
      </w:r>
    </w:p>
    <w:p w14:paraId="7A89334E" w14:textId="0C6DCEB8"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ECE/TRANS/WP.29/GRE/2024/12</w:t>
      </w:r>
    </w:p>
    <w:p w14:paraId="7C823968" w14:textId="77777777" w:rsidR="00DF5DBE" w:rsidRDefault="00DF5DBE" w:rsidP="00171281">
      <w:pPr>
        <w:pStyle w:val="SingleTxtG"/>
        <w:ind w:firstLine="567"/>
        <w:rPr>
          <w:lang w:val="fr-FR"/>
        </w:rPr>
      </w:pPr>
      <w:r w:rsidRPr="009E4C67">
        <w:rPr>
          <w:lang w:val="fr-FR"/>
        </w:rPr>
        <w:t>Le GRE se penchera sur une proposition élaborée par les experts du GTB, qui vise à autoriser la projection d</w:t>
      </w:r>
      <w:r>
        <w:rPr>
          <w:lang w:val="fr-FR"/>
        </w:rPr>
        <w:t>’</w:t>
      </w:r>
      <w:r w:rsidRPr="009E4C67">
        <w:rPr>
          <w:lang w:val="fr-FR"/>
        </w:rPr>
        <w:t>un motif correspondant à la trajectoire prédite.</w:t>
      </w:r>
    </w:p>
    <w:p w14:paraId="2AE15793" w14:textId="78710733"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ECE/TRANS/WP.29/GRE/2024/15</w:t>
      </w:r>
    </w:p>
    <w:p w14:paraId="21E96192" w14:textId="77777777" w:rsidR="00DF5DBE" w:rsidRDefault="00DF5DBE" w:rsidP="00171281">
      <w:pPr>
        <w:pStyle w:val="SingleTxtG"/>
        <w:ind w:firstLine="567"/>
        <w:rPr>
          <w:lang w:val="fr-FR"/>
        </w:rPr>
      </w:pPr>
      <w:r w:rsidRPr="009E4C67">
        <w:rPr>
          <w:lang w:val="fr-FR"/>
        </w:rPr>
        <w:t>Le GRE souhaitera peut-être se pencher à nouveau sur le problème de la lumière blanche émise par les unités d</w:t>
      </w:r>
      <w:r>
        <w:rPr>
          <w:lang w:val="fr-FR"/>
        </w:rPr>
        <w:t>’</w:t>
      </w:r>
      <w:r w:rsidRPr="009E4C67">
        <w:rPr>
          <w:lang w:val="fr-FR"/>
        </w:rPr>
        <w:t>éclairage avant et perçue comme bleue, dont avait fait état l</w:t>
      </w:r>
      <w:r>
        <w:rPr>
          <w:lang w:val="fr-FR"/>
        </w:rPr>
        <w:t>’</w:t>
      </w:r>
      <w:r w:rsidRPr="009E4C67">
        <w:rPr>
          <w:lang w:val="fr-FR"/>
        </w:rPr>
        <w:t>expert de la France.</w:t>
      </w:r>
    </w:p>
    <w:p w14:paraId="1150D63D" w14:textId="3C9C79AF" w:rsidR="00DF5DBE"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Document informel GRE-89-24</w:t>
      </w:r>
    </w:p>
    <w:p w14:paraId="65379E7A" w14:textId="65528F03" w:rsidR="00DF5DBE" w:rsidRPr="009E4C67" w:rsidRDefault="00DF5DBE" w:rsidP="00171281">
      <w:pPr>
        <w:pStyle w:val="SingleTxtG"/>
        <w:ind w:firstLine="567"/>
        <w:rPr>
          <w:lang w:val="fr-FR"/>
        </w:rPr>
      </w:pPr>
      <w:r w:rsidRPr="009E4C67">
        <w:rPr>
          <w:lang w:val="fr-FR"/>
        </w:rPr>
        <w:tab/>
        <w:t>Le GRE devrait recevoir une proposition révisée de l</w:t>
      </w:r>
      <w:r>
        <w:rPr>
          <w:lang w:val="fr-FR"/>
        </w:rPr>
        <w:t>’</w:t>
      </w:r>
      <w:r w:rsidRPr="009E4C67">
        <w:rPr>
          <w:lang w:val="fr-FR"/>
        </w:rPr>
        <w:t>expert de l</w:t>
      </w:r>
      <w:r>
        <w:rPr>
          <w:lang w:val="fr-FR"/>
        </w:rPr>
        <w:t>’</w:t>
      </w:r>
      <w:r w:rsidRPr="009E4C67">
        <w:rPr>
          <w:lang w:val="fr-FR"/>
        </w:rPr>
        <w:t>OICA, qui vise à supprimer la restriction actuelle énoncée au paragraphe 6.12.1 consistant à interdire le montage de feux de stationnement sur les véhicules dont la largeur dépasse 2</w:t>
      </w:r>
      <w:r w:rsidR="00171281">
        <w:rPr>
          <w:lang w:val="fr-FR"/>
        </w:rPr>
        <w:t> </w:t>
      </w:r>
      <w:r w:rsidRPr="009E4C67">
        <w:rPr>
          <w:lang w:val="fr-FR"/>
        </w:rPr>
        <w:t>m.</w:t>
      </w:r>
    </w:p>
    <w:p w14:paraId="21C790A1" w14:textId="263154A0" w:rsidR="00DF5DBE"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Document informel GRE-90-22</w:t>
      </w:r>
    </w:p>
    <w:p w14:paraId="00042FF5" w14:textId="77777777" w:rsidR="00DF5DBE" w:rsidRDefault="00DF5DBE" w:rsidP="00171281">
      <w:pPr>
        <w:pStyle w:val="SingleTxtG"/>
        <w:ind w:firstLine="567"/>
        <w:rPr>
          <w:lang w:val="fr-FR"/>
        </w:rPr>
      </w:pPr>
      <w:r w:rsidRPr="009E4C67">
        <w:rPr>
          <w:lang w:val="fr-FR"/>
        </w:rPr>
        <w:t>Enfin, le GRE sera informé des activités de l</w:t>
      </w:r>
      <w:r>
        <w:rPr>
          <w:lang w:val="fr-FR"/>
        </w:rPr>
        <w:t>’</w:t>
      </w:r>
      <w:r w:rsidRPr="009E4C67">
        <w:rPr>
          <w:lang w:val="fr-FR"/>
        </w:rPr>
        <w:t>équipe spéciale des feux des véhicules en stationnement (équipe LUPC).</w:t>
      </w:r>
    </w:p>
    <w:p w14:paraId="3BB077B6" w14:textId="2B454FBE" w:rsidR="00DF5DBE" w:rsidRPr="009E4C67" w:rsidRDefault="00DF5DBE" w:rsidP="00DF5DBE">
      <w:pPr>
        <w:pStyle w:val="H23G"/>
        <w:rPr>
          <w:color w:val="000000"/>
          <w:lang w:val="fr-FR"/>
        </w:rPr>
      </w:pPr>
      <w:r>
        <w:rPr>
          <w:lang w:val="fr-FR"/>
        </w:rPr>
        <w:tab/>
      </w:r>
      <w:r w:rsidRPr="009E4C67">
        <w:rPr>
          <w:lang w:val="fr-FR"/>
        </w:rPr>
        <w:t>b)</w:t>
      </w:r>
      <w:r w:rsidRPr="009E4C67">
        <w:rPr>
          <w:lang w:val="fr-FR"/>
        </w:rPr>
        <w:tab/>
        <w:t>Autres Règlements ONU concernant l</w:t>
      </w:r>
      <w:r>
        <w:rPr>
          <w:lang w:val="fr-FR"/>
        </w:rPr>
        <w:t>’</w:t>
      </w:r>
      <w:r w:rsidRPr="009E4C67">
        <w:rPr>
          <w:lang w:val="fr-FR"/>
        </w:rPr>
        <w:t>installation</w:t>
      </w:r>
      <w:bookmarkStart w:id="1" w:name="_Hlk78980131"/>
      <w:bookmarkEnd w:id="1"/>
    </w:p>
    <w:p w14:paraId="7BED5350" w14:textId="77777777" w:rsidR="00DF5DBE" w:rsidRDefault="00DF5DBE" w:rsidP="00171281">
      <w:pPr>
        <w:pStyle w:val="SingleTxtG"/>
        <w:ind w:firstLine="567"/>
        <w:rPr>
          <w:lang w:val="fr-FR"/>
        </w:rPr>
      </w:pPr>
      <w:r w:rsidRPr="009E4C67">
        <w:rPr>
          <w:lang w:val="fr-FR"/>
        </w:rPr>
        <w:t>Le GRE examinera des propositions d</w:t>
      </w:r>
      <w:r>
        <w:rPr>
          <w:lang w:val="fr-FR"/>
        </w:rPr>
        <w:t>’</w:t>
      </w:r>
      <w:r w:rsidRPr="009E4C67">
        <w:rPr>
          <w:lang w:val="fr-FR"/>
        </w:rPr>
        <w:t>amendements aux Règlements ONU n</w:t>
      </w:r>
      <w:r w:rsidRPr="00171281">
        <w:rPr>
          <w:vertAlign w:val="superscript"/>
          <w:lang w:val="fr-FR"/>
        </w:rPr>
        <w:t>os</w:t>
      </w:r>
      <w:r w:rsidRPr="009E4C67">
        <w:rPr>
          <w:lang w:val="fr-FR"/>
        </w:rPr>
        <w:t> 53, 74 et 86, le cas échéant.</w:t>
      </w:r>
    </w:p>
    <w:p w14:paraId="5AA215BA" w14:textId="1367B0D3" w:rsidR="00DF5DBE" w:rsidRDefault="00DF5DBE" w:rsidP="00DF5DBE">
      <w:pPr>
        <w:pStyle w:val="H1G"/>
        <w:rPr>
          <w:lang w:val="fr-FR"/>
        </w:rPr>
      </w:pPr>
      <w:r>
        <w:rPr>
          <w:lang w:val="fr-FR"/>
        </w:rPr>
        <w:lastRenderedPageBreak/>
        <w:tab/>
      </w:r>
      <w:r w:rsidRPr="009E4C67">
        <w:rPr>
          <w:lang w:val="fr-FR"/>
        </w:rPr>
        <w:t>7.</w:t>
      </w:r>
      <w:r w:rsidRPr="009E4C67">
        <w:rPr>
          <w:lang w:val="fr-FR"/>
        </w:rPr>
        <w:tab/>
        <w:t>Règlements ONU concernant les dispositifs</w:t>
      </w:r>
    </w:p>
    <w:p w14:paraId="17286F8B" w14:textId="0BE7C4DD" w:rsidR="00DF5DBE" w:rsidRPr="009E4C67" w:rsidRDefault="00DF5DBE" w:rsidP="00DF5DBE">
      <w:pPr>
        <w:pStyle w:val="H23G"/>
        <w:rPr>
          <w:color w:val="000000"/>
          <w:lang w:val="fr-FR"/>
        </w:rPr>
      </w:pPr>
      <w:r>
        <w:rPr>
          <w:lang w:val="fr-FR"/>
        </w:rPr>
        <w:tab/>
      </w:r>
      <w:r w:rsidRPr="009E4C67">
        <w:rPr>
          <w:lang w:val="fr-FR"/>
        </w:rPr>
        <w:t>a)</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148 (Dispositifs de signalisation lumineuse)</w:t>
      </w:r>
    </w:p>
    <w:p w14:paraId="054BDB5A" w14:textId="77777777" w:rsidR="00DF5DBE" w:rsidRDefault="00DF5DBE" w:rsidP="00171281">
      <w:pPr>
        <w:pStyle w:val="SingleTxtG"/>
        <w:ind w:firstLine="567"/>
        <w:rPr>
          <w:lang w:val="fr-FR"/>
        </w:rPr>
      </w:pPr>
      <w:r w:rsidRPr="009E4C67">
        <w:rPr>
          <w:lang w:val="fr-FR"/>
        </w:rPr>
        <w:t>Le GRE est invité à examiner une proposition élaborée par l</w:t>
      </w:r>
      <w:r>
        <w:rPr>
          <w:lang w:val="fr-FR"/>
        </w:rPr>
        <w:t>’</w:t>
      </w:r>
      <w:r w:rsidRPr="009E4C67">
        <w:rPr>
          <w:lang w:val="fr-FR"/>
        </w:rPr>
        <w:t>expert du GTB en vue de corriger un renvoi erroné concernant la détermination de la taille de la marque d</w:t>
      </w:r>
      <w:r>
        <w:rPr>
          <w:lang w:val="fr-FR"/>
        </w:rPr>
        <w:t>’</w:t>
      </w:r>
      <w:r w:rsidRPr="009E4C67">
        <w:rPr>
          <w:lang w:val="fr-FR"/>
        </w:rPr>
        <w:t>homologation.</w:t>
      </w:r>
    </w:p>
    <w:p w14:paraId="4A2AB37B" w14:textId="7E8FFF58"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ECE/TRANS/WP.29/GRE/2024/17</w:t>
      </w:r>
    </w:p>
    <w:p w14:paraId="633460D4" w14:textId="32D83086" w:rsidR="00DF5DBE" w:rsidRDefault="00DF5DBE" w:rsidP="00171281">
      <w:pPr>
        <w:pStyle w:val="SingleTxtG"/>
        <w:ind w:firstLine="567"/>
        <w:rPr>
          <w:lang w:val="fr-FR"/>
        </w:rPr>
      </w:pPr>
      <w:r w:rsidRPr="009E4C67">
        <w:rPr>
          <w:lang w:val="fr-FR"/>
        </w:rPr>
        <w:t>Le GRE souhaitera peut-être examiner des propositions de l</w:t>
      </w:r>
      <w:r>
        <w:rPr>
          <w:lang w:val="fr-FR"/>
        </w:rPr>
        <w:t>’</w:t>
      </w:r>
      <w:r w:rsidRPr="009E4C67">
        <w:rPr>
          <w:lang w:val="fr-FR"/>
        </w:rPr>
        <w:t xml:space="preserve">expert du GTB visant à ajouter des dispositions relatives aux projections des feux de marche arrière. Ces propositions ont été soumises en même temps que les amendements correspondants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p>
    <w:p w14:paraId="6B739B7A" w14:textId="45EF31F8"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ECE/TRANS/WP.29/GRE/2024/20</w:t>
      </w:r>
    </w:p>
    <w:p w14:paraId="4D2077D4" w14:textId="5D5D649F" w:rsidR="00DF5DBE" w:rsidRDefault="00DF5DBE" w:rsidP="00171281">
      <w:pPr>
        <w:pStyle w:val="SingleTxtG"/>
        <w:ind w:firstLine="567"/>
        <w:rPr>
          <w:lang w:val="fr-FR"/>
        </w:rPr>
      </w:pPr>
      <w:r w:rsidRPr="009E4C67">
        <w:rPr>
          <w:lang w:val="fr-FR"/>
        </w:rPr>
        <w:t>Le GRE se penchera également sur les propositions de l</w:t>
      </w:r>
      <w:r>
        <w:rPr>
          <w:lang w:val="fr-FR"/>
        </w:rPr>
        <w:t>’</w:t>
      </w:r>
      <w:r w:rsidRPr="009E4C67">
        <w:rPr>
          <w:lang w:val="fr-FR"/>
        </w:rPr>
        <w:t>expert du GTB relatives aux projections des feux indicateurs de direction. Cette proposition s</w:t>
      </w:r>
      <w:r>
        <w:rPr>
          <w:lang w:val="fr-FR"/>
        </w:rPr>
        <w:t>’</w:t>
      </w:r>
      <w:r w:rsidRPr="009E4C67">
        <w:rPr>
          <w:lang w:val="fr-FR"/>
        </w:rPr>
        <w:t>accompagne de propositions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p>
    <w:p w14:paraId="71A1D80E" w14:textId="799F9D49"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ECE/TRANS/WP.29/GRE/2024/21</w:t>
      </w:r>
    </w:p>
    <w:p w14:paraId="68EA7B55" w14:textId="3A0155C0" w:rsidR="00DF5DBE" w:rsidRPr="009E4C67" w:rsidRDefault="00DF5DBE" w:rsidP="00DF5DBE">
      <w:pPr>
        <w:pStyle w:val="H23G"/>
        <w:rPr>
          <w:color w:val="000000"/>
          <w:lang w:val="fr-FR"/>
        </w:rPr>
      </w:pPr>
      <w:r>
        <w:rPr>
          <w:lang w:val="fr-FR"/>
        </w:rPr>
        <w:tab/>
      </w:r>
      <w:r w:rsidRPr="009E4C67">
        <w:rPr>
          <w:lang w:val="fr-FR"/>
        </w:rPr>
        <w:t>b)</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Pr="009E4C67">
        <w:rPr>
          <w:lang w:val="fr-FR"/>
        </w:rPr>
        <w:t xml:space="preserve"> 149 (Dispositifs d</w:t>
      </w:r>
      <w:r>
        <w:rPr>
          <w:lang w:val="fr-FR"/>
        </w:rPr>
        <w:t>’</w:t>
      </w:r>
      <w:r w:rsidRPr="009E4C67">
        <w:rPr>
          <w:lang w:val="fr-FR"/>
        </w:rPr>
        <w:t>éclairage de la route)</w:t>
      </w:r>
    </w:p>
    <w:p w14:paraId="068A5B9A" w14:textId="5E978775" w:rsidR="00DF5DBE" w:rsidRDefault="00DF5DBE" w:rsidP="00171281">
      <w:pPr>
        <w:pStyle w:val="SingleTxtG"/>
        <w:ind w:firstLine="567"/>
        <w:rPr>
          <w:lang w:val="fr-FR"/>
        </w:rPr>
      </w:pPr>
      <w:r w:rsidRPr="009E4C67">
        <w:rPr>
          <w:lang w:val="fr-FR"/>
        </w:rPr>
        <w:t xml:space="preserve">Le GRE examinera des propositions des experts du GTB visant à clarifier et à corriger le texte du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149.</w:t>
      </w:r>
    </w:p>
    <w:p w14:paraId="04E8CFC2" w14:textId="09EF0BD6" w:rsidR="00DF5DBE" w:rsidRPr="009E4C67" w:rsidRDefault="00DF5DBE" w:rsidP="00171281">
      <w:pPr>
        <w:pStyle w:val="SingleTxtG"/>
        <w:tabs>
          <w:tab w:val="left" w:pos="2552"/>
        </w:tabs>
        <w:ind w:left="2552" w:hanging="1418"/>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ECE/TRANS/WP.29/GRE/2024/18,</w:t>
      </w:r>
      <w:r w:rsidR="00171281">
        <w:rPr>
          <w:lang w:val="fr-FR"/>
        </w:rPr>
        <w:br/>
      </w:r>
      <w:r w:rsidRPr="009E4C67">
        <w:rPr>
          <w:lang w:val="fr-FR"/>
        </w:rPr>
        <w:t>ECE/TRANS/WP.29/GRE/2024/19</w:t>
      </w:r>
    </w:p>
    <w:p w14:paraId="7276EA6A" w14:textId="36CD8A73" w:rsidR="00DF5DBE" w:rsidRDefault="00DF5DBE" w:rsidP="00171281">
      <w:pPr>
        <w:pStyle w:val="SingleTxtG"/>
        <w:ind w:firstLine="567"/>
        <w:rPr>
          <w:lang w:val="fr-FR"/>
        </w:rPr>
      </w:pPr>
      <w:r w:rsidRPr="009E4C67">
        <w:rPr>
          <w:lang w:val="fr-FR"/>
        </w:rPr>
        <w:t>Le GRE est invité à examiner les propositions élaborées par l</w:t>
      </w:r>
      <w:r>
        <w:rPr>
          <w:lang w:val="fr-FR"/>
        </w:rPr>
        <w:t>’</w:t>
      </w:r>
      <w:r w:rsidRPr="009E4C67">
        <w:rPr>
          <w:lang w:val="fr-FR"/>
        </w:rPr>
        <w:t xml:space="preserve">expert du GTB, qui visent à modifier les prescriptions en matière de détection et de signalement des défaillances afin de tenir compte des progrès techniques dans le domaine des feux équipés de sources lumineuses multiples. Ces propositions ont été soumises en même temps que les amendements correspondants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p>
    <w:p w14:paraId="570BD367" w14:textId="11F70CC3"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5E00F3">
        <w:rPr>
          <w:lang w:val="fr-FR"/>
        </w:rPr>
        <w:t>:</w:t>
      </w:r>
      <w:r w:rsidRPr="009E4C67">
        <w:rPr>
          <w:lang w:val="fr-FR"/>
        </w:rPr>
        <w:tab/>
        <w:t>ECE/TRANS/WP.29/GRE/2024/22</w:t>
      </w:r>
    </w:p>
    <w:p w14:paraId="7BB9E9A9" w14:textId="42E7E758" w:rsidR="00DF5DBE" w:rsidRDefault="00DF5DBE" w:rsidP="00DF5DBE">
      <w:pPr>
        <w:pStyle w:val="H1G"/>
        <w:rPr>
          <w:lang w:val="fr-FR"/>
        </w:rPr>
      </w:pPr>
      <w:r>
        <w:rPr>
          <w:lang w:val="fr-FR"/>
        </w:rPr>
        <w:tab/>
      </w:r>
      <w:r w:rsidRPr="009E4C67">
        <w:rPr>
          <w:lang w:val="fr-FR"/>
        </w:rPr>
        <w:t>8.</w:t>
      </w:r>
      <w:r w:rsidRPr="009E4C67">
        <w:rPr>
          <w:lang w:val="fr-FR"/>
        </w:rPr>
        <w:tab/>
        <w:t xml:space="preserve">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10 (Compatibilité électromagnétique)</w:t>
      </w:r>
    </w:p>
    <w:p w14:paraId="2645F108" w14:textId="77777777" w:rsidR="00DF5DBE" w:rsidRDefault="00DF5DBE" w:rsidP="00171281">
      <w:pPr>
        <w:pStyle w:val="SingleTxtG"/>
        <w:ind w:firstLine="567"/>
        <w:rPr>
          <w:lang w:val="fr-FR"/>
        </w:rPr>
      </w:pPr>
      <w:r w:rsidRPr="009E4C67">
        <w:rPr>
          <w:lang w:val="fr-FR"/>
        </w:rPr>
        <w:t>Le GRE sera informé de l</w:t>
      </w:r>
      <w:r>
        <w:rPr>
          <w:lang w:val="fr-FR"/>
        </w:rPr>
        <w:t>’</w:t>
      </w:r>
      <w:r w:rsidRPr="009E4C67">
        <w:rPr>
          <w:lang w:val="fr-FR"/>
        </w:rPr>
        <w:t>état d</w:t>
      </w:r>
      <w:r>
        <w:rPr>
          <w:lang w:val="fr-FR"/>
        </w:rPr>
        <w:t>’</w:t>
      </w:r>
      <w:r w:rsidRPr="009E4C67">
        <w:rPr>
          <w:lang w:val="fr-FR"/>
        </w:rPr>
        <w:t>avancement des activités du groupe de travail informel de la compatibilité électromagnétique (groupe EMC) et examinera les éventuelles propositions élaborées par le groupe.</w:t>
      </w:r>
    </w:p>
    <w:p w14:paraId="643C8477" w14:textId="45A54613" w:rsidR="00DF5DBE" w:rsidRPr="009E4C67" w:rsidRDefault="00DF5DBE" w:rsidP="00DF5DBE">
      <w:pPr>
        <w:pStyle w:val="H1G"/>
        <w:rPr>
          <w:lang w:val="fr-FR"/>
        </w:rPr>
      </w:pPr>
      <w:r>
        <w:rPr>
          <w:lang w:val="fr-FR"/>
        </w:rPr>
        <w:tab/>
      </w:r>
      <w:r w:rsidRPr="009E4C67">
        <w:rPr>
          <w:lang w:val="fr-FR"/>
        </w:rPr>
        <w:t>9.</w:t>
      </w:r>
      <w:r w:rsidRPr="009E4C67">
        <w:rPr>
          <w:lang w:val="fr-FR"/>
        </w:rPr>
        <w:tab/>
        <w:t>Autres Règlements ONU</w:t>
      </w:r>
    </w:p>
    <w:p w14:paraId="00B2AACB" w14:textId="4E312CBF" w:rsidR="00DF5DBE" w:rsidRPr="009E4C67" w:rsidRDefault="00DF5DBE" w:rsidP="00171281">
      <w:pPr>
        <w:pStyle w:val="SingleTxtG"/>
        <w:ind w:firstLine="567"/>
        <w:rPr>
          <w:lang w:val="fr-FR"/>
        </w:rPr>
      </w:pPr>
      <w:r w:rsidRPr="009E4C67">
        <w:rPr>
          <w:lang w:val="fr-FR"/>
        </w:rPr>
        <w:t>Le GRE est invité à examiner les propositions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65 (Feux spéciaux d</w:t>
      </w:r>
      <w:r>
        <w:rPr>
          <w:lang w:val="fr-FR"/>
        </w:rPr>
        <w:t>’</w:t>
      </w:r>
      <w:r w:rsidRPr="009E4C67">
        <w:rPr>
          <w:lang w:val="fr-FR"/>
        </w:rPr>
        <w:t>avertissement) qui ont été soumises par l</w:t>
      </w:r>
      <w:r>
        <w:rPr>
          <w:lang w:val="fr-FR"/>
        </w:rPr>
        <w:t>’</w:t>
      </w:r>
      <w:r w:rsidRPr="009E4C67">
        <w:rPr>
          <w:lang w:val="fr-FR"/>
        </w:rPr>
        <w:t>expert du GTB dans le but de corriger et de clarifier les dispositions existantes.</w:t>
      </w:r>
    </w:p>
    <w:p w14:paraId="614ECDE3" w14:textId="4F8E7FDD"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ECE/TRANS/WP.29/GRE/2024/16</w:t>
      </w:r>
    </w:p>
    <w:p w14:paraId="273D7ABF" w14:textId="77777777" w:rsidR="00DF5DBE" w:rsidRDefault="00DF5DBE" w:rsidP="00171281">
      <w:pPr>
        <w:pStyle w:val="SingleTxtG"/>
        <w:ind w:firstLine="567"/>
        <w:rPr>
          <w:lang w:val="fr-FR"/>
        </w:rPr>
      </w:pPr>
      <w:r w:rsidRPr="009E4C67">
        <w:rPr>
          <w:lang w:val="fr-FR"/>
        </w:rPr>
        <w:t>Le GRE examinera en outre des propositions d</w:t>
      </w:r>
      <w:r>
        <w:rPr>
          <w:lang w:val="fr-FR"/>
        </w:rPr>
        <w:t>’</w:t>
      </w:r>
      <w:r w:rsidRPr="009E4C67">
        <w:rPr>
          <w:lang w:val="fr-FR"/>
        </w:rPr>
        <w:t>amendements à d</w:t>
      </w:r>
      <w:r>
        <w:rPr>
          <w:lang w:val="fr-FR"/>
        </w:rPr>
        <w:t>’</w:t>
      </w:r>
      <w:r w:rsidRPr="009E4C67">
        <w:rPr>
          <w:lang w:val="fr-FR"/>
        </w:rPr>
        <w:t>autres Règlements ONU, le cas échéant.</w:t>
      </w:r>
    </w:p>
    <w:p w14:paraId="7C9ACB4C" w14:textId="0FDA52C0" w:rsidR="00DF5DBE" w:rsidRPr="009E4C67" w:rsidRDefault="00DF5DBE" w:rsidP="00DF5DBE">
      <w:pPr>
        <w:pStyle w:val="H1G"/>
        <w:rPr>
          <w:lang w:val="fr-FR"/>
        </w:rPr>
      </w:pPr>
      <w:r>
        <w:rPr>
          <w:lang w:val="fr-FR"/>
        </w:rPr>
        <w:tab/>
      </w:r>
      <w:r w:rsidRPr="009E4C67">
        <w:rPr>
          <w:lang w:val="fr-FR"/>
        </w:rPr>
        <w:t>10.</w:t>
      </w:r>
      <w:r w:rsidRPr="009E4C67">
        <w:rPr>
          <w:lang w:val="fr-FR"/>
        </w:rPr>
        <w:tab/>
        <w:t>Propositions d</w:t>
      </w:r>
      <w:r>
        <w:rPr>
          <w:lang w:val="fr-FR"/>
        </w:rPr>
        <w:t>’</w:t>
      </w:r>
      <w:r w:rsidRPr="009E4C67">
        <w:rPr>
          <w:lang w:val="fr-FR"/>
        </w:rPr>
        <w:t>amendements en cours d</w:t>
      </w:r>
      <w:r>
        <w:rPr>
          <w:lang w:val="fr-FR"/>
        </w:rPr>
        <w:t>’</w:t>
      </w:r>
      <w:r w:rsidRPr="009E4C67">
        <w:rPr>
          <w:lang w:val="fr-FR"/>
        </w:rPr>
        <w:t>examen</w:t>
      </w:r>
    </w:p>
    <w:p w14:paraId="5976219D" w14:textId="4A69F2AF" w:rsidR="00DF5DBE" w:rsidRPr="009E4C67" w:rsidRDefault="00DF5DBE" w:rsidP="005E00F3">
      <w:pPr>
        <w:pStyle w:val="SingleTxtG"/>
        <w:keepNext/>
        <w:ind w:firstLine="567"/>
        <w:rPr>
          <w:lang w:val="fr-FR"/>
        </w:rPr>
      </w:pPr>
      <w:r w:rsidRPr="009E4C67">
        <w:rPr>
          <w:lang w:val="fr-FR"/>
        </w:rPr>
        <w:t>Le GRE se souviendra qu</w:t>
      </w:r>
      <w:r>
        <w:rPr>
          <w:lang w:val="fr-FR"/>
        </w:rPr>
        <w:t>’</w:t>
      </w:r>
      <w:r w:rsidRPr="009E4C67">
        <w:rPr>
          <w:lang w:val="fr-FR"/>
        </w:rPr>
        <w:t xml:space="preserve">à ses sessions précédentes, il a adopté les amendements suivants mais a décidé de remettre à plus tard leur soumission au WP.29, afin de les combiner </w:t>
      </w:r>
      <w:r w:rsidRPr="009E4C67">
        <w:rPr>
          <w:lang w:val="fr-FR"/>
        </w:rPr>
        <w:lastRenderedPageBreak/>
        <w:t>avec de futures propositions d</w:t>
      </w:r>
      <w:r>
        <w:rPr>
          <w:lang w:val="fr-FR"/>
        </w:rPr>
        <w:t>’</w:t>
      </w:r>
      <w:r w:rsidRPr="009E4C67">
        <w:rPr>
          <w:lang w:val="fr-FR"/>
        </w:rPr>
        <w:t>amendements aux mêmes Règlements ONU et séries d</w:t>
      </w:r>
      <w:r>
        <w:rPr>
          <w:lang w:val="fr-FR"/>
        </w:rPr>
        <w:t>’</w:t>
      </w:r>
      <w:r w:rsidRPr="009E4C67">
        <w:rPr>
          <w:lang w:val="fr-FR"/>
        </w:rPr>
        <w:t>amendements</w:t>
      </w:r>
      <w:r w:rsidR="005E00F3">
        <w:rPr>
          <w:lang w:val="fr-FR"/>
        </w:rPr>
        <w:t> :</w:t>
      </w:r>
    </w:p>
    <w:p w14:paraId="23F45961" w14:textId="7545FE74" w:rsidR="00DF5DBE" w:rsidRPr="009E4C67" w:rsidRDefault="00DF5DBE" w:rsidP="00DF5DBE">
      <w:pPr>
        <w:pStyle w:val="Bullet1G"/>
        <w:rPr>
          <w:lang w:val="fr-FR"/>
        </w:rPr>
      </w:pPr>
      <w:r w:rsidRPr="009E4C67">
        <w:rPr>
          <w:lang w:val="fr-FR"/>
        </w:rPr>
        <w:t>Les documents GRE-88-17 et ECE/TRANS/WP.29/GRE/2023/13 en tant que complément aux séries 03, 04 et 05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r>
        <w:rPr>
          <w:lang w:val="fr-FR"/>
        </w:rPr>
        <w:t> ;</w:t>
      </w:r>
    </w:p>
    <w:p w14:paraId="7015B3CE" w14:textId="3F89B0AD" w:rsidR="00DF5DBE" w:rsidRPr="009E4C67" w:rsidRDefault="00DF5DBE" w:rsidP="00DF5DBE">
      <w:pPr>
        <w:pStyle w:val="Bullet1G"/>
        <w:rPr>
          <w:lang w:val="fr-FR"/>
        </w:rPr>
      </w:pPr>
      <w:r w:rsidRPr="009E4C67">
        <w:rPr>
          <w:lang w:val="fr-FR"/>
        </w:rPr>
        <w:t>Le document ECE/TRANS/WP.29/GRE/2024/3 en tant que complément aux séries</w:t>
      </w:r>
      <w:r w:rsidR="00171281">
        <w:rPr>
          <w:lang w:val="fr-FR"/>
        </w:rPr>
        <w:t> </w:t>
      </w:r>
      <w:r w:rsidRPr="009E4C67">
        <w:rPr>
          <w:lang w:val="fr-FR"/>
        </w:rPr>
        <w:t>06, 07, 08 et 09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r>
        <w:rPr>
          <w:lang w:val="fr-FR"/>
        </w:rPr>
        <w:t> ;</w:t>
      </w:r>
    </w:p>
    <w:p w14:paraId="0B9FD050" w14:textId="7B0055E5" w:rsidR="00DF5DBE" w:rsidRPr="009E4C67" w:rsidRDefault="00DF5DBE" w:rsidP="00DF5DBE">
      <w:pPr>
        <w:pStyle w:val="Bullet1G"/>
        <w:rPr>
          <w:lang w:val="fr-FR"/>
        </w:rPr>
      </w:pPr>
      <w:r w:rsidRPr="009E4C67">
        <w:rPr>
          <w:lang w:val="fr-FR"/>
        </w:rPr>
        <w:t>Le document ECE/TRANS/WP.29/GRE/2024/4 en tant que complément aux séries</w:t>
      </w:r>
      <w:r w:rsidR="00171281">
        <w:rPr>
          <w:lang w:val="fr-FR"/>
        </w:rPr>
        <w:t> </w:t>
      </w:r>
      <w:r w:rsidRPr="009E4C67">
        <w:rPr>
          <w:lang w:val="fr-FR"/>
        </w:rPr>
        <w:t>06, 07, 08 et 09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w:t>
      </w:r>
      <w:r>
        <w:rPr>
          <w:lang w:val="fr-FR"/>
        </w:rPr>
        <w:t> ;</w:t>
      </w:r>
    </w:p>
    <w:p w14:paraId="0D0744E3" w14:textId="12DA790E" w:rsidR="00DF5DBE" w:rsidRDefault="00DF5DBE" w:rsidP="00DF5DBE">
      <w:pPr>
        <w:pStyle w:val="Bullet1G"/>
        <w:rPr>
          <w:lang w:val="fr-FR"/>
        </w:rPr>
      </w:pPr>
      <w:r w:rsidRPr="009E4C67">
        <w:rPr>
          <w:lang w:val="fr-FR"/>
        </w:rPr>
        <w:t>Le document informel GRE-90-10 en tant que complément à la série 09 d</w:t>
      </w:r>
      <w:r>
        <w:rPr>
          <w:lang w:val="fr-FR"/>
        </w:rPr>
        <w:t>’</w:t>
      </w:r>
      <w:r w:rsidRPr="009E4C67">
        <w:rPr>
          <w:lang w:val="fr-FR"/>
        </w:rPr>
        <w:t>amendements au</w:t>
      </w:r>
      <w:r w:rsidR="00171281">
        <w:rPr>
          <w:lang w:val="fr-FR"/>
        </w:rPr>
        <w:t xml:space="preserve"> </w:t>
      </w:r>
      <w:r w:rsidRPr="009E4C67">
        <w:rPr>
          <w:lang w:val="fr-FR"/>
        </w:rPr>
        <w:t>Règlement ONU n</w:t>
      </w:r>
      <w:r w:rsidRPr="005E00F3">
        <w:rPr>
          <w:vertAlign w:val="superscript"/>
          <w:lang w:val="fr-FR"/>
        </w:rPr>
        <w:t>o</w:t>
      </w:r>
      <w:r w:rsidRPr="009E4C67">
        <w:rPr>
          <w:lang w:val="fr-FR"/>
        </w:rPr>
        <w:t> 48</w:t>
      </w:r>
      <w:r>
        <w:rPr>
          <w:lang w:val="fr-FR"/>
        </w:rPr>
        <w:t> ;</w:t>
      </w:r>
    </w:p>
    <w:p w14:paraId="6AEA784D" w14:textId="00AE6E3D" w:rsidR="00DF5DBE" w:rsidRDefault="00DF5DBE" w:rsidP="00DF5DBE">
      <w:pPr>
        <w:pStyle w:val="Bullet1G"/>
        <w:rPr>
          <w:lang w:val="fr-FR"/>
        </w:rPr>
      </w:pPr>
      <w:r w:rsidRPr="009E4C67">
        <w:rPr>
          <w:lang w:val="fr-FR"/>
        </w:rPr>
        <w:t>Le document informel GRE-90-36 en tant que complément à la série 06 d</w:t>
      </w:r>
      <w:r>
        <w:rPr>
          <w:lang w:val="fr-FR"/>
        </w:rPr>
        <w:t>’</w:t>
      </w:r>
      <w:r w:rsidRPr="009E4C67">
        <w:rPr>
          <w:lang w:val="fr-FR"/>
        </w:rPr>
        <w:t>amendements au</w:t>
      </w:r>
      <w:r w:rsidR="00171281">
        <w:rPr>
          <w:lang w:val="fr-FR"/>
        </w:rPr>
        <w:t xml:space="preserve"> </w:t>
      </w:r>
      <w:r w:rsidRPr="009E4C67">
        <w:rPr>
          <w:lang w:val="fr-FR"/>
        </w:rPr>
        <w:t>Règlement ONU n</w:t>
      </w:r>
      <w:r w:rsidRPr="00171281">
        <w:rPr>
          <w:vertAlign w:val="superscript"/>
          <w:lang w:val="fr-FR"/>
        </w:rPr>
        <w:t>o</w:t>
      </w:r>
      <w:r w:rsidRPr="009E4C67">
        <w:rPr>
          <w:lang w:val="fr-FR"/>
        </w:rPr>
        <w:t> 10.</w:t>
      </w:r>
    </w:p>
    <w:p w14:paraId="401618E2" w14:textId="0DC65BDB" w:rsidR="00DF5DBE" w:rsidRPr="009E4C67" w:rsidRDefault="00DF5DBE" w:rsidP="00171281">
      <w:pPr>
        <w:pStyle w:val="SingleTxtG"/>
        <w:tabs>
          <w:tab w:val="left" w:pos="2552"/>
        </w:tabs>
        <w:ind w:left="2552" w:hanging="1418"/>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ECE/TRANS/WP.29/GRE/2023/13,</w:t>
      </w:r>
      <w:r w:rsidR="005E00F3">
        <w:rPr>
          <w:lang w:val="fr-FR"/>
        </w:rPr>
        <w:t xml:space="preserve"> </w:t>
      </w:r>
      <w:r w:rsidR="00171281">
        <w:rPr>
          <w:lang w:val="fr-FR"/>
        </w:rPr>
        <w:br/>
      </w:r>
      <w:r w:rsidR="005E00F3" w:rsidRPr="009E4C67">
        <w:rPr>
          <w:lang w:val="fr-FR"/>
        </w:rPr>
        <w:t>ECE/TRANS/WP.29/GRE/2024/</w:t>
      </w:r>
      <w:r w:rsidR="005E00F3">
        <w:rPr>
          <w:lang w:val="fr-FR"/>
        </w:rPr>
        <w:t>3</w:t>
      </w:r>
      <w:r w:rsidR="005E00F3" w:rsidRPr="009E4C67">
        <w:rPr>
          <w:lang w:val="fr-FR"/>
        </w:rPr>
        <w:t xml:space="preserve">, </w:t>
      </w:r>
      <w:r w:rsidR="005E00F3">
        <w:rPr>
          <w:lang w:val="fr-FR"/>
        </w:rPr>
        <w:br/>
      </w:r>
      <w:r w:rsidR="005E00F3" w:rsidRPr="009E4C67">
        <w:rPr>
          <w:lang w:val="fr-FR"/>
        </w:rPr>
        <w:t xml:space="preserve">ECE/TRANS/WP.29/GRE/2024/4, </w:t>
      </w:r>
      <w:r w:rsidR="005E00F3">
        <w:rPr>
          <w:lang w:val="fr-FR"/>
        </w:rPr>
        <w:br/>
      </w:r>
      <w:r w:rsidRPr="009E4C67">
        <w:rPr>
          <w:lang w:val="fr-FR"/>
        </w:rPr>
        <w:t>documents informels GRE-88-17, GRE-90-10 et GRE-90-36</w:t>
      </w:r>
    </w:p>
    <w:p w14:paraId="2AC57A22" w14:textId="1168572F" w:rsidR="00DF5DBE" w:rsidRPr="009E4C67" w:rsidRDefault="00DF5DBE" w:rsidP="00DF5DBE">
      <w:pPr>
        <w:pStyle w:val="H1G"/>
        <w:rPr>
          <w:lang w:val="fr-FR"/>
        </w:rPr>
      </w:pPr>
      <w:r>
        <w:rPr>
          <w:lang w:val="fr-FR"/>
        </w:rPr>
        <w:tab/>
      </w:r>
      <w:r w:rsidRPr="009E4C67">
        <w:rPr>
          <w:lang w:val="fr-FR"/>
        </w:rPr>
        <w:t>11.</w:t>
      </w:r>
      <w:r w:rsidRPr="009E4C67">
        <w:rPr>
          <w:lang w:val="fr-FR"/>
        </w:rPr>
        <w:tab/>
        <w:t>Questions relatives à l</w:t>
      </w:r>
      <w:r>
        <w:rPr>
          <w:lang w:val="fr-FR"/>
        </w:rPr>
        <w:t>’</w:t>
      </w:r>
      <w:r w:rsidRPr="009E4C67">
        <w:rPr>
          <w:lang w:val="fr-FR"/>
        </w:rPr>
        <w:t>éblouissement</w:t>
      </w:r>
    </w:p>
    <w:p w14:paraId="74EB30A2" w14:textId="10D3F188" w:rsidR="00DF5DBE" w:rsidRDefault="00DF5DBE" w:rsidP="00171281">
      <w:pPr>
        <w:pStyle w:val="SingleTxtG"/>
        <w:ind w:firstLine="567"/>
        <w:rPr>
          <w:lang w:val="fr-FR"/>
        </w:rPr>
      </w:pPr>
      <w:r w:rsidRPr="009E4C67">
        <w:rPr>
          <w:lang w:val="fr-FR"/>
        </w:rPr>
        <w:t>À la dernière session, l</w:t>
      </w:r>
      <w:r>
        <w:rPr>
          <w:lang w:val="fr-FR"/>
        </w:rPr>
        <w:t>’</w:t>
      </w:r>
      <w:r w:rsidRPr="009E4C67">
        <w:rPr>
          <w:lang w:val="fr-FR"/>
        </w:rPr>
        <w:t xml:space="preserve">expert de la Fédération </w:t>
      </w:r>
      <w:r w:rsidR="005E00F3">
        <w:rPr>
          <w:lang w:val="fr-FR"/>
        </w:rPr>
        <w:t>i</w:t>
      </w:r>
      <w:r w:rsidRPr="009E4C67">
        <w:rPr>
          <w:lang w:val="fr-FR"/>
        </w:rPr>
        <w:t>nternationale de l</w:t>
      </w:r>
      <w:r>
        <w:rPr>
          <w:lang w:val="fr-FR"/>
        </w:rPr>
        <w:t>’</w:t>
      </w:r>
      <w:r w:rsidR="005E00F3">
        <w:rPr>
          <w:lang w:val="fr-FR"/>
        </w:rPr>
        <w:t>a</w:t>
      </w:r>
      <w:r w:rsidRPr="009E4C67">
        <w:rPr>
          <w:lang w:val="fr-FR"/>
        </w:rPr>
        <w:t>utomobile (FIA) a présenté les résultats d</w:t>
      </w:r>
      <w:r>
        <w:rPr>
          <w:lang w:val="fr-FR"/>
        </w:rPr>
        <w:t>’</w:t>
      </w:r>
      <w:r w:rsidRPr="009E4C67">
        <w:rPr>
          <w:lang w:val="fr-FR"/>
        </w:rPr>
        <w:t>une étude sur l</w:t>
      </w:r>
      <w:r>
        <w:rPr>
          <w:lang w:val="fr-FR"/>
        </w:rPr>
        <w:t>’</w:t>
      </w:r>
      <w:r w:rsidRPr="009E4C67">
        <w:rPr>
          <w:lang w:val="fr-FR"/>
        </w:rPr>
        <w:t>éblouissement dans la circulation routière que son organisation avait réalisée en 2024 auprès des consommateurs en Europe. Pour répondre à ces préoccupations, certains experts du GRE se sont prononcés en faveur de la création d</w:t>
      </w:r>
      <w:r>
        <w:rPr>
          <w:lang w:val="fr-FR"/>
        </w:rPr>
        <w:t>’</w:t>
      </w:r>
      <w:r w:rsidRPr="009E4C67">
        <w:rPr>
          <w:lang w:val="fr-FR"/>
        </w:rPr>
        <w:t>une équipe spéciale, tandis qu</w:t>
      </w:r>
      <w:r>
        <w:rPr>
          <w:lang w:val="fr-FR"/>
        </w:rPr>
        <w:t>’</w:t>
      </w:r>
      <w:r w:rsidRPr="009E4C67">
        <w:rPr>
          <w:lang w:val="fr-FR"/>
        </w:rPr>
        <w:t>un expert a estimé qu</w:t>
      </w:r>
      <w:r>
        <w:rPr>
          <w:lang w:val="fr-FR"/>
        </w:rPr>
        <w:t>’</w:t>
      </w:r>
      <w:r w:rsidRPr="009E4C67">
        <w:rPr>
          <w:lang w:val="fr-FR"/>
        </w:rPr>
        <w:t>un groupe de travail informel serait plus approprié. Sans prendre de décision, le GRE a invité les parties intéressées à réfléchir à la question et à élaborer, en vue de la session faisant l</w:t>
      </w:r>
      <w:r>
        <w:rPr>
          <w:lang w:val="fr-FR"/>
        </w:rPr>
        <w:t>’</w:t>
      </w:r>
      <w:r w:rsidRPr="009E4C67">
        <w:rPr>
          <w:lang w:val="fr-FR"/>
        </w:rPr>
        <w:t>objet du présent ordre du jour, un projet de mandat et de règlement intérieur pour soit une nouvelle équipe spéciale, soit un nouveau groupe de travail informel.</w:t>
      </w:r>
    </w:p>
    <w:p w14:paraId="7DB59F39" w14:textId="13FB1DAD"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Documents informels GRE-90-20 et GRE-90-40</w:t>
      </w:r>
    </w:p>
    <w:p w14:paraId="3BAA4EF5" w14:textId="51D91E32" w:rsidR="00DF5DBE" w:rsidRPr="009E4C67" w:rsidRDefault="00DF5DBE" w:rsidP="00DF5DBE">
      <w:pPr>
        <w:pStyle w:val="H1G"/>
        <w:rPr>
          <w:lang w:val="fr-FR"/>
        </w:rPr>
      </w:pPr>
      <w:r>
        <w:rPr>
          <w:lang w:val="fr-FR"/>
        </w:rPr>
        <w:tab/>
      </w:r>
      <w:r w:rsidRPr="009E4C67">
        <w:rPr>
          <w:lang w:val="fr-FR"/>
        </w:rPr>
        <w:t>12.</w:t>
      </w:r>
      <w:r w:rsidRPr="009E4C67">
        <w:rPr>
          <w:lang w:val="fr-FR"/>
        </w:rPr>
        <w:tab/>
        <w:t>Questions diverses</w:t>
      </w:r>
    </w:p>
    <w:p w14:paraId="0FA3F396" w14:textId="7D62C980" w:rsidR="00DF5DBE" w:rsidRPr="009E4C67" w:rsidRDefault="00DF5DBE" w:rsidP="00DF5DBE">
      <w:pPr>
        <w:pStyle w:val="H23G"/>
        <w:rPr>
          <w:color w:val="000000"/>
          <w:lang w:val="fr-FR"/>
        </w:rPr>
      </w:pPr>
      <w:r>
        <w:rPr>
          <w:lang w:val="fr-FR"/>
        </w:rPr>
        <w:tab/>
      </w:r>
      <w:r w:rsidRPr="009E4C67">
        <w:rPr>
          <w:lang w:val="fr-FR"/>
        </w:rPr>
        <w:t>a)</w:t>
      </w:r>
      <w:r w:rsidRPr="009E4C67">
        <w:rPr>
          <w:lang w:val="fr-FR"/>
        </w:rPr>
        <w:tab/>
        <w:t>Mise au point d</w:t>
      </w:r>
      <w:r>
        <w:rPr>
          <w:lang w:val="fr-FR"/>
        </w:rPr>
        <w:t>’</w:t>
      </w:r>
      <w:r w:rsidRPr="009E4C67">
        <w:rPr>
          <w:lang w:val="fr-FR"/>
        </w:rPr>
        <w:t>une homologation de type internationale de l</w:t>
      </w:r>
      <w:r>
        <w:rPr>
          <w:lang w:val="fr-FR"/>
        </w:rPr>
        <w:t>’</w:t>
      </w:r>
      <w:r w:rsidRPr="009E4C67">
        <w:rPr>
          <w:lang w:val="fr-FR"/>
        </w:rPr>
        <w:t>ensemble du véhicule</w:t>
      </w:r>
    </w:p>
    <w:p w14:paraId="1FC46828" w14:textId="1B649988" w:rsidR="00DF5DBE" w:rsidRDefault="00DF5DBE" w:rsidP="00171281">
      <w:pPr>
        <w:pStyle w:val="SingleTxtG"/>
        <w:ind w:firstLine="567"/>
        <w:rPr>
          <w:lang w:val="fr-FR"/>
        </w:rPr>
      </w:pPr>
      <w:r w:rsidRPr="009E4C67">
        <w:rPr>
          <w:lang w:val="fr-FR"/>
        </w:rPr>
        <w:tab/>
        <w:t>Le GRE sera informé de l</w:t>
      </w:r>
      <w:r>
        <w:rPr>
          <w:lang w:val="fr-FR"/>
        </w:rPr>
        <w:t>’</w:t>
      </w:r>
      <w:r w:rsidRPr="009E4C67">
        <w:rPr>
          <w:lang w:val="fr-FR"/>
        </w:rPr>
        <w:t>avancement des travaux concernant l</w:t>
      </w:r>
      <w:r>
        <w:rPr>
          <w:lang w:val="fr-FR"/>
        </w:rPr>
        <w:t>’</w:t>
      </w:r>
      <w:r w:rsidRPr="009E4C67">
        <w:rPr>
          <w:lang w:val="fr-FR"/>
        </w:rPr>
        <w:t>homologation de type internationale de l</w:t>
      </w:r>
      <w:r>
        <w:rPr>
          <w:lang w:val="fr-FR"/>
        </w:rPr>
        <w:t>’</w:t>
      </w:r>
      <w:r w:rsidRPr="009E4C67">
        <w:rPr>
          <w:lang w:val="fr-FR"/>
        </w:rPr>
        <w:t>ensemble du véhicule (IWVTA) et la base de données électronique pour l</w:t>
      </w:r>
      <w:r>
        <w:rPr>
          <w:lang w:val="fr-FR"/>
        </w:rPr>
        <w:t>’</w:t>
      </w:r>
      <w:r w:rsidRPr="009E4C67">
        <w:rPr>
          <w:lang w:val="fr-FR"/>
        </w:rPr>
        <w:t>échange d</w:t>
      </w:r>
      <w:r>
        <w:rPr>
          <w:lang w:val="fr-FR"/>
        </w:rPr>
        <w:t>’</w:t>
      </w:r>
      <w:r w:rsidRPr="009E4C67">
        <w:rPr>
          <w:lang w:val="fr-FR"/>
        </w:rPr>
        <w:t>informations concernant l</w:t>
      </w:r>
      <w:r>
        <w:rPr>
          <w:lang w:val="fr-FR"/>
        </w:rPr>
        <w:t>’</w:t>
      </w:r>
      <w:r w:rsidRPr="009E4C67">
        <w:rPr>
          <w:lang w:val="fr-FR"/>
        </w:rPr>
        <w:t>homologation de type (DETA).</w:t>
      </w:r>
    </w:p>
    <w:p w14:paraId="4CDC95E1" w14:textId="6AFA3232" w:rsidR="00DF5DBE" w:rsidRPr="009E4C67" w:rsidRDefault="00DF5DBE" w:rsidP="00DF5DBE">
      <w:pPr>
        <w:pStyle w:val="H23G"/>
        <w:rPr>
          <w:color w:val="000000"/>
          <w:lang w:val="fr-FR"/>
        </w:rPr>
      </w:pPr>
      <w:r>
        <w:rPr>
          <w:lang w:val="fr-FR"/>
        </w:rPr>
        <w:tab/>
      </w:r>
      <w:r w:rsidRPr="009E4C67">
        <w:rPr>
          <w:lang w:val="fr-FR"/>
        </w:rPr>
        <w:t>b)</w:t>
      </w:r>
      <w:r w:rsidRPr="009E4C67">
        <w:rPr>
          <w:lang w:val="fr-FR"/>
        </w:rPr>
        <w:tab/>
        <w:t>Amendements à la Convention sur la circulation routière (Vienne, 1968)</w:t>
      </w:r>
    </w:p>
    <w:p w14:paraId="456EC04A" w14:textId="26B438F7" w:rsidR="00DF5DBE" w:rsidRPr="009E4C67" w:rsidRDefault="00DF5DBE" w:rsidP="00171281">
      <w:pPr>
        <w:pStyle w:val="SingleTxtG"/>
        <w:ind w:firstLine="567"/>
        <w:rPr>
          <w:rFonts w:eastAsia="MS Mincho"/>
          <w:lang w:val="fr-FR"/>
        </w:rPr>
      </w:pPr>
      <w:r w:rsidRPr="009E4C67">
        <w:rPr>
          <w:lang w:val="fr-FR"/>
        </w:rPr>
        <w:tab/>
        <w:t>Le GRE sera informé des questions examinées par le Forum mondial de la sécurité routière (WP.1) à sa dernière session et de la coordination entre le GRE et le WP.1 sur les questions communes.</w:t>
      </w:r>
    </w:p>
    <w:p w14:paraId="44D3B1C5" w14:textId="69E8E55E" w:rsidR="00DF5DBE" w:rsidRDefault="00DF5DBE" w:rsidP="00DF5DBE">
      <w:pPr>
        <w:pStyle w:val="H23G"/>
        <w:rPr>
          <w:lang w:val="fr-FR"/>
        </w:rPr>
      </w:pPr>
      <w:r>
        <w:rPr>
          <w:lang w:val="fr-FR"/>
        </w:rPr>
        <w:tab/>
      </w:r>
      <w:r w:rsidRPr="009E4C67">
        <w:rPr>
          <w:lang w:val="fr-FR"/>
        </w:rPr>
        <w:t>c)</w:t>
      </w:r>
      <w:r w:rsidRPr="009E4C67">
        <w:rPr>
          <w:lang w:val="fr-FR"/>
        </w:rPr>
        <w:tab/>
        <w:t>Autres questions</w:t>
      </w:r>
    </w:p>
    <w:p w14:paraId="0857B912" w14:textId="3DEE5B04" w:rsidR="00DF5DBE" w:rsidRPr="009E4C67" w:rsidRDefault="00DF5DBE" w:rsidP="00171281">
      <w:pPr>
        <w:pStyle w:val="SingleTxtG"/>
        <w:ind w:firstLine="567"/>
        <w:rPr>
          <w:lang w:val="fr-FR"/>
        </w:rPr>
      </w:pPr>
      <w:r w:rsidRPr="009E4C67">
        <w:rPr>
          <w:lang w:val="fr-FR"/>
        </w:rPr>
        <w:tab/>
        <w:t>Le GRE souhaitera peut-être examiner d</w:t>
      </w:r>
      <w:r>
        <w:rPr>
          <w:lang w:val="fr-FR"/>
        </w:rPr>
        <w:t>’</w:t>
      </w:r>
      <w:r w:rsidRPr="009E4C67">
        <w:rPr>
          <w:lang w:val="fr-FR"/>
        </w:rPr>
        <w:t>autres questions, ou des documents reçus après la soumission de l</w:t>
      </w:r>
      <w:r>
        <w:rPr>
          <w:lang w:val="fr-FR"/>
        </w:rPr>
        <w:t>’</w:t>
      </w:r>
      <w:r w:rsidRPr="009E4C67">
        <w:rPr>
          <w:lang w:val="fr-FR"/>
        </w:rPr>
        <w:t>ordre du jour provisoire annoté.</w:t>
      </w:r>
    </w:p>
    <w:p w14:paraId="2863AD99" w14:textId="0B197EE8" w:rsidR="00DF5DBE" w:rsidRPr="009E4C67" w:rsidRDefault="00DF5DBE" w:rsidP="00DF5DBE">
      <w:pPr>
        <w:pStyle w:val="H1G"/>
        <w:rPr>
          <w:lang w:val="fr-FR"/>
        </w:rPr>
      </w:pPr>
      <w:r>
        <w:rPr>
          <w:lang w:val="fr-FR"/>
        </w:rPr>
        <w:tab/>
      </w:r>
      <w:r w:rsidRPr="009E4C67">
        <w:rPr>
          <w:lang w:val="fr-FR"/>
        </w:rPr>
        <w:t>13.</w:t>
      </w:r>
      <w:r w:rsidRPr="009E4C67">
        <w:rPr>
          <w:lang w:val="fr-FR"/>
        </w:rPr>
        <w:tab/>
        <w:t>Orientation des travaux futurs du Groupe de travail de l</w:t>
      </w:r>
      <w:r>
        <w:rPr>
          <w:lang w:val="fr-FR"/>
        </w:rPr>
        <w:t>’</w:t>
      </w:r>
      <w:r w:rsidRPr="009E4C67">
        <w:rPr>
          <w:lang w:val="fr-FR"/>
        </w:rPr>
        <w:t xml:space="preserve">éclairage </w:t>
      </w:r>
      <w:r w:rsidR="00171281">
        <w:rPr>
          <w:lang w:val="fr-FR"/>
        </w:rPr>
        <w:br/>
      </w:r>
      <w:r w:rsidRPr="009E4C67">
        <w:rPr>
          <w:lang w:val="fr-FR"/>
        </w:rPr>
        <w:t>et de la signalisation lumineuse</w:t>
      </w:r>
    </w:p>
    <w:p w14:paraId="13079A0E" w14:textId="69C869B7" w:rsidR="00DF5DBE" w:rsidRPr="009E4C67" w:rsidRDefault="00DF5DBE" w:rsidP="00DF5DBE">
      <w:pPr>
        <w:pStyle w:val="SingleTxtG"/>
        <w:ind w:firstLine="567"/>
        <w:rPr>
          <w:bCs/>
          <w:lang w:val="fr-FR"/>
        </w:rPr>
      </w:pPr>
      <w:r w:rsidRPr="009E4C67">
        <w:rPr>
          <w:lang w:val="fr-FR"/>
        </w:rPr>
        <w:t>Le GRE sera informé des activités de l</w:t>
      </w:r>
      <w:r>
        <w:rPr>
          <w:lang w:val="fr-FR"/>
        </w:rPr>
        <w:t>’</w:t>
      </w:r>
      <w:r w:rsidRPr="009E4C67">
        <w:rPr>
          <w:lang w:val="fr-FR"/>
        </w:rPr>
        <w:t xml:space="preserve">équipe spéciale des prescriptions de signalisation pour les véhicules automatisés/autonomes (équipe AVSR) et examinera la </w:t>
      </w:r>
      <w:r w:rsidRPr="009E4C67">
        <w:rPr>
          <w:lang w:val="fr-FR"/>
        </w:rPr>
        <w:lastRenderedPageBreak/>
        <w:t>version actualisée des propositions d</w:t>
      </w:r>
      <w:r>
        <w:rPr>
          <w:lang w:val="fr-FR"/>
        </w:rPr>
        <w:t>’</w:t>
      </w:r>
      <w:r w:rsidRPr="009E4C67">
        <w:rPr>
          <w:lang w:val="fr-FR"/>
        </w:rPr>
        <w:t xml:space="preserve">amendements au Règlement ONU </w:t>
      </w:r>
      <w:r w:rsidR="00171281" w:rsidRPr="00171281">
        <w:rPr>
          <w:rFonts w:eastAsia="MS Mincho"/>
          <w:lang w:val="fr-FR"/>
        </w:rPr>
        <w:t>n</w:t>
      </w:r>
      <w:r w:rsidR="00171281" w:rsidRPr="00171281">
        <w:rPr>
          <w:rFonts w:eastAsia="MS Mincho"/>
          <w:vertAlign w:val="superscript"/>
          <w:lang w:val="fr-FR"/>
        </w:rPr>
        <w:t>o</w:t>
      </w:r>
      <w:r w:rsidR="00171281">
        <w:rPr>
          <w:lang w:val="fr-FR"/>
        </w:rPr>
        <w:t> </w:t>
      </w:r>
      <w:r w:rsidRPr="009E4C67">
        <w:rPr>
          <w:lang w:val="fr-FR"/>
        </w:rPr>
        <w:t>48 élaborées par l</w:t>
      </w:r>
      <w:r>
        <w:rPr>
          <w:lang w:val="fr-FR"/>
        </w:rPr>
        <w:t>’</w:t>
      </w:r>
      <w:r w:rsidRPr="009E4C67">
        <w:rPr>
          <w:lang w:val="fr-FR"/>
        </w:rPr>
        <w:t>équipe pour prendre en compte les systèmes de conduite automatisée (ADS).</w:t>
      </w:r>
    </w:p>
    <w:p w14:paraId="25ADCBE7" w14:textId="6B3AA969" w:rsidR="00DF5DBE" w:rsidRPr="009E4C67" w:rsidRDefault="00DF5DBE" w:rsidP="00171281">
      <w:pPr>
        <w:pStyle w:val="SingleTxtG"/>
        <w:tabs>
          <w:tab w:val="left" w:pos="2552"/>
        </w:tabs>
        <w:jc w:val="left"/>
        <w:rPr>
          <w:lang w:val="fr-FR"/>
        </w:rPr>
      </w:pPr>
      <w:r w:rsidRPr="009E4C67">
        <w:rPr>
          <w:b/>
          <w:bCs/>
          <w:lang w:val="fr-FR"/>
        </w:rPr>
        <w:t>Document(s)</w:t>
      </w:r>
      <w:r>
        <w:rPr>
          <w:b/>
          <w:bCs/>
          <w:lang w:val="fr-FR"/>
        </w:rPr>
        <w:t> </w:t>
      </w:r>
      <w:r w:rsidRPr="00171281">
        <w:rPr>
          <w:lang w:val="fr-FR"/>
        </w:rPr>
        <w:t>:</w:t>
      </w:r>
      <w:r w:rsidRPr="009E4C67">
        <w:rPr>
          <w:lang w:val="fr-FR"/>
        </w:rPr>
        <w:tab/>
        <w:t>ECE/TRANS/WP.29/GRE/2023/9/Rev.3</w:t>
      </w:r>
    </w:p>
    <w:p w14:paraId="177414F8" w14:textId="77777777" w:rsidR="00DF5DBE" w:rsidRDefault="00DF5DBE" w:rsidP="00171281">
      <w:pPr>
        <w:pStyle w:val="SingleTxtG"/>
        <w:ind w:firstLine="567"/>
        <w:rPr>
          <w:lang w:val="fr-FR"/>
        </w:rPr>
      </w:pPr>
      <w:r w:rsidRPr="009E4C67">
        <w:rPr>
          <w:lang w:val="fr-FR"/>
        </w:rPr>
        <w:t>Le GRE est également invité à donner des orientations sur ses priorités pour 2025, dans le cadre du programme de travail du WP.29.</w:t>
      </w:r>
    </w:p>
    <w:p w14:paraId="5B551C79" w14:textId="389CB3FF" w:rsidR="00DF5DBE" w:rsidRPr="009E4C67" w:rsidRDefault="00DF5DBE" w:rsidP="00DF5DBE">
      <w:pPr>
        <w:pStyle w:val="H1G"/>
        <w:rPr>
          <w:lang w:val="fr-FR"/>
        </w:rPr>
      </w:pPr>
      <w:r>
        <w:rPr>
          <w:lang w:val="fr-FR"/>
        </w:rPr>
        <w:tab/>
      </w:r>
      <w:r w:rsidRPr="009E4C67">
        <w:rPr>
          <w:lang w:val="fr-FR"/>
        </w:rPr>
        <w:t>14.</w:t>
      </w:r>
      <w:r w:rsidRPr="009E4C67">
        <w:rPr>
          <w:lang w:val="fr-FR"/>
        </w:rPr>
        <w:tab/>
        <w:t>Ordre du jour provisoire de la prochaine session</w:t>
      </w:r>
    </w:p>
    <w:p w14:paraId="6B323881" w14:textId="234118C2" w:rsidR="00DF5DBE" w:rsidRPr="009E4C67" w:rsidRDefault="00DF5DBE" w:rsidP="00171281">
      <w:pPr>
        <w:pStyle w:val="SingleTxtG"/>
        <w:ind w:firstLine="567"/>
        <w:rPr>
          <w:lang w:val="fr-FR"/>
        </w:rPr>
      </w:pPr>
      <w:r w:rsidRPr="009E4C67">
        <w:rPr>
          <w:lang w:val="fr-FR"/>
        </w:rPr>
        <w:tab/>
        <w:t>Le GRE souhaitera sans doute donner des indications sur l</w:t>
      </w:r>
      <w:r>
        <w:rPr>
          <w:lang w:val="fr-FR"/>
        </w:rPr>
        <w:t>’</w:t>
      </w:r>
      <w:r w:rsidRPr="009E4C67">
        <w:rPr>
          <w:lang w:val="fr-FR"/>
        </w:rPr>
        <w:t>ordre du jour provisoire de la prochaine session.</w:t>
      </w:r>
    </w:p>
    <w:p w14:paraId="00AE91F2" w14:textId="5FA5B8BA" w:rsidR="00DF5DBE" w:rsidRDefault="00DF5DBE" w:rsidP="00DF5DBE">
      <w:pPr>
        <w:pStyle w:val="H1G"/>
        <w:rPr>
          <w:lang w:val="fr-FR"/>
        </w:rPr>
      </w:pPr>
      <w:r>
        <w:rPr>
          <w:lang w:val="fr-FR"/>
        </w:rPr>
        <w:tab/>
      </w:r>
      <w:r w:rsidRPr="009E4C67">
        <w:rPr>
          <w:lang w:val="fr-FR"/>
        </w:rPr>
        <w:t>15.</w:t>
      </w:r>
      <w:r>
        <w:rPr>
          <w:lang w:val="fr-FR"/>
        </w:rPr>
        <w:tab/>
      </w:r>
      <w:r w:rsidRPr="009E4C67">
        <w:rPr>
          <w:lang w:val="fr-FR"/>
        </w:rPr>
        <w:t xml:space="preserve">Élection des personnes qui assureront la présidence </w:t>
      </w:r>
      <w:r w:rsidR="00171281">
        <w:rPr>
          <w:lang w:val="fr-FR"/>
        </w:rPr>
        <w:br/>
      </w:r>
      <w:r w:rsidRPr="009E4C67">
        <w:rPr>
          <w:lang w:val="fr-FR"/>
        </w:rPr>
        <w:t>et la vice-présidence</w:t>
      </w:r>
    </w:p>
    <w:p w14:paraId="4421A5BD" w14:textId="4075623F" w:rsidR="00DF5DBE" w:rsidRPr="009E4C67" w:rsidRDefault="00DF5DBE" w:rsidP="00171281">
      <w:pPr>
        <w:pStyle w:val="SingleTxtG"/>
        <w:ind w:firstLine="567"/>
        <w:rPr>
          <w:color w:val="000000" w:themeColor="text1"/>
          <w:lang w:val="fr-FR"/>
        </w:rPr>
      </w:pPr>
      <w:r w:rsidRPr="009E4C67">
        <w:rPr>
          <w:lang w:val="fr-FR"/>
        </w:rPr>
        <w:tab/>
        <w:t>Comme le prévoit l</w:t>
      </w:r>
      <w:r>
        <w:rPr>
          <w:lang w:val="fr-FR"/>
        </w:rPr>
        <w:t>’</w:t>
      </w:r>
      <w:r w:rsidRPr="009E4C67">
        <w:rPr>
          <w:lang w:val="fr-FR"/>
        </w:rPr>
        <w:t>article 37 du Règlement intérieur du WP.29 (ECE/TRANS/</w:t>
      </w:r>
      <w:r w:rsidR="00171281">
        <w:rPr>
          <w:lang w:val="fr-FR"/>
        </w:rPr>
        <w:t xml:space="preserve"> </w:t>
      </w:r>
      <w:r w:rsidRPr="009E4C67">
        <w:rPr>
          <w:lang w:val="fr-FR"/>
        </w:rPr>
        <w:t>WP.29/690/Rev.2), le GRE élira les personnes qui assureront la présidence et la vice</w:t>
      </w:r>
      <w:r w:rsidR="00171281">
        <w:rPr>
          <w:lang w:val="fr-FR"/>
        </w:rPr>
        <w:noBreakHyphen/>
      </w:r>
      <w:r w:rsidRPr="009E4C67">
        <w:rPr>
          <w:lang w:val="fr-FR"/>
        </w:rPr>
        <w:t>présidence des sessions prévues en 2025. Conformément au Règlement intérieur du Comité des transports intérieurs (ECE/TRANS/294, annexe III), les pays sont invités à soumettre leurs candidatures au secrétariat au plus tard le 11</w:t>
      </w:r>
      <w:r w:rsidR="00171281">
        <w:rPr>
          <w:lang w:val="fr-FR"/>
        </w:rPr>
        <w:t> </w:t>
      </w:r>
      <w:r w:rsidRPr="009E4C67">
        <w:rPr>
          <w:lang w:val="fr-FR"/>
        </w:rPr>
        <w:t>octobre 2024.</w:t>
      </w:r>
    </w:p>
    <w:p w14:paraId="39444F7E" w14:textId="6EC44BDC" w:rsidR="00F9573C" w:rsidRPr="00DF5DBE" w:rsidRDefault="00DF5DBE" w:rsidP="00DF5DBE">
      <w:pPr>
        <w:pStyle w:val="SingleTxtG"/>
        <w:spacing w:before="240" w:after="0"/>
        <w:jc w:val="center"/>
        <w:rPr>
          <w:u w:val="single"/>
        </w:rPr>
      </w:pPr>
      <w:r>
        <w:rPr>
          <w:u w:val="single"/>
        </w:rPr>
        <w:tab/>
      </w:r>
      <w:r>
        <w:rPr>
          <w:u w:val="single"/>
        </w:rPr>
        <w:tab/>
      </w:r>
      <w:r>
        <w:rPr>
          <w:u w:val="single"/>
        </w:rPr>
        <w:tab/>
      </w:r>
      <w:r>
        <w:rPr>
          <w:u w:val="single"/>
        </w:rPr>
        <w:tab/>
      </w:r>
    </w:p>
    <w:sectPr w:rsidR="00F9573C" w:rsidRPr="00DF5DBE" w:rsidSect="00DF5DB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698F" w14:textId="77777777" w:rsidR="009B7414" w:rsidRDefault="009B7414" w:rsidP="00F95C08">
      <w:pPr>
        <w:spacing w:line="240" w:lineRule="auto"/>
      </w:pPr>
    </w:p>
  </w:endnote>
  <w:endnote w:type="continuationSeparator" w:id="0">
    <w:p w14:paraId="0916A4DA" w14:textId="77777777" w:rsidR="009B7414" w:rsidRPr="00AC3823" w:rsidRDefault="009B7414" w:rsidP="00AC3823">
      <w:pPr>
        <w:pStyle w:val="Pieddepage"/>
      </w:pPr>
    </w:p>
  </w:endnote>
  <w:endnote w:type="continuationNotice" w:id="1">
    <w:p w14:paraId="6A6559B1" w14:textId="77777777" w:rsidR="009B7414" w:rsidRDefault="009B74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B0E2" w14:textId="6F01DA8E" w:rsidR="00DF5DBE" w:rsidRPr="00DF5DBE" w:rsidRDefault="00DF5DBE" w:rsidP="00DF5DBE">
    <w:pPr>
      <w:pStyle w:val="Pieddepage"/>
      <w:tabs>
        <w:tab w:val="right" w:pos="9638"/>
      </w:tabs>
    </w:pPr>
    <w:r w:rsidRPr="00DF5DBE">
      <w:rPr>
        <w:b/>
        <w:sz w:val="18"/>
      </w:rPr>
      <w:fldChar w:fldCharType="begin"/>
    </w:r>
    <w:r w:rsidRPr="00DF5DBE">
      <w:rPr>
        <w:b/>
        <w:sz w:val="18"/>
      </w:rPr>
      <w:instrText xml:space="preserve"> PAGE  \* MERGEFORMAT </w:instrText>
    </w:r>
    <w:r w:rsidRPr="00DF5DBE">
      <w:rPr>
        <w:b/>
        <w:sz w:val="18"/>
      </w:rPr>
      <w:fldChar w:fldCharType="separate"/>
    </w:r>
    <w:r w:rsidRPr="00DF5DBE">
      <w:rPr>
        <w:b/>
        <w:noProof/>
        <w:sz w:val="18"/>
      </w:rPr>
      <w:t>2</w:t>
    </w:r>
    <w:r w:rsidRPr="00DF5DBE">
      <w:rPr>
        <w:b/>
        <w:sz w:val="18"/>
      </w:rPr>
      <w:fldChar w:fldCharType="end"/>
    </w:r>
    <w:r>
      <w:rPr>
        <w:b/>
        <w:sz w:val="18"/>
      </w:rPr>
      <w:tab/>
    </w:r>
    <w:r>
      <w:t>GE.24-14185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0DCB" w14:textId="421E719D" w:rsidR="00DF5DBE" w:rsidRPr="00DF5DBE" w:rsidRDefault="00DF5DBE" w:rsidP="00DF5DBE">
    <w:pPr>
      <w:pStyle w:val="Pieddepage"/>
      <w:tabs>
        <w:tab w:val="right" w:pos="9638"/>
      </w:tabs>
      <w:rPr>
        <w:b/>
        <w:sz w:val="18"/>
      </w:rPr>
    </w:pPr>
    <w:r>
      <w:t>GE.24-14185</w:t>
    </w:r>
    <w:r>
      <w:tab/>
    </w:r>
    <w:r w:rsidRPr="00DF5DBE">
      <w:rPr>
        <w:b/>
        <w:sz w:val="18"/>
      </w:rPr>
      <w:fldChar w:fldCharType="begin"/>
    </w:r>
    <w:r w:rsidRPr="00DF5DBE">
      <w:rPr>
        <w:b/>
        <w:sz w:val="18"/>
      </w:rPr>
      <w:instrText xml:space="preserve"> PAGE  \* MERGEFORMAT </w:instrText>
    </w:r>
    <w:r w:rsidRPr="00DF5DBE">
      <w:rPr>
        <w:b/>
        <w:sz w:val="18"/>
      </w:rPr>
      <w:fldChar w:fldCharType="separate"/>
    </w:r>
    <w:r w:rsidRPr="00DF5DBE">
      <w:rPr>
        <w:b/>
        <w:noProof/>
        <w:sz w:val="18"/>
      </w:rPr>
      <w:t>3</w:t>
    </w:r>
    <w:r w:rsidRPr="00DF5DB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540F" w14:textId="120C22E7" w:rsidR="007F20FA" w:rsidRPr="00DF5DBE" w:rsidRDefault="00DF5DBE" w:rsidP="00DF5DB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A3FDEEF" wp14:editId="5CC123F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24-14185  (F)</w:t>
    </w:r>
    <w:r>
      <w:rPr>
        <w:noProof/>
        <w:sz w:val="20"/>
      </w:rPr>
      <w:drawing>
        <wp:anchor distT="0" distB="0" distL="114300" distR="114300" simplePos="0" relativeHeight="251660288" behindDoc="0" locked="0" layoutInCell="1" allowOverlap="1" wp14:anchorId="292911A0" wp14:editId="7F3E8C90">
          <wp:simplePos x="0" y="0"/>
          <wp:positionH relativeFrom="margin">
            <wp:posOffset>5489575</wp:posOffset>
          </wp:positionH>
          <wp:positionV relativeFrom="margin">
            <wp:posOffset>8891905</wp:posOffset>
          </wp:positionV>
          <wp:extent cx="628650" cy="628650"/>
          <wp:effectExtent l="0" t="0" r="0" b="0"/>
          <wp:wrapNone/>
          <wp:docPr id="20125281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120824    130824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B3D2" w14:textId="77777777" w:rsidR="009B7414" w:rsidRPr="00AC3823" w:rsidRDefault="009B7414" w:rsidP="00AC3823">
      <w:pPr>
        <w:pStyle w:val="Pieddepage"/>
        <w:tabs>
          <w:tab w:val="right" w:pos="2155"/>
        </w:tabs>
        <w:spacing w:after="80" w:line="240" w:lineRule="atLeast"/>
        <w:ind w:left="680"/>
        <w:rPr>
          <w:u w:val="single"/>
        </w:rPr>
      </w:pPr>
      <w:r>
        <w:rPr>
          <w:u w:val="single"/>
        </w:rPr>
        <w:tab/>
      </w:r>
    </w:p>
  </w:footnote>
  <w:footnote w:type="continuationSeparator" w:id="0">
    <w:p w14:paraId="37DF04E4" w14:textId="77777777" w:rsidR="009B7414" w:rsidRPr="00AC3823" w:rsidRDefault="009B7414" w:rsidP="00AC3823">
      <w:pPr>
        <w:pStyle w:val="Pieddepage"/>
        <w:tabs>
          <w:tab w:val="right" w:pos="2155"/>
        </w:tabs>
        <w:spacing w:after="80" w:line="240" w:lineRule="atLeast"/>
        <w:ind w:left="680"/>
        <w:rPr>
          <w:u w:val="single"/>
        </w:rPr>
      </w:pPr>
      <w:r>
        <w:rPr>
          <w:u w:val="single"/>
        </w:rPr>
        <w:tab/>
      </w:r>
    </w:p>
  </w:footnote>
  <w:footnote w:type="continuationNotice" w:id="1">
    <w:p w14:paraId="744E9BE5" w14:textId="77777777" w:rsidR="009B7414" w:rsidRPr="00AC3823" w:rsidRDefault="009B7414">
      <w:pPr>
        <w:spacing w:line="240" w:lineRule="auto"/>
        <w:rPr>
          <w:sz w:val="2"/>
          <w:szCs w:val="2"/>
        </w:rPr>
      </w:pPr>
    </w:p>
  </w:footnote>
  <w:footnote w:id="2">
    <w:p w14:paraId="59E01FAC" w14:textId="0526B9E9" w:rsidR="00DF5DBE" w:rsidRPr="009E4C67" w:rsidRDefault="00DF5DBE" w:rsidP="00DF5DBE">
      <w:pPr>
        <w:pStyle w:val="Notedebasdepage"/>
        <w:rPr>
          <w:lang w:val="fr-FR"/>
        </w:rPr>
      </w:pPr>
      <w:r>
        <w:rPr>
          <w:lang w:val="fr-FR"/>
        </w:rPr>
        <w:tab/>
      </w:r>
      <w:r w:rsidRPr="00DF5DBE">
        <w:rPr>
          <w:sz w:val="20"/>
          <w:lang w:val="fr-FR"/>
        </w:rPr>
        <w:t>*</w:t>
      </w:r>
      <w:r>
        <w:rPr>
          <w:lang w:val="fr-FR"/>
        </w:rPr>
        <w:tab/>
        <w:t>Pour des raisons d’économie, les représentantes et représentants sont priés de se rendre à la session munis de leurs exemplaires de tous les documents pertinents. Aucun document ne sera distribué en salle de réunion. Avant la session, les documents peuvent être téléchargés à partir du site Web de la Division des transports durables de la CEE (</w:t>
      </w:r>
      <w:hyperlink r:id="rId1" w:history="1">
        <w:r w:rsidRPr="00CA7CB3">
          <w:rPr>
            <w:rStyle w:val="Lienhypertexte"/>
            <w:lang w:val="fr-FR"/>
          </w:rPr>
          <w:t>https://unece.org/info/events/event/387737</w:t>
        </w:r>
      </w:hyperlink>
      <w:r>
        <w:rPr>
          <w:lang w:val="fr-FR"/>
        </w:rPr>
        <w:t>). Durant la session, les documents officiels peuvent être obtenus auprès de la Section de la distribution des documents de l’ONUG (bureau C.337 au 3</w:t>
      </w:r>
      <w:r w:rsidRPr="00DF5DBE">
        <w:rPr>
          <w:vertAlign w:val="superscript"/>
          <w:lang w:val="fr-FR"/>
        </w:rPr>
        <w:t>e</w:t>
      </w:r>
      <w:r>
        <w:rPr>
          <w:lang w:val="fr-FR"/>
        </w:rPr>
        <w:t> étage du Palais des Nations). Les versions traduites de ces documents sont disponibles en accès public sur le Système de diffusion électronique des documents (SEDOC) (</w:t>
      </w:r>
      <w:hyperlink r:id="rId2" w:history="1">
        <w:r w:rsidRPr="00CA7CB3">
          <w:rPr>
            <w:rStyle w:val="Lienhypertexte"/>
            <w:lang w:val="fr-FR"/>
          </w:rPr>
          <w:t>http://documents.un.org/</w:t>
        </w:r>
      </w:hyperlink>
      <w:r>
        <w:rPr>
          <w:lang w:val="fr-FR"/>
        </w:rPr>
        <w:t>).</w:t>
      </w:r>
    </w:p>
  </w:footnote>
  <w:footnote w:id="3">
    <w:p w14:paraId="062BF0E4" w14:textId="1D4FD218" w:rsidR="00DF5DBE" w:rsidRPr="009E4C67" w:rsidRDefault="00DF5DBE" w:rsidP="00DF5DBE">
      <w:pPr>
        <w:pStyle w:val="Notedebasdepage"/>
        <w:rPr>
          <w:lang w:val="fr-FR"/>
        </w:rPr>
      </w:pPr>
      <w:r>
        <w:rPr>
          <w:lang w:val="fr-FR"/>
        </w:rPr>
        <w:tab/>
      </w:r>
      <w:r w:rsidRPr="00DF5DBE">
        <w:rPr>
          <w:sz w:val="20"/>
          <w:lang w:val="fr-FR"/>
        </w:rPr>
        <w:t>**</w:t>
      </w:r>
      <w:r>
        <w:rPr>
          <w:lang w:val="fr-FR"/>
        </w:rPr>
        <w:tab/>
        <w:t>Les représentantes et représentants sont priés de s’inscrire en ligne sur le site Web de la CEE (</w:t>
      </w:r>
      <w:hyperlink r:id="rId3" w:history="1">
        <w:r w:rsidRPr="00CA7CB3">
          <w:rPr>
            <w:rStyle w:val="Lienhypertexte"/>
            <w:lang w:val="fr-FR"/>
          </w:rPr>
          <w:t>https://indico.un.org/event/1007266/</w:t>
        </w:r>
      </w:hyperlink>
      <w:r>
        <w:rPr>
          <w:lang w:val="fr-FR"/>
        </w:rPr>
        <w:t xml:space="preserve">). À leur arrivée au Palais des Nations, ils doivent retirer un badge à la Section de la sécurité et de la sûreté. En cas de difficulté, ils sont invités à contacter le secrétariat par téléphone (poste 74323). Un plan du Palais des Nations et d’autres renseignements utiles sont disponibles à l’adresse </w:t>
      </w:r>
      <w:hyperlink r:id="rId4" w:history="1">
        <w:r w:rsidRPr="00CA7CB3">
          <w:rPr>
            <w:rStyle w:val="Lienhypertexte"/>
            <w:lang w:val="fr-FR"/>
          </w:rPr>
          <w:t>www.unece.org/meetings/practical.html</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C142" w14:textId="6F234E55" w:rsidR="00DF5DBE" w:rsidRPr="00DF5DBE" w:rsidRDefault="00723D4D">
    <w:pPr>
      <w:pStyle w:val="En-tte"/>
    </w:pPr>
    <w:r>
      <w:fldChar w:fldCharType="begin"/>
    </w:r>
    <w:r>
      <w:instrText xml:space="preserve"> TITLE  \* MERGEFORMAT </w:instrText>
    </w:r>
    <w:r>
      <w:fldChar w:fldCharType="separate"/>
    </w:r>
    <w:r w:rsidR="00DF5DBE">
      <w:t>ECE/TRANS/WP.29/GRE/2024/11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B12B" w14:textId="56DB4AF1" w:rsidR="00DF5DBE" w:rsidRPr="00DF5DBE" w:rsidRDefault="00723D4D" w:rsidP="00DF5DBE">
    <w:pPr>
      <w:pStyle w:val="En-tte"/>
      <w:jc w:val="right"/>
    </w:pPr>
    <w:r>
      <w:fldChar w:fldCharType="begin"/>
    </w:r>
    <w:r>
      <w:instrText xml:space="preserve"> TITLE  \* MERGEFORMAT </w:instrText>
    </w:r>
    <w:r>
      <w:fldChar w:fldCharType="separate"/>
    </w:r>
    <w:r w:rsidR="00DF5DBE">
      <w:t>ECE/TRANS/WP.29/GRE/2024/11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30A22B3"/>
    <w:multiLevelType w:val="hybridMultilevel"/>
    <w:tmpl w:val="CA1E8B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317854654">
    <w:abstractNumId w:val="13"/>
  </w:num>
  <w:num w:numId="2" w16cid:durableId="1080521378">
    <w:abstractNumId w:val="11"/>
  </w:num>
  <w:num w:numId="3" w16cid:durableId="755829424">
    <w:abstractNumId w:val="10"/>
  </w:num>
  <w:num w:numId="4" w16cid:durableId="719406417">
    <w:abstractNumId w:val="8"/>
  </w:num>
  <w:num w:numId="5" w16cid:durableId="1592158927">
    <w:abstractNumId w:val="3"/>
  </w:num>
  <w:num w:numId="6" w16cid:durableId="477234055">
    <w:abstractNumId w:val="2"/>
  </w:num>
  <w:num w:numId="7" w16cid:durableId="2071033677">
    <w:abstractNumId w:val="1"/>
  </w:num>
  <w:num w:numId="8" w16cid:durableId="276184414">
    <w:abstractNumId w:val="0"/>
  </w:num>
  <w:num w:numId="9" w16cid:durableId="149563342">
    <w:abstractNumId w:val="9"/>
  </w:num>
  <w:num w:numId="10" w16cid:durableId="1419522647">
    <w:abstractNumId w:val="7"/>
  </w:num>
  <w:num w:numId="11" w16cid:durableId="674310354">
    <w:abstractNumId w:val="6"/>
  </w:num>
  <w:num w:numId="12" w16cid:durableId="1296914521">
    <w:abstractNumId w:val="5"/>
  </w:num>
  <w:num w:numId="13" w16cid:durableId="1828521498">
    <w:abstractNumId w:val="4"/>
  </w:num>
  <w:num w:numId="14" w16cid:durableId="1700397590">
    <w:abstractNumId w:val="13"/>
  </w:num>
  <w:num w:numId="15" w16cid:durableId="1580820641">
    <w:abstractNumId w:val="11"/>
  </w:num>
  <w:num w:numId="16" w16cid:durableId="1479569310">
    <w:abstractNumId w:val="10"/>
  </w:num>
  <w:num w:numId="17" w16cid:durableId="1143305935">
    <w:abstractNumId w:val="12"/>
  </w:num>
  <w:num w:numId="18" w16cid:durableId="917248752">
    <w:abstractNumId w:val="13"/>
  </w:num>
  <w:num w:numId="19" w16cid:durableId="656812321">
    <w:abstractNumId w:val="13"/>
  </w:num>
  <w:num w:numId="20" w16cid:durableId="1242526634">
    <w:abstractNumId w:val="13"/>
  </w:num>
  <w:num w:numId="21" w16cid:durableId="1927380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14"/>
    <w:rsid w:val="00017F94"/>
    <w:rsid w:val="00023842"/>
    <w:rsid w:val="000334F9"/>
    <w:rsid w:val="00045FEB"/>
    <w:rsid w:val="0007796D"/>
    <w:rsid w:val="000B7790"/>
    <w:rsid w:val="00111F2F"/>
    <w:rsid w:val="0014365E"/>
    <w:rsid w:val="00143C66"/>
    <w:rsid w:val="00171281"/>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23C4"/>
    <w:rsid w:val="00477EB2"/>
    <w:rsid w:val="004837D8"/>
    <w:rsid w:val="004E2EED"/>
    <w:rsid w:val="004E468C"/>
    <w:rsid w:val="005505B7"/>
    <w:rsid w:val="00573BE5"/>
    <w:rsid w:val="00586ED3"/>
    <w:rsid w:val="00596AA9"/>
    <w:rsid w:val="005E00F3"/>
    <w:rsid w:val="0071601D"/>
    <w:rsid w:val="00723D4D"/>
    <w:rsid w:val="007A62E6"/>
    <w:rsid w:val="007F20FA"/>
    <w:rsid w:val="0080684C"/>
    <w:rsid w:val="00871C75"/>
    <w:rsid w:val="008776DC"/>
    <w:rsid w:val="008D5EF9"/>
    <w:rsid w:val="009446C0"/>
    <w:rsid w:val="009705C8"/>
    <w:rsid w:val="009B7414"/>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22EDD"/>
    <w:rsid w:val="00C75BFE"/>
    <w:rsid w:val="00C97039"/>
    <w:rsid w:val="00CF0C70"/>
    <w:rsid w:val="00D3439C"/>
    <w:rsid w:val="00D7622E"/>
    <w:rsid w:val="00DB1831"/>
    <w:rsid w:val="00DD3BFD"/>
    <w:rsid w:val="00DF5DBE"/>
    <w:rsid w:val="00DF6678"/>
    <w:rsid w:val="00E0299A"/>
    <w:rsid w:val="00E85C74"/>
    <w:rsid w:val="00EA6547"/>
    <w:rsid w:val="00ED7237"/>
    <w:rsid w:val="00EF2E22"/>
    <w:rsid w:val="00F20D56"/>
    <w:rsid w:val="00F35BAF"/>
    <w:rsid w:val="00F5700E"/>
    <w:rsid w:val="00F644C1"/>
    <w:rsid w:val="00F660DF"/>
    <w:rsid w:val="00F94664"/>
    <w:rsid w:val="00F9573C"/>
    <w:rsid w:val="00F95C08"/>
    <w:rsid w:val="00F95DB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9436"/>
  <w15:docId w15:val="{51ADE239-CC98-458F-9DC0-3F7F1F5D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DF5DBE"/>
    <w:rPr>
      <w:rFonts w:ascii="Times New Roman" w:eastAsiaTheme="minorHAnsi" w:hAnsi="Times New Roman" w:cs="Times New Roman"/>
      <w:sz w:val="20"/>
      <w:szCs w:val="20"/>
      <w:lang w:eastAsia="en-US"/>
    </w:rPr>
  </w:style>
  <w:style w:type="character" w:customStyle="1" w:styleId="H1GChar">
    <w:name w:val="_ H_1_G Char"/>
    <w:link w:val="H1G"/>
    <w:rsid w:val="00DF5DBE"/>
    <w:rPr>
      <w:rFonts w:ascii="Times New Roman" w:eastAsiaTheme="minorHAnsi" w:hAnsi="Times New Roman" w:cs="Times New Roman"/>
      <w:b/>
      <w:sz w:val="24"/>
      <w:szCs w:val="20"/>
      <w:lang w:eastAsia="en-US"/>
    </w:rPr>
  </w:style>
  <w:style w:type="character" w:customStyle="1" w:styleId="HChGChar">
    <w:name w:val="_ H _Ch_G Char"/>
    <w:link w:val="HChG"/>
    <w:rsid w:val="00DF5DBE"/>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DF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1007266/" TargetMode="External"/><Relationship Id="rId2" Type="http://schemas.openxmlformats.org/officeDocument/2006/relationships/hyperlink" Target="http://documents.un.org/" TargetMode="External"/><Relationship Id="rId1" Type="http://schemas.openxmlformats.org/officeDocument/2006/relationships/hyperlink" Target="https://unece.org/info/events/event/387737" TargetMode="External"/><Relationship Id="rId4" Type="http://schemas.openxmlformats.org/officeDocument/2006/relationships/hyperlink" Target="http://www.unece.org/meetings/practic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99F8F-72D5-4EBD-B052-BC3DA0C3DA63}"/>
</file>

<file path=customXml/itemProps2.xml><?xml version="1.0" encoding="utf-8"?>
<ds:datastoreItem xmlns:ds="http://schemas.openxmlformats.org/officeDocument/2006/customXml" ds:itemID="{A095880F-B023-4AED-8423-2BF96BC7F590}"/>
</file>

<file path=docProps/app.xml><?xml version="1.0" encoding="utf-8"?>
<Properties xmlns="http://schemas.openxmlformats.org/officeDocument/2006/extended-properties" xmlns:vt="http://schemas.openxmlformats.org/officeDocument/2006/docPropsVTypes">
  <Template>ECE_TRANS.dotm</Template>
  <TotalTime>0</TotalTime>
  <Pages>6</Pages>
  <Words>1798</Words>
  <Characters>9890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ECE/TRANS/WP.29/GRE/2024/11</dc:title>
  <dc:subject/>
  <dc:creator>Nicolas MORIN</dc:creator>
  <cp:keywords/>
  <cp:lastModifiedBy>Nicolas MORIN</cp:lastModifiedBy>
  <cp:revision>2</cp:revision>
  <cp:lastPrinted>2014-05-14T10:59:00Z</cp:lastPrinted>
  <dcterms:created xsi:type="dcterms:W3CDTF">2024-08-13T09:07:00Z</dcterms:created>
  <dcterms:modified xsi:type="dcterms:W3CDTF">2024-08-13T09:07:00Z</dcterms:modified>
</cp:coreProperties>
</file>