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4AC8A99E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0183A5E2" w14:textId="77777777" w:rsidR="00F35BAF" w:rsidRPr="00DB58B5" w:rsidRDefault="00F35BAF" w:rsidP="00381B76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27F716B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E2EF70E" w14:textId="60EE61B3" w:rsidR="00F35BAF" w:rsidRPr="00DB58B5" w:rsidRDefault="00381B76" w:rsidP="00381B76">
            <w:pPr>
              <w:jc w:val="right"/>
            </w:pPr>
            <w:r w:rsidRPr="00381B76">
              <w:rPr>
                <w:sz w:val="40"/>
              </w:rPr>
              <w:t>ECE</w:t>
            </w:r>
            <w:r>
              <w:t>/TRANS/WP</w:t>
            </w:r>
            <w:r w:rsidR="0061424E" w:rsidRPr="0061424E">
              <w:t>.</w:t>
            </w:r>
            <w:r w:rsidRPr="0061424E">
              <w:t>29</w:t>
            </w:r>
            <w:r>
              <w:t>/GRSP/</w:t>
            </w:r>
            <w:r w:rsidRPr="0061424E">
              <w:t>2024</w:t>
            </w:r>
            <w:r>
              <w:t>/</w:t>
            </w:r>
            <w:r w:rsidRPr="0061424E">
              <w:t>25</w:t>
            </w:r>
          </w:p>
        </w:tc>
      </w:tr>
      <w:tr w:rsidR="00F35BAF" w:rsidRPr="00DB58B5" w14:paraId="197E205F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F1FE62C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14FFAAA4" wp14:editId="2F42193D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CDDC4E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33CDE6F" w14:textId="555C6A82" w:rsidR="00F35BAF" w:rsidRDefault="00381B76" w:rsidP="00C97039">
            <w:pPr>
              <w:spacing w:before="240"/>
            </w:pPr>
            <w:r>
              <w:t>Distr</w:t>
            </w:r>
            <w:r w:rsidR="0061424E" w:rsidRPr="0061424E">
              <w:t>.</w:t>
            </w:r>
            <w:r>
              <w:t xml:space="preserve"> générale</w:t>
            </w:r>
          </w:p>
          <w:p w14:paraId="77BC9635" w14:textId="77777777" w:rsidR="00381B76" w:rsidRDefault="00381B76" w:rsidP="00381B76">
            <w:pPr>
              <w:spacing w:line="240" w:lineRule="exact"/>
            </w:pPr>
            <w:r w:rsidRPr="0061424E">
              <w:t>17</w:t>
            </w:r>
            <w:r>
              <w:t xml:space="preserve"> septembre </w:t>
            </w:r>
            <w:r w:rsidRPr="0061424E">
              <w:t>2024</w:t>
            </w:r>
          </w:p>
          <w:p w14:paraId="56B5395B" w14:textId="77777777" w:rsidR="00381B76" w:rsidRDefault="00381B76" w:rsidP="00381B76">
            <w:pPr>
              <w:spacing w:line="240" w:lineRule="exact"/>
            </w:pPr>
            <w:r>
              <w:t>Français</w:t>
            </w:r>
          </w:p>
          <w:p w14:paraId="558990A0" w14:textId="147CFACF" w:rsidR="00381B76" w:rsidRPr="00DB58B5" w:rsidRDefault="00381B76" w:rsidP="00381B76">
            <w:pPr>
              <w:spacing w:line="240" w:lineRule="exact"/>
            </w:pPr>
            <w:r>
              <w:t>Original</w:t>
            </w:r>
            <w:r w:rsidR="00CA43B1">
              <w:t> :</w:t>
            </w:r>
            <w:r>
              <w:t xml:space="preserve"> anglais</w:t>
            </w:r>
          </w:p>
        </w:tc>
      </w:tr>
    </w:tbl>
    <w:p w14:paraId="16AC929D" w14:textId="368CD28B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CA43B1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75814A0D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169C7CCB" w14:textId="7148DB74" w:rsidR="00381B76" w:rsidRPr="00DC4744" w:rsidRDefault="00381B76" w:rsidP="004003BA">
      <w:pPr>
        <w:spacing w:before="120" w:after="120"/>
        <w:ind w:right="4109"/>
        <w:rPr>
          <w:rFonts w:asciiTheme="majorBidi" w:hAnsiTheme="majorBidi" w:cstheme="majorBidi"/>
          <w:b/>
          <w:sz w:val="24"/>
          <w:szCs w:val="24"/>
        </w:rPr>
      </w:pPr>
      <w:r w:rsidRPr="0019402B">
        <w:rPr>
          <w:b/>
          <w:bCs/>
          <w:sz w:val="24"/>
          <w:szCs w:val="24"/>
          <w:lang w:val="fr-FR"/>
        </w:rPr>
        <w:t>Forum mondial de l</w:t>
      </w:r>
      <w:r w:rsidR="00CA43B1">
        <w:rPr>
          <w:b/>
          <w:bCs/>
          <w:sz w:val="24"/>
          <w:szCs w:val="24"/>
          <w:lang w:val="fr-FR"/>
        </w:rPr>
        <w:t>’</w:t>
      </w:r>
      <w:r w:rsidRPr="0019402B">
        <w:rPr>
          <w:b/>
          <w:bCs/>
          <w:sz w:val="24"/>
          <w:szCs w:val="24"/>
          <w:lang w:val="fr-FR"/>
        </w:rPr>
        <w:t>harmonisation des Règlements concernant les véhicules</w:t>
      </w:r>
    </w:p>
    <w:p w14:paraId="0C6C2AA0" w14:textId="77777777" w:rsidR="00381B76" w:rsidRPr="00DC4744" w:rsidRDefault="00381B76" w:rsidP="00CB5C7B">
      <w:pPr>
        <w:spacing w:after="120"/>
        <w:rPr>
          <w:rFonts w:asciiTheme="majorBidi" w:hAnsiTheme="majorBidi" w:cstheme="majorBidi"/>
          <w:b/>
          <w:bCs/>
        </w:rPr>
      </w:pPr>
      <w:r w:rsidRPr="0019402B">
        <w:rPr>
          <w:b/>
          <w:bCs/>
          <w:lang w:val="fr-FR"/>
        </w:rPr>
        <w:t>Groupe de travail de la sécurité passive</w:t>
      </w:r>
    </w:p>
    <w:p w14:paraId="2CABFC6A" w14:textId="77777777" w:rsidR="00381B76" w:rsidRPr="00DC4744" w:rsidRDefault="00381B76" w:rsidP="00381B76">
      <w:pPr>
        <w:rPr>
          <w:rFonts w:asciiTheme="majorBidi" w:hAnsiTheme="majorBidi" w:cstheme="majorBidi"/>
          <w:b/>
        </w:rPr>
      </w:pPr>
      <w:r>
        <w:rPr>
          <w:b/>
          <w:bCs/>
          <w:lang w:val="fr-FR"/>
        </w:rPr>
        <w:t>Soixante-seizième session</w:t>
      </w:r>
    </w:p>
    <w:p w14:paraId="5CFF4280" w14:textId="77777777" w:rsidR="00381B76" w:rsidRPr="00DC4744" w:rsidRDefault="00381B76" w:rsidP="00381B76">
      <w:pPr>
        <w:rPr>
          <w:rFonts w:asciiTheme="majorBidi" w:hAnsiTheme="majorBidi" w:cstheme="majorBidi"/>
        </w:rPr>
      </w:pPr>
      <w:r>
        <w:rPr>
          <w:lang w:val="fr-FR"/>
        </w:rPr>
        <w:t xml:space="preserve">Genève, </w:t>
      </w:r>
      <w:r w:rsidRPr="0061424E">
        <w:rPr>
          <w:lang w:val="fr-FR"/>
        </w:rPr>
        <w:t>2</w:t>
      </w:r>
      <w:r>
        <w:rPr>
          <w:lang w:val="fr-FR"/>
        </w:rPr>
        <w:t>-</w:t>
      </w:r>
      <w:r w:rsidRPr="0061424E">
        <w:rPr>
          <w:lang w:val="fr-FR"/>
        </w:rPr>
        <w:t>6</w:t>
      </w:r>
      <w:r>
        <w:rPr>
          <w:lang w:val="fr-FR"/>
        </w:rPr>
        <w:t xml:space="preserve"> décembre </w:t>
      </w:r>
      <w:r w:rsidRPr="0061424E">
        <w:rPr>
          <w:lang w:val="fr-FR"/>
        </w:rPr>
        <w:t>2024</w:t>
      </w:r>
    </w:p>
    <w:p w14:paraId="47A71A17" w14:textId="159E90A8" w:rsidR="00381B76" w:rsidRPr="00DC4744" w:rsidRDefault="00381B76" w:rsidP="00381B76">
      <w:pPr>
        <w:rPr>
          <w:rFonts w:asciiTheme="majorBidi" w:hAnsiTheme="majorBidi" w:cstheme="majorBidi"/>
        </w:rPr>
      </w:pPr>
      <w:r>
        <w:rPr>
          <w:lang w:val="fr-FR"/>
        </w:rPr>
        <w:t xml:space="preserve">Point </w:t>
      </w:r>
      <w:r w:rsidRPr="0061424E">
        <w:rPr>
          <w:lang w:val="fr-FR"/>
        </w:rPr>
        <w:t>2</w:t>
      </w:r>
      <w:r>
        <w:rPr>
          <w:lang w:val="fr-FR"/>
        </w:rPr>
        <w:t xml:space="preserve"> de l</w:t>
      </w:r>
      <w:r w:rsidR="00CA43B1">
        <w:rPr>
          <w:lang w:val="fr-FR"/>
        </w:rPr>
        <w:t>’</w:t>
      </w:r>
      <w:r>
        <w:rPr>
          <w:lang w:val="fr-FR"/>
        </w:rPr>
        <w:t>ordre du jour provisoire</w:t>
      </w:r>
    </w:p>
    <w:p w14:paraId="70A0CC47" w14:textId="3BDF2683" w:rsidR="00381B76" w:rsidRPr="00DC4744" w:rsidRDefault="00381B76" w:rsidP="00CB5C7B">
      <w:pPr>
        <w:ind w:right="5527"/>
        <w:rPr>
          <w:bCs/>
        </w:rPr>
      </w:pPr>
      <w:r>
        <w:rPr>
          <w:b/>
          <w:bCs/>
          <w:lang w:val="fr-FR"/>
        </w:rPr>
        <w:lastRenderedPageBreak/>
        <w:t xml:space="preserve">Règlement technique mondial ONU </w:t>
      </w:r>
      <w:r w:rsidR="00CA43B1">
        <w:rPr>
          <w:b/>
          <w:bCs/>
          <w:lang w:val="fr-FR"/>
        </w:rPr>
        <w:t>n</w:t>
      </w:r>
      <w:r w:rsidR="00CA43B1" w:rsidRPr="00CA43B1">
        <w:rPr>
          <w:b/>
          <w:bCs/>
          <w:vertAlign w:val="superscript"/>
          <w:lang w:val="fr-FR"/>
        </w:rPr>
        <w:t>o</w:t>
      </w:r>
      <w:r>
        <w:rPr>
          <w:b/>
          <w:bCs/>
          <w:lang w:val="fr-FR"/>
        </w:rPr>
        <w:t> </w:t>
      </w:r>
      <w:r w:rsidRPr="0061424E">
        <w:rPr>
          <w:b/>
          <w:bCs/>
          <w:lang w:val="fr-FR"/>
        </w:rPr>
        <w:t>13</w:t>
      </w:r>
      <w:r>
        <w:rPr>
          <w:b/>
          <w:bCs/>
          <w:lang w:val="fr-FR"/>
        </w:rPr>
        <w:t xml:space="preserve"> (Véhicules à hydrogène et à pile à combustible)</w:t>
      </w:r>
    </w:p>
    <w:p w14:paraId="63C9BD85" w14:textId="61160DA9" w:rsidR="00381B76" w:rsidRPr="00DC4744" w:rsidRDefault="00381B76" w:rsidP="00CB5C7B">
      <w:pPr>
        <w:pStyle w:val="HChG"/>
      </w:pPr>
      <w:r>
        <w:rPr>
          <w:lang w:val="fr-FR"/>
        </w:rPr>
        <w:tab/>
      </w:r>
      <w:r>
        <w:rPr>
          <w:lang w:val="fr-FR"/>
        </w:rPr>
        <w:tab/>
        <w:t>Proposition d</w:t>
      </w:r>
      <w:r w:rsidR="00CA43B1">
        <w:rPr>
          <w:lang w:val="fr-FR"/>
        </w:rPr>
        <w:t>’</w:t>
      </w:r>
      <w:r>
        <w:rPr>
          <w:lang w:val="fr-FR"/>
        </w:rPr>
        <w:t xml:space="preserve">amendement au Règlement technique mondial ONU </w:t>
      </w:r>
      <w:r w:rsidR="00CA43B1">
        <w:rPr>
          <w:lang w:val="fr-FR"/>
        </w:rPr>
        <w:t>n</w:t>
      </w:r>
      <w:r w:rsidR="00CA43B1" w:rsidRPr="00CA43B1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61424E">
        <w:rPr>
          <w:lang w:val="fr-FR"/>
        </w:rPr>
        <w:t>13</w:t>
      </w:r>
      <w:r>
        <w:rPr>
          <w:lang w:val="fr-FR"/>
        </w:rPr>
        <w:t xml:space="preserve"> (Véhicules à hydrogène et à pile à combustible)</w:t>
      </w:r>
    </w:p>
    <w:p w14:paraId="4D788FBA" w14:textId="5A15003D" w:rsidR="00381B76" w:rsidRPr="00DC4744" w:rsidRDefault="00381B76" w:rsidP="00F31192">
      <w:pPr>
        <w:pStyle w:val="H1G"/>
      </w:pPr>
      <w:r>
        <w:rPr>
          <w:lang w:val="fr-FR"/>
        </w:rPr>
        <w:tab/>
      </w:r>
      <w:r>
        <w:rPr>
          <w:lang w:val="fr-FR"/>
        </w:rPr>
        <w:tab/>
        <w:t>Communication de l</w:t>
      </w:r>
      <w:r w:rsidR="00CA43B1">
        <w:rPr>
          <w:lang w:val="fr-FR"/>
        </w:rPr>
        <w:t>’</w:t>
      </w:r>
      <w:r>
        <w:rPr>
          <w:lang w:val="fr-FR"/>
        </w:rPr>
        <w:t xml:space="preserve">équipe spéciale chargée de modifier </w:t>
      </w:r>
      <w:r w:rsidR="00F31192">
        <w:rPr>
          <w:lang w:val="fr-FR"/>
        </w:rPr>
        <w:br/>
      </w:r>
      <w:r>
        <w:rPr>
          <w:lang w:val="fr-FR"/>
        </w:rPr>
        <w:t xml:space="preserve">le Règlement ONU </w:t>
      </w:r>
      <w:r w:rsidR="00CA43B1">
        <w:rPr>
          <w:lang w:val="fr-FR"/>
        </w:rPr>
        <w:t>n</w:t>
      </w:r>
      <w:r w:rsidR="00CA43B1" w:rsidRPr="00CA43B1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61424E">
        <w:rPr>
          <w:lang w:val="fr-FR"/>
        </w:rPr>
        <w:t>134</w:t>
      </w:r>
      <w:r>
        <w:rPr>
          <w:lang w:val="fr-FR"/>
        </w:rPr>
        <w:t xml:space="preserve"> (Véhicules à hydrogène)</w:t>
      </w:r>
      <w:r w:rsidRPr="00F31192">
        <w:rPr>
          <w:rStyle w:val="FootnoteReference"/>
          <w:b w:val="0"/>
          <w:bCs/>
          <w:position w:val="4"/>
          <w:sz w:val="20"/>
          <w:vertAlign w:val="baseline"/>
          <w:lang w:val="fr-FR"/>
        </w:rPr>
        <w:footnoteReference w:customMarkFollows="1" w:id="2"/>
        <w:sym w:font="Symbol" w:char="F02A"/>
      </w:r>
    </w:p>
    <w:p w14:paraId="252EA871" w14:textId="4FF3795D" w:rsidR="00381B76" w:rsidRPr="00972ED4" w:rsidRDefault="00381B76" w:rsidP="00F31192">
      <w:pPr>
        <w:pStyle w:val="SingleTxtG"/>
        <w:ind w:firstLine="567"/>
        <w:rPr>
          <w:snapToGrid w:val="0"/>
          <w:color w:val="000000" w:themeColor="text1"/>
          <w:spacing w:val="-2"/>
        </w:rPr>
      </w:pPr>
      <w:r w:rsidRPr="00972ED4">
        <w:rPr>
          <w:spacing w:val="-2"/>
          <w:lang w:val="fr-FR"/>
        </w:rPr>
        <w:t>Le texte ci-après a été établi par l</w:t>
      </w:r>
      <w:r w:rsidR="00CA43B1" w:rsidRPr="00972ED4">
        <w:rPr>
          <w:spacing w:val="-2"/>
          <w:lang w:val="fr-FR"/>
        </w:rPr>
        <w:t>’</w:t>
      </w:r>
      <w:r w:rsidRPr="00972ED4">
        <w:rPr>
          <w:spacing w:val="-2"/>
          <w:lang w:val="fr-FR"/>
        </w:rPr>
        <w:t>équipe spéciale, composée d</w:t>
      </w:r>
      <w:r w:rsidR="00CA43B1" w:rsidRPr="00972ED4">
        <w:rPr>
          <w:spacing w:val="-2"/>
          <w:lang w:val="fr-FR"/>
        </w:rPr>
        <w:t>’</w:t>
      </w:r>
      <w:r w:rsidRPr="00972ED4">
        <w:rPr>
          <w:spacing w:val="-2"/>
          <w:lang w:val="fr-FR"/>
        </w:rPr>
        <w:t xml:space="preserve">experts de la France, du Japon, des Pays-Bas, de la Commission européenne, de la </w:t>
      </w:r>
      <w:proofErr w:type="spellStart"/>
      <w:r w:rsidRPr="00972ED4">
        <w:rPr>
          <w:spacing w:val="-2"/>
          <w:lang w:val="fr-FR"/>
        </w:rPr>
        <w:t>European</w:t>
      </w:r>
      <w:proofErr w:type="spellEnd"/>
      <w:r w:rsidRPr="00972ED4">
        <w:rPr>
          <w:spacing w:val="-2"/>
          <w:lang w:val="fr-FR"/>
        </w:rPr>
        <w:t xml:space="preserve"> Association of Automotive </w:t>
      </w:r>
      <w:proofErr w:type="spellStart"/>
      <w:r w:rsidRPr="00972ED4">
        <w:rPr>
          <w:spacing w:val="-2"/>
          <w:lang w:val="fr-FR"/>
        </w:rPr>
        <w:t>Suppliers</w:t>
      </w:r>
      <w:proofErr w:type="spellEnd"/>
      <w:r w:rsidRPr="00972ED4">
        <w:rPr>
          <w:spacing w:val="-2"/>
          <w:lang w:val="fr-FR"/>
        </w:rPr>
        <w:t xml:space="preserve"> (CLEPA) et de l</w:t>
      </w:r>
      <w:r w:rsidR="00CA43B1" w:rsidRPr="00972ED4">
        <w:rPr>
          <w:spacing w:val="-2"/>
          <w:lang w:val="fr-FR"/>
        </w:rPr>
        <w:t>’</w:t>
      </w:r>
      <w:r w:rsidRPr="00972ED4">
        <w:rPr>
          <w:spacing w:val="-2"/>
          <w:lang w:val="fr-FR"/>
        </w:rPr>
        <w:t>Organisation internationale des constructeurs d</w:t>
      </w:r>
      <w:r w:rsidR="00CA43B1" w:rsidRPr="00972ED4">
        <w:rPr>
          <w:spacing w:val="-2"/>
          <w:lang w:val="fr-FR"/>
        </w:rPr>
        <w:t>’</w:t>
      </w:r>
      <w:r w:rsidRPr="00972ED4">
        <w:rPr>
          <w:spacing w:val="-2"/>
          <w:lang w:val="fr-FR"/>
        </w:rPr>
        <w:t>automobiles (OICA) ainsi que d</w:t>
      </w:r>
      <w:r w:rsidR="00CA43B1" w:rsidRPr="00972ED4">
        <w:rPr>
          <w:spacing w:val="-2"/>
          <w:lang w:val="fr-FR"/>
        </w:rPr>
        <w:t>’</w:t>
      </w:r>
      <w:r w:rsidRPr="00972ED4">
        <w:rPr>
          <w:spacing w:val="-2"/>
          <w:lang w:val="fr-FR"/>
        </w:rPr>
        <w:t>autres experts du secteur, chargée de transposer l</w:t>
      </w:r>
      <w:r w:rsidR="00CA43B1" w:rsidRPr="00972ED4">
        <w:rPr>
          <w:spacing w:val="-2"/>
          <w:lang w:val="fr-FR"/>
        </w:rPr>
        <w:t>’</w:t>
      </w:r>
      <w:r w:rsidRPr="00972ED4">
        <w:rPr>
          <w:spacing w:val="-2"/>
          <w:lang w:val="fr-FR"/>
        </w:rPr>
        <w:t>amendement </w:t>
      </w:r>
      <w:r w:rsidRPr="0061424E">
        <w:rPr>
          <w:spacing w:val="-2"/>
          <w:lang w:val="fr-FR"/>
        </w:rPr>
        <w:t>1</w:t>
      </w:r>
      <w:r w:rsidRPr="00972ED4">
        <w:rPr>
          <w:spacing w:val="-2"/>
          <w:lang w:val="fr-FR"/>
        </w:rPr>
        <w:t xml:space="preserve"> </w:t>
      </w:r>
      <w:r w:rsidRPr="00A45961">
        <w:rPr>
          <w:spacing w:val="-2"/>
          <w:lang w:val="fr-FR"/>
        </w:rPr>
        <w:t xml:space="preserve">au Règlement technique mondial </w:t>
      </w:r>
      <w:r w:rsidR="00CA43B1" w:rsidRPr="00A45961">
        <w:rPr>
          <w:spacing w:val="-2"/>
          <w:lang w:val="fr-FR"/>
        </w:rPr>
        <w:t>n</w:t>
      </w:r>
      <w:r w:rsidR="00CA43B1" w:rsidRPr="00A45961">
        <w:rPr>
          <w:spacing w:val="-2"/>
          <w:vertAlign w:val="superscript"/>
          <w:lang w:val="fr-FR"/>
        </w:rPr>
        <w:t>o</w:t>
      </w:r>
      <w:r w:rsidRPr="00A45961">
        <w:rPr>
          <w:spacing w:val="-2"/>
          <w:lang w:val="fr-FR"/>
        </w:rPr>
        <w:t xml:space="preserve"> 13 (phase 2) dans le Règlement ONU </w:t>
      </w:r>
      <w:r w:rsidR="00CA43B1" w:rsidRPr="00A45961">
        <w:rPr>
          <w:spacing w:val="-2"/>
          <w:lang w:val="fr-FR"/>
        </w:rPr>
        <w:t>n</w:t>
      </w:r>
      <w:r w:rsidR="00CA43B1" w:rsidRPr="00A45961">
        <w:rPr>
          <w:spacing w:val="-2"/>
          <w:vertAlign w:val="superscript"/>
          <w:lang w:val="fr-FR"/>
        </w:rPr>
        <w:t>o</w:t>
      </w:r>
      <w:r w:rsidRPr="00A45961">
        <w:rPr>
          <w:spacing w:val="-2"/>
          <w:lang w:val="fr-FR"/>
        </w:rPr>
        <w:t> 134</w:t>
      </w:r>
      <w:r w:rsidR="0061424E" w:rsidRPr="00A45961">
        <w:rPr>
          <w:spacing w:val="-2"/>
          <w:lang w:val="fr-FR"/>
        </w:rPr>
        <w:t>.</w:t>
      </w:r>
      <w:r w:rsidRPr="00A45961">
        <w:rPr>
          <w:spacing w:val="-2"/>
          <w:lang w:val="fr-FR"/>
        </w:rPr>
        <w:t xml:space="preserve"> Les modifications qu</w:t>
      </w:r>
      <w:r w:rsidR="00CA43B1" w:rsidRPr="00972ED4">
        <w:rPr>
          <w:spacing w:val="-2"/>
          <w:lang w:val="fr-FR"/>
        </w:rPr>
        <w:t>’</w:t>
      </w:r>
      <w:r w:rsidRPr="00972ED4">
        <w:rPr>
          <w:spacing w:val="-2"/>
          <w:lang w:val="fr-FR"/>
        </w:rPr>
        <w:t>il est proposé d</w:t>
      </w:r>
      <w:r w:rsidR="00CA43B1" w:rsidRPr="00972ED4">
        <w:rPr>
          <w:spacing w:val="-2"/>
          <w:lang w:val="fr-FR"/>
        </w:rPr>
        <w:t>’</w:t>
      </w:r>
      <w:r w:rsidRPr="00972ED4">
        <w:rPr>
          <w:spacing w:val="-2"/>
          <w:lang w:val="fr-FR"/>
        </w:rPr>
        <w:t xml:space="preserve">apporter au texte actuel du Règlement ONU </w:t>
      </w:r>
      <w:r w:rsidR="00CA43B1" w:rsidRPr="00972ED4">
        <w:rPr>
          <w:spacing w:val="-2"/>
          <w:lang w:val="fr-FR"/>
        </w:rPr>
        <w:t>n</w:t>
      </w:r>
      <w:r w:rsidR="00CA43B1" w:rsidRPr="00972ED4">
        <w:rPr>
          <w:spacing w:val="-2"/>
          <w:vertAlign w:val="superscript"/>
          <w:lang w:val="fr-FR"/>
        </w:rPr>
        <w:t>o</w:t>
      </w:r>
      <w:r w:rsidRPr="00972ED4">
        <w:rPr>
          <w:spacing w:val="-2"/>
          <w:lang w:val="fr-FR"/>
        </w:rPr>
        <w:t> </w:t>
      </w:r>
      <w:r w:rsidRPr="0061424E">
        <w:rPr>
          <w:spacing w:val="-2"/>
          <w:lang w:val="fr-FR"/>
        </w:rPr>
        <w:t>134</w:t>
      </w:r>
      <w:r w:rsidRPr="00972ED4">
        <w:rPr>
          <w:spacing w:val="-2"/>
          <w:lang w:val="fr-FR"/>
        </w:rPr>
        <w:t xml:space="preserve"> figurent en caractères gras pour les ajouts et biffés pour les suppressions</w:t>
      </w:r>
      <w:r w:rsidR="0061424E" w:rsidRPr="0061424E">
        <w:rPr>
          <w:spacing w:val="-2"/>
          <w:lang w:val="fr-FR"/>
        </w:rPr>
        <w:t>.</w:t>
      </w:r>
    </w:p>
    <w:p w14:paraId="1E601474" w14:textId="77777777" w:rsidR="00F31192" w:rsidRDefault="00F31192" w:rsidP="00F31192">
      <w:pPr>
        <w:pStyle w:val="SingleTxtG"/>
      </w:pPr>
    </w:p>
    <w:p w14:paraId="0A00B0AD" w14:textId="7228B2CB" w:rsidR="00381B76" w:rsidRPr="00DC4744" w:rsidRDefault="00381B76" w:rsidP="00F31192">
      <w:pPr>
        <w:pStyle w:val="SingleTxtG"/>
      </w:pPr>
      <w:r w:rsidRPr="00DC4744">
        <w:br w:type="page"/>
      </w:r>
    </w:p>
    <w:p w14:paraId="5786841C" w14:textId="3E42AE9F" w:rsidR="00381B76" w:rsidRPr="00DC4744" w:rsidRDefault="00381B76" w:rsidP="006E24D8">
      <w:pPr>
        <w:pStyle w:val="HChG"/>
      </w:pPr>
      <w:r w:rsidRPr="0019402B">
        <w:rPr>
          <w:lang w:val="fr-FR"/>
        </w:rPr>
        <w:lastRenderedPageBreak/>
        <w:tab/>
        <w:t>I</w:t>
      </w:r>
      <w:r w:rsidR="0061424E" w:rsidRPr="0061424E">
        <w:rPr>
          <w:lang w:val="fr-FR"/>
        </w:rPr>
        <w:t>.</w:t>
      </w:r>
      <w:r w:rsidRPr="0019402B">
        <w:rPr>
          <w:lang w:val="fr-FR"/>
        </w:rPr>
        <w:tab/>
        <w:t>Proposition</w:t>
      </w:r>
    </w:p>
    <w:p w14:paraId="5E8706E7" w14:textId="5838DE73" w:rsidR="00381B76" w:rsidRPr="00DC4744" w:rsidRDefault="00381B76" w:rsidP="009F4DCA">
      <w:pPr>
        <w:pStyle w:val="SingleTxtG"/>
        <w:rPr>
          <w:b/>
        </w:rPr>
      </w:pPr>
      <w:r w:rsidRPr="0061424E">
        <w:rPr>
          <w:i/>
          <w:iCs/>
          <w:lang w:val="fr-FR"/>
        </w:rPr>
        <w:t>Partie 1, paragraphe 51</w:t>
      </w:r>
      <w:r w:rsidRPr="0019402B">
        <w:rPr>
          <w:lang w:val="fr-FR"/>
        </w:rPr>
        <w:t>, lire</w:t>
      </w:r>
      <w:r w:rsidR="00CA43B1">
        <w:rPr>
          <w:lang w:val="fr-FR"/>
        </w:rPr>
        <w:t> :</w:t>
      </w:r>
    </w:p>
    <w:p w14:paraId="7D20B8DC" w14:textId="252502EC" w:rsidR="00381B76" w:rsidRPr="00DC4744" w:rsidRDefault="00381B76" w:rsidP="009F4DCA">
      <w:pPr>
        <w:pStyle w:val="SingleTxtG"/>
        <w:rPr>
          <w:b/>
        </w:rPr>
      </w:pPr>
      <w:r>
        <w:rPr>
          <w:lang w:val="fr-FR"/>
        </w:rPr>
        <w:t>« </w:t>
      </w:r>
      <w:r w:rsidRPr="0061424E">
        <w:rPr>
          <w:lang w:val="fr-FR"/>
        </w:rPr>
        <w:t>51</w:t>
      </w:r>
      <w:r w:rsidR="0061424E" w:rsidRPr="0061424E">
        <w:rPr>
          <w:lang w:val="fr-FR"/>
        </w:rPr>
        <w:t>.</w:t>
      </w:r>
      <w:r>
        <w:rPr>
          <w:lang w:val="fr-FR"/>
        </w:rPr>
        <w:tab/>
        <w:t>Les prescriptions relatives au système de stockage d</w:t>
      </w:r>
      <w:r w:rsidR="00CA43B1">
        <w:rPr>
          <w:lang w:val="fr-FR"/>
        </w:rPr>
        <w:t>’</w:t>
      </w:r>
      <w:r>
        <w:rPr>
          <w:lang w:val="fr-FR"/>
        </w:rPr>
        <w:t>hydrogène comprimé et à ses dispositifs de fermeture primaire sont définies au paragraphe </w:t>
      </w:r>
      <w:r w:rsidRPr="0061424E">
        <w:rPr>
          <w:lang w:val="fr-FR"/>
        </w:rPr>
        <w:t>5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La disposition de l</w:t>
      </w:r>
      <w:r w:rsidR="00CA43B1">
        <w:rPr>
          <w:lang w:val="fr-FR"/>
        </w:rPr>
        <w:t>’</w:t>
      </w:r>
      <w:r>
        <w:rPr>
          <w:lang w:val="fr-FR"/>
        </w:rPr>
        <w:t>alinéa b) du paragraphe </w:t>
      </w:r>
      <w:r w:rsidRPr="0061424E">
        <w:rPr>
          <w:lang w:val="fr-FR"/>
        </w:rPr>
        <w:t>5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>
        <w:rPr>
          <w:lang w:val="fr-FR"/>
        </w:rPr>
        <w:t xml:space="preserve"> permet aux Parties contractantes d</w:t>
      </w:r>
      <w:r w:rsidR="00CA43B1">
        <w:rPr>
          <w:lang w:val="fr-FR"/>
        </w:rPr>
        <w:t>’</w:t>
      </w:r>
      <w:r>
        <w:rPr>
          <w:lang w:val="fr-FR"/>
        </w:rPr>
        <w:t>exiger que les dispositifs de fermeture primaire soient montés directement sur le réservoir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Si nécessaire, les constructeurs peuvent choisir d</w:t>
      </w:r>
      <w:r w:rsidR="00CA43B1">
        <w:rPr>
          <w:lang w:val="fr-FR"/>
        </w:rPr>
        <w:t>’</w:t>
      </w:r>
      <w:r>
        <w:rPr>
          <w:lang w:val="fr-FR"/>
        </w:rPr>
        <w:t>installer des TPRD supplémentaires à d</w:t>
      </w:r>
      <w:r w:rsidR="00CA43B1">
        <w:rPr>
          <w:lang w:val="fr-FR"/>
        </w:rPr>
        <w:t>’</w:t>
      </w:r>
      <w:r>
        <w:rPr>
          <w:lang w:val="fr-FR"/>
        </w:rPr>
        <w:t>autres endroits du réservoir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Cependant, tout TPRD supplémentaire doit être raccordé directement au réservoir par une conduite d</w:t>
      </w:r>
      <w:r w:rsidR="00CA43B1">
        <w:rPr>
          <w:lang w:val="fr-FR"/>
        </w:rPr>
        <w:t>’</w:t>
      </w:r>
      <w:r>
        <w:rPr>
          <w:lang w:val="fr-FR"/>
        </w:rPr>
        <w:t>alimentation dont l</w:t>
      </w:r>
      <w:r w:rsidR="00CA43B1">
        <w:rPr>
          <w:lang w:val="fr-FR"/>
        </w:rPr>
        <w:t>’</w:t>
      </w:r>
      <w:r>
        <w:rPr>
          <w:lang w:val="fr-FR"/>
        </w:rPr>
        <w:t>intégrité mécanique et la durabilité ont été démontrées dans le cadre des essais de qualification des systèmes de stockage d</w:t>
      </w:r>
      <w:r w:rsidR="00CA43B1">
        <w:rPr>
          <w:lang w:val="fr-FR"/>
        </w:rPr>
        <w:t>’</w:t>
      </w:r>
      <w:r>
        <w:rPr>
          <w:lang w:val="fr-FR"/>
        </w:rPr>
        <w:t>hydrogène comprimé (par</w:t>
      </w:r>
      <w:r w:rsidR="0061424E" w:rsidRPr="0061424E">
        <w:rPr>
          <w:lang w:val="fr-FR"/>
        </w:rPr>
        <w:t>.</w:t>
      </w:r>
      <w:r>
        <w:rPr>
          <w:lang w:val="fr-FR"/>
        </w:rPr>
        <w:t> </w:t>
      </w:r>
      <w:r w:rsidRPr="0061424E">
        <w:rPr>
          <w:lang w:val="fr-FR"/>
        </w:rPr>
        <w:t>5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>
        <w:rPr>
          <w:lang w:val="fr-FR"/>
        </w:rPr>
        <w:t xml:space="preserve"> et </w:t>
      </w:r>
      <w:r w:rsidRPr="0061424E">
        <w:rPr>
          <w:lang w:val="fr-FR"/>
        </w:rPr>
        <w:t>5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>
        <w:rPr>
          <w:b/>
          <w:bCs/>
          <w:lang w:val="fr-FR"/>
        </w:rPr>
        <w:t>, à l</w:t>
      </w:r>
      <w:r w:rsidR="00CA43B1">
        <w:rPr>
          <w:b/>
          <w:bCs/>
          <w:lang w:val="fr-FR"/>
        </w:rPr>
        <w:t>’</w:t>
      </w:r>
      <w:r>
        <w:rPr>
          <w:b/>
          <w:bCs/>
          <w:lang w:val="fr-FR"/>
        </w:rPr>
        <w:t>exclusion de l</w:t>
      </w:r>
      <w:r w:rsidR="00CA43B1">
        <w:rPr>
          <w:b/>
          <w:bCs/>
          <w:lang w:val="fr-FR"/>
        </w:rPr>
        <w:t>’</w:t>
      </w:r>
      <w:r>
        <w:rPr>
          <w:b/>
          <w:bCs/>
          <w:lang w:val="fr-FR"/>
        </w:rPr>
        <w:t>essai de chute</w:t>
      </w:r>
      <w:r>
        <w:rPr>
          <w:lang w:val="fr-FR"/>
        </w:rPr>
        <w:t>)</w:t>
      </w:r>
      <w:r w:rsidR="0061424E" w:rsidRPr="0061424E">
        <w:rPr>
          <w:lang w:val="fr-FR"/>
        </w:rPr>
        <w:t>.</w:t>
      </w:r>
      <w:r>
        <w:rPr>
          <w:lang w:val="fr-FR"/>
        </w:rPr>
        <w:t> »</w:t>
      </w:r>
      <w:r w:rsidR="0061424E" w:rsidRPr="0061424E">
        <w:rPr>
          <w:lang w:val="fr-FR"/>
        </w:rPr>
        <w:t>.</w:t>
      </w:r>
    </w:p>
    <w:p w14:paraId="6B60D42B" w14:textId="50491C39" w:rsidR="00381B76" w:rsidRPr="00DC4744" w:rsidRDefault="00381B76" w:rsidP="009F4DCA">
      <w:pPr>
        <w:pStyle w:val="SingleTxtG"/>
        <w:rPr>
          <w:bCs/>
        </w:rPr>
      </w:pPr>
      <w:r w:rsidRPr="0061424E">
        <w:rPr>
          <w:i/>
          <w:iCs/>
          <w:lang w:val="fr-FR"/>
        </w:rPr>
        <w:t>Partie I, point i) de l</w:t>
      </w:r>
      <w:r w:rsidR="00CA43B1" w:rsidRPr="0061424E">
        <w:rPr>
          <w:i/>
          <w:iCs/>
          <w:lang w:val="fr-FR"/>
        </w:rPr>
        <w:t>’</w:t>
      </w:r>
      <w:r w:rsidRPr="0061424E">
        <w:rPr>
          <w:i/>
          <w:iCs/>
          <w:lang w:val="fr-FR"/>
        </w:rPr>
        <w:t>alinéa c) du paragraphe 81</w:t>
      </w:r>
      <w:r>
        <w:rPr>
          <w:lang w:val="fr-FR"/>
        </w:rPr>
        <w:t>, lire</w:t>
      </w:r>
      <w:r w:rsidR="00CA43B1">
        <w:rPr>
          <w:lang w:val="fr-FR"/>
        </w:rPr>
        <w:t> :</w:t>
      </w:r>
    </w:p>
    <w:p w14:paraId="7CB86663" w14:textId="1A85322D" w:rsidR="00381B76" w:rsidRPr="00DC4744" w:rsidRDefault="00381B76" w:rsidP="009F4DCA">
      <w:pPr>
        <w:pStyle w:val="SingleTxtG"/>
        <w:rPr>
          <w:bCs/>
        </w:rPr>
      </w:pPr>
      <w:r>
        <w:rPr>
          <w:lang w:val="fr-FR"/>
        </w:rPr>
        <w:t>« </w:t>
      </w:r>
      <w:r w:rsidRPr="0061424E">
        <w:rPr>
          <w:lang w:val="fr-FR"/>
        </w:rPr>
        <w:t>81</w:t>
      </w:r>
      <w:r w:rsidR="0061424E" w:rsidRPr="0061424E">
        <w:rPr>
          <w:lang w:val="fr-FR"/>
        </w:rPr>
        <w:t>.</w:t>
      </w:r>
      <w:r>
        <w:rPr>
          <w:lang w:val="fr-FR"/>
        </w:rPr>
        <w:tab/>
        <w:t>Ces hypothèses sont les suivantes</w:t>
      </w:r>
      <w:r w:rsidR="00CA43B1">
        <w:rPr>
          <w:lang w:val="fr-FR"/>
        </w:rPr>
        <w:t> :</w:t>
      </w:r>
    </w:p>
    <w:p w14:paraId="493CCC0A" w14:textId="0E87BF5F" w:rsidR="00381B76" w:rsidRPr="00DC4744" w:rsidRDefault="00381B76" w:rsidP="00F90460">
      <w:pPr>
        <w:suppressAutoHyphens w:val="0"/>
        <w:kinsoku/>
        <w:overflowPunct/>
        <w:autoSpaceDE/>
        <w:autoSpaceDN/>
        <w:adjustRightInd/>
        <w:snapToGrid/>
        <w:spacing w:after="120"/>
        <w:ind w:left="2268" w:right="1140" w:hanging="567"/>
        <w:jc w:val="both"/>
        <w:rPr>
          <w:bCs/>
        </w:rPr>
      </w:pPr>
      <w:r>
        <w:rPr>
          <w:lang w:val="fr-FR"/>
        </w:rPr>
        <w:t>c)</w:t>
      </w:r>
      <w:r>
        <w:rPr>
          <w:lang w:val="fr-FR"/>
        </w:rPr>
        <w:tab/>
        <w:t>Usage intensif</w:t>
      </w:r>
      <w:r w:rsidR="00CA43B1">
        <w:rPr>
          <w:lang w:val="fr-FR"/>
        </w:rPr>
        <w:t> :</w:t>
      </w:r>
      <w:r>
        <w:rPr>
          <w:lang w:val="fr-FR"/>
        </w:rPr>
        <w:t xml:space="preserve"> exposition aux chocs physiques</w:t>
      </w:r>
    </w:p>
    <w:p w14:paraId="05131C23" w14:textId="3289575B" w:rsidR="00CA43B1" w:rsidRDefault="00381B76" w:rsidP="00433F60">
      <w:pPr>
        <w:suppressAutoHyphens w:val="0"/>
        <w:kinsoku/>
        <w:overflowPunct/>
        <w:autoSpaceDE/>
        <w:autoSpaceDN/>
        <w:adjustRightInd/>
        <w:snapToGrid/>
        <w:spacing w:after="120"/>
        <w:ind w:left="2835" w:right="1140" w:hanging="567"/>
        <w:jc w:val="both"/>
        <w:rPr>
          <w:lang w:val="fr-FR"/>
        </w:rPr>
      </w:pPr>
      <w:r>
        <w:rPr>
          <w:lang w:val="fr-FR"/>
        </w:rPr>
        <w:lastRenderedPageBreak/>
        <w:t>i)</w:t>
      </w:r>
      <w:r>
        <w:rPr>
          <w:lang w:val="fr-FR"/>
        </w:rPr>
        <w:tab/>
        <w:t>Choc résultant d</w:t>
      </w:r>
      <w:r w:rsidR="00CA43B1">
        <w:rPr>
          <w:lang w:val="fr-FR"/>
        </w:rPr>
        <w:t>’</w:t>
      </w:r>
      <w:r>
        <w:rPr>
          <w:lang w:val="fr-FR"/>
        </w:rPr>
        <w:t>une chute (par</w:t>
      </w:r>
      <w:r w:rsidR="0061424E" w:rsidRPr="0061424E">
        <w:rPr>
          <w:lang w:val="fr-FR"/>
        </w:rPr>
        <w:t>.</w:t>
      </w:r>
      <w:r>
        <w:rPr>
          <w:lang w:val="fr-FR"/>
        </w:rPr>
        <w:t> </w:t>
      </w:r>
      <w:r w:rsidRPr="0061424E">
        <w:rPr>
          <w:lang w:val="fr-FR"/>
        </w:rPr>
        <w:t>5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>
        <w:rPr>
          <w:lang w:val="fr-FR"/>
        </w:rPr>
        <w:t>) − le risque de chute est essentiellement lié aux opérations de remplacement du système de stockage d</w:t>
      </w:r>
      <w:r w:rsidR="00CA43B1">
        <w:rPr>
          <w:lang w:val="fr-FR"/>
        </w:rPr>
        <w:t>’</w:t>
      </w:r>
      <w:r>
        <w:rPr>
          <w:lang w:val="fr-FR"/>
        </w:rPr>
        <w:t>un véhicule en service, pendant lesquelles le nouveau ou l</w:t>
      </w:r>
      <w:r w:rsidR="00CA43B1">
        <w:rPr>
          <w:lang w:val="fr-FR"/>
        </w:rPr>
        <w:t>’</w:t>
      </w:r>
      <w:r>
        <w:rPr>
          <w:lang w:val="fr-FR"/>
        </w:rPr>
        <w:t>ancien système peuvent tomber du chariot élévateur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La procédure d</w:t>
      </w:r>
      <w:r w:rsidR="00CA43B1">
        <w:rPr>
          <w:lang w:val="fr-FR"/>
        </w:rPr>
        <w:t>’</w:t>
      </w:r>
      <w:r>
        <w:rPr>
          <w:lang w:val="fr-FR"/>
        </w:rPr>
        <w:t>essai prescrit des chutes selon plusieurs angles depuis la hauteur maximale de levage d</w:t>
      </w:r>
      <w:r w:rsidR="00CA43B1">
        <w:rPr>
          <w:lang w:val="fr-FR"/>
        </w:rPr>
        <w:t>’</w:t>
      </w:r>
      <w:r>
        <w:rPr>
          <w:lang w:val="fr-FR"/>
        </w:rPr>
        <w:t>un chariot élévateur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Cet essai est destiné à démontrer que les réservoirs</w:t>
      </w:r>
      <w:r>
        <w:rPr>
          <w:b/>
          <w:bCs/>
          <w:lang w:val="fr-FR"/>
        </w:rPr>
        <w:t xml:space="preserve"> (hors conduite d</w:t>
      </w:r>
      <w:r w:rsidR="00CA43B1">
        <w:rPr>
          <w:b/>
          <w:bCs/>
          <w:lang w:val="fr-FR"/>
        </w:rPr>
        <w:t>’</w:t>
      </w:r>
      <w:r>
        <w:rPr>
          <w:b/>
          <w:bCs/>
          <w:lang w:val="fr-FR"/>
        </w:rPr>
        <w:t>alimentation et vannes</w:t>
      </w:r>
      <w:r>
        <w:rPr>
          <w:lang w:val="fr-FR"/>
        </w:rPr>
        <w:t>) peuvent résister à des chocs représentatifs survenant avant l</w:t>
      </w:r>
      <w:r w:rsidR="00CA43B1">
        <w:rPr>
          <w:lang w:val="fr-FR"/>
        </w:rPr>
        <w:t>’</w:t>
      </w:r>
      <w:r>
        <w:rPr>
          <w:lang w:val="fr-FR"/>
        </w:rPr>
        <w:t>installation</w:t>
      </w:r>
      <w:r w:rsidR="00CA43B1">
        <w:rPr>
          <w:lang w:val="fr-FR"/>
        </w:rPr>
        <w:t> ;</w:t>
      </w:r>
    </w:p>
    <w:p w14:paraId="299E20B7" w14:textId="5C7AB8EB" w:rsidR="00381B76" w:rsidRPr="00DC4744" w:rsidRDefault="00381B76" w:rsidP="00433F60">
      <w:pPr>
        <w:suppressAutoHyphens w:val="0"/>
        <w:kinsoku/>
        <w:overflowPunct/>
        <w:autoSpaceDE/>
        <w:autoSpaceDN/>
        <w:adjustRightInd/>
        <w:snapToGrid/>
        <w:spacing w:after="120"/>
        <w:ind w:left="2835" w:right="1140"/>
        <w:jc w:val="both"/>
        <w:rPr>
          <w:b/>
        </w:rPr>
      </w:pPr>
      <w:r w:rsidRPr="0061424E">
        <w:rPr>
          <w:b/>
          <w:bCs/>
          <w:i/>
          <w:iCs/>
          <w:lang w:val="fr-FR"/>
        </w:rPr>
        <w:t>Note</w:t>
      </w:r>
      <w:r w:rsidR="00CA43B1" w:rsidRPr="00701BCC">
        <w:rPr>
          <w:b/>
          <w:bCs/>
          <w:lang w:val="fr-FR"/>
        </w:rPr>
        <w:t> :</w:t>
      </w:r>
      <w:r>
        <w:rPr>
          <w:b/>
          <w:bCs/>
          <w:lang w:val="fr-FR"/>
        </w:rPr>
        <w:t xml:space="preserve"> Les dommages causés aux conduites d</w:t>
      </w:r>
      <w:r w:rsidR="00CA43B1">
        <w:rPr>
          <w:b/>
          <w:bCs/>
          <w:lang w:val="fr-FR"/>
        </w:rPr>
        <w:t>’</w:t>
      </w:r>
      <w:r>
        <w:rPr>
          <w:b/>
          <w:bCs/>
          <w:lang w:val="fr-FR"/>
        </w:rPr>
        <w:t>alimentation ou aux vannes par un choc résultant d</w:t>
      </w:r>
      <w:r w:rsidR="00CA43B1">
        <w:rPr>
          <w:b/>
          <w:bCs/>
          <w:lang w:val="fr-FR"/>
        </w:rPr>
        <w:t>’</w:t>
      </w:r>
      <w:r>
        <w:rPr>
          <w:b/>
          <w:bCs/>
          <w:lang w:val="fr-FR"/>
        </w:rPr>
        <w:t>une chute seraient visibles et, par</w:t>
      </w:r>
      <w:r w:rsidR="00422408">
        <w:rPr>
          <w:b/>
          <w:bCs/>
          <w:lang w:val="fr-FR"/>
        </w:rPr>
        <w:t> </w:t>
      </w:r>
      <w:r>
        <w:rPr>
          <w:b/>
          <w:bCs/>
          <w:lang w:val="fr-FR"/>
        </w:rPr>
        <w:t>conséquent, ces dispositifs devraient être remplacés</w:t>
      </w:r>
      <w:r w:rsidR="00CA43B1">
        <w:rPr>
          <w:b/>
          <w:bCs/>
          <w:lang w:val="fr-FR"/>
        </w:rPr>
        <w:t> ;</w:t>
      </w:r>
      <w:r w:rsidRPr="0019402B">
        <w:rPr>
          <w:lang w:val="fr-FR"/>
        </w:rPr>
        <w:t> »</w:t>
      </w:r>
      <w:r w:rsidR="0061424E" w:rsidRPr="0061424E">
        <w:rPr>
          <w:lang w:val="fr-FR"/>
        </w:rPr>
        <w:t>.</w:t>
      </w:r>
    </w:p>
    <w:p w14:paraId="3259D10B" w14:textId="1D4642A7" w:rsidR="00381B76" w:rsidRPr="00DC4744" w:rsidRDefault="00381B76" w:rsidP="00433F60">
      <w:pPr>
        <w:pStyle w:val="SingleTxtG"/>
      </w:pPr>
      <w:r w:rsidRPr="0061424E">
        <w:rPr>
          <w:i/>
          <w:iCs/>
          <w:lang w:val="fr-FR"/>
        </w:rPr>
        <w:t>Partie II, paragraphe 3</w:t>
      </w:r>
      <w:r w:rsidR="0061424E" w:rsidRPr="0061424E">
        <w:rPr>
          <w:i/>
          <w:iCs/>
          <w:lang w:val="fr-FR"/>
        </w:rPr>
        <w:t>.</w:t>
      </w:r>
      <w:r w:rsidRPr="0061424E">
        <w:rPr>
          <w:i/>
          <w:iCs/>
          <w:lang w:val="fr-FR"/>
        </w:rPr>
        <w:t>8</w:t>
      </w:r>
      <w:r>
        <w:rPr>
          <w:lang w:val="fr-FR"/>
        </w:rPr>
        <w:t>, lire</w:t>
      </w:r>
      <w:r w:rsidR="00CA43B1">
        <w:rPr>
          <w:lang w:val="fr-FR"/>
        </w:rPr>
        <w:t> :</w:t>
      </w:r>
    </w:p>
    <w:p w14:paraId="3AB54E31" w14:textId="07A30995" w:rsidR="00381B76" w:rsidRPr="00DC4744" w:rsidRDefault="00381B76" w:rsidP="00A747EB">
      <w:pPr>
        <w:suppressAutoHyphens w:val="0"/>
        <w:kinsoku/>
        <w:overflowPunct/>
        <w:autoSpaceDE/>
        <w:autoSpaceDN/>
        <w:adjustRightInd/>
        <w:snapToGrid/>
        <w:spacing w:after="120"/>
        <w:ind w:left="2268" w:right="1134" w:hanging="1134"/>
        <w:jc w:val="both"/>
      </w:pPr>
      <w:r>
        <w:rPr>
          <w:lang w:val="fr-FR"/>
        </w:rPr>
        <w:t>« </w:t>
      </w:r>
      <w:r w:rsidRPr="0061424E">
        <w:rPr>
          <w:lang w:val="fr-FR"/>
        </w:rPr>
        <w:t>3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8</w:t>
      </w:r>
      <w:r>
        <w:rPr>
          <w:lang w:val="fr-FR"/>
        </w:rPr>
        <w:tab/>
      </w:r>
      <w:r w:rsidR="0001415D">
        <w:t>“</w:t>
      </w:r>
      <w:r>
        <w:rPr>
          <w:lang w:val="fr-FR"/>
        </w:rPr>
        <w:t>Système de stockage d</w:t>
      </w:r>
      <w:r w:rsidR="00CA43B1">
        <w:rPr>
          <w:lang w:val="fr-FR"/>
        </w:rPr>
        <w:t>’</w:t>
      </w:r>
      <w:r>
        <w:rPr>
          <w:lang w:val="fr-FR"/>
        </w:rPr>
        <w:t>hydrogène comprimé</w:t>
      </w:r>
      <w:r w:rsidR="0001415D">
        <w:t>”</w:t>
      </w:r>
      <w:r>
        <w:rPr>
          <w:lang w:val="fr-FR"/>
        </w:rPr>
        <w:t>, un système conçu pour stocker l</w:t>
      </w:r>
      <w:r w:rsidR="00CA43B1">
        <w:rPr>
          <w:lang w:val="fr-FR"/>
        </w:rPr>
        <w:t>’</w:t>
      </w:r>
      <w:r>
        <w:rPr>
          <w:lang w:val="fr-FR"/>
        </w:rPr>
        <w:t>hydrogène comprimé alimentant un véhicule à hydrogène et composé d</w:t>
      </w:r>
      <w:r w:rsidR="00CA43B1">
        <w:rPr>
          <w:lang w:val="fr-FR"/>
        </w:rPr>
        <w:t>’</w:t>
      </w:r>
      <w:r>
        <w:rPr>
          <w:lang w:val="fr-FR"/>
        </w:rPr>
        <w:t>un ré</w:t>
      </w:r>
      <w:r>
        <w:rPr>
          <w:lang w:val="fr-FR"/>
        </w:rPr>
        <w:lastRenderedPageBreak/>
        <w:t>servoir,</w:t>
      </w:r>
      <w:r w:rsidRPr="00422408">
        <w:rPr>
          <w:strike/>
          <w:lang w:val="fr-FR"/>
        </w:rPr>
        <w:t xml:space="preserve"> </w:t>
      </w:r>
      <w:r w:rsidRPr="0066463A">
        <w:rPr>
          <w:strike/>
          <w:lang w:val="fr-FR"/>
        </w:rPr>
        <w:t>éventuellement muni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 xml:space="preserve">de ses éventuels </w:t>
      </w:r>
      <w:r w:rsidRPr="0066463A">
        <w:rPr>
          <w:strike/>
          <w:lang w:val="fr-FR"/>
        </w:rPr>
        <w:t>d</w:t>
      </w:r>
      <w:r w:rsidR="00CA43B1">
        <w:rPr>
          <w:strike/>
          <w:lang w:val="fr-FR"/>
        </w:rPr>
        <w:t>’</w:t>
      </w:r>
      <w:r>
        <w:rPr>
          <w:lang w:val="fr-FR"/>
        </w:rPr>
        <w:t xml:space="preserve">accessoires, </w:t>
      </w:r>
      <w:r>
        <w:rPr>
          <w:b/>
          <w:bCs/>
          <w:lang w:val="fr-FR"/>
        </w:rPr>
        <w:t>des conduites d</w:t>
      </w:r>
      <w:r w:rsidR="00CA43B1">
        <w:rPr>
          <w:b/>
          <w:bCs/>
          <w:lang w:val="fr-FR"/>
        </w:rPr>
        <w:t>’</w:t>
      </w:r>
      <w:r>
        <w:rPr>
          <w:b/>
          <w:bCs/>
          <w:lang w:val="fr-FR"/>
        </w:rPr>
        <w:t>alimentation des TPRD supplémentaires (le cas échéant)</w:t>
      </w:r>
      <w:r>
        <w:rPr>
          <w:lang w:val="fr-FR"/>
        </w:rPr>
        <w:t xml:space="preserve"> et de tous les dispositifs de fermeture primaire qui sont nécessaires pour isoler l</w:t>
      </w:r>
      <w:r w:rsidR="00CA43B1">
        <w:rPr>
          <w:lang w:val="fr-FR"/>
        </w:rPr>
        <w:t>’</w:t>
      </w:r>
      <w:r>
        <w:rPr>
          <w:lang w:val="fr-FR"/>
        </w:rPr>
        <w:t>hydrogène stocké du reste du système d</w:t>
      </w:r>
      <w:r w:rsidR="00CA43B1">
        <w:rPr>
          <w:lang w:val="fr-FR"/>
        </w:rPr>
        <w:t>’</w:t>
      </w:r>
      <w:r>
        <w:rPr>
          <w:lang w:val="fr-FR"/>
        </w:rPr>
        <w:t>alimentation en carburant et du milieu ambiant</w:t>
      </w:r>
      <w:r w:rsidR="00CA43B1">
        <w:rPr>
          <w:lang w:val="fr-FR"/>
        </w:rPr>
        <w:t> ;</w:t>
      </w:r>
      <w:r>
        <w:rPr>
          <w:lang w:val="fr-FR"/>
        </w:rPr>
        <w:t> »</w:t>
      </w:r>
      <w:r w:rsidR="0061424E" w:rsidRPr="0061424E">
        <w:rPr>
          <w:lang w:val="fr-FR"/>
        </w:rPr>
        <w:t>.</w:t>
      </w:r>
    </w:p>
    <w:p w14:paraId="5885744F" w14:textId="09AD40CA" w:rsidR="00381B76" w:rsidRPr="00DC4744" w:rsidRDefault="00381B76" w:rsidP="00A747EB">
      <w:pPr>
        <w:pStyle w:val="SingleTxtG"/>
      </w:pPr>
      <w:r w:rsidRPr="0061424E">
        <w:rPr>
          <w:i/>
          <w:iCs/>
          <w:lang w:val="fr-FR"/>
        </w:rPr>
        <w:t>Partie II, paragraphe 6</w:t>
      </w:r>
      <w:r w:rsidR="0061424E" w:rsidRPr="0061424E">
        <w:rPr>
          <w:i/>
          <w:iCs/>
          <w:lang w:val="fr-FR"/>
        </w:rPr>
        <w:t>.</w:t>
      </w:r>
      <w:r w:rsidRPr="0061424E">
        <w:rPr>
          <w:i/>
          <w:iCs/>
          <w:lang w:val="fr-FR"/>
        </w:rPr>
        <w:t>2</w:t>
      </w:r>
      <w:r w:rsidR="0061424E" w:rsidRPr="0061424E">
        <w:rPr>
          <w:i/>
          <w:iCs/>
          <w:lang w:val="fr-FR"/>
        </w:rPr>
        <w:t>.</w:t>
      </w:r>
      <w:r w:rsidRPr="0061424E">
        <w:rPr>
          <w:i/>
          <w:iCs/>
          <w:lang w:val="fr-FR"/>
        </w:rPr>
        <w:t>3</w:t>
      </w:r>
      <w:r w:rsidR="0061424E" w:rsidRPr="0061424E">
        <w:rPr>
          <w:i/>
          <w:iCs/>
          <w:lang w:val="fr-FR"/>
        </w:rPr>
        <w:t>.</w:t>
      </w:r>
      <w:r w:rsidRPr="0061424E">
        <w:rPr>
          <w:i/>
          <w:iCs/>
          <w:lang w:val="fr-FR"/>
        </w:rPr>
        <w:t>2</w:t>
      </w:r>
      <w:r>
        <w:rPr>
          <w:lang w:val="fr-FR"/>
        </w:rPr>
        <w:t>, lire</w:t>
      </w:r>
      <w:r w:rsidR="00CA43B1">
        <w:rPr>
          <w:lang w:val="fr-FR"/>
        </w:rPr>
        <w:t> :</w:t>
      </w:r>
    </w:p>
    <w:p w14:paraId="58A3C586" w14:textId="05991D4A" w:rsidR="00CA43B1" w:rsidRDefault="00381B76" w:rsidP="00A747EB">
      <w:pPr>
        <w:suppressAutoHyphens w:val="0"/>
        <w:kinsoku/>
        <w:overflowPunct/>
        <w:autoSpaceDE/>
        <w:autoSpaceDN/>
        <w:adjustRightInd/>
        <w:snapToGrid/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</w:t>
      </w:r>
      <w:r w:rsidRPr="0061424E">
        <w:rPr>
          <w:lang w:val="fr-FR"/>
        </w:rPr>
        <w:t>6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3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>
        <w:rPr>
          <w:lang w:val="fr-FR"/>
        </w:rPr>
        <w:tab/>
        <w:t>Essai de chute (choc) (sans mise sous pression)</w:t>
      </w:r>
    </w:p>
    <w:p w14:paraId="303568DA" w14:textId="26EC65F6" w:rsidR="00381B76" w:rsidRDefault="00381B76" w:rsidP="001B7A18">
      <w:pPr>
        <w:suppressAutoHyphens w:val="0"/>
        <w:kinsoku/>
        <w:overflowPunct/>
        <w:autoSpaceDE/>
        <w:autoSpaceDN/>
        <w:adjustRightInd/>
        <w:snapToGrid/>
        <w:spacing w:after="120"/>
        <w:ind w:left="2268" w:right="1134"/>
        <w:jc w:val="both"/>
        <w:rPr>
          <w:lang w:val="fr-FR"/>
        </w:rPr>
      </w:pPr>
      <w:r>
        <w:rPr>
          <w:lang w:val="fr-FR"/>
        </w:rPr>
        <w:t>Le réservoir muni de ses éventuels accessoires est soumis à l</w:t>
      </w:r>
      <w:r w:rsidR="00CA43B1">
        <w:rPr>
          <w:lang w:val="fr-FR"/>
        </w:rPr>
        <w:t>’</w:t>
      </w:r>
      <w:r>
        <w:rPr>
          <w:lang w:val="fr-FR"/>
        </w:rPr>
        <w:t>essai de chute sans pression interne et sans vannes</w:t>
      </w:r>
      <w:r>
        <w:rPr>
          <w:b/>
          <w:bCs/>
          <w:lang w:val="fr-FR"/>
        </w:rPr>
        <w:t xml:space="preserve"> ni conduites d</w:t>
      </w:r>
      <w:r w:rsidR="00CA43B1">
        <w:rPr>
          <w:b/>
          <w:bCs/>
          <w:lang w:val="fr-FR"/>
        </w:rPr>
        <w:t>’</w:t>
      </w:r>
      <w:r>
        <w:rPr>
          <w:b/>
          <w:bCs/>
          <w:lang w:val="fr-FR"/>
        </w:rPr>
        <w:t>alimentation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La surface sur laquelle tombe le spécimen d</w:t>
      </w:r>
      <w:r w:rsidR="00CA43B1">
        <w:rPr>
          <w:lang w:val="fr-FR"/>
        </w:rPr>
        <w:t>’</w:t>
      </w:r>
      <w:r>
        <w:rPr>
          <w:lang w:val="fr-FR"/>
        </w:rPr>
        <w:t>essai doit être une dalle en béton horizontale et lisse ou une surface de dureté équivalente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Aucune mesure ne doit être prise pour empêcher le spécimen d</w:t>
      </w:r>
      <w:r w:rsidR="00CA43B1">
        <w:rPr>
          <w:lang w:val="fr-FR"/>
        </w:rPr>
        <w:t>’</w:t>
      </w:r>
      <w:r>
        <w:rPr>
          <w:lang w:val="fr-FR"/>
        </w:rPr>
        <w:t>essai de rebondir ou de se renverser au cours d</w:t>
      </w:r>
      <w:r w:rsidR="00CA43B1">
        <w:rPr>
          <w:lang w:val="fr-FR"/>
        </w:rPr>
        <w:t>’</w:t>
      </w:r>
      <w:r>
        <w:rPr>
          <w:lang w:val="fr-FR"/>
        </w:rPr>
        <w:t>un essai de chute</w:t>
      </w:r>
      <w:r w:rsidR="00CA43B1">
        <w:rPr>
          <w:lang w:val="fr-FR"/>
        </w:rPr>
        <w:t> ;</w:t>
      </w:r>
      <w:r>
        <w:rPr>
          <w:lang w:val="fr-FR"/>
        </w:rPr>
        <w:t xml:space="preserve"> par contre, il convient de l</w:t>
      </w:r>
      <w:r w:rsidR="00CA43B1">
        <w:rPr>
          <w:lang w:val="fr-FR"/>
        </w:rPr>
        <w:t>’</w:t>
      </w:r>
      <w:r>
        <w:rPr>
          <w:lang w:val="fr-FR"/>
        </w:rPr>
        <w:t>empêcher de se renverser pendant l</w:t>
      </w:r>
      <w:r w:rsidR="00CA43B1">
        <w:rPr>
          <w:lang w:val="fr-FR"/>
        </w:rPr>
        <w:t>’</w:t>
      </w:r>
      <w:r>
        <w:rPr>
          <w:lang w:val="fr-FR"/>
        </w:rPr>
        <w:t>essai de chute verticale</w:t>
      </w:r>
      <w:r w:rsidR="0061424E" w:rsidRPr="0061424E">
        <w:rPr>
          <w:lang w:val="fr-FR"/>
        </w:rPr>
        <w:t>.</w:t>
      </w:r>
    </w:p>
    <w:p w14:paraId="0C042D7E" w14:textId="504959BE" w:rsidR="00381B76" w:rsidRDefault="00381B76" w:rsidP="001B7A18">
      <w:pPr>
        <w:suppressAutoHyphens w:val="0"/>
        <w:kinsoku/>
        <w:overflowPunct/>
        <w:autoSpaceDE/>
        <w:autoSpaceDN/>
        <w:adjustRightInd/>
        <w:snapToGrid/>
        <w:spacing w:after="120"/>
        <w:ind w:left="2268" w:right="1134"/>
        <w:jc w:val="both"/>
      </w:pPr>
      <w:r>
        <w:rPr>
          <w:lang w:val="fr-FR"/>
        </w:rPr>
        <w:t>[</w:t>
      </w:r>
      <w:r w:rsidR="0061424E" w:rsidRPr="0061424E">
        <w:rPr>
          <w:lang w:val="fr-FR"/>
        </w:rPr>
        <w:t>...</w:t>
      </w:r>
      <w:r>
        <w:rPr>
          <w:lang w:val="fr-FR"/>
        </w:rPr>
        <w:t>] »</w:t>
      </w:r>
      <w:r w:rsidR="0061424E" w:rsidRPr="0061424E">
        <w:rPr>
          <w:lang w:val="fr-FR"/>
        </w:rPr>
        <w:t>.</w:t>
      </w:r>
    </w:p>
    <w:p w14:paraId="3EFF89F9" w14:textId="35C4E299" w:rsidR="00381B76" w:rsidRPr="00DC4744" w:rsidRDefault="00381B76" w:rsidP="00CA43B1">
      <w:pPr>
        <w:pStyle w:val="HChG"/>
        <w:rPr>
          <w:color w:val="000000" w:themeColor="text1"/>
        </w:rPr>
      </w:pPr>
      <w:r>
        <w:rPr>
          <w:lang w:val="fr-FR"/>
        </w:rPr>
        <w:lastRenderedPageBreak/>
        <w:tab/>
        <w:t>II</w:t>
      </w:r>
      <w:r w:rsidR="0061424E" w:rsidRPr="0061424E">
        <w:rPr>
          <w:lang w:val="fr-FR"/>
        </w:rPr>
        <w:t>.</w:t>
      </w:r>
      <w:r>
        <w:rPr>
          <w:lang w:val="fr-FR"/>
        </w:rPr>
        <w:tab/>
        <w:t>Justification</w:t>
      </w:r>
    </w:p>
    <w:p w14:paraId="196F9D33" w14:textId="43EEC538" w:rsidR="00CA43B1" w:rsidRDefault="00381B76" w:rsidP="00CA43B1">
      <w:pPr>
        <w:pStyle w:val="SingleTxtG"/>
        <w:rPr>
          <w:lang w:val="fr-FR"/>
        </w:rPr>
      </w:pPr>
      <w:r w:rsidRPr="0061424E">
        <w:rPr>
          <w:lang w:val="fr-FR"/>
        </w:rPr>
        <w:t>1</w:t>
      </w:r>
      <w:r w:rsidR="0061424E" w:rsidRPr="0061424E">
        <w:rPr>
          <w:lang w:val="fr-FR"/>
        </w:rPr>
        <w:t>.</w:t>
      </w:r>
      <w:r>
        <w:rPr>
          <w:lang w:val="fr-FR"/>
        </w:rPr>
        <w:tab/>
        <w:t>Certaines formulations des parties I et II de l</w:t>
      </w:r>
      <w:r w:rsidR="00CA43B1">
        <w:rPr>
          <w:lang w:val="fr-FR"/>
        </w:rPr>
        <w:t>’</w:t>
      </w:r>
      <w:r>
        <w:rPr>
          <w:lang w:val="fr-FR"/>
        </w:rPr>
        <w:t xml:space="preserve">amendement </w:t>
      </w:r>
      <w:r w:rsidRPr="0061424E">
        <w:rPr>
          <w:lang w:val="fr-FR"/>
        </w:rPr>
        <w:t>1</w:t>
      </w:r>
      <w:r>
        <w:rPr>
          <w:lang w:val="fr-FR"/>
        </w:rPr>
        <w:t xml:space="preserve"> au RTM ONU </w:t>
      </w:r>
      <w:r w:rsidR="00CA43B1">
        <w:rPr>
          <w:lang w:val="fr-FR"/>
        </w:rPr>
        <w:t>n</w:t>
      </w:r>
      <w:r w:rsidR="00CA43B1" w:rsidRPr="00CA43B1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61424E">
        <w:rPr>
          <w:lang w:val="fr-FR"/>
        </w:rPr>
        <w:t>13</w:t>
      </w:r>
      <w:r>
        <w:rPr>
          <w:lang w:val="fr-FR"/>
        </w:rPr>
        <w:t xml:space="preserve"> sont contradictoires, ce qui donne lieu à des divergences d</w:t>
      </w:r>
      <w:r w:rsidR="00CA43B1">
        <w:rPr>
          <w:lang w:val="fr-FR"/>
        </w:rPr>
        <w:t>’</w:t>
      </w:r>
      <w:r>
        <w:rPr>
          <w:lang w:val="fr-FR"/>
        </w:rPr>
        <w:t>interprétation entre les différentes Parties contractantes</w:t>
      </w:r>
      <w:r w:rsidR="0061424E" w:rsidRPr="0061424E">
        <w:rPr>
          <w:lang w:val="fr-FR"/>
        </w:rPr>
        <w:t>.</w:t>
      </w:r>
    </w:p>
    <w:p w14:paraId="573F42C7" w14:textId="2D48F1B7" w:rsidR="00CA43B1" w:rsidRDefault="00381B76" w:rsidP="00CA43B1">
      <w:pPr>
        <w:pStyle w:val="SingleTxtG"/>
        <w:rPr>
          <w:lang w:val="fr-FR"/>
        </w:rPr>
      </w:pPr>
      <w:r w:rsidRPr="0061424E">
        <w:rPr>
          <w:lang w:val="fr-FR"/>
        </w:rPr>
        <w:t>2</w:t>
      </w:r>
      <w:r w:rsidR="0061424E" w:rsidRPr="0061424E">
        <w:rPr>
          <w:lang w:val="fr-FR"/>
        </w:rPr>
        <w:t>.</w:t>
      </w:r>
      <w:r>
        <w:rPr>
          <w:lang w:val="fr-FR"/>
        </w:rPr>
        <w:tab/>
        <w:t>Il n</w:t>
      </w:r>
      <w:r w:rsidR="00CA43B1">
        <w:rPr>
          <w:lang w:val="fr-FR"/>
        </w:rPr>
        <w:t>’</w:t>
      </w:r>
      <w:r>
        <w:rPr>
          <w:lang w:val="fr-FR"/>
        </w:rPr>
        <w:t>est pas proposé d</w:t>
      </w:r>
      <w:r w:rsidR="00CA43B1">
        <w:rPr>
          <w:lang w:val="fr-FR"/>
        </w:rPr>
        <w:t>’</w:t>
      </w:r>
      <w:r>
        <w:rPr>
          <w:lang w:val="fr-FR"/>
        </w:rPr>
        <w:t>introduire de nouvelles prescriptions, mais de préciser l</w:t>
      </w:r>
      <w:r w:rsidR="00CA43B1">
        <w:rPr>
          <w:lang w:val="fr-FR"/>
        </w:rPr>
        <w:t>’</w:t>
      </w:r>
      <w:r>
        <w:rPr>
          <w:lang w:val="fr-FR"/>
        </w:rPr>
        <w:t>argumentation et les prescriptions relatives aux essais d</w:t>
      </w:r>
      <w:r w:rsidR="00CA43B1">
        <w:rPr>
          <w:lang w:val="fr-FR"/>
        </w:rPr>
        <w:t>’</w:t>
      </w:r>
      <w:r>
        <w:rPr>
          <w:lang w:val="fr-FR"/>
        </w:rPr>
        <w:t>intégrité mécanique et de durabilité des conduites d</w:t>
      </w:r>
      <w:r w:rsidR="00CA43B1">
        <w:rPr>
          <w:lang w:val="fr-FR"/>
        </w:rPr>
        <w:t>’</w:t>
      </w:r>
      <w:r>
        <w:rPr>
          <w:lang w:val="fr-FR"/>
        </w:rPr>
        <w:t>alimentation des TPRD supplémentaires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La parti</w:t>
      </w:r>
      <w:r w:rsidRPr="003A1FED">
        <w:rPr>
          <w:lang w:val="fr-FR"/>
        </w:rPr>
        <w:t>e I dispose</w:t>
      </w:r>
      <w:r>
        <w:rPr>
          <w:lang w:val="fr-FR"/>
        </w:rPr>
        <w:t xml:space="preserve"> que l</w:t>
      </w:r>
      <w:r w:rsidR="00CA43B1">
        <w:rPr>
          <w:lang w:val="fr-FR"/>
        </w:rPr>
        <w:t>’</w:t>
      </w:r>
      <w:r>
        <w:rPr>
          <w:lang w:val="fr-FR"/>
        </w:rPr>
        <w:t>intégrité mécanique des conduites d</w:t>
      </w:r>
      <w:r w:rsidR="00CA43B1">
        <w:rPr>
          <w:lang w:val="fr-FR"/>
        </w:rPr>
        <w:t>’</w:t>
      </w:r>
      <w:r>
        <w:rPr>
          <w:lang w:val="fr-FR"/>
        </w:rPr>
        <w:t xml:space="preserve">alimentation des TPRD supplémentaires doit être démontrée dans le cadre des essais mentionnés aux paragraphes </w:t>
      </w:r>
      <w:r w:rsidRPr="0061424E">
        <w:rPr>
          <w:lang w:val="fr-FR"/>
        </w:rPr>
        <w:t>5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>
        <w:rPr>
          <w:lang w:val="fr-FR"/>
        </w:rPr>
        <w:t xml:space="preserve"> et </w:t>
      </w:r>
      <w:r w:rsidRPr="0061424E">
        <w:rPr>
          <w:lang w:val="fr-FR"/>
        </w:rPr>
        <w:t>5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1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>
        <w:rPr>
          <w:lang w:val="fr-FR"/>
        </w:rPr>
        <w:t xml:space="preserve"> de la partie II</w:t>
      </w:r>
      <w:r w:rsidR="0061424E" w:rsidRPr="0061424E">
        <w:rPr>
          <w:lang w:val="fr-FR"/>
        </w:rPr>
        <w:t>.</w:t>
      </w:r>
      <w:r>
        <w:rPr>
          <w:lang w:val="fr-FR"/>
        </w:rPr>
        <w:t xml:space="preserve"> Dans la procédure décrite au paragraphe </w:t>
      </w:r>
      <w:r w:rsidRPr="0061424E">
        <w:rPr>
          <w:lang w:val="fr-FR"/>
        </w:rPr>
        <w:t>6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3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>
        <w:rPr>
          <w:lang w:val="fr-FR"/>
        </w:rPr>
        <w:t xml:space="preserve"> de la partie II, il est indiqué que le réservoir muni de ses éventuels accessoires doit être soumis à l</w:t>
      </w:r>
      <w:r w:rsidR="00CA43B1">
        <w:rPr>
          <w:lang w:val="fr-FR"/>
        </w:rPr>
        <w:t>’</w:t>
      </w:r>
      <w:r>
        <w:rPr>
          <w:lang w:val="fr-FR"/>
        </w:rPr>
        <w:t>essai de chute sans pression et sans vannes</w:t>
      </w:r>
      <w:r w:rsidR="0061424E" w:rsidRPr="0061424E">
        <w:rPr>
          <w:lang w:val="fr-FR"/>
        </w:rPr>
        <w:t>.</w:t>
      </w:r>
    </w:p>
    <w:p w14:paraId="3ADBDAE0" w14:textId="524F2561" w:rsidR="00381B76" w:rsidRPr="00DC4744" w:rsidRDefault="00381B76" w:rsidP="00CA43B1">
      <w:pPr>
        <w:pStyle w:val="SingleTxtG"/>
      </w:pPr>
      <w:r w:rsidRPr="0061424E">
        <w:rPr>
          <w:lang w:val="fr-FR"/>
        </w:rPr>
        <w:t>3</w:t>
      </w:r>
      <w:r w:rsidR="0061424E" w:rsidRPr="0061424E">
        <w:rPr>
          <w:lang w:val="fr-FR"/>
        </w:rPr>
        <w:t>.</w:t>
      </w:r>
      <w:r>
        <w:rPr>
          <w:lang w:val="fr-FR"/>
        </w:rPr>
        <w:tab/>
        <w:t>L</w:t>
      </w:r>
      <w:r w:rsidR="00CA43B1">
        <w:rPr>
          <w:lang w:val="fr-FR"/>
        </w:rPr>
        <w:t>’</w:t>
      </w:r>
      <w:r>
        <w:rPr>
          <w:lang w:val="fr-FR"/>
        </w:rPr>
        <w:t xml:space="preserve">amendement </w:t>
      </w:r>
      <w:r w:rsidRPr="0061424E">
        <w:rPr>
          <w:lang w:val="fr-FR"/>
        </w:rPr>
        <w:t>1</w:t>
      </w:r>
      <w:r>
        <w:rPr>
          <w:lang w:val="fr-FR"/>
        </w:rPr>
        <w:t xml:space="preserve"> au RTM ONU </w:t>
      </w:r>
      <w:r w:rsidR="00CA43B1">
        <w:rPr>
          <w:lang w:val="fr-FR"/>
        </w:rPr>
        <w:t>n</w:t>
      </w:r>
      <w:r w:rsidR="00CA43B1" w:rsidRPr="00CA43B1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61424E">
        <w:rPr>
          <w:lang w:val="fr-FR"/>
        </w:rPr>
        <w:t>13</w:t>
      </w:r>
      <w:r>
        <w:rPr>
          <w:lang w:val="fr-FR"/>
        </w:rPr>
        <w:t xml:space="preserve"> doit donc être précisé en ce qui concerne les prescriptions relatives à l</w:t>
      </w:r>
      <w:r w:rsidR="00CA43B1">
        <w:rPr>
          <w:lang w:val="fr-FR"/>
        </w:rPr>
        <w:t>’</w:t>
      </w:r>
      <w:r>
        <w:rPr>
          <w:lang w:val="fr-FR"/>
        </w:rPr>
        <w:t xml:space="preserve">essai décrit au paragraphe </w:t>
      </w:r>
      <w:r w:rsidRPr="0061424E">
        <w:rPr>
          <w:lang w:val="fr-FR"/>
        </w:rPr>
        <w:t>6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3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2</w:t>
      </w:r>
      <w:r>
        <w:rPr>
          <w:lang w:val="fr-FR"/>
        </w:rPr>
        <w:t xml:space="preserve"> de la partie II et les conduites d</w:t>
      </w:r>
      <w:r w:rsidR="00CA43B1">
        <w:rPr>
          <w:lang w:val="fr-FR"/>
        </w:rPr>
        <w:t>’</w:t>
      </w:r>
      <w:r>
        <w:rPr>
          <w:lang w:val="fr-FR"/>
        </w:rPr>
        <w:t xml:space="preserve">alimentation </w:t>
      </w:r>
      <w:r>
        <w:rPr>
          <w:lang w:val="fr-FR"/>
        </w:rPr>
        <w:lastRenderedPageBreak/>
        <w:t>des TPRD supplémentaires doivent être exclues de l</w:t>
      </w:r>
      <w:r w:rsidR="00CA43B1">
        <w:rPr>
          <w:lang w:val="fr-FR"/>
        </w:rPr>
        <w:t>’</w:t>
      </w:r>
      <w:r>
        <w:rPr>
          <w:lang w:val="fr-FR"/>
        </w:rPr>
        <w:t>essai de chute</w:t>
      </w:r>
      <w:r w:rsidR="0061424E" w:rsidRPr="0061424E">
        <w:rPr>
          <w:lang w:val="fr-FR"/>
        </w:rPr>
        <w:t>.</w:t>
      </w:r>
    </w:p>
    <w:p w14:paraId="1F689CD7" w14:textId="4BA77843" w:rsidR="00381B76" w:rsidRPr="00DC4744" w:rsidRDefault="00381B76" w:rsidP="00CA43B1">
      <w:pPr>
        <w:pStyle w:val="SingleTxtG"/>
      </w:pPr>
      <w:r w:rsidRPr="0061424E">
        <w:rPr>
          <w:lang w:val="fr-FR"/>
        </w:rPr>
        <w:t>4</w:t>
      </w:r>
      <w:r w:rsidR="0061424E" w:rsidRPr="0061424E">
        <w:rPr>
          <w:lang w:val="fr-FR"/>
        </w:rPr>
        <w:t>.</w:t>
      </w:r>
      <w:r>
        <w:rPr>
          <w:lang w:val="fr-FR"/>
        </w:rPr>
        <w:tab/>
        <w:t>Tout dommage causé</w:t>
      </w:r>
      <w:r w:rsidR="00CA43B1">
        <w:rPr>
          <w:lang w:val="fr-FR"/>
        </w:rPr>
        <w:t xml:space="preserve"> </w:t>
      </w:r>
      <w:r>
        <w:rPr>
          <w:lang w:val="fr-FR"/>
        </w:rPr>
        <w:t>aux conduites d</w:t>
      </w:r>
      <w:r w:rsidR="00CA43B1">
        <w:rPr>
          <w:lang w:val="fr-FR"/>
        </w:rPr>
        <w:t>’</w:t>
      </w:r>
      <w:r>
        <w:rPr>
          <w:lang w:val="fr-FR"/>
        </w:rPr>
        <w:t>alimentation ou aux vannes par un choc résultant d</w:t>
      </w:r>
      <w:r w:rsidR="00CA43B1">
        <w:rPr>
          <w:lang w:val="fr-FR"/>
        </w:rPr>
        <w:t>’</w:t>
      </w:r>
      <w:r>
        <w:rPr>
          <w:lang w:val="fr-FR"/>
        </w:rPr>
        <w:t>une chute serait visible et, par conséquent, ces dispositifs devraient être remplacés</w:t>
      </w:r>
      <w:r w:rsidR="0061424E" w:rsidRPr="0061424E">
        <w:rPr>
          <w:lang w:val="fr-FR"/>
        </w:rPr>
        <w:t>.</w:t>
      </w:r>
    </w:p>
    <w:p w14:paraId="11F3659A" w14:textId="54999988" w:rsidR="00F9573C" w:rsidRDefault="00381B76" w:rsidP="00CA43B1">
      <w:pPr>
        <w:pStyle w:val="SingleTxtG"/>
        <w:rPr>
          <w:lang w:val="fr-FR"/>
        </w:rPr>
      </w:pPr>
      <w:r w:rsidRPr="0061424E">
        <w:rPr>
          <w:lang w:val="fr-FR"/>
        </w:rPr>
        <w:t>5</w:t>
      </w:r>
      <w:r w:rsidR="0061424E" w:rsidRPr="0061424E">
        <w:rPr>
          <w:lang w:val="fr-FR"/>
        </w:rPr>
        <w:t>.</w:t>
      </w:r>
      <w:r>
        <w:rPr>
          <w:lang w:val="fr-FR"/>
        </w:rPr>
        <w:tab/>
        <w:t xml:space="preserve">Dans la définition figurant au paragraphe </w:t>
      </w:r>
      <w:r w:rsidRPr="0061424E">
        <w:rPr>
          <w:lang w:val="fr-FR"/>
        </w:rPr>
        <w:t>3</w:t>
      </w:r>
      <w:r w:rsidR="0061424E" w:rsidRPr="0061424E">
        <w:rPr>
          <w:lang w:val="fr-FR"/>
        </w:rPr>
        <w:t>.</w:t>
      </w:r>
      <w:r w:rsidRPr="0061424E">
        <w:rPr>
          <w:lang w:val="fr-FR"/>
        </w:rPr>
        <w:t>8</w:t>
      </w:r>
      <w:r>
        <w:rPr>
          <w:lang w:val="fr-FR"/>
        </w:rPr>
        <w:t>, il est donc proposé de préciser que les conduites d</w:t>
      </w:r>
      <w:r w:rsidR="00CA43B1">
        <w:rPr>
          <w:lang w:val="fr-FR"/>
        </w:rPr>
        <w:t>’</w:t>
      </w:r>
      <w:r>
        <w:rPr>
          <w:lang w:val="fr-FR"/>
        </w:rPr>
        <w:t>alimentation des TPRD supplémentaires font partie du système de stockage d</w:t>
      </w:r>
      <w:r w:rsidR="00CA43B1">
        <w:rPr>
          <w:lang w:val="fr-FR"/>
        </w:rPr>
        <w:t>’</w:t>
      </w:r>
      <w:r>
        <w:rPr>
          <w:lang w:val="fr-FR"/>
        </w:rPr>
        <w:t>hydrogène comprimé</w:t>
      </w:r>
      <w:r w:rsidR="0061424E" w:rsidRPr="0061424E">
        <w:rPr>
          <w:lang w:val="fr-FR"/>
        </w:rPr>
        <w:t>.</w:t>
      </w:r>
    </w:p>
    <w:p w14:paraId="67D402EE" w14:textId="4B8151A2" w:rsidR="00381B76" w:rsidRPr="00381B76" w:rsidRDefault="00381B76" w:rsidP="00381B76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1B76" w:rsidRPr="00381B76" w:rsidSect="00381B7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2A8F" w14:textId="77777777" w:rsidR="0041289C" w:rsidRDefault="0041289C" w:rsidP="00F95C08">
      <w:pPr>
        <w:spacing w:line="240" w:lineRule="auto"/>
      </w:pPr>
    </w:p>
  </w:endnote>
  <w:endnote w:type="continuationSeparator" w:id="0">
    <w:p w14:paraId="62F464E7" w14:textId="77777777" w:rsidR="0041289C" w:rsidRPr="00AC3823" w:rsidRDefault="0041289C" w:rsidP="00AC3823">
      <w:pPr>
        <w:pStyle w:val="Footer"/>
      </w:pPr>
    </w:p>
  </w:endnote>
  <w:endnote w:type="continuationNotice" w:id="1">
    <w:p w14:paraId="4726D0D7" w14:textId="77777777" w:rsidR="0041289C" w:rsidRDefault="004128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4054" w14:textId="7A53051D" w:rsidR="00381B76" w:rsidRPr="00381B76" w:rsidRDefault="00381B76" w:rsidP="00381B76">
    <w:pPr>
      <w:pStyle w:val="Footer"/>
      <w:tabs>
        <w:tab w:val="right" w:pos="9638"/>
      </w:tabs>
    </w:pPr>
    <w:r w:rsidRPr="00381B76">
      <w:rPr>
        <w:b/>
        <w:sz w:val="18"/>
      </w:rPr>
      <w:fldChar w:fldCharType="begin"/>
    </w:r>
    <w:r w:rsidRPr="00381B76">
      <w:rPr>
        <w:b/>
        <w:sz w:val="18"/>
      </w:rPr>
      <w:instrText xml:space="preserve"> PAGE  \* MERGEFORMAT </w:instrText>
    </w:r>
    <w:r w:rsidRPr="00381B76">
      <w:rPr>
        <w:b/>
        <w:sz w:val="18"/>
      </w:rPr>
      <w:fldChar w:fldCharType="separate"/>
    </w:r>
    <w:r w:rsidRPr="00381B76">
      <w:rPr>
        <w:b/>
        <w:noProof/>
        <w:sz w:val="18"/>
      </w:rPr>
      <w:t>2</w:t>
    </w:r>
    <w:r w:rsidRPr="00381B76">
      <w:rPr>
        <w:b/>
        <w:sz w:val="18"/>
      </w:rPr>
      <w:fldChar w:fldCharType="end"/>
    </w:r>
    <w:r>
      <w:rPr>
        <w:b/>
        <w:sz w:val="18"/>
      </w:rPr>
      <w:tab/>
    </w:r>
    <w:r>
      <w:t>GE.24-16851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1432" w14:textId="5A9E2971" w:rsidR="00381B76" w:rsidRPr="00381B76" w:rsidRDefault="00381B76" w:rsidP="00381B76">
    <w:pPr>
      <w:pStyle w:val="Footer"/>
      <w:tabs>
        <w:tab w:val="right" w:pos="9638"/>
      </w:tabs>
      <w:rPr>
        <w:b/>
        <w:sz w:val="18"/>
      </w:rPr>
    </w:pPr>
    <w:r>
      <w:t>GE.24-16851</w:t>
    </w:r>
    <w:r>
      <w:tab/>
    </w:r>
    <w:r w:rsidRPr="00381B76">
      <w:rPr>
        <w:b/>
        <w:sz w:val="18"/>
      </w:rPr>
      <w:fldChar w:fldCharType="begin"/>
    </w:r>
    <w:r w:rsidRPr="00381B76">
      <w:rPr>
        <w:b/>
        <w:sz w:val="18"/>
      </w:rPr>
      <w:instrText xml:space="preserve"> PAGE  \* MERGEFORMAT </w:instrText>
    </w:r>
    <w:r w:rsidRPr="00381B76">
      <w:rPr>
        <w:b/>
        <w:sz w:val="18"/>
      </w:rPr>
      <w:fldChar w:fldCharType="separate"/>
    </w:r>
    <w:r w:rsidRPr="00381B76">
      <w:rPr>
        <w:b/>
        <w:noProof/>
        <w:sz w:val="18"/>
      </w:rPr>
      <w:t>3</w:t>
    </w:r>
    <w:r w:rsidRPr="00381B7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A543" w14:textId="24C0AB27" w:rsidR="007F20FA" w:rsidRPr="00381B76" w:rsidRDefault="00381B76" w:rsidP="00381B76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43FD8A46" wp14:editId="45278DD6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24-16851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A641DED" wp14:editId="6862F376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6458368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221024    221024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5740" w14:textId="77777777" w:rsidR="0041289C" w:rsidRPr="00AC3823" w:rsidRDefault="0041289C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7580CD4" w14:textId="77777777" w:rsidR="0041289C" w:rsidRPr="00AC3823" w:rsidRDefault="0041289C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6696BFA" w14:textId="77777777" w:rsidR="0041289C" w:rsidRPr="00AC3823" w:rsidRDefault="0041289C">
      <w:pPr>
        <w:spacing w:line="240" w:lineRule="auto"/>
        <w:rPr>
          <w:sz w:val="2"/>
          <w:szCs w:val="2"/>
        </w:rPr>
      </w:pPr>
    </w:p>
  </w:footnote>
  <w:footnote w:id="2">
    <w:p w14:paraId="72B2869A" w14:textId="02251883" w:rsidR="00381B76" w:rsidRPr="00DC4744" w:rsidRDefault="00381B76" w:rsidP="00381B76">
      <w:pPr>
        <w:pStyle w:val="FootnoteText"/>
      </w:pPr>
      <w:r>
        <w:rPr>
          <w:lang w:val="fr-FR"/>
        </w:rPr>
        <w:tab/>
      </w:r>
      <w:r w:rsidRPr="00F31192">
        <w:rPr>
          <w:rStyle w:val="FootnoteReference"/>
          <w:sz w:val="20"/>
          <w:vertAlign w:val="baseline"/>
        </w:rPr>
        <w:sym w:font="Symbol" w:char="F02A"/>
      </w:r>
      <w:r>
        <w:rPr>
          <w:lang w:val="fr-FR"/>
        </w:rPr>
        <w:tab/>
        <w:t>Conformément au programme de travail du Comité des transports intérieurs pour 2024 tel qu’il figure dans le projet de budget-programme pour 2024 (A/78/6 (Sect. 20), tableau 20.5),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08E7" w14:textId="1CB2DC9E" w:rsidR="00381B76" w:rsidRPr="00381B76" w:rsidRDefault="00381B76">
    <w:pPr>
      <w:pStyle w:val="Header"/>
    </w:pPr>
    <w:fldSimple w:instr=" TITLE  \* MERGEFORMAT ">
      <w:r w:rsidR="009E2C71">
        <w:t>ECE/TRANS/WP.29/GRSP/2024/25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D1FA" w14:textId="15E7A5E7" w:rsidR="00381B76" w:rsidRPr="00381B76" w:rsidRDefault="00381B76" w:rsidP="00381B76">
    <w:pPr>
      <w:pStyle w:val="Header"/>
      <w:jc w:val="right"/>
    </w:pPr>
    <w:fldSimple w:instr=" TITLE  \* MERGEFORMAT ">
      <w:r w:rsidR="009E2C71">
        <w:t>ECE/TRANS/WP.29/GRSP/2024/25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revisionView w:inkAnnotation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9C"/>
    <w:rsid w:val="0001415D"/>
    <w:rsid w:val="00017F94"/>
    <w:rsid w:val="00023842"/>
    <w:rsid w:val="000334F9"/>
    <w:rsid w:val="00045FEB"/>
    <w:rsid w:val="0007796D"/>
    <w:rsid w:val="000B7790"/>
    <w:rsid w:val="000B7C32"/>
    <w:rsid w:val="00111F2F"/>
    <w:rsid w:val="0014365E"/>
    <w:rsid w:val="00143C66"/>
    <w:rsid w:val="00176178"/>
    <w:rsid w:val="001772E5"/>
    <w:rsid w:val="001B7A18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81B76"/>
    <w:rsid w:val="003916DE"/>
    <w:rsid w:val="003A1FED"/>
    <w:rsid w:val="004003BA"/>
    <w:rsid w:val="0041289C"/>
    <w:rsid w:val="00421996"/>
    <w:rsid w:val="00422408"/>
    <w:rsid w:val="00433F60"/>
    <w:rsid w:val="00441C3B"/>
    <w:rsid w:val="00446FE5"/>
    <w:rsid w:val="00452396"/>
    <w:rsid w:val="00477EB2"/>
    <w:rsid w:val="004837D8"/>
    <w:rsid w:val="004C6C18"/>
    <w:rsid w:val="004E2EED"/>
    <w:rsid w:val="004E468C"/>
    <w:rsid w:val="004F4662"/>
    <w:rsid w:val="005505B7"/>
    <w:rsid w:val="00573BE5"/>
    <w:rsid w:val="00586ED3"/>
    <w:rsid w:val="00596AA9"/>
    <w:rsid w:val="0061424E"/>
    <w:rsid w:val="006E24D8"/>
    <w:rsid w:val="00701BCC"/>
    <w:rsid w:val="0071601D"/>
    <w:rsid w:val="007A62E6"/>
    <w:rsid w:val="007F20FA"/>
    <w:rsid w:val="0080684C"/>
    <w:rsid w:val="00871C75"/>
    <w:rsid w:val="008776DC"/>
    <w:rsid w:val="008C176F"/>
    <w:rsid w:val="008D5EF9"/>
    <w:rsid w:val="009446C0"/>
    <w:rsid w:val="009705C8"/>
    <w:rsid w:val="00972ED4"/>
    <w:rsid w:val="009C1CF4"/>
    <w:rsid w:val="009E2C71"/>
    <w:rsid w:val="009E65B9"/>
    <w:rsid w:val="009F4DCA"/>
    <w:rsid w:val="009F6B74"/>
    <w:rsid w:val="00A3029F"/>
    <w:rsid w:val="00A30353"/>
    <w:rsid w:val="00A45961"/>
    <w:rsid w:val="00A71B7B"/>
    <w:rsid w:val="00A747EB"/>
    <w:rsid w:val="00AC3823"/>
    <w:rsid w:val="00AD16E7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CA43B1"/>
    <w:rsid w:val="00CB5C7B"/>
    <w:rsid w:val="00D3439C"/>
    <w:rsid w:val="00D7622E"/>
    <w:rsid w:val="00DB1831"/>
    <w:rsid w:val="00DD37A4"/>
    <w:rsid w:val="00DD3BFD"/>
    <w:rsid w:val="00DF6678"/>
    <w:rsid w:val="00E0299A"/>
    <w:rsid w:val="00E85C74"/>
    <w:rsid w:val="00EA6547"/>
    <w:rsid w:val="00ED7237"/>
    <w:rsid w:val="00EE0DB7"/>
    <w:rsid w:val="00EF2E22"/>
    <w:rsid w:val="00F31192"/>
    <w:rsid w:val="00F35BAF"/>
    <w:rsid w:val="00F660DF"/>
    <w:rsid w:val="00F90460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3B756"/>
  <w15:docId w15:val="{9895CA5B-DEF0-4D36-A51E-A034A78B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B5260-4AB8-47CF-9572-EEF0537DF19B}"/>
</file>

<file path=customXml/itemProps2.xml><?xml version="1.0" encoding="utf-8"?>
<ds:datastoreItem xmlns:ds="http://schemas.openxmlformats.org/officeDocument/2006/customXml" ds:itemID="{C8543936-E5A7-4A69-8400-791A92BC1723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16</TotalTime>
  <Pages>3</Pages>
  <Words>702</Words>
  <Characters>4919</Characters>
  <Application>Microsoft Office Word</Application>
  <DocSecurity>0</DocSecurity>
  <Lines>409</Lines>
  <Paragraphs>224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ECE/TRANS/WP.29/GRSP/2024/25</dc:title>
  <dc:subject/>
  <dc:creator>Luisa PENA-MONTERO</dc:creator>
  <cp:keywords/>
  <cp:lastModifiedBy>Luisa PENA-MONTERO</cp:lastModifiedBy>
  <cp:revision>27</cp:revision>
  <cp:lastPrinted>2024-10-22T10:09:00Z</cp:lastPrinted>
  <dcterms:created xsi:type="dcterms:W3CDTF">2024-10-22T09:35:00Z</dcterms:created>
  <dcterms:modified xsi:type="dcterms:W3CDTF">2024-10-22T10:09:00Z</dcterms:modified>
</cp:coreProperties>
</file>