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1F356F48" w14:textId="77777777" w:rsidTr="00F01738">
        <w:trPr>
          <w:trHeight w:hRule="exact" w:val="851"/>
        </w:trPr>
        <w:tc>
          <w:tcPr>
            <w:tcW w:w="1276" w:type="dxa"/>
            <w:tcBorders>
              <w:bottom w:val="single" w:sz="4" w:space="0" w:color="auto"/>
            </w:tcBorders>
          </w:tcPr>
          <w:p w14:paraId="3DC3894C" w14:textId="77777777" w:rsidR="00132EA9" w:rsidRPr="00DB58B5" w:rsidRDefault="00132EA9" w:rsidP="00F01738"/>
        </w:tc>
        <w:tc>
          <w:tcPr>
            <w:tcW w:w="2268" w:type="dxa"/>
            <w:tcBorders>
              <w:bottom w:val="single" w:sz="4" w:space="0" w:color="auto"/>
            </w:tcBorders>
            <w:vAlign w:val="bottom"/>
          </w:tcPr>
          <w:p w14:paraId="1177072C"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E5ADF4E" w14:textId="2DC674C9" w:rsidR="00132EA9" w:rsidRPr="00A2515D" w:rsidRDefault="00A2515D" w:rsidP="00A2515D">
            <w:pPr>
              <w:jc w:val="right"/>
            </w:pPr>
            <w:r w:rsidRPr="00A2515D">
              <w:rPr>
                <w:sz w:val="40"/>
              </w:rPr>
              <w:t>ST</w:t>
            </w:r>
            <w:r>
              <w:t>/SG/AC.10/C.4/2024/11</w:t>
            </w:r>
          </w:p>
        </w:tc>
      </w:tr>
      <w:tr w:rsidR="00132EA9" w:rsidRPr="00DB58B5" w14:paraId="3DF720C8" w14:textId="77777777" w:rsidTr="00F01738">
        <w:trPr>
          <w:trHeight w:hRule="exact" w:val="2835"/>
        </w:trPr>
        <w:tc>
          <w:tcPr>
            <w:tcW w:w="1276" w:type="dxa"/>
            <w:tcBorders>
              <w:top w:val="single" w:sz="4" w:space="0" w:color="auto"/>
              <w:bottom w:val="single" w:sz="12" w:space="0" w:color="auto"/>
            </w:tcBorders>
          </w:tcPr>
          <w:p w14:paraId="5FFADC9E" w14:textId="77777777" w:rsidR="00132EA9" w:rsidRPr="00DB58B5" w:rsidRDefault="00132EA9" w:rsidP="00F01738">
            <w:pPr>
              <w:spacing w:before="120"/>
              <w:jc w:val="center"/>
            </w:pPr>
            <w:r>
              <w:rPr>
                <w:noProof/>
                <w:lang w:eastAsia="fr-CH"/>
              </w:rPr>
              <w:drawing>
                <wp:inline distT="0" distB="0" distL="0" distR="0" wp14:anchorId="4B3249F6" wp14:editId="634C2FD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5EE93D5"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1CAA2494" w14:textId="77777777" w:rsidR="00132EA9" w:rsidRPr="003675E1" w:rsidRDefault="00ED264F" w:rsidP="00ED264F">
            <w:pPr>
              <w:spacing w:before="240" w:line="240" w:lineRule="exact"/>
            </w:pPr>
            <w:proofErr w:type="spellStart"/>
            <w:r w:rsidRPr="003675E1">
              <w:t>Distr</w:t>
            </w:r>
            <w:proofErr w:type="spellEnd"/>
            <w:r w:rsidRPr="003675E1">
              <w:t>. Générale</w:t>
            </w:r>
          </w:p>
          <w:p w14:paraId="4649FF35" w14:textId="24C4BC1E" w:rsidR="00ED264F" w:rsidRDefault="003675E1" w:rsidP="00ED264F">
            <w:pPr>
              <w:spacing w:line="240" w:lineRule="exact"/>
            </w:pPr>
            <w:r w:rsidRPr="003675E1">
              <w:t>18</w:t>
            </w:r>
            <w:r w:rsidR="00ED264F" w:rsidRPr="003675E1">
              <w:t xml:space="preserve"> </w:t>
            </w:r>
            <w:r w:rsidR="00290FCD" w:rsidRPr="003675E1">
              <w:t xml:space="preserve">septembre </w:t>
            </w:r>
            <w:r w:rsidR="00ED264F" w:rsidRPr="003675E1">
              <w:t>2024</w:t>
            </w:r>
          </w:p>
          <w:p w14:paraId="1FD06BFF" w14:textId="77777777" w:rsidR="00ED264F" w:rsidRDefault="00ED264F" w:rsidP="00ED264F">
            <w:pPr>
              <w:spacing w:line="240" w:lineRule="exact"/>
            </w:pPr>
          </w:p>
          <w:p w14:paraId="19CBE404" w14:textId="3FFC7B25" w:rsidR="00ED264F" w:rsidRPr="00DB58B5" w:rsidRDefault="00ED264F" w:rsidP="00ED264F">
            <w:pPr>
              <w:spacing w:line="240" w:lineRule="exact"/>
            </w:pPr>
            <w:r>
              <w:t xml:space="preserve">Original : </w:t>
            </w:r>
            <w:r w:rsidR="002537AB">
              <w:t xml:space="preserve">anglais et </w:t>
            </w:r>
            <w:r>
              <w:t>français</w:t>
            </w:r>
          </w:p>
        </w:tc>
      </w:tr>
    </w:tbl>
    <w:p w14:paraId="47FC2BE7" w14:textId="77777777" w:rsidR="00ED264F" w:rsidRPr="00CA0680" w:rsidRDefault="00ED264F" w:rsidP="00755D57">
      <w:pPr>
        <w:spacing w:before="120"/>
        <w:rPr>
          <w:b/>
          <w:sz w:val="24"/>
          <w:szCs w:val="24"/>
        </w:rPr>
      </w:pPr>
      <w:r w:rsidRPr="00CA0680">
        <w:rPr>
          <w:b/>
          <w:sz w:val="24"/>
          <w:szCs w:val="24"/>
        </w:rPr>
        <w:t>Comité d’experts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d’étiquetage</w:t>
      </w:r>
      <w:r>
        <w:rPr>
          <w:b/>
          <w:sz w:val="24"/>
          <w:szCs w:val="24"/>
        </w:rPr>
        <w:t xml:space="preserve"> </w:t>
      </w:r>
      <w:r w:rsidRPr="00CA0680">
        <w:rPr>
          <w:b/>
          <w:sz w:val="24"/>
          <w:szCs w:val="24"/>
        </w:rPr>
        <w:t>des produits chimiques</w:t>
      </w:r>
    </w:p>
    <w:p w14:paraId="302D29DD" w14:textId="77777777" w:rsidR="00ED264F" w:rsidRPr="00CA0680" w:rsidRDefault="00ED264F" w:rsidP="00755D57">
      <w:pPr>
        <w:spacing w:before="120"/>
        <w:rPr>
          <w:b/>
        </w:rPr>
      </w:pPr>
      <w:r w:rsidRPr="00CA0680">
        <w:rPr>
          <w:b/>
        </w:rPr>
        <w:t>Sous</w:t>
      </w:r>
      <w:r>
        <w:rPr>
          <w:b/>
        </w:rPr>
        <w:t>-</w:t>
      </w:r>
      <w:r w:rsidRPr="00CA0680">
        <w:rPr>
          <w:b/>
        </w:rPr>
        <w:t xml:space="preserve">Comité d’experts </w:t>
      </w:r>
      <w:r>
        <w:rPr>
          <w:b/>
        </w:rPr>
        <w:t>du Système général harmonisé</w:t>
      </w:r>
      <w:r>
        <w:rPr>
          <w:b/>
        </w:rPr>
        <w:br/>
        <w:t>de classification et d’étiquetage des produits chimiques</w:t>
      </w:r>
    </w:p>
    <w:p w14:paraId="4FABE12B" w14:textId="6C9DE4D0" w:rsidR="00ED264F" w:rsidRPr="00775023" w:rsidRDefault="002537AB" w:rsidP="00755D57">
      <w:pPr>
        <w:spacing w:before="120"/>
        <w:rPr>
          <w:b/>
          <w:bCs/>
        </w:rPr>
      </w:pPr>
      <w:r w:rsidRPr="00775023">
        <w:rPr>
          <w:b/>
          <w:bCs/>
          <w:color w:val="000000" w:themeColor="text1"/>
        </w:rPr>
        <w:t>Quarante-septième</w:t>
      </w:r>
      <w:r w:rsidR="00ED264F" w:rsidRPr="00775023">
        <w:rPr>
          <w:b/>
          <w:bCs/>
        </w:rPr>
        <w:t xml:space="preserve"> session</w:t>
      </w:r>
    </w:p>
    <w:p w14:paraId="0FEA1F51" w14:textId="0B89CA60" w:rsidR="00ED264F" w:rsidRPr="009E7F56" w:rsidRDefault="00ED264F" w:rsidP="00755D57">
      <w:r w:rsidRPr="009E7F56">
        <w:t xml:space="preserve">Genève, </w:t>
      </w:r>
      <w:r w:rsidR="002537AB" w:rsidRPr="009E7F56">
        <w:t>4-6 décembre 2024</w:t>
      </w:r>
    </w:p>
    <w:p w14:paraId="23C02119" w14:textId="4833A320" w:rsidR="00ED264F" w:rsidRPr="009E7F56" w:rsidRDefault="00ED264F" w:rsidP="00755D57">
      <w:r w:rsidRPr="009E7F56">
        <w:t xml:space="preserve">Point </w:t>
      </w:r>
      <w:r w:rsidR="002537AB" w:rsidRPr="009E7F56">
        <w:t xml:space="preserve">2 a) </w:t>
      </w:r>
      <w:r w:rsidRPr="009E7F56">
        <w:t>de l’ordre du jour provisoire</w:t>
      </w:r>
    </w:p>
    <w:p w14:paraId="5FCEEEFE" w14:textId="386D2C4C" w:rsidR="009D0B19" w:rsidRPr="00775023" w:rsidRDefault="00882E86" w:rsidP="0035581C">
      <w:pPr>
        <w:rPr>
          <w:b/>
          <w:bCs/>
        </w:rPr>
      </w:pPr>
      <w:r w:rsidRPr="00775023">
        <w:rPr>
          <w:b/>
          <w:bCs/>
          <w:lang w:val="fr-FR"/>
        </w:rPr>
        <w:t xml:space="preserve">Travaux relatifs au Système général harmonisé de classification </w:t>
      </w:r>
      <w:r w:rsidR="0035581C" w:rsidRPr="00775023">
        <w:rPr>
          <w:b/>
          <w:bCs/>
          <w:lang w:val="fr-FR"/>
        </w:rPr>
        <w:br/>
      </w:r>
      <w:r w:rsidRPr="00775023">
        <w:rPr>
          <w:b/>
          <w:bCs/>
          <w:lang w:val="fr-FR"/>
        </w:rPr>
        <w:t>et d’étiquetage des produits chimiques :</w:t>
      </w:r>
      <w:r w:rsidR="004B10B2">
        <w:rPr>
          <w:lang w:val="fr-FR"/>
        </w:rPr>
        <w:br/>
      </w:r>
      <w:r w:rsidR="00915064" w:rsidRPr="00775023">
        <w:rPr>
          <w:b/>
          <w:bCs/>
        </w:rPr>
        <w:t xml:space="preserve">Recommandations formulées par le Sous-Comité à ses </w:t>
      </w:r>
      <w:r w:rsidR="00915064" w:rsidRPr="00775023">
        <w:rPr>
          <w:b/>
          <w:bCs/>
          <w:color w:val="000000" w:themeColor="text1"/>
        </w:rPr>
        <w:t xml:space="preserve">quarante-quatrième, </w:t>
      </w:r>
      <w:r w:rsidR="0035581C">
        <w:rPr>
          <w:b/>
          <w:bCs/>
          <w:color w:val="000000" w:themeColor="text1"/>
        </w:rPr>
        <w:br/>
      </w:r>
      <w:r w:rsidR="00915064" w:rsidRPr="00775023">
        <w:rPr>
          <w:b/>
          <w:bCs/>
          <w:color w:val="000000" w:themeColor="text1"/>
        </w:rPr>
        <w:t>quarante-cinquième et quarante-sixième sessions</w:t>
      </w:r>
    </w:p>
    <w:p w14:paraId="452ED224" w14:textId="77777777" w:rsidR="00246D13" w:rsidRPr="00915064" w:rsidRDefault="00246D13" w:rsidP="00246D13">
      <w:pPr>
        <w:pStyle w:val="HChG"/>
        <w:rPr>
          <w:color w:val="000000" w:themeColor="text1"/>
        </w:rPr>
      </w:pPr>
      <w:r w:rsidRPr="009E7F56">
        <w:rPr>
          <w:color w:val="000000" w:themeColor="text1"/>
        </w:rPr>
        <w:tab/>
      </w:r>
      <w:r w:rsidRPr="009E7F56">
        <w:rPr>
          <w:color w:val="000000" w:themeColor="text1"/>
        </w:rPr>
        <w:tab/>
        <w:t>Liste récapitulative</w:t>
      </w:r>
      <w:r w:rsidRPr="00915064">
        <w:rPr>
          <w:color w:val="000000" w:themeColor="text1"/>
        </w:rPr>
        <w:t xml:space="preserve"> des projets d’amendements adoptés par le Sous-Comité à ses quarante-quatrième, quarante-cinquième et </w:t>
      </w:r>
      <w:r w:rsidRPr="00775023">
        <w:rPr>
          <w:color w:val="000000" w:themeColor="text1"/>
        </w:rPr>
        <w:t>quarante-sixième</w:t>
      </w:r>
      <w:r w:rsidRPr="00915064">
        <w:rPr>
          <w:color w:val="000000" w:themeColor="text1"/>
        </w:rPr>
        <w:t xml:space="preserve"> sessions</w:t>
      </w:r>
    </w:p>
    <w:p w14:paraId="30408F36" w14:textId="77777777" w:rsidR="00246D13" w:rsidRPr="00915064" w:rsidRDefault="00246D13" w:rsidP="00246D13">
      <w:pPr>
        <w:pStyle w:val="H1G"/>
      </w:pPr>
      <w:r w:rsidRPr="00915064">
        <w:tab/>
      </w:r>
      <w:r w:rsidRPr="00915064">
        <w:tab/>
        <w:t>Note du secrétariat</w:t>
      </w:r>
      <w:r w:rsidRPr="00915064">
        <w:rPr>
          <w:rStyle w:val="Appelnotedebasdep"/>
          <w:sz w:val="20"/>
        </w:rPr>
        <w:footnoteReference w:customMarkFollows="1" w:id="2"/>
        <w:t>*</w:t>
      </w:r>
    </w:p>
    <w:p w14:paraId="37C2E62E" w14:textId="7BF90041" w:rsidR="0073641B" w:rsidRDefault="00246D13" w:rsidP="00246D13">
      <w:pPr>
        <w:pStyle w:val="SingleTxtG"/>
      </w:pPr>
      <w:r w:rsidRPr="00915064">
        <w:t>Le présent document contient la liste récapitulative des projets d'amendements à la dixième édition révisée du Système général harmonisé de classification et d'étiquetage des produits chimiques (SGH) (ST/SG/AC.10/30/Rev.10) adoptés par le Sous-Comité à ses quarante-</w:t>
      </w:r>
      <w:r w:rsidRPr="00931734">
        <w:t xml:space="preserve">quatrième, quarante-cinquième et </w:t>
      </w:r>
      <w:r w:rsidRPr="00775023">
        <w:t>quarante-sixième</w:t>
      </w:r>
      <w:r w:rsidRPr="00931734">
        <w:t xml:space="preserve"> sessions.</w:t>
      </w:r>
      <w:r w:rsidRPr="00AA014A">
        <w:t xml:space="preserve"> </w:t>
      </w:r>
    </w:p>
    <w:p w14:paraId="1A8BAAA3" w14:textId="77777777" w:rsidR="0073641B" w:rsidRDefault="0073641B">
      <w:r>
        <w:br w:type="page"/>
      </w:r>
    </w:p>
    <w:p w14:paraId="4B054B33" w14:textId="77777777" w:rsidR="00246D13" w:rsidRPr="00AA014A" w:rsidRDefault="00246D13" w:rsidP="00246D13">
      <w:pPr>
        <w:pStyle w:val="H1G"/>
        <w:rPr>
          <w:b w:val="0"/>
        </w:rPr>
      </w:pPr>
      <w:r w:rsidRPr="00AA014A">
        <w:rPr>
          <w:bCs/>
        </w:rPr>
        <w:lastRenderedPageBreak/>
        <w:tab/>
      </w:r>
      <w:r w:rsidRPr="00AA014A">
        <w:rPr>
          <w:bCs/>
        </w:rPr>
        <w:tab/>
      </w:r>
      <w:r>
        <w:rPr>
          <w:bCs/>
        </w:rPr>
        <w:t>C</w:t>
      </w:r>
      <w:r w:rsidRPr="00AA014A">
        <w:rPr>
          <w:bCs/>
        </w:rPr>
        <w:t>hapitre 1.2</w:t>
      </w:r>
    </w:p>
    <w:p w14:paraId="2522D139" w14:textId="77777777" w:rsidR="00246D13" w:rsidRPr="00AA014A" w:rsidRDefault="00246D13" w:rsidP="00246D13">
      <w:pPr>
        <w:pStyle w:val="SingleTxtG"/>
        <w:rPr>
          <w:bCs/>
        </w:rPr>
      </w:pPr>
      <w:r w:rsidRPr="00AA014A">
        <w:t>Dans la définition du « </w:t>
      </w:r>
      <w:r w:rsidRPr="00AA014A">
        <w:rPr>
          <w:i/>
          <w:iCs/>
        </w:rPr>
        <w:t>potentiel d’appauvrissement de la couche d’ozone</w:t>
      </w:r>
      <w:r w:rsidRPr="00AA014A">
        <w:t> », supprimer « </w:t>
      </w:r>
      <w:r w:rsidRPr="00AA014A">
        <w:rPr>
          <w:i/>
          <w:iCs/>
        </w:rPr>
        <w:t>(ODP)</w:t>
      </w:r>
      <w:r w:rsidRPr="00AA014A">
        <w:t> » dans la première phrase.</w:t>
      </w:r>
    </w:p>
    <w:p w14:paraId="43C14E8D" w14:textId="77777777" w:rsidR="00246D13" w:rsidRPr="00AA014A" w:rsidRDefault="00246D13" w:rsidP="00246D13">
      <w:pPr>
        <w:pStyle w:val="SingleTxtG"/>
      </w:pPr>
      <w:r w:rsidRPr="00AA014A">
        <w:t>Ajouter la nouvelle définition suivante dans l’ordre alphabétique :</w:t>
      </w:r>
    </w:p>
    <w:p w14:paraId="69EF3EB4" w14:textId="42892C83" w:rsidR="00246D13" w:rsidRPr="00AA014A" w:rsidRDefault="00246D13" w:rsidP="00246D13">
      <w:pPr>
        <w:pStyle w:val="SingleTxtG"/>
      </w:pPr>
      <w:r w:rsidRPr="00AA014A">
        <w:t>« </w:t>
      </w:r>
      <w:r w:rsidRPr="00AA014A">
        <w:rPr>
          <w:i/>
          <w:iCs/>
        </w:rPr>
        <w:t>Potentiel de réchauffement de la planète</w:t>
      </w:r>
      <w:r w:rsidRPr="00AA014A">
        <w:t>, une mesure comparative de la capacité d’une substance ou d’un mélange à piéger la chaleur dans l’atmosphère par rapport à un gaz de référence (en général, le dioxyde de carbone). Il est défini officiellement comme le forçage radiatif cumulé (effets directs et indirects), sur une période donnée, résultant de l’émission d’une unité de masse d’un gaz par rapport à une unité équivalente de dioxyde de carbone (gaz de référence). ».</w:t>
      </w:r>
    </w:p>
    <w:p w14:paraId="33F9E54B" w14:textId="54FADE4D" w:rsidR="00D07275" w:rsidRDefault="00246D13" w:rsidP="002B1751">
      <w:pPr>
        <w:pStyle w:val="H1G"/>
        <w:rPr>
          <w:bCs/>
        </w:rPr>
      </w:pPr>
      <w:r w:rsidRPr="00775023">
        <w:rPr>
          <w:bCs/>
        </w:rPr>
        <w:tab/>
      </w:r>
      <w:r w:rsidRPr="00775023">
        <w:rPr>
          <w:bCs/>
        </w:rPr>
        <w:tab/>
      </w:r>
      <w:r w:rsidR="002B1751" w:rsidRPr="00AA014A">
        <w:rPr>
          <w:bCs/>
        </w:rPr>
        <w:tab/>
      </w:r>
      <w:r w:rsidR="00D07275">
        <w:rPr>
          <w:bCs/>
        </w:rPr>
        <w:t>Chapitre 2.2</w:t>
      </w:r>
    </w:p>
    <w:p w14:paraId="5AE79306" w14:textId="461D3035" w:rsidR="00D07275" w:rsidRDefault="00E85040" w:rsidP="00775023">
      <w:pPr>
        <w:pStyle w:val="SingleTxtG"/>
      </w:pPr>
      <w:r>
        <w:t>2.2.2</w:t>
      </w:r>
      <w:r>
        <w:tab/>
      </w:r>
      <w:r w:rsidR="00D44445">
        <w:tab/>
        <w:t>Au nota 2 sous le tableau 2.2.1, remplacer « </w:t>
      </w:r>
      <w:r w:rsidR="00B2138E">
        <w:t xml:space="preserve">Les </w:t>
      </w:r>
      <w:r w:rsidR="00EC574F">
        <w:t>aérosols » par « </w:t>
      </w:r>
      <w:r w:rsidR="00B2138E">
        <w:t xml:space="preserve">Les </w:t>
      </w:r>
      <w:r w:rsidR="00EC574F">
        <w:t xml:space="preserve">aérosols et </w:t>
      </w:r>
      <w:r w:rsidR="00B2138E">
        <w:t xml:space="preserve">les </w:t>
      </w:r>
      <w:r w:rsidR="00EC574F">
        <w:t>produits chimiques sous pression »</w:t>
      </w:r>
      <w:r w:rsidR="00007636">
        <w:t>.</w:t>
      </w:r>
    </w:p>
    <w:p w14:paraId="194C1C1E" w14:textId="6152D0EC" w:rsidR="002B0E26" w:rsidRDefault="002B0E26" w:rsidP="002B0E26">
      <w:pPr>
        <w:pStyle w:val="H1G"/>
        <w:rPr>
          <w:bCs/>
        </w:rPr>
      </w:pPr>
      <w:r w:rsidRPr="009D2487">
        <w:rPr>
          <w:bCs/>
        </w:rPr>
        <w:tab/>
      </w:r>
      <w:r w:rsidRPr="009D2487">
        <w:rPr>
          <w:bCs/>
        </w:rPr>
        <w:tab/>
      </w:r>
      <w:r w:rsidRPr="00AA014A">
        <w:rPr>
          <w:bCs/>
        </w:rPr>
        <w:tab/>
      </w:r>
      <w:r>
        <w:rPr>
          <w:bCs/>
        </w:rPr>
        <w:t>Chapitre 2.3</w:t>
      </w:r>
    </w:p>
    <w:p w14:paraId="22132031" w14:textId="62491E3E" w:rsidR="002B0E26" w:rsidRDefault="002B0E26" w:rsidP="002B0E26">
      <w:pPr>
        <w:pStyle w:val="SingleTxtG"/>
      </w:pPr>
      <w:r w:rsidRPr="00775023">
        <w:t>2.3.1.1</w:t>
      </w:r>
      <w:r w:rsidRPr="00775023">
        <w:tab/>
      </w:r>
      <w:r>
        <w:tab/>
        <w:t>Modifier pour lire comme suit :</w:t>
      </w:r>
    </w:p>
    <w:p w14:paraId="5114B41D" w14:textId="08E70B70" w:rsidR="00EA3414" w:rsidRPr="00F8560D" w:rsidRDefault="00EA3414" w:rsidP="00775023">
      <w:pPr>
        <w:pStyle w:val="SingleTxtG"/>
        <w:ind w:left="2268"/>
        <w:rPr>
          <w:noProof/>
        </w:rPr>
      </w:pPr>
      <w:r>
        <w:rPr>
          <w:noProof/>
        </w:rPr>
        <w:t>« </w:t>
      </w:r>
      <w:r w:rsidRPr="00775023">
        <w:rPr>
          <w:b/>
          <w:bCs/>
          <w:noProof/>
        </w:rPr>
        <w:t>2.3.1.1</w:t>
      </w:r>
      <w:r w:rsidRPr="00775023">
        <w:rPr>
          <w:b/>
          <w:bCs/>
          <w:i/>
          <w:iCs/>
          <w:noProof/>
        </w:rPr>
        <w:tab/>
        <w:t>Définition</w:t>
      </w:r>
      <w:r w:rsidR="00E164F3" w:rsidRPr="00775023">
        <w:rPr>
          <w:b/>
          <w:bCs/>
          <w:i/>
          <w:iCs/>
          <w:noProof/>
        </w:rPr>
        <w:t xml:space="preserve"> </w:t>
      </w:r>
      <w:r w:rsidR="00C0303B" w:rsidRPr="00775023">
        <w:rPr>
          <w:b/>
          <w:bCs/>
          <w:i/>
          <w:iCs/>
          <w:noProof/>
        </w:rPr>
        <w:t>et considérations générales</w:t>
      </w:r>
    </w:p>
    <w:p w14:paraId="224E9361" w14:textId="17CD36AA" w:rsidR="00EA3414" w:rsidRPr="00F8560D" w:rsidRDefault="00C0303B" w:rsidP="00775023">
      <w:pPr>
        <w:pStyle w:val="SingleTxtG"/>
        <w:tabs>
          <w:tab w:val="left" w:pos="3402"/>
        </w:tabs>
        <w:ind w:left="2268"/>
        <w:rPr>
          <w:noProof/>
        </w:rPr>
      </w:pPr>
      <w:r>
        <w:rPr>
          <w:noProof/>
        </w:rPr>
        <w:t>2.3.1.1.1</w:t>
      </w:r>
      <w:r w:rsidR="00EA3414" w:rsidRPr="00F8560D">
        <w:rPr>
          <w:noProof/>
        </w:rPr>
        <w:tab/>
      </w:r>
      <w:r w:rsidR="00F90A1C">
        <w:rPr>
          <w:noProof/>
        </w:rPr>
        <w:tab/>
      </w:r>
      <w:r w:rsidR="00EA3414" w:rsidRPr="00F8560D">
        <w:rPr>
          <w:noProof/>
        </w:rPr>
        <w:t xml:space="preserve">Par </w:t>
      </w:r>
      <w:r w:rsidR="00EA3414" w:rsidRPr="00775023">
        <w:rPr>
          <w:i/>
          <w:iCs/>
          <w:noProof/>
        </w:rPr>
        <w:t>aérosols, on entend les générateurs d’aérosols</w:t>
      </w:r>
      <w:r w:rsidR="00EA3414" w:rsidRPr="00F8560D">
        <w:rPr>
          <w:noProof/>
        </w:rPr>
        <w:t>, c’est-à-dire des récipients non rechargeables faits de métal, de verre ou de plastique, contenant un gaz comprimé, liquéfié ou dissous sous pression, avec ou sans liquide, pâte ou poudre, munis d’un dispositif de détente permettant d’en expulser le contenu sous forme de particules solides ou liquides en suspension dans un gaz, ou sous forme de mousse, de pâte ou de poudre ou encore à l’état liquide ou gazeux.</w:t>
      </w:r>
      <w:r w:rsidR="00F90A1C">
        <w:rPr>
          <w:noProof/>
        </w:rPr>
        <w:t xml:space="preserve"> </w:t>
      </w:r>
    </w:p>
    <w:p w14:paraId="6AC5726D" w14:textId="0210B509" w:rsidR="00F90A1C" w:rsidRDefault="00F90A1C" w:rsidP="00775023">
      <w:pPr>
        <w:pStyle w:val="SingleTxtG"/>
        <w:tabs>
          <w:tab w:val="left" w:pos="3402"/>
        </w:tabs>
        <w:ind w:left="2268"/>
        <w:rPr>
          <w:noProof/>
        </w:rPr>
      </w:pPr>
      <w:r w:rsidRPr="00775023">
        <w:rPr>
          <w:noProof/>
        </w:rPr>
        <w:t>2.3.1.</w:t>
      </w:r>
      <w:r w:rsidR="000F2103">
        <w:rPr>
          <w:noProof/>
        </w:rPr>
        <w:t>1.</w:t>
      </w:r>
      <w:r w:rsidRPr="00775023">
        <w:rPr>
          <w:noProof/>
        </w:rPr>
        <w:t>2</w:t>
      </w:r>
      <w:r w:rsidRPr="00775023">
        <w:rPr>
          <w:noProof/>
        </w:rPr>
        <w:tab/>
      </w:r>
      <w:r w:rsidRPr="00775023">
        <w:rPr>
          <w:noProof/>
        </w:rPr>
        <w:tab/>
      </w:r>
      <w:r w:rsidRPr="00F8560D">
        <w:rPr>
          <w:noProof/>
        </w:rPr>
        <w:t xml:space="preserve">Les aérosols n'entrent pas, en </w:t>
      </w:r>
      <w:r w:rsidR="001775C8">
        <w:rPr>
          <w:noProof/>
        </w:rPr>
        <w:t>outre</w:t>
      </w:r>
      <w:r w:rsidRPr="00F8560D">
        <w:rPr>
          <w:noProof/>
        </w:rPr>
        <w:t xml:space="preserve">, dans le champ d'application de la section 2.3.2 (Produits chimiques sous pression), </w:t>
      </w:r>
      <w:r w:rsidR="00386200">
        <w:rPr>
          <w:noProof/>
        </w:rPr>
        <w:t>et</w:t>
      </w:r>
      <w:r w:rsidR="00386200" w:rsidRPr="00F8560D">
        <w:rPr>
          <w:noProof/>
        </w:rPr>
        <w:t xml:space="preserve"> </w:t>
      </w:r>
      <w:r w:rsidRPr="00F8560D">
        <w:rPr>
          <w:noProof/>
        </w:rPr>
        <w:t>des chapitres </w:t>
      </w:r>
      <w:r w:rsidR="00386200" w:rsidRPr="00F8560D">
        <w:rPr>
          <w:noProof/>
        </w:rPr>
        <w:t xml:space="preserve"> 2.2 (Gaz inflammables), </w:t>
      </w:r>
      <w:r w:rsidRPr="00F8560D">
        <w:rPr>
          <w:noProof/>
        </w:rPr>
        <w:t xml:space="preserve">2.5 (Gaz sous pression), 2.6 (Liquides inflammables) </w:t>
      </w:r>
      <w:r w:rsidR="00A0387C">
        <w:rPr>
          <w:noProof/>
        </w:rPr>
        <w:t>et </w:t>
      </w:r>
      <w:r w:rsidRPr="00F8560D">
        <w:rPr>
          <w:noProof/>
        </w:rPr>
        <w:t>2.7 (Matières solides inflammables). En fonction de leurs composants, les aérosols peuvent toutefois relever du champ d'application d'autres classes de danger</w:t>
      </w:r>
      <w:r w:rsidR="005418AA">
        <w:rPr>
          <w:noProof/>
        </w:rPr>
        <w:t>.</w:t>
      </w:r>
    </w:p>
    <w:p w14:paraId="5914665B" w14:textId="39B63FED" w:rsidR="007E61F1" w:rsidRDefault="00652BB5" w:rsidP="00BE2A54">
      <w:pPr>
        <w:pStyle w:val="SingleTxtG"/>
        <w:ind w:left="2268"/>
        <w:rPr>
          <w:b/>
          <w:bCs/>
          <w:i/>
          <w:iCs/>
          <w:noProof/>
        </w:rPr>
      </w:pPr>
      <w:r w:rsidRPr="00775023">
        <w:rPr>
          <w:b/>
          <w:bCs/>
          <w:i/>
          <w:iCs/>
          <w:noProof/>
        </w:rPr>
        <w:t xml:space="preserve">NOTA : </w:t>
      </w:r>
      <w:r w:rsidR="00646B65" w:rsidRPr="00775023">
        <w:rPr>
          <w:i/>
          <w:iCs/>
          <w:noProof/>
        </w:rPr>
        <w:t>Pour certains secteurs, tels que le secteur des transports, il peut exister d’autres dispositions spécifiques concernant l’applicabilité de classes de danger supplémentaires. S’agissant du transport des aérosols, voir la disposition spéciale 63 du Règlement type</w:t>
      </w:r>
      <w:r w:rsidR="00A0387C">
        <w:rPr>
          <w:i/>
          <w:iCs/>
          <w:noProof/>
        </w:rPr>
        <w:t xml:space="preserve"> de l’ONU</w:t>
      </w:r>
      <w:r w:rsidR="00646B65" w:rsidRPr="00775023">
        <w:rPr>
          <w:i/>
          <w:iCs/>
          <w:noProof/>
        </w:rPr>
        <w:t>. ».</w:t>
      </w:r>
    </w:p>
    <w:p w14:paraId="5C7C72E3" w14:textId="77777777" w:rsidR="00DB40ED" w:rsidRPr="00B51742" w:rsidRDefault="00DB40ED" w:rsidP="00DB40ED">
      <w:pPr>
        <w:pStyle w:val="SingleTxtG"/>
        <w:rPr>
          <w:noProof/>
        </w:rPr>
      </w:pPr>
      <w:r w:rsidRPr="00967C10">
        <w:rPr>
          <w:noProof/>
        </w:rPr>
        <w:t>2.3.1.2.1</w:t>
      </w:r>
      <w:r w:rsidRPr="00967C10">
        <w:rPr>
          <w:noProof/>
        </w:rPr>
        <w:tab/>
      </w:r>
      <w:r>
        <w:rPr>
          <w:noProof/>
        </w:rPr>
        <w:t>Supprimer les notas 1 et 3 actuels sous le tableau 2.3.1.</w:t>
      </w:r>
    </w:p>
    <w:p w14:paraId="3579516E" w14:textId="00376957" w:rsidR="00025238" w:rsidRDefault="00025238" w:rsidP="00775023">
      <w:pPr>
        <w:pStyle w:val="SingleTxtG"/>
        <w:rPr>
          <w:noProof/>
        </w:rPr>
      </w:pPr>
      <w:r w:rsidRPr="00775023">
        <w:rPr>
          <w:noProof/>
        </w:rPr>
        <w:t>2.3.1.2.2 (no</w:t>
      </w:r>
      <w:r>
        <w:rPr>
          <w:noProof/>
        </w:rPr>
        <w:t>u</w:t>
      </w:r>
      <w:r w:rsidRPr="00775023">
        <w:rPr>
          <w:noProof/>
        </w:rPr>
        <w:t>veau)</w:t>
      </w:r>
      <w:r>
        <w:rPr>
          <w:noProof/>
        </w:rPr>
        <w:tab/>
        <w:t>Le nota 2 actuel sous le tableau 2.3.1</w:t>
      </w:r>
      <w:r w:rsidR="006E1672">
        <w:rPr>
          <w:noProof/>
        </w:rPr>
        <w:t xml:space="preserve"> devient le nouveau paragraph</w:t>
      </w:r>
      <w:r w:rsidR="00D429C8">
        <w:rPr>
          <w:noProof/>
        </w:rPr>
        <w:t> </w:t>
      </w:r>
      <w:r w:rsidR="006E1672">
        <w:rPr>
          <w:noProof/>
        </w:rPr>
        <w:t>2.3.1.2.2 tel que modifié pour lire comme suit :</w:t>
      </w:r>
    </w:p>
    <w:p w14:paraId="575E3D8F" w14:textId="7057C6DE" w:rsidR="008B2B4F" w:rsidRPr="00ED4C23" w:rsidRDefault="008B2B4F" w:rsidP="00775023">
      <w:pPr>
        <w:pStyle w:val="SingleTxtG"/>
        <w:tabs>
          <w:tab w:val="clear" w:pos="2835"/>
        </w:tabs>
        <w:ind w:left="2268" w:hanging="567"/>
        <w:rPr>
          <w:lang w:val="fr-FR"/>
        </w:rPr>
      </w:pPr>
      <w:r>
        <w:rPr>
          <w:noProof/>
        </w:rPr>
        <w:tab/>
      </w:r>
      <w:r>
        <w:rPr>
          <w:noProof/>
        </w:rPr>
        <w:tab/>
      </w:r>
      <w:r w:rsidR="006E1672" w:rsidRPr="00ED4C23">
        <w:rPr>
          <w:noProof/>
        </w:rPr>
        <w:t>« </w:t>
      </w:r>
      <w:r w:rsidRPr="00775023">
        <w:rPr>
          <w:lang w:val="fr-FR"/>
        </w:rPr>
        <w:t>2.3.1.2.2</w:t>
      </w:r>
      <w:r w:rsidRPr="00ED4C23">
        <w:rPr>
          <w:lang w:val="fr-FR"/>
        </w:rPr>
        <w:tab/>
        <w:t xml:space="preserve">Les aérosols contenant plus de 1 % de composants inflammables ou avec une chaleur de combustion d’au moins 20 kJ/g </w:t>
      </w:r>
      <w:r w:rsidRPr="00775023">
        <w:rPr>
          <w:lang w:val="fr-FR"/>
        </w:rPr>
        <w:t>qui n’ont pas été soumis aux épreuves visées au troisième alinéa du 2.3.1.2.1</w:t>
      </w:r>
      <w:r w:rsidRPr="00775023">
        <w:rPr>
          <w:b/>
          <w:bCs/>
          <w:lang w:val="fr-FR"/>
        </w:rPr>
        <w:t xml:space="preserve"> </w:t>
      </w:r>
      <w:r w:rsidRPr="00ED4C23">
        <w:rPr>
          <w:lang w:val="fr-FR"/>
        </w:rPr>
        <w:t>doivent être classés en tant qu’aérosols, catégorie 1. ».</w:t>
      </w:r>
    </w:p>
    <w:p w14:paraId="421AE1E7" w14:textId="3C5C6E7F" w:rsidR="006E1672" w:rsidRDefault="00356828" w:rsidP="00713D3F">
      <w:pPr>
        <w:pStyle w:val="SingleTxtG"/>
      </w:pPr>
      <w:r>
        <w:t>2.3.2.1</w:t>
      </w:r>
      <w:r>
        <w:tab/>
      </w:r>
      <w:r>
        <w:tab/>
        <w:t>Modifier pour lire comme suit :</w:t>
      </w:r>
    </w:p>
    <w:p w14:paraId="79AE71F0" w14:textId="33F02762" w:rsidR="00B1507B" w:rsidRPr="00F8560D" w:rsidRDefault="00B1507B" w:rsidP="00713D3F">
      <w:pPr>
        <w:pStyle w:val="GHS4heading"/>
        <w:ind w:left="2268" w:right="1133"/>
        <w:rPr>
          <w:noProof/>
          <w:lang w:val="fr-CH"/>
        </w:rPr>
      </w:pPr>
      <w:r>
        <w:rPr>
          <w:noProof/>
          <w:lang w:val="fr-CH"/>
        </w:rPr>
        <w:t>« </w:t>
      </w:r>
      <w:r w:rsidRPr="00F8560D">
        <w:rPr>
          <w:noProof/>
          <w:lang w:val="fr-CH"/>
        </w:rPr>
        <w:t>2.3.2.1</w:t>
      </w:r>
      <w:r w:rsidRPr="00F8560D">
        <w:rPr>
          <w:noProof/>
          <w:lang w:val="fr-CH"/>
        </w:rPr>
        <w:tab/>
      </w:r>
      <w:r w:rsidRPr="00F8560D">
        <w:rPr>
          <w:i/>
          <w:iCs/>
          <w:noProof/>
          <w:lang w:val="fr-CH"/>
        </w:rPr>
        <w:t>Définition</w:t>
      </w:r>
      <w:r w:rsidR="00282D4A">
        <w:rPr>
          <w:i/>
          <w:iCs/>
          <w:noProof/>
          <w:lang w:val="fr-CH"/>
        </w:rPr>
        <w:t xml:space="preserve"> et considérations générales</w:t>
      </w:r>
    </w:p>
    <w:p w14:paraId="3455F52E" w14:textId="16DB7731" w:rsidR="00B1507B" w:rsidRPr="00F8560D" w:rsidRDefault="00282D4A" w:rsidP="00713D3F">
      <w:pPr>
        <w:pStyle w:val="GHSbodytext"/>
        <w:ind w:left="2268" w:right="1133"/>
        <w:rPr>
          <w:noProof/>
          <w:szCs w:val="20"/>
          <w:lang w:val="fr-CH"/>
        </w:rPr>
      </w:pPr>
      <w:r>
        <w:rPr>
          <w:noProof/>
          <w:szCs w:val="20"/>
          <w:lang w:val="fr-CH"/>
        </w:rPr>
        <w:t>2.3.2.1.1</w:t>
      </w:r>
      <w:r w:rsidR="00B1507B" w:rsidRPr="00F8560D">
        <w:rPr>
          <w:noProof/>
          <w:szCs w:val="20"/>
          <w:lang w:val="fr-CH"/>
        </w:rPr>
        <w:tab/>
      </w:r>
      <w:r w:rsidR="00B1507B">
        <w:rPr>
          <w:noProof/>
          <w:szCs w:val="20"/>
          <w:lang w:val="fr-CH"/>
        </w:rPr>
        <w:tab/>
      </w:r>
      <w:r w:rsidR="00B1507B" w:rsidRPr="00F8560D">
        <w:rPr>
          <w:i/>
          <w:noProof/>
          <w:szCs w:val="20"/>
          <w:lang w:val="fr-CH"/>
        </w:rPr>
        <w:t>Les produits chimiques sous pression</w:t>
      </w:r>
      <w:r w:rsidR="00B1507B" w:rsidRPr="00F8560D">
        <w:rPr>
          <w:noProof/>
          <w:szCs w:val="20"/>
          <w:lang w:val="fr-CH"/>
        </w:rPr>
        <w:t xml:space="preserve"> sont des liquides ou des matières solides (par exemple pâteuses ou pulvérulentes) pressurisés avec un gaz à une pression supérieure ou égale à 200 kPa (pression manométrique) à </w:t>
      </w:r>
      <w:r w:rsidR="00B1507B" w:rsidRPr="00F8560D">
        <w:rPr>
          <w:noProof/>
          <w:szCs w:val="20"/>
          <w:lang w:val="fr-CH"/>
        </w:rPr>
        <w:lastRenderedPageBreak/>
        <w:t>20 °C, dans des récipients sous pression autres que des générateurs d’aérosols et qui ne sont pas classés dans la catégorie des gaz sous pression.</w:t>
      </w:r>
    </w:p>
    <w:p w14:paraId="770F1840" w14:textId="17ED4256" w:rsidR="00E73D51" w:rsidRDefault="00B1507B" w:rsidP="00387C7C">
      <w:pPr>
        <w:pStyle w:val="GHSbodytext"/>
        <w:ind w:left="2268" w:right="1133"/>
        <w:rPr>
          <w:i/>
          <w:noProof/>
          <w:szCs w:val="20"/>
          <w:lang w:val="fr-CH"/>
        </w:rPr>
      </w:pPr>
      <w:r w:rsidRPr="00F8560D">
        <w:rPr>
          <w:b/>
          <w:i/>
          <w:noProof/>
          <w:szCs w:val="20"/>
          <w:lang w:val="fr-CH"/>
        </w:rPr>
        <w:t>NOTA</w:t>
      </w:r>
      <w:r w:rsidRPr="00F8560D">
        <w:rPr>
          <w:b/>
          <w:bCs/>
          <w:i/>
          <w:noProof/>
          <w:szCs w:val="20"/>
          <w:lang w:val="fr-CH"/>
        </w:rPr>
        <w:t> :</w:t>
      </w:r>
      <w:r w:rsidRPr="00F8560D">
        <w:rPr>
          <w:i/>
          <w:noProof/>
          <w:szCs w:val="20"/>
          <w:lang w:val="fr-CH"/>
        </w:rPr>
        <w:t xml:space="preserve"> </w:t>
      </w:r>
      <w:r w:rsidRPr="00F8560D">
        <w:rPr>
          <w:i/>
          <w:noProof/>
          <w:szCs w:val="20"/>
          <w:lang w:val="fr-CH"/>
        </w:rPr>
        <w:tab/>
        <w:t>Les produits chimiques sous pression contiennent généralement 50 % ou plus, en masse, de liquides ou de matières solides, tandis que les mélanges contenant plus de 50 % de gaz sont généralement considérés comme des gaz sous pression.</w:t>
      </w:r>
    </w:p>
    <w:p w14:paraId="5A53776B" w14:textId="734FED9B" w:rsidR="00E73D51" w:rsidRDefault="00E73D51" w:rsidP="00E73D51">
      <w:pPr>
        <w:pStyle w:val="GHSbodytext"/>
        <w:keepNext/>
        <w:keepLines/>
        <w:ind w:left="2268" w:right="1133"/>
        <w:rPr>
          <w:noProof/>
          <w:szCs w:val="20"/>
          <w:lang w:val="fr-CH"/>
        </w:rPr>
      </w:pPr>
      <w:r>
        <w:rPr>
          <w:noProof/>
          <w:szCs w:val="20"/>
          <w:lang w:val="fr-CH"/>
        </w:rPr>
        <w:t>2.3.2.1.2</w:t>
      </w:r>
      <w:r w:rsidRPr="00775023">
        <w:rPr>
          <w:noProof/>
          <w:szCs w:val="20"/>
          <w:lang w:val="fr-CH"/>
        </w:rPr>
        <w:t xml:space="preserve"> </w:t>
      </w:r>
      <w:r w:rsidRPr="00775023">
        <w:rPr>
          <w:noProof/>
          <w:szCs w:val="20"/>
          <w:lang w:val="fr-CH"/>
        </w:rPr>
        <w:tab/>
      </w:r>
      <w:r w:rsidRPr="00775023">
        <w:rPr>
          <w:noProof/>
          <w:szCs w:val="20"/>
          <w:lang w:val="fr-CH"/>
        </w:rPr>
        <w:tab/>
        <w:t xml:space="preserve">Les produits chimiques sous pression n’entrent pas, en outre, dans le champ d’application de la section 2.3.1 (Aérosols) et des chapitres 2.2 (Gaz inflammables), 2.5 (Gaz sous pression), 2.6 (Liquides inflammables) </w:t>
      </w:r>
      <w:r w:rsidR="00D429C8">
        <w:rPr>
          <w:noProof/>
          <w:szCs w:val="20"/>
          <w:lang w:val="fr-CH"/>
        </w:rPr>
        <w:t>et </w:t>
      </w:r>
      <w:r w:rsidRPr="00775023">
        <w:rPr>
          <w:noProof/>
          <w:szCs w:val="20"/>
          <w:lang w:val="fr-CH"/>
        </w:rPr>
        <w:t>2.7 (Matières solides inflammables). En fonction de leurs composants, les produits chimiques sous pression peuvent toutefois relever du champ d’application d’autres classes de danger</w:t>
      </w:r>
      <w:r w:rsidR="00DF0D02">
        <w:rPr>
          <w:noProof/>
          <w:szCs w:val="20"/>
          <w:lang w:val="fr-CH"/>
        </w:rPr>
        <w:t>.</w:t>
      </w:r>
    </w:p>
    <w:p w14:paraId="44BC1B7F" w14:textId="68649DB9" w:rsidR="00542B00" w:rsidRPr="00434017" w:rsidRDefault="00542B00" w:rsidP="00775023">
      <w:pPr>
        <w:pStyle w:val="SingleTxtG"/>
        <w:tabs>
          <w:tab w:val="clear" w:pos="1701"/>
        </w:tabs>
        <w:ind w:left="2268"/>
      </w:pPr>
      <w:bookmarkStart w:id="0" w:name="_Hlk156570121"/>
      <w:r w:rsidRPr="3DCBAEB7">
        <w:rPr>
          <w:b/>
          <w:bCs/>
          <w:i/>
          <w:iCs/>
        </w:rPr>
        <w:t xml:space="preserve">NOTA </w:t>
      </w:r>
      <w:r w:rsidRPr="3DCBAEB7">
        <w:rPr>
          <w:i/>
          <w:iCs/>
        </w:rPr>
        <w:t>:</w:t>
      </w:r>
      <w:r>
        <w:tab/>
      </w:r>
      <w:r w:rsidRPr="3DCBAEB7">
        <w:rPr>
          <w:i/>
          <w:iCs/>
        </w:rPr>
        <w:t>Pour certains secteurs, tels que le secteur des transports, il peut exister d’autres dispositions spécifiques concernant l’applicabilité de classes de danger supplémentaires.</w:t>
      </w:r>
      <w:r w:rsidRPr="3DCBAEB7">
        <w:t xml:space="preserve"> </w:t>
      </w:r>
      <w:r w:rsidRPr="3DCBAEB7">
        <w:rPr>
          <w:i/>
          <w:iCs/>
        </w:rPr>
        <w:t>S’agissant du transport de produits chimiques sous pression, voir la disposition spéciale 362 du Règlement type</w:t>
      </w:r>
      <w:r w:rsidR="00CC2030">
        <w:rPr>
          <w:i/>
          <w:iCs/>
        </w:rPr>
        <w:t xml:space="preserve"> de l’ONU</w:t>
      </w:r>
      <w:r w:rsidRPr="3DCBAEB7">
        <w:rPr>
          <w:i/>
          <w:iCs/>
        </w:rPr>
        <w:t>.</w:t>
      </w:r>
      <w:r w:rsidRPr="3DCBAEB7">
        <w:t> ».</w:t>
      </w:r>
      <w:bookmarkEnd w:id="0"/>
    </w:p>
    <w:p w14:paraId="6584E631" w14:textId="3D1651F3" w:rsidR="008B5D31" w:rsidRPr="00775023" w:rsidRDefault="008B5D31" w:rsidP="00775023">
      <w:pPr>
        <w:pStyle w:val="SingleTxtG"/>
      </w:pPr>
      <w:r>
        <w:t>2.3.2.2.2</w:t>
      </w:r>
      <w:r>
        <w:tab/>
        <w:t>Supprimer les notas 1 et 2.</w:t>
      </w:r>
    </w:p>
    <w:p w14:paraId="7D351E33" w14:textId="3E0E4316" w:rsidR="00B2138E" w:rsidRDefault="00B2138E" w:rsidP="00B2138E">
      <w:pPr>
        <w:pStyle w:val="H1G"/>
        <w:rPr>
          <w:bCs/>
        </w:rPr>
      </w:pPr>
      <w:r w:rsidRPr="009D2487">
        <w:rPr>
          <w:bCs/>
        </w:rPr>
        <w:tab/>
      </w:r>
      <w:r w:rsidRPr="009D2487">
        <w:rPr>
          <w:bCs/>
        </w:rPr>
        <w:tab/>
      </w:r>
      <w:r w:rsidRPr="00AA014A">
        <w:rPr>
          <w:bCs/>
        </w:rPr>
        <w:tab/>
      </w:r>
      <w:r>
        <w:rPr>
          <w:bCs/>
        </w:rPr>
        <w:t>Chapitre 2.6</w:t>
      </w:r>
    </w:p>
    <w:p w14:paraId="79D472F9" w14:textId="2405A702" w:rsidR="00B2138E" w:rsidRPr="009D2487" w:rsidRDefault="00B2138E" w:rsidP="00775023">
      <w:pPr>
        <w:pStyle w:val="SingleTxtG"/>
      </w:pPr>
      <w:r>
        <w:t>2.</w:t>
      </w:r>
      <w:r w:rsidR="004D3252">
        <w:t>6.</w:t>
      </w:r>
      <w:r w:rsidR="009F53B0">
        <w:t>2</w:t>
      </w:r>
      <w:r>
        <w:tab/>
      </w:r>
      <w:r>
        <w:tab/>
        <w:t>Au nota 4 sous le tableau 2.6.1, remplacer « </w:t>
      </w:r>
      <w:r w:rsidR="001E58DD">
        <w:t xml:space="preserve">Les </w:t>
      </w:r>
      <w:r>
        <w:t>aérosols » par « </w:t>
      </w:r>
      <w:r w:rsidR="001E58DD">
        <w:t xml:space="preserve">Les </w:t>
      </w:r>
      <w:r>
        <w:t xml:space="preserve">aérosols et </w:t>
      </w:r>
      <w:r w:rsidR="001E58DD">
        <w:t xml:space="preserve">les </w:t>
      </w:r>
      <w:r>
        <w:t>produits chimiques sous pression »</w:t>
      </w:r>
      <w:r w:rsidR="00ED77C8">
        <w:t>.</w:t>
      </w:r>
    </w:p>
    <w:p w14:paraId="527D29F7" w14:textId="14679285" w:rsidR="001E58DD" w:rsidRDefault="001E58DD" w:rsidP="001E58DD">
      <w:pPr>
        <w:pStyle w:val="H1G"/>
        <w:rPr>
          <w:bCs/>
        </w:rPr>
      </w:pPr>
      <w:r w:rsidRPr="009D2487">
        <w:rPr>
          <w:bCs/>
        </w:rPr>
        <w:tab/>
      </w:r>
      <w:r w:rsidRPr="009D2487">
        <w:rPr>
          <w:bCs/>
        </w:rPr>
        <w:tab/>
      </w:r>
      <w:r w:rsidRPr="00AA014A">
        <w:rPr>
          <w:bCs/>
        </w:rPr>
        <w:tab/>
      </w:r>
      <w:r>
        <w:rPr>
          <w:bCs/>
        </w:rPr>
        <w:t>Chapitre 2.7</w:t>
      </w:r>
    </w:p>
    <w:p w14:paraId="26BFD48E" w14:textId="5A5047C0" w:rsidR="001E58DD" w:rsidRPr="009D2487" w:rsidRDefault="001E58DD" w:rsidP="00775023">
      <w:pPr>
        <w:pStyle w:val="SingleTxtG"/>
      </w:pPr>
      <w:r>
        <w:t>2.</w:t>
      </w:r>
      <w:r w:rsidR="004D3252">
        <w:t>7.</w:t>
      </w:r>
      <w:r w:rsidR="000058B0">
        <w:t>2</w:t>
      </w:r>
      <w:r>
        <w:tab/>
      </w:r>
      <w:r>
        <w:tab/>
        <w:t xml:space="preserve">Au nota </w:t>
      </w:r>
      <w:r w:rsidR="003E4D9C">
        <w:t>2</w:t>
      </w:r>
      <w:r>
        <w:t xml:space="preserve"> sous le tableau 2.7.1, remplacer « Les aérosols » par « Les aérosols et les produits chimiques sous pression »</w:t>
      </w:r>
      <w:r w:rsidR="00ED77C8">
        <w:t>.</w:t>
      </w:r>
    </w:p>
    <w:p w14:paraId="2BA920A9" w14:textId="1F02E3F1" w:rsidR="00EA3656" w:rsidRDefault="00EA3656" w:rsidP="00EA3656">
      <w:pPr>
        <w:pStyle w:val="H1G"/>
        <w:rPr>
          <w:bCs/>
        </w:rPr>
      </w:pPr>
      <w:r w:rsidRPr="009D2487">
        <w:rPr>
          <w:bCs/>
        </w:rPr>
        <w:tab/>
      </w:r>
      <w:r w:rsidRPr="009D2487">
        <w:rPr>
          <w:bCs/>
        </w:rPr>
        <w:tab/>
      </w:r>
      <w:r w:rsidRPr="00AA014A">
        <w:rPr>
          <w:bCs/>
        </w:rPr>
        <w:tab/>
      </w:r>
      <w:r>
        <w:rPr>
          <w:bCs/>
        </w:rPr>
        <w:t>Chapitre 2.8</w:t>
      </w:r>
    </w:p>
    <w:p w14:paraId="11A467E9" w14:textId="6021CC49" w:rsidR="003A60EA" w:rsidRPr="00775023" w:rsidRDefault="003A7503" w:rsidP="00775023">
      <w:pPr>
        <w:pStyle w:val="SingleTxtG"/>
        <w:ind w:left="1985" w:hanging="851"/>
      </w:pPr>
      <w:r>
        <w:t>2.8.1.1</w:t>
      </w:r>
      <w:r>
        <w:tab/>
      </w:r>
      <w:r>
        <w:tab/>
      </w:r>
      <w:r w:rsidR="009501EB">
        <w:t>M</w:t>
      </w:r>
      <w:r w:rsidR="003A60EA" w:rsidRPr="00775023">
        <w:t xml:space="preserve">odifier la fin de la </w:t>
      </w:r>
      <w:r w:rsidR="004C1B30">
        <w:t>deuxième</w:t>
      </w:r>
      <w:r w:rsidR="003A60EA" w:rsidRPr="00775023">
        <w:t xml:space="preserve"> phrase comme suit : « ... comme matières explosibles, peroxydes organiques, ou liquides ou solides comburants conformément au 2.8.2.1. ».</w:t>
      </w:r>
    </w:p>
    <w:p w14:paraId="64DDFAFD" w14:textId="14112501" w:rsidR="007231B7" w:rsidRDefault="007231B7" w:rsidP="00775023">
      <w:pPr>
        <w:pStyle w:val="H1G"/>
      </w:pPr>
      <w:r w:rsidRPr="009D2487">
        <w:rPr>
          <w:bCs/>
        </w:rPr>
        <w:tab/>
      </w:r>
      <w:r w:rsidRPr="009D2487">
        <w:rPr>
          <w:bCs/>
        </w:rPr>
        <w:tab/>
      </w:r>
      <w:r w:rsidRPr="00AA014A">
        <w:rPr>
          <w:bCs/>
        </w:rPr>
        <w:tab/>
      </w:r>
      <w:r>
        <w:rPr>
          <w:bCs/>
        </w:rPr>
        <w:t>Chapitre 2.17</w:t>
      </w:r>
    </w:p>
    <w:p w14:paraId="1C7228B6" w14:textId="77777777" w:rsidR="007231B7" w:rsidRPr="007C4621" w:rsidRDefault="007231B7" w:rsidP="00775023">
      <w:pPr>
        <w:pStyle w:val="SingleTxtG"/>
        <w:tabs>
          <w:tab w:val="clear" w:pos="1701"/>
          <w:tab w:val="clear" w:pos="2268"/>
          <w:tab w:val="clear" w:pos="2835"/>
          <w:tab w:val="left" w:pos="1985"/>
          <w:tab w:val="left" w:pos="3119"/>
        </w:tabs>
        <w:rPr>
          <w:lang w:val="fr-FR"/>
        </w:rPr>
      </w:pPr>
      <w:r>
        <w:rPr>
          <w:lang w:val="fr-FR"/>
        </w:rPr>
        <w:t>2.17.2.2</w:t>
      </w:r>
      <w:r>
        <w:rPr>
          <w:lang w:val="fr-FR"/>
        </w:rPr>
        <w:tab/>
        <w:t>Modifier le nota comme suit :</w:t>
      </w:r>
    </w:p>
    <w:p w14:paraId="6290A110" w14:textId="77777777" w:rsidR="007231B7" w:rsidRPr="007C4621" w:rsidRDefault="007231B7" w:rsidP="00775023">
      <w:pPr>
        <w:pStyle w:val="SingleTxtG"/>
        <w:tabs>
          <w:tab w:val="clear" w:pos="1701"/>
          <w:tab w:val="clear" w:pos="2268"/>
          <w:tab w:val="clear" w:pos="2835"/>
          <w:tab w:val="left" w:pos="3119"/>
        </w:tabs>
        <w:ind w:left="1985"/>
        <w:rPr>
          <w:lang w:val="fr-FR"/>
        </w:rPr>
      </w:pPr>
      <w:r>
        <w:rPr>
          <w:lang w:val="fr-FR"/>
        </w:rPr>
        <w:t>« </w:t>
      </w:r>
      <w:r w:rsidRPr="002373F0">
        <w:rPr>
          <w:b/>
          <w:bCs/>
          <w:i/>
          <w:iCs/>
          <w:lang w:val="fr-FR"/>
        </w:rPr>
        <w:t>NOTA</w:t>
      </w:r>
      <w:r>
        <w:rPr>
          <w:b/>
          <w:bCs/>
          <w:i/>
          <w:iCs/>
          <w:lang w:val="fr-FR"/>
        </w:rPr>
        <w:t> </w:t>
      </w:r>
      <w:r w:rsidRPr="002373F0">
        <w:rPr>
          <w:i/>
          <w:iCs/>
          <w:lang w:val="fr-FR"/>
        </w:rPr>
        <w:t>:</w:t>
      </w:r>
      <w:r>
        <w:rPr>
          <w:i/>
          <w:iCs/>
          <w:lang w:val="fr-FR"/>
        </w:rPr>
        <w:t xml:space="preserve"> </w:t>
      </w:r>
      <w:r>
        <w:rPr>
          <w:i/>
          <w:iCs/>
          <w:lang w:val="fr-FR"/>
        </w:rPr>
        <w:tab/>
      </w:r>
      <w:r w:rsidRPr="002373F0">
        <w:rPr>
          <w:i/>
          <w:iCs/>
          <w:lang w:val="fr-FR"/>
        </w:rPr>
        <w:t>Toute matière explosible désensibilisée qui ne satisfait pas aux critères du 2.17.2.2 ne devrait pas relever de la classe des matières explosibles désensibilisées et devrait être classée comme une matière explosible conformément au chapitre 2.1.</w:t>
      </w:r>
      <w:r>
        <w:rPr>
          <w:lang w:val="fr-FR"/>
        </w:rPr>
        <w:t> »</w:t>
      </w:r>
    </w:p>
    <w:p w14:paraId="7E9792E6" w14:textId="5FDD7CFE" w:rsidR="008F6BAB" w:rsidRDefault="00D07275" w:rsidP="002B1751">
      <w:pPr>
        <w:pStyle w:val="H1G"/>
        <w:rPr>
          <w:bCs/>
        </w:rPr>
      </w:pPr>
      <w:r>
        <w:rPr>
          <w:bCs/>
        </w:rPr>
        <w:tab/>
      </w:r>
      <w:r>
        <w:rPr>
          <w:bCs/>
        </w:rPr>
        <w:tab/>
      </w:r>
      <w:r w:rsidR="002B1751">
        <w:rPr>
          <w:bCs/>
        </w:rPr>
        <w:t>C</w:t>
      </w:r>
      <w:r w:rsidR="002B1751" w:rsidRPr="00AA014A">
        <w:rPr>
          <w:bCs/>
        </w:rPr>
        <w:t xml:space="preserve">hapitre </w:t>
      </w:r>
      <w:r w:rsidR="002B1751">
        <w:rPr>
          <w:bCs/>
        </w:rPr>
        <w:t>3.4</w:t>
      </w:r>
    </w:p>
    <w:p w14:paraId="1DF6F745" w14:textId="61013851" w:rsidR="009C1EE2" w:rsidRPr="00440054" w:rsidRDefault="002700C8" w:rsidP="00775023">
      <w:pPr>
        <w:pStyle w:val="SingleTxtG"/>
        <w:tabs>
          <w:tab w:val="clear" w:pos="2268"/>
          <w:tab w:val="clear" w:pos="2835"/>
          <w:tab w:val="left" w:pos="2552"/>
        </w:tabs>
        <w:rPr>
          <w:lang w:val="fr-FR"/>
        </w:rPr>
      </w:pPr>
      <w:r w:rsidRPr="00775023">
        <w:rPr>
          <w:lang w:val="fr-FR"/>
        </w:rPr>
        <w:t>3.4.2.2.3.1</w:t>
      </w:r>
      <w:r w:rsidRPr="00775023">
        <w:rPr>
          <w:lang w:val="fr-FR"/>
        </w:rPr>
        <w:tab/>
      </w:r>
      <w:r w:rsidR="00E72030" w:rsidRPr="00775023">
        <w:rPr>
          <w:lang w:val="fr-FR"/>
        </w:rPr>
        <w:t xml:space="preserve">Dans la quatrième phrase, remplacer </w:t>
      </w:r>
      <w:r w:rsidR="009C1EE2">
        <w:rPr>
          <w:lang w:val="fr-FR"/>
        </w:rPr>
        <w:t>« </w:t>
      </w:r>
      <w:r w:rsidR="005254D2">
        <w:rPr>
          <w:lang w:val="fr-FR"/>
        </w:rPr>
        <w:t xml:space="preserve">l’essai </w:t>
      </w:r>
      <w:proofErr w:type="spellStart"/>
      <w:r w:rsidR="009C1EE2">
        <w:rPr>
          <w:lang w:val="fr-FR"/>
        </w:rPr>
        <w:t>radioisotopique</w:t>
      </w:r>
      <w:proofErr w:type="spellEnd"/>
      <w:r w:rsidR="009C1EE2">
        <w:rPr>
          <w:lang w:val="fr-FR"/>
        </w:rPr>
        <w:t> » par « </w:t>
      </w:r>
      <w:r w:rsidR="00B35543">
        <w:rPr>
          <w:lang w:val="fr-FR"/>
        </w:rPr>
        <w:t xml:space="preserve">l’essai </w:t>
      </w:r>
      <w:r w:rsidR="009C1EE2">
        <w:rPr>
          <w:lang w:val="fr-FR"/>
        </w:rPr>
        <w:t>radioactif ».</w:t>
      </w:r>
    </w:p>
    <w:p w14:paraId="59CD4695" w14:textId="77777777" w:rsidR="008F6BAB" w:rsidRPr="00D53D56" w:rsidRDefault="008F6BAB" w:rsidP="00775023">
      <w:pPr>
        <w:pStyle w:val="SingleTxtG"/>
        <w:tabs>
          <w:tab w:val="clear" w:pos="2268"/>
          <w:tab w:val="clear" w:pos="2835"/>
          <w:tab w:val="left" w:pos="2552"/>
        </w:tabs>
      </w:pPr>
      <w:r w:rsidRPr="00BC427A">
        <w:rPr>
          <w:lang w:val="fr-FR"/>
        </w:rPr>
        <w:t>3.4.2.2.5.1</w:t>
      </w:r>
      <w:r>
        <w:rPr>
          <w:lang w:val="fr-FR"/>
        </w:rPr>
        <w:tab/>
        <w:t>Remplacer « 3.4.5.3.5 » par « 3.4.5.3.1.5 » dans la dernière phrase.</w:t>
      </w:r>
    </w:p>
    <w:p w14:paraId="3319A051" w14:textId="77777777" w:rsidR="008F6BAB" w:rsidRPr="00D53D56" w:rsidRDefault="008F6BAB" w:rsidP="00775023">
      <w:pPr>
        <w:pStyle w:val="SingleTxtG"/>
        <w:tabs>
          <w:tab w:val="clear" w:pos="2268"/>
          <w:tab w:val="clear" w:pos="2835"/>
          <w:tab w:val="left" w:pos="2552"/>
        </w:tabs>
      </w:pPr>
      <w:r w:rsidRPr="00BC427A">
        <w:rPr>
          <w:lang w:val="fr-FR"/>
        </w:rPr>
        <w:t>3.4.2.2.5.3</w:t>
      </w:r>
      <w:r>
        <w:rPr>
          <w:lang w:val="fr-FR"/>
        </w:rPr>
        <w:tab/>
        <w:t>Remplacer « 3.4.5.3.6.2 » par « 3.4.5.3.1.6.2 » dans la première phrase et dans la note de bas de page n</w:t>
      </w:r>
      <w:r w:rsidRPr="00D53D56">
        <w:rPr>
          <w:vertAlign w:val="superscript"/>
          <w:lang w:val="fr-FR"/>
        </w:rPr>
        <w:t>o</w:t>
      </w:r>
      <w:r>
        <w:rPr>
          <w:lang w:val="fr-FR"/>
        </w:rPr>
        <w:t> 4.</w:t>
      </w:r>
    </w:p>
    <w:p w14:paraId="79280343" w14:textId="77777777" w:rsidR="008F6BAB" w:rsidRPr="00D53D56" w:rsidRDefault="008F6BAB" w:rsidP="00775023">
      <w:pPr>
        <w:pStyle w:val="SingleTxtG"/>
        <w:tabs>
          <w:tab w:val="clear" w:pos="2268"/>
          <w:tab w:val="clear" w:pos="2835"/>
          <w:tab w:val="left" w:pos="2552"/>
        </w:tabs>
      </w:pPr>
      <w:r w:rsidRPr="00BC427A">
        <w:rPr>
          <w:lang w:val="fr-FR"/>
        </w:rPr>
        <w:lastRenderedPageBreak/>
        <w:t>3.4.2.2.7.2</w:t>
      </w:r>
      <w:r>
        <w:rPr>
          <w:lang w:val="fr-FR"/>
        </w:rPr>
        <w:tab/>
        <w:t>Remplacer « 3.4.5.3.2 » par « 3.4.5.3.1.2 » aux alinéas a), b) et c). Remplacer « 3.4.5.3.3 » par « 3.4.5.3.1.3 » à l’alinéa d), « 3.4.5.3.4 » par « 3.4.5.3.1.4 » à l’alinéa e), et « 3.4.5.3.5 » par « 3.4.5.3.1.5 » à l’alinéa f).</w:t>
      </w:r>
    </w:p>
    <w:p w14:paraId="0F121841" w14:textId="77777777" w:rsidR="008F6BAB" w:rsidRPr="00D53D56" w:rsidRDefault="008F6BAB" w:rsidP="00775023">
      <w:pPr>
        <w:pStyle w:val="SingleTxtG"/>
        <w:tabs>
          <w:tab w:val="clear" w:pos="2268"/>
          <w:tab w:val="clear" w:pos="2835"/>
          <w:tab w:val="left" w:pos="2552"/>
        </w:tabs>
      </w:pPr>
      <w:r w:rsidRPr="00BC427A">
        <w:rPr>
          <w:lang w:val="fr-FR"/>
        </w:rPr>
        <w:t>3.4.2.2.7.3</w:t>
      </w:r>
      <w:r>
        <w:rPr>
          <w:lang w:val="fr-FR"/>
        </w:rPr>
        <w:tab/>
        <w:t>Remplacer « 3.4.5.3.5 » par « 3.4.5.3.1.5 » à l’alinéa a).</w:t>
      </w:r>
    </w:p>
    <w:p w14:paraId="44393348" w14:textId="7703A8EE" w:rsidR="008F6BAB" w:rsidRPr="00D53D56" w:rsidRDefault="008F6BAB" w:rsidP="008F6BAB">
      <w:pPr>
        <w:pStyle w:val="SingleTxtG"/>
        <w:tabs>
          <w:tab w:val="clear" w:pos="2268"/>
        </w:tabs>
        <w:ind w:left="2552" w:hanging="1418"/>
      </w:pPr>
      <w:r w:rsidRPr="00BC427A">
        <w:rPr>
          <w:lang w:val="fr-FR"/>
        </w:rPr>
        <w:t>3.4.3.1</w:t>
      </w:r>
      <w:r w:rsidRPr="00BC427A">
        <w:rPr>
          <w:lang w:val="fr-FR"/>
        </w:rPr>
        <w:tab/>
      </w:r>
      <w:r>
        <w:rPr>
          <w:lang w:val="fr-FR"/>
        </w:rPr>
        <w:tab/>
      </w:r>
      <w:r w:rsidR="002609D7">
        <w:rPr>
          <w:lang w:val="fr-FR"/>
        </w:rPr>
        <w:t>Remplacer par ce qui suit </w:t>
      </w:r>
      <w:r>
        <w:rPr>
          <w:lang w:val="fr-FR"/>
        </w:rPr>
        <w:t>:</w:t>
      </w:r>
    </w:p>
    <w:p w14:paraId="61711770" w14:textId="60584A73" w:rsidR="008F6BAB" w:rsidRPr="00D53D56" w:rsidRDefault="002076E4" w:rsidP="00775023">
      <w:pPr>
        <w:pStyle w:val="SingleTxtG"/>
        <w:tabs>
          <w:tab w:val="clear" w:pos="2268"/>
          <w:tab w:val="left" w:pos="3686"/>
        </w:tabs>
        <w:ind w:left="2552" w:hanging="1418"/>
      </w:pPr>
      <w:r>
        <w:rPr>
          <w:lang w:val="fr-FR"/>
        </w:rPr>
        <w:tab/>
      </w:r>
      <w:r>
        <w:rPr>
          <w:lang w:val="fr-FR"/>
        </w:rPr>
        <w:tab/>
      </w:r>
      <w:r w:rsidR="008F6BAB" w:rsidRPr="00901D2D">
        <w:rPr>
          <w:lang w:val="fr-FR"/>
        </w:rPr>
        <w:t>«</w:t>
      </w:r>
      <w:r w:rsidR="008F6BAB">
        <w:rPr>
          <w:lang w:val="fr-FR"/>
        </w:rPr>
        <w:t> </w:t>
      </w:r>
      <w:r w:rsidR="008F6BAB" w:rsidRPr="00845B8A">
        <w:rPr>
          <w:b/>
          <w:bCs/>
          <w:lang w:val="fr-FR"/>
        </w:rPr>
        <w:t>3.4.3.1</w:t>
      </w:r>
      <w:r w:rsidR="008F6BAB" w:rsidRPr="00845B8A">
        <w:rPr>
          <w:b/>
          <w:bCs/>
          <w:lang w:val="fr-FR"/>
        </w:rPr>
        <w:tab/>
      </w:r>
      <w:r w:rsidR="00AC3688">
        <w:rPr>
          <w:b/>
          <w:bCs/>
          <w:i/>
          <w:iCs/>
          <w:lang w:val="fr-FR"/>
        </w:rPr>
        <w:t>Classification</w:t>
      </w:r>
      <w:r w:rsidR="00AC3688" w:rsidRPr="00845B8A">
        <w:rPr>
          <w:b/>
          <w:bCs/>
          <w:i/>
          <w:iCs/>
          <w:lang w:val="fr-FR"/>
        </w:rPr>
        <w:t xml:space="preserve"> </w:t>
      </w:r>
      <w:r w:rsidR="008F6BAB" w:rsidRPr="00845B8A">
        <w:rPr>
          <w:b/>
          <w:bCs/>
          <w:i/>
          <w:iCs/>
          <w:lang w:val="fr-FR"/>
        </w:rPr>
        <w:t>de</w:t>
      </w:r>
      <w:r w:rsidR="00AC3688">
        <w:rPr>
          <w:b/>
          <w:bCs/>
          <w:i/>
          <w:iCs/>
          <w:lang w:val="fr-FR"/>
        </w:rPr>
        <w:t>s</w:t>
      </w:r>
      <w:r w:rsidR="008F6BAB" w:rsidRPr="00845B8A">
        <w:rPr>
          <w:b/>
          <w:bCs/>
          <w:i/>
          <w:iCs/>
          <w:lang w:val="fr-FR"/>
        </w:rPr>
        <w:t xml:space="preserve"> mélanges </w:t>
      </w:r>
      <w:r w:rsidR="003235C6">
        <w:rPr>
          <w:b/>
          <w:bCs/>
          <w:i/>
          <w:iCs/>
          <w:lang w:val="fr-FR"/>
        </w:rPr>
        <w:t>lorsqu’il existe</w:t>
      </w:r>
      <w:r w:rsidR="008F6BAB" w:rsidRPr="00845B8A">
        <w:rPr>
          <w:b/>
          <w:bCs/>
          <w:i/>
          <w:iCs/>
          <w:lang w:val="fr-FR"/>
        </w:rPr>
        <w:t xml:space="preserve"> des données pour le mélange comme tel</w:t>
      </w:r>
    </w:p>
    <w:p w14:paraId="4A9D0C10" w14:textId="1B65CEBA" w:rsidR="008F6BAB" w:rsidRPr="00D53D56" w:rsidRDefault="002076E4" w:rsidP="00775023">
      <w:pPr>
        <w:pStyle w:val="SingleTxtG"/>
        <w:tabs>
          <w:tab w:val="clear" w:pos="2268"/>
          <w:tab w:val="left" w:pos="3686"/>
        </w:tabs>
        <w:ind w:left="2552" w:hanging="1418"/>
        <w:rPr>
          <w:rFonts w:cstheme="minorHAnsi"/>
          <w:bCs/>
        </w:rPr>
      </w:pPr>
      <w:r>
        <w:rPr>
          <w:lang w:val="fr-FR"/>
        </w:rPr>
        <w:tab/>
      </w:r>
      <w:r>
        <w:rPr>
          <w:lang w:val="fr-FR"/>
        </w:rPr>
        <w:tab/>
      </w:r>
      <w:r w:rsidR="008F6BAB">
        <w:rPr>
          <w:lang w:val="fr-FR"/>
        </w:rPr>
        <w:t>3.4.3.1.1</w:t>
      </w:r>
      <w:r w:rsidR="008F6BAB">
        <w:rPr>
          <w:lang w:val="fr-FR"/>
        </w:rPr>
        <w:tab/>
        <w:t xml:space="preserve">Le mélange doit être classé à l’aide des critères applicables aux substances, en prenant en compte l’approche par étapes pour l’évaluation des données pour cette classe de danger (voir 3.4.3.1.2 et figure 3.4.1). S’il est impossible d’établir un classement en utilisant l’approche par étapes, l’approche décrite au 3.4.3.2 ou, si cela ne s’applique pas, au 3.4.3.3 doivent être suivis. Pour un étiquetage supplémentaire exigé par certaines autorités compétentes, voir le </w:t>
      </w:r>
      <w:r w:rsidR="008F6BAB" w:rsidRPr="00E75234">
        <w:rPr>
          <w:i/>
          <w:iCs/>
          <w:lang w:val="fr-FR"/>
        </w:rPr>
        <w:t>nota</w:t>
      </w:r>
      <w:r w:rsidR="008F6BAB">
        <w:rPr>
          <w:lang w:val="fr-FR"/>
        </w:rPr>
        <w:t xml:space="preserve"> au tableau 3.4.5 et le</w:t>
      </w:r>
      <w:r w:rsidR="00CF0787">
        <w:rPr>
          <w:lang w:val="fr-FR"/>
        </w:rPr>
        <w:t> </w:t>
      </w:r>
      <w:r w:rsidR="008F6BAB">
        <w:rPr>
          <w:lang w:val="fr-FR"/>
        </w:rPr>
        <w:t xml:space="preserve">3.4.4.2. </w:t>
      </w:r>
    </w:p>
    <w:p w14:paraId="05E49CA1" w14:textId="2BB8630E" w:rsidR="008F6BAB" w:rsidRPr="00D53D56" w:rsidRDefault="00E75234" w:rsidP="00775023">
      <w:pPr>
        <w:pStyle w:val="SingleTxtG"/>
        <w:tabs>
          <w:tab w:val="clear" w:pos="2268"/>
          <w:tab w:val="left" w:pos="3686"/>
        </w:tabs>
        <w:ind w:left="2552" w:hanging="1418"/>
        <w:rPr>
          <w:rFonts w:cstheme="minorHAnsi"/>
          <w:bCs/>
        </w:rPr>
      </w:pPr>
      <w:r>
        <w:rPr>
          <w:lang w:val="fr-FR"/>
        </w:rPr>
        <w:tab/>
      </w:r>
      <w:r>
        <w:rPr>
          <w:lang w:val="fr-FR"/>
        </w:rPr>
        <w:tab/>
      </w:r>
      <w:r w:rsidR="008F6BAB">
        <w:rPr>
          <w:lang w:val="fr-FR"/>
        </w:rPr>
        <w:t>3.4.3.1.2</w:t>
      </w:r>
      <w:r w:rsidR="008F6BAB">
        <w:rPr>
          <w:lang w:val="fr-FR"/>
        </w:rPr>
        <w:tab/>
        <w:t>En évaluant les données sur les mélanges, on veillera attentivement à ce que la dose appliquée ne rende pas les résultats peu concluants et à ce que les méthodes d’essai utilisées pour obtenir ces résultats permettent de prédire les propriétés de sensibilisation cutanée du mélange (voir 3.4.5.3.2). De plus, s’agissant aussi bien des méthodes d’essai normalisées (</w:t>
      </w:r>
      <w:r w:rsidR="008F6BAB">
        <w:rPr>
          <w:i/>
          <w:iCs/>
          <w:lang w:val="fr-FR"/>
        </w:rPr>
        <w:t>in vivo</w:t>
      </w:r>
      <w:r w:rsidR="008F6BAB">
        <w:rPr>
          <w:lang w:val="fr-FR"/>
        </w:rPr>
        <w:t xml:space="preserve">, </w:t>
      </w:r>
      <w:r w:rsidR="008F6BAB">
        <w:rPr>
          <w:i/>
          <w:iCs/>
          <w:lang w:val="fr-FR"/>
        </w:rPr>
        <w:t xml:space="preserve">in </w:t>
      </w:r>
      <w:proofErr w:type="spellStart"/>
      <w:r w:rsidR="008F6BAB">
        <w:rPr>
          <w:i/>
          <w:iCs/>
          <w:lang w:val="fr-FR"/>
        </w:rPr>
        <w:t>chemico</w:t>
      </w:r>
      <w:proofErr w:type="spellEnd"/>
      <w:r w:rsidR="003470CE">
        <w:rPr>
          <w:i/>
          <w:iCs/>
          <w:lang w:val="fr-FR"/>
        </w:rPr>
        <w:t>,</w:t>
      </w:r>
      <w:r w:rsidR="008F6BAB">
        <w:rPr>
          <w:lang w:val="fr-FR"/>
        </w:rPr>
        <w:t xml:space="preserve"> </w:t>
      </w:r>
      <w:r w:rsidR="008F6BAB">
        <w:rPr>
          <w:i/>
          <w:iCs/>
          <w:lang w:val="fr-FR"/>
        </w:rPr>
        <w:t>in vitro</w:t>
      </w:r>
      <w:r w:rsidR="008F6BAB">
        <w:rPr>
          <w:lang w:val="fr-FR"/>
        </w:rPr>
        <w:t xml:space="preserve">) que des méthodes définies, les données ne peuvent être utilisées aux fins de classement que lorsque tous les composants relèvent de leur domaine d’application. Des restrictions spécifiques aux domaines d’application sont décrites dans les méthodes d’essai respectives et les méthodes définies, et devraient être prises en compte, de même que toute information complémentaire publiée à ce sujet. Une autorité compétente peut déterminer quelle méthode d’essai </w:t>
      </w:r>
      <w:r w:rsidR="008F6BAB">
        <w:rPr>
          <w:i/>
          <w:iCs/>
          <w:lang w:val="fr-FR"/>
        </w:rPr>
        <w:t xml:space="preserve">in </w:t>
      </w:r>
      <w:proofErr w:type="spellStart"/>
      <w:r w:rsidR="008F6BAB">
        <w:rPr>
          <w:i/>
          <w:iCs/>
          <w:lang w:val="fr-FR"/>
        </w:rPr>
        <w:t>chemico</w:t>
      </w:r>
      <w:proofErr w:type="spellEnd"/>
      <w:r w:rsidR="008F6BAB">
        <w:rPr>
          <w:lang w:val="fr-FR"/>
        </w:rPr>
        <w:t>/</w:t>
      </w:r>
      <w:r w:rsidR="008F6BAB">
        <w:rPr>
          <w:i/>
          <w:iCs/>
          <w:lang w:val="fr-FR"/>
        </w:rPr>
        <w:t>in vitro</w:t>
      </w:r>
      <w:r w:rsidR="008F6BAB">
        <w:rPr>
          <w:lang w:val="fr-FR"/>
        </w:rPr>
        <w:t xml:space="preserve"> ou quelle méthode définie peut être acceptée pour les mélanges (voir 3.4.5.3.2.4 et 3.4.5.3.2.5). On trouvera un exposé plus détaillé des facteurs à prendre en compte lors du classement des mélanges dans les orientations données au 3.4.5.3.2 et dans les méthodes d’essai. ».</w:t>
      </w:r>
    </w:p>
    <w:p w14:paraId="0979FAE4" w14:textId="3BD81BE9" w:rsidR="0066607E" w:rsidRDefault="008F6BAB" w:rsidP="002B7461">
      <w:pPr>
        <w:pStyle w:val="SingleTxtG"/>
        <w:tabs>
          <w:tab w:val="clear" w:pos="2268"/>
          <w:tab w:val="clear" w:pos="2835"/>
          <w:tab w:val="left" w:pos="2552"/>
        </w:tabs>
        <w:rPr>
          <w:lang w:val="fr-FR"/>
        </w:rPr>
      </w:pPr>
      <w:r w:rsidRPr="00BC427A">
        <w:rPr>
          <w:lang w:val="fr-FR"/>
        </w:rPr>
        <w:t>3.4.5.3</w:t>
      </w:r>
      <w:r w:rsidRPr="00BC427A">
        <w:rPr>
          <w:lang w:val="fr-FR"/>
        </w:rPr>
        <w:tab/>
      </w:r>
      <w:r>
        <w:rPr>
          <w:lang w:val="fr-FR"/>
        </w:rPr>
        <w:tab/>
        <w:t>Ajouter le nouveau titre ci-après sous « </w:t>
      </w:r>
      <w:r w:rsidR="003470CE">
        <w:rPr>
          <w:lang w:val="fr-FR"/>
        </w:rPr>
        <w:t xml:space="preserve">3.4.5.3 </w:t>
      </w:r>
      <w:r>
        <w:rPr>
          <w:lang w:val="fr-FR"/>
        </w:rPr>
        <w:t xml:space="preserve">Commentaires et observations complémentaires » : </w:t>
      </w:r>
    </w:p>
    <w:p w14:paraId="2E5985A9" w14:textId="0D409C49" w:rsidR="008F6BAB" w:rsidRPr="00D53D56" w:rsidRDefault="008F6BAB" w:rsidP="00775023">
      <w:pPr>
        <w:pStyle w:val="SingleTxtG"/>
        <w:tabs>
          <w:tab w:val="clear" w:pos="2268"/>
          <w:tab w:val="left" w:pos="3686"/>
        </w:tabs>
        <w:ind w:left="2552"/>
        <w:rPr>
          <w:rFonts w:cstheme="minorHAnsi"/>
          <w:bCs/>
          <w:i/>
          <w:iCs/>
        </w:rPr>
      </w:pPr>
      <w:r>
        <w:rPr>
          <w:lang w:val="fr-FR"/>
        </w:rPr>
        <w:t xml:space="preserve">« 3.4.5.3.1 </w:t>
      </w:r>
      <w:r w:rsidR="0066607E">
        <w:rPr>
          <w:lang w:val="fr-FR"/>
        </w:rPr>
        <w:tab/>
      </w:r>
      <w:r>
        <w:rPr>
          <w:i/>
          <w:iCs/>
          <w:lang w:val="fr-FR"/>
        </w:rPr>
        <w:t>Orientations sur les substances − sensibilisation cutanée</w:t>
      </w:r>
      <w:r>
        <w:rPr>
          <w:lang w:val="fr-FR"/>
        </w:rPr>
        <w:t> ».</w:t>
      </w:r>
    </w:p>
    <w:p w14:paraId="3B696E93" w14:textId="77777777" w:rsidR="008F6BAB" w:rsidRPr="00D53D56" w:rsidRDefault="008F6BAB" w:rsidP="002B7461">
      <w:pPr>
        <w:pStyle w:val="SingleTxtG"/>
        <w:tabs>
          <w:tab w:val="clear" w:pos="2268"/>
        </w:tabs>
      </w:pPr>
      <w:r w:rsidRPr="00BC427A">
        <w:rPr>
          <w:spacing w:val="-12"/>
          <w:lang w:val="fr-FR"/>
        </w:rPr>
        <w:t>3.4.5.3.1 à 3.4.5.3.2</w:t>
      </w:r>
      <w:r>
        <w:rPr>
          <w:lang w:val="fr-FR"/>
        </w:rPr>
        <w:tab/>
        <w:t>Les sections « 3.4.5.3.1 » à « 3.4.5.3.2 » actuelles deviennent les sections « 3.4.5.3.1.1 » à « 3.4.5.3.1.2 ».</w:t>
      </w:r>
    </w:p>
    <w:p w14:paraId="56C3D07F" w14:textId="5BBCCD60" w:rsidR="008F6BAB" w:rsidRPr="00D53D56" w:rsidRDefault="008F6BAB" w:rsidP="008F6BAB">
      <w:pPr>
        <w:pStyle w:val="SingleTxtG"/>
        <w:tabs>
          <w:tab w:val="clear" w:pos="2268"/>
        </w:tabs>
        <w:ind w:left="2552" w:hanging="1418"/>
      </w:pPr>
      <w:r w:rsidRPr="00BC427A">
        <w:rPr>
          <w:lang w:val="fr-FR"/>
        </w:rPr>
        <w:t>3.4.5.3.1.2 (ancien 3.4.5.3.2)</w:t>
      </w:r>
      <w:r>
        <w:rPr>
          <w:lang w:val="fr-FR"/>
        </w:rPr>
        <w:t xml:space="preserve">  </w:t>
      </w:r>
      <w:r w:rsidR="00935338">
        <w:rPr>
          <w:lang w:val="fr-FR"/>
        </w:rPr>
        <w:t>Remplacer par ce qui suit </w:t>
      </w:r>
      <w:r>
        <w:rPr>
          <w:lang w:val="fr-FR"/>
        </w:rPr>
        <w:t>:</w:t>
      </w:r>
    </w:p>
    <w:p w14:paraId="312282D6" w14:textId="66DE7274" w:rsidR="008F6BAB" w:rsidRPr="00D53D56" w:rsidRDefault="008F6BAB" w:rsidP="00775023">
      <w:pPr>
        <w:pStyle w:val="SingleTxtG"/>
        <w:tabs>
          <w:tab w:val="clear" w:pos="2268"/>
          <w:tab w:val="left" w:pos="3969"/>
        </w:tabs>
        <w:ind w:left="2552"/>
        <w:rPr>
          <w:i/>
          <w:iCs/>
        </w:rPr>
      </w:pPr>
      <w:r>
        <w:rPr>
          <w:lang w:val="fr-FR"/>
        </w:rPr>
        <w:t>« 3.4.5.3.1.2</w:t>
      </w:r>
      <w:r>
        <w:rPr>
          <w:lang w:val="fr-FR"/>
        </w:rPr>
        <w:tab/>
        <w:t xml:space="preserve">Orientations sur l’utilisation des données </w:t>
      </w:r>
      <w:r w:rsidR="00F3199F">
        <w:rPr>
          <w:lang w:val="fr-FR"/>
        </w:rPr>
        <w:t>humaines</w:t>
      </w:r>
    </w:p>
    <w:p w14:paraId="14021866" w14:textId="77777777"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3.4.5.3.1.2.1</w:t>
      </w:r>
      <w:r>
        <w:rPr>
          <w:lang w:val="fr-FR"/>
        </w:rPr>
        <w:tab/>
        <w:t>Ces orientations concernent les substances et les mélanges.</w:t>
      </w:r>
    </w:p>
    <w:p w14:paraId="2F6EAD90" w14:textId="5B6810EA"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3.4.5.3.1.2.2</w:t>
      </w:r>
      <w:r>
        <w:rPr>
          <w:lang w:val="fr-FR"/>
        </w:rPr>
        <w:tab/>
        <w:t xml:space="preserve">Le classement de substances et de mélanges peut être basé sur des données </w:t>
      </w:r>
      <w:r w:rsidR="00F3199F">
        <w:rPr>
          <w:lang w:val="fr-FR"/>
        </w:rPr>
        <w:t>humaines</w:t>
      </w:r>
      <w:r>
        <w:rPr>
          <w:lang w:val="fr-FR"/>
        </w:rPr>
        <w:t xml:space="preserve"> provenant de diverses sources. Ces sources comprennent des tests épicutanés prédictifs </w:t>
      </w:r>
      <w:r w:rsidR="00AD2A1F">
        <w:rPr>
          <w:lang w:val="fr-FR"/>
        </w:rPr>
        <w:t>effectués sur les humains</w:t>
      </w:r>
      <w:r>
        <w:rPr>
          <w:lang w:val="fr-FR"/>
        </w:rPr>
        <w:t xml:space="preserve">, des études épidémiologiques, des études de cas, des rapports ou des historiques de cas, des tests épicutanés diagnostiques et des rapports de surveillance médicale, ainsi que des informations provenant de centres antipoison. Ces données peuvent avoir été produites à l’intention des consommateurs, des travailleurs ou de la population générale. Des orientations concernant l’évaluation des données </w:t>
      </w:r>
      <w:r w:rsidR="004F5A93" w:rsidRPr="0070331D">
        <w:rPr>
          <w:lang w:val="fr-FR"/>
        </w:rPr>
        <w:t>humaines</w:t>
      </w:r>
      <w:r>
        <w:rPr>
          <w:lang w:val="fr-FR"/>
        </w:rPr>
        <w:t xml:space="preserve"> et les critères du 3.4.2.2.2 sont fournies par certaines autorités compétentes, par exemple le guide de l’ECHA (2017) intitulé </w:t>
      </w:r>
      <w:r w:rsidRPr="00A464FF">
        <w:t>“</w:t>
      </w:r>
      <w:r>
        <w:rPr>
          <w:lang w:val="fr-FR"/>
        </w:rPr>
        <w:t xml:space="preserve">Guidance on the Application of the CLP </w:t>
      </w:r>
      <w:proofErr w:type="spellStart"/>
      <w:r>
        <w:rPr>
          <w:lang w:val="fr-FR"/>
        </w:rPr>
        <w:t>Criteria</w:t>
      </w:r>
      <w:proofErr w:type="spellEnd"/>
      <w:r w:rsidRPr="00A464FF">
        <w:t>”</w:t>
      </w:r>
      <w:r>
        <w:rPr>
          <w:lang w:val="fr-FR"/>
        </w:rPr>
        <w:t xml:space="preserve"> (Application des critères relatifs à la classification, l’étiquetage et l’emballage). D’autres informations utiles à prendre en compte aux fins du </w:t>
      </w:r>
      <w:r>
        <w:rPr>
          <w:lang w:val="fr-FR"/>
        </w:rPr>
        <w:lastRenderedPageBreak/>
        <w:t xml:space="preserve">classement (par exemple sur l’utilisation de concentrations et de véhicules appropriés et sur l’évaluation des mélanges) sont disponibles (voir U.S. Consumer Product Safety Commission (U.S. CPSC), 2013 ; lignes directrices de la European Society of Contact </w:t>
      </w:r>
      <w:proofErr w:type="spellStart"/>
      <w:r>
        <w:rPr>
          <w:lang w:val="fr-FR"/>
        </w:rPr>
        <w:t>Dermatitis</w:t>
      </w:r>
      <w:proofErr w:type="spellEnd"/>
      <w:r>
        <w:rPr>
          <w:lang w:val="fr-FR"/>
        </w:rPr>
        <w:t xml:space="preserve">, 2015 ; </w:t>
      </w:r>
      <w:proofErr w:type="spellStart"/>
      <w:r>
        <w:rPr>
          <w:lang w:val="fr-FR"/>
        </w:rPr>
        <w:t>Frosch</w:t>
      </w:r>
      <w:proofErr w:type="spellEnd"/>
      <w:r>
        <w:rPr>
          <w:lang w:val="fr-FR"/>
        </w:rPr>
        <w:t xml:space="preserve"> </w:t>
      </w:r>
      <w:r w:rsidRPr="00E96CE4">
        <w:rPr>
          <w:i/>
          <w:iCs/>
          <w:lang w:val="fr-FR"/>
        </w:rPr>
        <w:t>et al.</w:t>
      </w:r>
      <w:r>
        <w:rPr>
          <w:lang w:val="fr-FR"/>
        </w:rPr>
        <w:t xml:space="preserve">, 2015). </w:t>
      </w:r>
    </w:p>
    <w:p w14:paraId="4405431B" w14:textId="77777777"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3.4.5.3.1.2.3</w:t>
      </w:r>
      <w:r>
        <w:rPr>
          <w:lang w:val="fr-FR"/>
        </w:rPr>
        <w:tab/>
        <w:t>Lors de l’évaluation des données existantes, leur qualité devrait être prise en considération. Les critères à évaluer pour déterminer si une étude est fiable sont la validation des résultats, un dosage et une voie d’administration adaptés et le recours à des témoins appropriés. Il importe tout particulièrement de s’assurer que l’exposition à une substance ou à un mélange est établie avec suffisamment de fiabilité. Les études devraient être menées, le cas échéant, conformément aux directives nationales et/ou internationales en matière d’essais et suivant les bonnes pratiques de laboratoire, les bonnes pratiques cliniques et les bonnes pratiques épidémiologiques (U.S. CPSC, 2013 ; Hoffman, 2019 ; Alba, 2020 ; Organisation mondiale de la Santé, Conseil des organisations internationales des sciences médicales (CIOMS), 2009).</w:t>
      </w:r>
    </w:p>
    <w:p w14:paraId="18EC3BD3" w14:textId="77777777"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3.4.5.3.1.2.4</w:t>
      </w:r>
      <w:r>
        <w:rPr>
          <w:lang w:val="fr-FR"/>
        </w:rPr>
        <w:tab/>
        <w:t>Les données positives issues d’études épidémiologiques bien menées (conformément aux directives du CIOMS et de l’OMS (2009)) peuvent être utilisées pour classer les substances et les mélanges en ce qui concerne la sensibilisation cutanée. Parmi les exemples d’études épidémiologiques, on peut citer les études de cas-témoins, les études de cohorte, les études transversales ou les études longitudinales. Ces études doivent comporter des échantillons de grande taille et l’exposition à la substance ou au mélange à classer doit être bien établie.</w:t>
      </w:r>
    </w:p>
    <w:p w14:paraId="39BFDF66" w14:textId="77777777"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3.4.5.3.1.2.5</w:t>
      </w:r>
      <w:r>
        <w:rPr>
          <w:lang w:val="fr-FR"/>
        </w:rPr>
        <w:tab/>
        <w:t xml:space="preserve">Lorsque des données épidémiologiques sur l’être humain sont utilisées aux fins de classement, il convient de tenir compte de données provenant de diverses sources : a) des études cliniques et diagnostiques fiables ; b) des études épidémiologiques, qu’il s’agisse d’études sur la population générale ou en milieu professionnel ; c) des données de réactivité croisée ; et d) des histoires de cas. Les données positives issues d’études épidémiologiques bien menées (qui devraient également être conformes aux directives du CIOMS et de l’OMS (2009)) peuvent être utilisées pour classer les substances et les mélanges en ce qui concerne la sensibilisation cutanée. L’incidence et la gravité de la sensibilisation peuvent être plus importantes dans les études épidémiologiques en milieu professionnel que dans les études portant sur la population générale en raison d’une exposition plus élevée (s’agissant aussi bien de la durée que de la concentration). L’exposition, l’incidence et la gravité observées chez les populations étudiées devraient être prises en compte, surtout lorsqu’il convient de sélectionner la sous-catégorie (voir 3.4.2.2.2). </w:t>
      </w:r>
    </w:p>
    <w:p w14:paraId="10EA2C6A" w14:textId="77777777"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3.4.5.3.1.2.6</w:t>
      </w:r>
      <w:r>
        <w:rPr>
          <w:lang w:val="fr-FR"/>
        </w:rPr>
        <w:tab/>
        <w:t xml:space="preserve">Certaines études épidémiologiques (par exemple les études ou les essais contrôlés randomisés) peuvent comporter des informations issues de tests épicutanés diagnostiques. Le test épicutané diagnostique est considéré par certaines autorités compétentes comme l’archétype du diagnostic de l’allergie de contact chez les patients atteints de dermatite (Johansen </w:t>
      </w:r>
      <w:r w:rsidRPr="00E96CE4">
        <w:rPr>
          <w:i/>
          <w:iCs/>
          <w:lang w:val="fr-FR"/>
        </w:rPr>
        <w:t>et coll.</w:t>
      </w:r>
      <w:r>
        <w:rPr>
          <w:lang w:val="fr-FR"/>
        </w:rPr>
        <w:t xml:space="preserve">, 2015 ; </w:t>
      </w:r>
      <w:proofErr w:type="spellStart"/>
      <w:r>
        <w:rPr>
          <w:lang w:val="fr-FR"/>
        </w:rPr>
        <w:t>Frosch</w:t>
      </w:r>
      <w:proofErr w:type="spellEnd"/>
      <w:r>
        <w:rPr>
          <w:lang w:val="fr-FR"/>
        </w:rPr>
        <w:t xml:space="preserve"> </w:t>
      </w:r>
      <w:r w:rsidRPr="00E96CE4">
        <w:rPr>
          <w:i/>
          <w:iCs/>
          <w:lang w:val="fr-FR"/>
        </w:rPr>
        <w:t>et al.</w:t>
      </w:r>
      <w:r>
        <w:rPr>
          <w:lang w:val="fr-FR"/>
        </w:rPr>
        <w:t xml:space="preserve">, 2015). Il est important de tenir compte du choix du véhicule, de la composition de la substance d’essai et des concentrations du test épicutané afin de ne pas provoquer de faux négatifs, de faux positifs ou de réactions irritantes ni d’induire une allergie de contact (sensibilisation cutanée). Des données positives provenant d’études expérimentales, cliniques ou diagnostiques chez les humains ou d’épisodes bien établis de dermatite allergique de contact peuvent être utilisées pour classer les substances et les mélanges en ce qui concerne la sensibilisation cutanée, lorsqu’on peut supposer avec un degré de confiance suffisant que la substance ou le mélange testé(e) était effectivement la cause la plus probable de l’induction de la sensibilisation. </w:t>
      </w:r>
      <w:r>
        <w:rPr>
          <w:lang w:val="fr-FR"/>
        </w:rPr>
        <w:lastRenderedPageBreak/>
        <w:t xml:space="preserve">Il convient donc d’établir qu’il existe au moins une probabilité générale que le ou les patients concernés aient été précédemment exposés à la substance ou au mélange. Par ailleurs, un résultat négatif de ces essais ne suffit pas à établir que la substance ou le mélange ne doit pas être classé(e) comme sensibilisant cutané. </w:t>
      </w:r>
    </w:p>
    <w:p w14:paraId="02B6A89E" w14:textId="01E2A964" w:rsidR="008F6BAB" w:rsidRPr="00D53D56" w:rsidRDefault="008F6BAB" w:rsidP="00775023">
      <w:pPr>
        <w:pStyle w:val="SingleTxtG"/>
        <w:tabs>
          <w:tab w:val="clear" w:pos="2268"/>
          <w:tab w:val="left" w:pos="3969"/>
        </w:tabs>
        <w:ind w:left="2552"/>
        <w:rPr>
          <w:rFonts w:asciiTheme="majorBidi" w:hAnsiTheme="majorBidi" w:cstheme="majorBidi"/>
        </w:rPr>
      </w:pPr>
      <w:r w:rsidRPr="0070331D">
        <w:rPr>
          <w:lang w:val="fr-FR"/>
        </w:rPr>
        <w:t>3.4.5.3.1.2.7</w:t>
      </w:r>
      <w:r w:rsidRPr="0070331D">
        <w:rPr>
          <w:lang w:val="fr-FR"/>
        </w:rPr>
        <w:tab/>
        <w:t xml:space="preserve">Des données de tests épicutanés prédictifs sur des sujets humains volontaires sont disponibles pour certaines substances et certains mélanges (par exemple, Strickland </w:t>
      </w:r>
      <w:r w:rsidRPr="0070331D">
        <w:rPr>
          <w:i/>
          <w:iCs/>
          <w:lang w:val="fr-FR"/>
        </w:rPr>
        <w:t>et al.</w:t>
      </w:r>
      <w:r w:rsidRPr="0070331D">
        <w:rPr>
          <w:lang w:val="fr-FR"/>
        </w:rPr>
        <w:t xml:space="preserve">, 2023). Le test épicutané </w:t>
      </w:r>
      <w:r w:rsidR="003359FB" w:rsidRPr="0070331D">
        <w:rPr>
          <w:lang w:val="fr-FR"/>
        </w:rPr>
        <w:t xml:space="preserve">de dommages </w:t>
      </w:r>
      <w:r w:rsidRPr="0070331D">
        <w:rPr>
          <w:lang w:val="fr-FR"/>
        </w:rPr>
        <w:t xml:space="preserve">par applications répétées </w:t>
      </w:r>
      <w:r w:rsidR="003359FB" w:rsidRPr="0070331D">
        <w:rPr>
          <w:lang w:val="fr-FR"/>
        </w:rPr>
        <w:t xml:space="preserve">chez </w:t>
      </w:r>
      <w:r w:rsidR="00644688" w:rsidRPr="0070331D">
        <w:rPr>
          <w:lang w:val="fr-FR"/>
        </w:rPr>
        <w:t>les humains</w:t>
      </w:r>
      <w:r w:rsidR="003359FB" w:rsidRPr="0070331D">
        <w:rPr>
          <w:lang w:val="fr-FR"/>
        </w:rPr>
        <w:t xml:space="preserve"> </w:t>
      </w:r>
      <w:r w:rsidRPr="0070331D">
        <w:rPr>
          <w:lang w:val="fr-FR"/>
        </w:rPr>
        <w:t xml:space="preserve">(HRIPT) et </w:t>
      </w:r>
      <w:r w:rsidR="00096947" w:rsidRPr="0070331D">
        <w:rPr>
          <w:lang w:val="fr-FR"/>
        </w:rPr>
        <w:t xml:space="preserve">le </w:t>
      </w:r>
      <w:r w:rsidRPr="0070331D">
        <w:rPr>
          <w:lang w:val="fr-FR"/>
        </w:rPr>
        <w:t xml:space="preserve">test de maximalisation chez </w:t>
      </w:r>
      <w:r w:rsidR="00096947" w:rsidRPr="0070331D">
        <w:rPr>
          <w:lang w:val="fr-FR"/>
        </w:rPr>
        <w:t xml:space="preserve">les </w:t>
      </w:r>
      <w:r w:rsidR="00CA3079" w:rsidRPr="0070331D">
        <w:rPr>
          <w:lang w:val="fr-FR"/>
        </w:rPr>
        <w:t>humains</w:t>
      </w:r>
      <w:r w:rsidR="00096947" w:rsidRPr="0070331D">
        <w:rPr>
          <w:lang w:val="fr-FR"/>
        </w:rPr>
        <w:t xml:space="preserve"> </w:t>
      </w:r>
      <w:r w:rsidRPr="0070331D">
        <w:rPr>
          <w:lang w:val="fr-FR"/>
        </w:rPr>
        <w:t>(HMT) sont deux méthodes d’essai qui permettent de savoir si la substance ou le mélange induira une sensibilisation.</w:t>
      </w:r>
    </w:p>
    <w:p w14:paraId="346F5B2A" w14:textId="675A1C30"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3.4.5.3.1.2.8</w:t>
      </w:r>
      <w:r>
        <w:rPr>
          <w:lang w:val="fr-FR"/>
        </w:rPr>
        <w:tab/>
        <w:t>Des données positives issues de tests épicutanés prédictifs (HRIPT ou HMT) faisant apparaître que la substance ou le mélange testé(e) provoque une dermatite allergique de contact</w:t>
      </w:r>
      <w:r w:rsidR="00B707A9">
        <w:rPr>
          <w:lang w:val="fr-FR"/>
        </w:rPr>
        <w:t>,</w:t>
      </w:r>
      <w:r>
        <w:rPr>
          <w:lang w:val="fr-FR"/>
        </w:rPr>
        <w:t xml:space="preserve"> peuvent être utilisées pour effectuer un classement en ce qui concerne la sensibilisation cutanée. Ces études sont généralement réalisées dans des conditions cliniques contrôlées. En général, on considère que plus la taille du groupe étudié est importante, plus les résultats de l’étude sont fiables. Les critères d’évaluation de ces données sont indiqués au 3.4.2.2.2.2 et au 3.4.2.2.2.3</w:t>
      </w:r>
      <w:r w:rsidRPr="00307AA7">
        <w:rPr>
          <w:lang w:val="fr-FR"/>
        </w:rPr>
        <w:t xml:space="preserve">. Il convient de </w:t>
      </w:r>
      <w:r>
        <w:rPr>
          <w:lang w:val="fr-FR"/>
        </w:rPr>
        <w:t>vérifier si</w:t>
      </w:r>
      <w:r w:rsidRPr="00321B11">
        <w:rPr>
          <w:lang w:val="fr-FR"/>
        </w:rPr>
        <w:t xml:space="preserve"> le véhicule </w:t>
      </w:r>
      <w:r>
        <w:rPr>
          <w:lang w:val="fr-FR"/>
        </w:rPr>
        <w:t>n’</w:t>
      </w:r>
      <w:r w:rsidRPr="00321B11">
        <w:rPr>
          <w:lang w:val="fr-FR"/>
        </w:rPr>
        <w:t xml:space="preserve">a </w:t>
      </w:r>
      <w:r>
        <w:rPr>
          <w:lang w:val="fr-FR"/>
        </w:rPr>
        <w:t xml:space="preserve">pas </w:t>
      </w:r>
      <w:r w:rsidRPr="00321B11">
        <w:rPr>
          <w:lang w:val="fr-FR"/>
        </w:rPr>
        <w:t xml:space="preserve">été utilisé de manière </w:t>
      </w:r>
      <w:r>
        <w:rPr>
          <w:lang w:val="fr-FR"/>
        </w:rPr>
        <w:t>in</w:t>
      </w:r>
      <w:r w:rsidRPr="00BD34E4">
        <w:rPr>
          <w:lang w:val="fr-FR"/>
        </w:rPr>
        <w:t xml:space="preserve">appropriée </w:t>
      </w:r>
      <w:r w:rsidRPr="00307AA7">
        <w:rPr>
          <w:lang w:val="fr-FR"/>
        </w:rPr>
        <w:t>lors de l</w:t>
      </w:r>
      <w:r>
        <w:rPr>
          <w:lang w:val="fr-FR"/>
        </w:rPr>
        <w:t>’</w:t>
      </w:r>
      <w:r w:rsidRPr="00307AA7">
        <w:rPr>
          <w:lang w:val="fr-FR"/>
        </w:rPr>
        <w:t xml:space="preserve">évaluation des données du test HRIPT, car </w:t>
      </w:r>
      <w:r w:rsidRPr="00321B11">
        <w:rPr>
          <w:lang w:val="fr-FR"/>
        </w:rPr>
        <w:t xml:space="preserve">cela </w:t>
      </w:r>
      <w:r w:rsidRPr="00307AA7">
        <w:rPr>
          <w:lang w:val="fr-FR"/>
        </w:rPr>
        <w:t>peut influencer le résultat de l</w:t>
      </w:r>
      <w:r>
        <w:rPr>
          <w:lang w:val="fr-FR"/>
        </w:rPr>
        <w:t>’</w:t>
      </w:r>
      <w:r w:rsidRPr="00BD34E4">
        <w:rPr>
          <w:lang w:val="fr-FR"/>
        </w:rPr>
        <w:t>essai</w:t>
      </w:r>
      <w:r>
        <w:rPr>
          <w:lang w:val="fr-FR"/>
        </w:rPr>
        <w:t xml:space="preserve"> (Johansen </w:t>
      </w:r>
      <w:r w:rsidRPr="00E96CE4">
        <w:rPr>
          <w:i/>
          <w:iCs/>
          <w:lang w:val="fr-FR"/>
        </w:rPr>
        <w:t>et al.</w:t>
      </w:r>
      <w:r>
        <w:rPr>
          <w:lang w:val="fr-FR"/>
        </w:rPr>
        <w:t xml:space="preserve">, 2015 ; </w:t>
      </w:r>
      <w:proofErr w:type="spellStart"/>
      <w:r>
        <w:rPr>
          <w:lang w:val="fr-FR"/>
        </w:rPr>
        <w:t>Frosch</w:t>
      </w:r>
      <w:proofErr w:type="spellEnd"/>
      <w:r>
        <w:rPr>
          <w:lang w:val="fr-FR"/>
        </w:rPr>
        <w:t xml:space="preserve"> </w:t>
      </w:r>
      <w:r w:rsidRPr="00E96CE4">
        <w:rPr>
          <w:i/>
          <w:iCs/>
          <w:lang w:val="fr-FR"/>
        </w:rPr>
        <w:t>et</w:t>
      </w:r>
      <w:r>
        <w:rPr>
          <w:i/>
          <w:iCs/>
          <w:lang w:val="fr-FR"/>
        </w:rPr>
        <w:t> </w:t>
      </w:r>
      <w:r w:rsidRPr="00E96CE4">
        <w:rPr>
          <w:i/>
          <w:iCs/>
          <w:lang w:val="fr-FR"/>
        </w:rPr>
        <w:t>al.</w:t>
      </w:r>
      <w:r>
        <w:rPr>
          <w:lang w:val="fr-FR"/>
        </w:rPr>
        <w:t>, 2015).</w:t>
      </w:r>
    </w:p>
    <w:p w14:paraId="2F0922B8" w14:textId="77777777"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3.4.5.3.1.2.9</w:t>
      </w:r>
      <w:r>
        <w:rPr>
          <w:lang w:val="fr-FR"/>
        </w:rPr>
        <w:tab/>
        <w:t xml:space="preserve">Le test HMT n’est plus utilisé pour des raisons éthiques, car il peut entraîner des effets négatifs sur la santé de la personne testée. Cela étant, lorsqu’elles existent, les données correspondantes peuvent être utilisées aux fins de classement. </w:t>
      </w:r>
    </w:p>
    <w:p w14:paraId="0C85A9C4" w14:textId="3F2E8703"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3.4.5.3.1.2.10</w:t>
      </w:r>
      <w:r>
        <w:rPr>
          <w:lang w:val="fr-FR"/>
        </w:rPr>
        <w:tab/>
        <w:t xml:space="preserve">Il convient d’accorder une attention particulière aux données humaines négatives, car les informations complètes sur la relation dose-effet ne sont généralement pas disponibles. Par exemple, un résultat négatif dans un HRIPT ou un HMT à une faible concentration ne permet pas de conclure que la substance ou le mélange n’a pas de propriétés de sensibilisation cutanée, car un tel effet à une concentration plus élevée ne peut être exclu. En outre, les données humaines négatives ne doivent pas nécessairement être utilisées pour annuler les résultats positifs d’études animales ou de méthodes définies, mais peuvent être utilisées dans le cadre d’une évaluation de la force probante des données. Pour les données animales et humaines, il convient de tenir compte de l’incidence du véhicule (par exemple, Wright </w:t>
      </w:r>
      <w:r w:rsidRPr="00E96CE4">
        <w:rPr>
          <w:i/>
          <w:iCs/>
          <w:lang w:val="fr-FR"/>
        </w:rPr>
        <w:t>et coll.</w:t>
      </w:r>
      <w:r>
        <w:rPr>
          <w:lang w:val="fr-FR"/>
        </w:rPr>
        <w:t xml:space="preserve">, 2001 ; </w:t>
      </w:r>
      <w:r w:rsidR="00D33055">
        <w:rPr>
          <w:lang w:val="fr-FR"/>
        </w:rPr>
        <w:t xml:space="preserve">et </w:t>
      </w:r>
      <w:proofErr w:type="spellStart"/>
      <w:r>
        <w:rPr>
          <w:lang w:val="fr-FR"/>
        </w:rPr>
        <w:t>Kligman</w:t>
      </w:r>
      <w:proofErr w:type="spellEnd"/>
      <w:r>
        <w:rPr>
          <w:lang w:val="fr-FR"/>
        </w:rPr>
        <w:t xml:space="preserve">, 1966). </w:t>
      </w:r>
    </w:p>
    <w:p w14:paraId="7ECE6B2A" w14:textId="4EC91FCC" w:rsidR="008F6BAB" w:rsidRPr="00D53D56" w:rsidRDefault="008F6BAB" w:rsidP="00775023">
      <w:pPr>
        <w:pStyle w:val="SingleTxtG"/>
        <w:tabs>
          <w:tab w:val="clear" w:pos="2268"/>
          <w:tab w:val="left" w:pos="3969"/>
        </w:tabs>
        <w:ind w:left="2552"/>
        <w:rPr>
          <w:rFonts w:asciiTheme="majorBidi" w:hAnsiTheme="majorBidi" w:cstheme="majorBidi"/>
        </w:rPr>
      </w:pPr>
      <w:r>
        <w:rPr>
          <w:lang w:val="fr-FR"/>
        </w:rPr>
        <w:t>3.4.5.3.1.2.11</w:t>
      </w:r>
      <w:r>
        <w:rPr>
          <w:lang w:val="fr-FR"/>
        </w:rPr>
        <w:tab/>
        <w:t>Par exemple, les résultats négatifs de substances ou de mélanges mis à l’essai dans un test épicutané prédictif à une dose par surface de peau (DSP) inférieure à 500 μg/cm</w:t>
      </w:r>
      <w:r w:rsidRPr="00321B11">
        <w:rPr>
          <w:vertAlign w:val="superscript"/>
          <w:lang w:val="fr-FR"/>
        </w:rPr>
        <w:t>2</w:t>
      </w:r>
      <w:r>
        <w:rPr>
          <w:lang w:val="fr-FR"/>
        </w:rPr>
        <w:t xml:space="preserve"> impliquent qu’un classement en ce qui concerne la sensibilisation cutanée pourrait ne pas être nécessaire. Cependant, le classement dans la </w:t>
      </w:r>
      <w:r w:rsidR="007F2117">
        <w:rPr>
          <w:lang w:val="fr-FR"/>
        </w:rPr>
        <w:t>sous-</w:t>
      </w:r>
      <w:r>
        <w:rPr>
          <w:lang w:val="fr-FR"/>
        </w:rPr>
        <w:t>catégorie 1A ou 1B ne peut être exclu, car la concentration testée n’était pas assez élevée pour exclure ces possibilités. Il en va de même pour les résultats d’essais pour lesquels on ne sait pas si la concentration testée correspondait à une DSP inférieure à 500 μg/cm</w:t>
      </w:r>
      <w:r w:rsidRPr="007142B6">
        <w:rPr>
          <w:vertAlign w:val="superscript"/>
          <w:lang w:val="fr-FR"/>
        </w:rPr>
        <w:t>2</w:t>
      </w:r>
      <w:r>
        <w:rPr>
          <w:lang w:val="fr-FR"/>
        </w:rPr>
        <w:t>. Les résultats négatifs des substances ou mélanges testés à une DSP supérieure ou égale à 500 μg/cm</w:t>
      </w:r>
      <w:r w:rsidRPr="007142B6">
        <w:rPr>
          <w:vertAlign w:val="superscript"/>
          <w:lang w:val="fr-FR"/>
        </w:rPr>
        <w:t>2</w:t>
      </w:r>
      <w:r>
        <w:rPr>
          <w:lang w:val="fr-FR"/>
        </w:rPr>
        <w:t xml:space="preserve"> suggèrent que le classement pourrait ne pas être nécessaire. Toutefois, si le classement dans la </w:t>
      </w:r>
      <w:r w:rsidR="007F2117">
        <w:rPr>
          <w:lang w:val="fr-FR"/>
        </w:rPr>
        <w:t>sous-</w:t>
      </w:r>
      <w:r>
        <w:rPr>
          <w:lang w:val="fr-FR"/>
        </w:rPr>
        <w:t xml:space="preserve">catégorie 1A peut être exclu, le classement dans la </w:t>
      </w:r>
      <w:r w:rsidR="007F2117">
        <w:rPr>
          <w:lang w:val="fr-FR"/>
        </w:rPr>
        <w:t>sous-</w:t>
      </w:r>
      <w:r>
        <w:rPr>
          <w:lang w:val="fr-FR"/>
        </w:rPr>
        <w:t>catégorie 1B ne peut pas l’être, car une concentration d’essai plus élevée aurait pu entraîner un résultat positif. Cependant, un résultat négatif à une concentration de 100 % (c’est</w:t>
      </w:r>
      <w:r>
        <w:rPr>
          <w:lang w:val="fr-FR"/>
        </w:rPr>
        <w:noBreakHyphen/>
        <w:t>à</w:t>
      </w:r>
      <w:r>
        <w:rPr>
          <w:lang w:val="fr-FR"/>
        </w:rPr>
        <w:noBreakHyphen/>
        <w:t xml:space="preserve">dire la substance ou le mélange non dilué(e)) peut justifier que l’on ne classe pas (sur la base de ce test). En revanche, des résultats négatifs à de faibles concentrations peuvent être </w:t>
      </w:r>
      <w:r>
        <w:rPr>
          <w:lang w:val="fr-FR"/>
        </w:rPr>
        <w:lastRenderedPageBreak/>
        <w:t>informatifs pour le classement des mélanges contenant la substance ou le mélange à des concentrations semblables ou inférieures.</w:t>
      </w:r>
    </w:p>
    <w:p w14:paraId="4FF2157B" w14:textId="77777777" w:rsidR="008F6BAB" w:rsidRPr="00901D2D" w:rsidRDefault="008F6BAB" w:rsidP="00775023">
      <w:pPr>
        <w:pStyle w:val="SingleTxtG"/>
        <w:tabs>
          <w:tab w:val="clear" w:pos="2268"/>
          <w:tab w:val="left" w:pos="3969"/>
        </w:tabs>
        <w:ind w:left="2552"/>
      </w:pPr>
      <w:r w:rsidRPr="00901D2D">
        <w:rPr>
          <w:lang w:val="fr-FR"/>
        </w:rPr>
        <w:t>3.4.5.3.1.2.12</w:t>
      </w:r>
      <w:r>
        <w:rPr>
          <w:lang w:val="fr-FR"/>
        </w:rPr>
        <w:tab/>
      </w:r>
      <w:r w:rsidRPr="00901D2D">
        <w:rPr>
          <w:lang w:val="fr-FR"/>
        </w:rPr>
        <w:t>Les données humaines qui ne sont pas produites dans le cadre d</w:t>
      </w:r>
      <w:r>
        <w:rPr>
          <w:lang w:val="fr-FR"/>
        </w:rPr>
        <w:t>’</w:t>
      </w:r>
      <w:r w:rsidRPr="00901D2D">
        <w:rPr>
          <w:lang w:val="fr-FR"/>
        </w:rPr>
        <w:t>expériences contrôlées avec des volontaires aux fins du classement des dangers (par exemple, les études de cas, les rapports de cas et les histoires de cas, ainsi que les informations des centres antipoison) peuvent être utilisées avec prudence. Il convient de prendre en considération la fréquence des cas, les propriétés inhérentes de la substance ou du mélange, ainsi que des facteurs tels que la situation d</w:t>
      </w:r>
      <w:r>
        <w:rPr>
          <w:lang w:val="fr-FR"/>
        </w:rPr>
        <w:t>’</w:t>
      </w:r>
      <w:r w:rsidRPr="00901D2D">
        <w:rPr>
          <w:lang w:val="fr-FR"/>
        </w:rPr>
        <w:t>exposition, la biodisponibilité, la prédisposition individuelle, la réactivité croisée et les mesures préventives prises. ».</w:t>
      </w:r>
    </w:p>
    <w:p w14:paraId="152EE6D4" w14:textId="5AFD0CED" w:rsidR="008F6BAB" w:rsidRPr="00D53D56" w:rsidRDefault="008F6BAB" w:rsidP="002A4039">
      <w:pPr>
        <w:pStyle w:val="SingleTxtG"/>
        <w:tabs>
          <w:tab w:val="clear" w:pos="2268"/>
        </w:tabs>
      </w:pPr>
      <w:bookmarkStart w:id="1" w:name="_Hlk154133625"/>
      <w:r w:rsidRPr="00EC7E04">
        <w:rPr>
          <w:spacing w:val="-12"/>
          <w:lang w:val="fr-FR"/>
        </w:rPr>
        <w:t>3.4.5.3.</w:t>
      </w:r>
      <w:r w:rsidR="00DD3DAA">
        <w:rPr>
          <w:spacing w:val="-12"/>
          <w:lang w:val="fr-FR"/>
        </w:rPr>
        <w:t>1.</w:t>
      </w:r>
      <w:r w:rsidRPr="00EC7E04">
        <w:rPr>
          <w:spacing w:val="-12"/>
          <w:lang w:val="fr-FR"/>
        </w:rPr>
        <w:t>3 à 3.4.5.3.</w:t>
      </w:r>
      <w:r w:rsidR="002A4039">
        <w:rPr>
          <w:spacing w:val="-12"/>
          <w:lang w:val="fr-FR"/>
        </w:rPr>
        <w:t>1.</w:t>
      </w:r>
      <w:r w:rsidRPr="00EC7E04">
        <w:rPr>
          <w:spacing w:val="-12"/>
          <w:lang w:val="fr-FR"/>
        </w:rPr>
        <w:t>6</w:t>
      </w:r>
      <w:r w:rsidRPr="00EC7E04">
        <w:rPr>
          <w:lang w:val="fr-FR"/>
        </w:rPr>
        <w:tab/>
      </w:r>
      <w:r w:rsidR="006A7AF3" w:rsidRPr="00775023">
        <w:rPr>
          <w:lang w:val="fr-FR"/>
        </w:rPr>
        <w:t>(nouveau</w:t>
      </w:r>
      <w:r w:rsidR="00FE2DA0" w:rsidRPr="00775023">
        <w:rPr>
          <w:lang w:val="fr-FR"/>
        </w:rPr>
        <w:t xml:space="preserve">x, anciens « 3.4.5.3.3 à 3.4.5.3.6) </w:t>
      </w:r>
      <w:r w:rsidRPr="00EC7E04">
        <w:rPr>
          <w:lang w:val="fr-FR"/>
        </w:rPr>
        <w:t>Les sections « 3.4.5.3.3 » à « 3.4.5.3.6 » actuelles deviennent les sections « 3.4.5.3.1.3 » à « 3.4.5.3.1.6 ». Les paragraphes de chaque section sont renumérotés en conséquence.</w:t>
      </w:r>
    </w:p>
    <w:bookmarkEnd w:id="1"/>
    <w:p w14:paraId="435A1002" w14:textId="68C85745" w:rsidR="008F6BAB" w:rsidRPr="00D53D56" w:rsidRDefault="008F6BAB" w:rsidP="002A4039">
      <w:pPr>
        <w:pStyle w:val="SingleTxtG"/>
        <w:tabs>
          <w:tab w:val="clear" w:pos="2268"/>
        </w:tabs>
      </w:pPr>
      <w:r w:rsidRPr="00937A2E">
        <w:rPr>
          <w:lang w:val="fr-FR"/>
        </w:rPr>
        <w:t>3.4.5.3.1.5 (ancien 3.4.5.3.5)</w:t>
      </w:r>
      <w:r>
        <w:rPr>
          <w:lang w:val="fr-FR"/>
        </w:rPr>
        <w:t xml:space="preserve">  </w:t>
      </w:r>
      <w:r w:rsidR="004D40FC">
        <w:rPr>
          <w:lang w:val="fr-FR"/>
        </w:rPr>
        <w:t>À la deuxième phrase, r</w:t>
      </w:r>
      <w:r>
        <w:rPr>
          <w:lang w:val="fr-FR"/>
        </w:rPr>
        <w:t>emplacer « </w:t>
      </w:r>
      <w:r w:rsidR="004D40FC">
        <w:rPr>
          <w:lang w:val="fr-FR"/>
        </w:rPr>
        <w:t>les critères n’ont pas été définis</w:t>
      </w:r>
      <w:r>
        <w:rPr>
          <w:lang w:val="fr-FR"/>
        </w:rPr>
        <w:t> » par « </w:t>
      </w:r>
      <w:r w:rsidR="004D40FC">
        <w:rPr>
          <w:lang w:val="fr-FR"/>
        </w:rPr>
        <w:t xml:space="preserve">les </w:t>
      </w:r>
      <w:r>
        <w:rPr>
          <w:lang w:val="fr-FR"/>
        </w:rPr>
        <w:t xml:space="preserve">méthodes </w:t>
      </w:r>
      <w:r w:rsidR="004D40FC">
        <w:rPr>
          <w:lang w:val="fr-FR"/>
        </w:rPr>
        <w:t xml:space="preserve">n’ont pas été </w:t>
      </w:r>
      <w:r>
        <w:rPr>
          <w:lang w:val="fr-FR"/>
        </w:rPr>
        <w:t>définies » et ajouter « à cette fin » à la fin de la phrase.</w:t>
      </w:r>
    </w:p>
    <w:p w14:paraId="7124F105" w14:textId="77777777" w:rsidR="008F6BAB" w:rsidRPr="00D53D56" w:rsidRDefault="008F6BAB" w:rsidP="008F6BAB">
      <w:pPr>
        <w:pStyle w:val="SingleTxtG"/>
        <w:tabs>
          <w:tab w:val="clear" w:pos="2268"/>
        </w:tabs>
        <w:ind w:left="2552" w:hanging="1418"/>
      </w:pPr>
      <w:r w:rsidRPr="00937A2E">
        <w:rPr>
          <w:lang w:val="fr-FR"/>
        </w:rPr>
        <w:t>3.4.5.3.1.6.1 (ancien 3.4.5.3.6.1)</w:t>
      </w:r>
      <w:r>
        <w:rPr>
          <w:lang w:val="fr-FR"/>
        </w:rPr>
        <w:t xml:space="preserve">  Remplacer « 3.4.5.3.6.2 » par « 3.4.5.3.1.6.2 ».</w:t>
      </w:r>
    </w:p>
    <w:p w14:paraId="313F33EB" w14:textId="68C8F21E" w:rsidR="008F6BAB" w:rsidRPr="00D53D56" w:rsidRDefault="008F6BAB" w:rsidP="008F6BAB">
      <w:pPr>
        <w:pStyle w:val="SingleTxtG"/>
        <w:tabs>
          <w:tab w:val="clear" w:pos="2268"/>
        </w:tabs>
        <w:ind w:left="2552" w:hanging="1418"/>
      </w:pPr>
      <w:r w:rsidRPr="00937A2E">
        <w:rPr>
          <w:spacing w:val="-10"/>
          <w:lang w:val="fr-FR"/>
        </w:rPr>
        <w:t>3.4.5.3.2 (nouveau)</w:t>
      </w:r>
      <w:r>
        <w:rPr>
          <w:lang w:val="fr-FR"/>
        </w:rPr>
        <w:t xml:space="preserve">  Ajouter la section ci-dessous après le 3.4.5.3.1.6 (ancien 3.4.5.3.6):</w:t>
      </w:r>
    </w:p>
    <w:p w14:paraId="60B795D0" w14:textId="77777777" w:rsidR="008F6BAB" w:rsidRPr="00D53D56" w:rsidRDefault="008F6BAB" w:rsidP="00775023">
      <w:pPr>
        <w:pStyle w:val="SingleTxtG"/>
        <w:tabs>
          <w:tab w:val="clear" w:pos="2268"/>
          <w:tab w:val="clear" w:pos="2835"/>
          <w:tab w:val="left" w:pos="3686"/>
        </w:tabs>
        <w:ind w:left="2552"/>
      </w:pPr>
      <w:r>
        <w:rPr>
          <w:lang w:val="fr-FR"/>
        </w:rPr>
        <w:t>« 3.4.5.3.2</w:t>
      </w:r>
      <w:r>
        <w:rPr>
          <w:lang w:val="fr-FR"/>
        </w:rPr>
        <w:tab/>
      </w:r>
      <w:r>
        <w:rPr>
          <w:i/>
          <w:iCs/>
          <w:lang w:val="fr-FR"/>
        </w:rPr>
        <w:t>Orientations sur les mélanges − sensibilisation cutanée</w:t>
      </w:r>
    </w:p>
    <w:p w14:paraId="7DFB256D" w14:textId="77777777" w:rsidR="008F6BAB" w:rsidRPr="00D53D56" w:rsidRDefault="008F6BAB" w:rsidP="00775023">
      <w:pPr>
        <w:pStyle w:val="SingleTxtG"/>
        <w:tabs>
          <w:tab w:val="clear" w:pos="2268"/>
          <w:tab w:val="clear" w:pos="2835"/>
          <w:tab w:val="left" w:pos="3686"/>
        </w:tabs>
        <w:ind w:left="2552"/>
        <w:rPr>
          <w:rFonts w:asciiTheme="majorBidi" w:hAnsiTheme="majorBidi" w:cstheme="majorBidi"/>
          <w:i/>
          <w:iCs/>
        </w:rPr>
      </w:pPr>
      <w:r>
        <w:rPr>
          <w:lang w:val="fr-FR"/>
        </w:rPr>
        <w:t>3.4.5.3.2.1</w:t>
      </w:r>
      <w:r>
        <w:rPr>
          <w:lang w:val="fr-FR"/>
        </w:rPr>
        <w:tab/>
        <w:t>Considérations générales</w:t>
      </w:r>
    </w:p>
    <w:p w14:paraId="26D7B0C6" w14:textId="77777777" w:rsidR="008F6BAB" w:rsidRPr="007142B6" w:rsidRDefault="008F6BAB" w:rsidP="00775023">
      <w:pPr>
        <w:pStyle w:val="SingleTxtG"/>
        <w:tabs>
          <w:tab w:val="clear" w:pos="2268"/>
          <w:tab w:val="clear" w:pos="2835"/>
          <w:tab w:val="left" w:pos="3686"/>
        </w:tabs>
        <w:ind w:left="2552"/>
      </w:pPr>
      <w:r w:rsidRPr="007142B6">
        <w:rPr>
          <w:lang w:val="fr-FR"/>
        </w:rPr>
        <w:t>3.4.5.3.2.1.1</w:t>
      </w:r>
      <w:r w:rsidRPr="007142B6">
        <w:rPr>
          <w:lang w:val="fr-FR"/>
        </w:rPr>
        <w:tab/>
        <w:t>Les informations sur les mécanismes qui figurent dans le document de l</w:t>
      </w:r>
      <w:r>
        <w:rPr>
          <w:lang w:val="fr-FR"/>
        </w:rPr>
        <w:t>’</w:t>
      </w:r>
      <w:r w:rsidRPr="007142B6">
        <w:rPr>
          <w:lang w:val="fr-FR"/>
        </w:rPr>
        <w:t xml:space="preserve">OCDE intitulé </w:t>
      </w:r>
      <w:r w:rsidRPr="00A464FF">
        <w:t>“</w:t>
      </w:r>
      <w:r w:rsidRPr="007142B6">
        <w:rPr>
          <w:lang w:val="fr-FR"/>
        </w:rPr>
        <w:t xml:space="preserve">Adverse </w:t>
      </w:r>
      <w:proofErr w:type="spellStart"/>
      <w:r w:rsidRPr="007142B6">
        <w:rPr>
          <w:lang w:val="fr-FR"/>
        </w:rPr>
        <w:t>Outcome</w:t>
      </w:r>
      <w:proofErr w:type="spellEnd"/>
      <w:r w:rsidRPr="007142B6">
        <w:rPr>
          <w:lang w:val="fr-FR"/>
        </w:rPr>
        <w:t xml:space="preserve"> </w:t>
      </w:r>
      <w:proofErr w:type="spellStart"/>
      <w:r w:rsidRPr="007142B6">
        <w:rPr>
          <w:lang w:val="fr-FR"/>
        </w:rPr>
        <w:t>Pathway</w:t>
      </w:r>
      <w:proofErr w:type="spellEnd"/>
      <w:r w:rsidRPr="007142B6">
        <w:rPr>
          <w:lang w:val="fr-FR"/>
        </w:rPr>
        <w:t xml:space="preserve"> for skin </w:t>
      </w:r>
      <w:proofErr w:type="spellStart"/>
      <w:r w:rsidRPr="007142B6">
        <w:rPr>
          <w:lang w:val="fr-FR"/>
        </w:rPr>
        <w:t>sensitization</w:t>
      </w:r>
      <w:proofErr w:type="spellEnd"/>
      <w:r w:rsidRPr="00A464FF">
        <w:t>”</w:t>
      </w:r>
      <w:r w:rsidRPr="007142B6">
        <w:rPr>
          <w:lang w:val="fr-FR"/>
        </w:rPr>
        <w:t xml:space="preserve"> peuvent être utiles pour comprendre la valeur des méthodes </w:t>
      </w:r>
      <w:r w:rsidRPr="007142B6">
        <w:rPr>
          <w:i/>
          <w:iCs/>
          <w:lang w:val="fr-FR"/>
        </w:rPr>
        <w:t xml:space="preserve">in </w:t>
      </w:r>
      <w:proofErr w:type="spellStart"/>
      <w:r w:rsidRPr="007142B6">
        <w:rPr>
          <w:i/>
          <w:iCs/>
          <w:lang w:val="fr-FR"/>
        </w:rPr>
        <w:t>chemico</w:t>
      </w:r>
      <w:proofErr w:type="spellEnd"/>
      <w:r w:rsidRPr="007142B6">
        <w:rPr>
          <w:lang w:val="fr-FR"/>
        </w:rPr>
        <w:t xml:space="preserve"> et </w:t>
      </w:r>
      <w:r w:rsidRPr="007142B6">
        <w:rPr>
          <w:i/>
          <w:iCs/>
          <w:lang w:val="fr-FR"/>
        </w:rPr>
        <w:t>in vitro</w:t>
      </w:r>
      <w:r w:rsidRPr="007142B6">
        <w:rPr>
          <w:lang w:val="fr-FR"/>
        </w:rPr>
        <w:t xml:space="preserve"> par rapport aux méthodes </w:t>
      </w:r>
      <w:r w:rsidRPr="007142B6">
        <w:rPr>
          <w:i/>
          <w:iCs/>
          <w:lang w:val="fr-FR"/>
        </w:rPr>
        <w:t>in vivo</w:t>
      </w:r>
      <w:r w:rsidRPr="007142B6">
        <w:rPr>
          <w:lang w:val="fr-FR"/>
        </w:rPr>
        <w:t xml:space="preserve"> (voir OCDE, 2014).</w:t>
      </w:r>
    </w:p>
    <w:p w14:paraId="3BA55E3E" w14:textId="7A854246" w:rsidR="008F6BAB" w:rsidRPr="00D53D56" w:rsidRDefault="008F6BAB" w:rsidP="00775023">
      <w:pPr>
        <w:pStyle w:val="SingleTxtG"/>
        <w:tabs>
          <w:tab w:val="clear" w:pos="2268"/>
          <w:tab w:val="clear" w:pos="2835"/>
          <w:tab w:val="left" w:pos="3686"/>
        </w:tabs>
        <w:ind w:left="2552"/>
      </w:pPr>
      <w:r>
        <w:rPr>
          <w:lang w:val="fr-FR"/>
        </w:rPr>
        <w:t>3.4.5.3.2.1.2</w:t>
      </w:r>
      <w:r>
        <w:rPr>
          <w:lang w:val="fr-FR"/>
        </w:rPr>
        <w:tab/>
        <w:t xml:space="preserve">La plupart des méthodes d’essais normalisés sur les animaux, des méthodes définies et des méthodes </w:t>
      </w:r>
      <w:r>
        <w:rPr>
          <w:i/>
          <w:iCs/>
          <w:lang w:val="fr-FR"/>
        </w:rPr>
        <w:t>in vitro</w:t>
      </w:r>
      <w:r>
        <w:rPr>
          <w:lang w:val="fr-FR"/>
        </w:rPr>
        <w:t xml:space="preserve"> et</w:t>
      </w:r>
      <w:r>
        <w:rPr>
          <w:i/>
          <w:iCs/>
          <w:lang w:val="fr-FR"/>
        </w:rPr>
        <w:t xml:space="preserve"> in </w:t>
      </w:r>
      <w:proofErr w:type="spellStart"/>
      <w:r>
        <w:rPr>
          <w:i/>
          <w:iCs/>
          <w:lang w:val="fr-FR"/>
        </w:rPr>
        <w:t>chemico</w:t>
      </w:r>
      <w:proofErr w:type="spellEnd"/>
      <w:r>
        <w:rPr>
          <w:lang w:val="fr-FR"/>
        </w:rPr>
        <w:t xml:space="preserve"> ont été élaborées et officiellement validées aux fins de l’identification de substances, et non de mélanges, ayant des propriétés sensibilisantes. Pourtant, il est techniquement possible de les appliquer aux mélanges (voir</w:t>
      </w:r>
      <w:r w:rsidR="0095797A">
        <w:rPr>
          <w:lang w:val="fr-FR"/>
        </w:rPr>
        <w:t> </w:t>
      </w:r>
      <w:r>
        <w:rPr>
          <w:lang w:val="fr-FR"/>
        </w:rPr>
        <w:t>3.4.3.1.2). Cela étant, il y a peu de données indiquant s’il existe une différence de capacité prédictive entre les méthodes d’essais normalisés sur les animaux et les méthodes définies aux fins du classement des mélanges. Parfois, des essais normalisés sur les animaux (voir 3.4.2.2.3) sont exigés par les autorités compétentes ou menés délibérément pour les mélanges, et leurs résultats sont acceptés au niveau international aux fins de classement. Les résultats des méthodes d’essais normalisés sur les animaux peuvent donc servir au classement des mélanges. Les méthodes définies ont été introduites pour la première fois dans la ligne directrice n</w:t>
      </w:r>
      <w:r w:rsidRPr="007142B6">
        <w:rPr>
          <w:vertAlign w:val="superscript"/>
          <w:lang w:val="fr-FR"/>
        </w:rPr>
        <w:t>o</w:t>
      </w:r>
      <w:r>
        <w:rPr>
          <w:lang w:val="fr-FR"/>
        </w:rPr>
        <w:t xml:space="preserve"> 497 de l’OCDE, en 2021, sans indication claire quant à leur applicabilité aux mélanges (voir également le 3.4.5.3.2.4.1). Les données </w:t>
      </w:r>
      <w:r w:rsidR="00475809">
        <w:rPr>
          <w:lang w:val="fr-FR"/>
        </w:rPr>
        <w:t>humaines</w:t>
      </w:r>
      <w:r w:rsidR="009E3966">
        <w:rPr>
          <w:lang w:val="fr-FR"/>
        </w:rPr>
        <w:t xml:space="preserve"> </w:t>
      </w:r>
      <w:r>
        <w:rPr>
          <w:lang w:val="fr-FR"/>
        </w:rPr>
        <w:t>peuvent aussi servir au classement des mélanges (voir 3.4.5.3.2.2). </w:t>
      </w:r>
    </w:p>
    <w:p w14:paraId="521D40D9" w14:textId="654C6233" w:rsidR="008F6BAB" w:rsidRPr="00D53D56" w:rsidRDefault="008F6BAB" w:rsidP="00775023">
      <w:pPr>
        <w:pStyle w:val="SingleTxtG"/>
        <w:tabs>
          <w:tab w:val="clear" w:pos="2268"/>
          <w:tab w:val="clear" w:pos="2835"/>
          <w:tab w:val="left" w:pos="3686"/>
        </w:tabs>
        <w:ind w:left="2552"/>
        <w:rPr>
          <w:rFonts w:cstheme="minorHAnsi"/>
          <w:bCs/>
        </w:rPr>
      </w:pPr>
      <w:r>
        <w:rPr>
          <w:lang w:val="fr-FR"/>
        </w:rPr>
        <w:t>3.4.5.3.2.2</w:t>
      </w:r>
      <w:r>
        <w:rPr>
          <w:lang w:val="fr-FR"/>
        </w:rPr>
        <w:tab/>
        <w:t xml:space="preserve">Orientations sur l’utilisation des données </w:t>
      </w:r>
      <w:r w:rsidR="005D116D">
        <w:rPr>
          <w:lang w:val="fr-FR"/>
        </w:rPr>
        <w:t>humaines</w:t>
      </w:r>
    </w:p>
    <w:p w14:paraId="474D93E2" w14:textId="3E603896" w:rsidR="008F6BAB" w:rsidRDefault="008465B7" w:rsidP="00775023">
      <w:pPr>
        <w:pStyle w:val="SingleTxtG"/>
        <w:tabs>
          <w:tab w:val="clear" w:pos="2268"/>
          <w:tab w:val="clear" w:pos="2835"/>
          <w:tab w:val="left" w:pos="3686"/>
        </w:tabs>
        <w:ind w:left="2552"/>
      </w:pPr>
      <w:r>
        <w:rPr>
          <w:lang w:val="fr-FR"/>
        </w:rPr>
        <w:tab/>
      </w:r>
      <w:r w:rsidR="008F6BAB">
        <w:rPr>
          <w:lang w:val="fr-FR"/>
        </w:rPr>
        <w:t xml:space="preserve">Voir les orientations sur l’utilisation des données </w:t>
      </w:r>
      <w:r w:rsidR="005D116D">
        <w:rPr>
          <w:lang w:val="fr-FR"/>
        </w:rPr>
        <w:t>humaines</w:t>
      </w:r>
      <w:r w:rsidR="008F6BAB">
        <w:rPr>
          <w:lang w:val="fr-FR"/>
        </w:rPr>
        <w:t xml:space="preserve"> exposées au 3.4.5.3.1.2, qui s’appliquent également aux mélanges.</w:t>
      </w:r>
    </w:p>
    <w:p w14:paraId="062F10C8" w14:textId="77777777" w:rsidR="008F6BAB" w:rsidRPr="00D53D56" w:rsidRDefault="008F6BAB" w:rsidP="00775023">
      <w:pPr>
        <w:pStyle w:val="SingleTxtG"/>
        <w:keepNext/>
        <w:tabs>
          <w:tab w:val="clear" w:pos="2268"/>
          <w:tab w:val="clear" w:pos="2835"/>
          <w:tab w:val="left" w:pos="3686"/>
        </w:tabs>
        <w:ind w:left="2552"/>
        <w:rPr>
          <w:rFonts w:asciiTheme="majorBidi" w:hAnsiTheme="majorBidi" w:cstheme="majorBidi"/>
        </w:rPr>
      </w:pPr>
      <w:r>
        <w:rPr>
          <w:lang w:val="fr-FR"/>
        </w:rPr>
        <w:t>3.4.5.3.2.3</w:t>
      </w:r>
      <w:r>
        <w:rPr>
          <w:lang w:val="fr-FR"/>
        </w:rPr>
        <w:tab/>
        <w:t xml:space="preserve">Orientations pour l’utilisation de données animales normalisées </w:t>
      </w:r>
    </w:p>
    <w:p w14:paraId="56A38DAA" w14:textId="77777777" w:rsidR="008F6BAB" w:rsidRPr="00D53D56" w:rsidRDefault="008F6BAB" w:rsidP="00775023">
      <w:pPr>
        <w:pStyle w:val="SingleTxtG"/>
        <w:tabs>
          <w:tab w:val="clear" w:pos="2268"/>
          <w:tab w:val="clear" w:pos="2835"/>
          <w:tab w:val="left" w:pos="3686"/>
        </w:tabs>
        <w:ind w:left="2552"/>
        <w:rPr>
          <w:rFonts w:asciiTheme="majorBidi" w:hAnsiTheme="majorBidi" w:cstheme="majorBidi"/>
          <w:bCs/>
        </w:rPr>
      </w:pPr>
      <w:r>
        <w:rPr>
          <w:lang w:val="fr-FR"/>
        </w:rPr>
        <w:t>3.4.5.3.2.3.1</w:t>
      </w:r>
      <w:r>
        <w:rPr>
          <w:lang w:val="fr-FR"/>
        </w:rPr>
        <w:tab/>
        <w:t>Des essais sur les animaux ont été mis au point aux fins de l’identification des substances, et non des mélanges, ayant des propriétés sensibilisantes. Il convient donc d’évaluer avec prudence les résultats obtenus concernant les mélanges. Les considérations ci-après peuvent être utiles pour les mélanges en raison des effets de la dilution, en particulier dans les cas limites, mais elles peuvent aussi s’appliquer aux substances.</w:t>
      </w:r>
    </w:p>
    <w:p w14:paraId="5B7E97C3" w14:textId="5BBD0D29" w:rsidR="008F6BAB" w:rsidRPr="00D53D56" w:rsidRDefault="008F6BAB" w:rsidP="00775023">
      <w:pPr>
        <w:pStyle w:val="SingleTxtG"/>
        <w:tabs>
          <w:tab w:val="clear" w:pos="2268"/>
          <w:tab w:val="clear" w:pos="2835"/>
          <w:tab w:val="left" w:pos="3686"/>
        </w:tabs>
        <w:ind w:left="2552"/>
        <w:rPr>
          <w:rFonts w:asciiTheme="majorBidi" w:hAnsiTheme="majorBidi" w:cstheme="majorBidi"/>
          <w:bCs/>
        </w:rPr>
      </w:pPr>
      <w:r>
        <w:rPr>
          <w:lang w:val="fr-FR"/>
        </w:rPr>
        <w:lastRenderedPageBreak/>
        <w:t>3.4.5.3.2.3.2</w:t>
      </w:r>
      <w:r>
        <w:rPr>
          <w:lang w:val="fr-FR"/>
        </w:rPr>
        <w:tab/>
        <w:t xml:space="preserve">Par exemple, un indice de stimulation de trois ou plus dans l’essai radioactif de stimulation locale des ganglions lymphatiques (ELGL) (ligne directrice 429 de l’OCDE) devrait être considéré comme un seuil réglementaire pour l’identification d’un mélange sensibilisant plutôt que comme un seuil pour la sensibilisation en tant que telle. Si la substance sensibilisante est présente à une faible concentration dans un mélange, </w:t>
      </w:r>
      <w:r w:rsidR="00057315">
        <w:rPr>
          <w:lang w:val="fr-FR"/>
        </w:rPr>
        <w:t xml:space="preserve">un indice </w:t>
      </w:r>
      <w:r>
        <w:rPr>
          <w:lang w:val="fr-FR"/>
        </w:rPr>
        <w:t>de stimulation de trois ne sera peut-être pas atteint dans le cadre de l’ELGL, mais la substance en question peut néanmoins agir comme sensibilisant à l’échelle de la population. En conséquence, une conclusion tendant vers l’absence de capacité de sensibilisation d’un mélange fondée sur les résultats négatifs d’un essai doit être évaluée avec une grande prudence. </w:t>
      </w:r>
    </w:p>
    <w:p w14:paraId="2290E7FD" w14:textId="7EAECEF5" w:rsidR="008F6BAB" w:rsidRPr="00D53D56" w:rsidRDefault="008F6BAB" w:rsidP="00775023">
      <w:pPr>
        <w:pStyle w:val="SingleTxtG"/>
        <w:tabs>
          <w:tab w:val="clear" w:pos="2268"/>
          <w:tab w:val="clear" w:pos="2835"/>
          <w:tab w:val="left" w:pos="3686"/>
        </w:tabs>
        <w:ind w:left="2552"/>
        <w:rPr>
          <w:rFonts w:asciiTheme="majorBidi" w:hAnsiTheme="majorBidi" w:cstheme="majorBidi"/>
          <w:bCs/>
        </w:rPr>
      </w:pPr>
      <w:r>
        <w:rPr>
          <w:lang w:val="fr-FR"/>
        </w:rPr>
        <w:t>3.4.5.3.2.3.3</w:t>
      </w:r>
      <w:r>
        <w:rPr>
          <w:lang w:val="fr-FR"/>
        </w:rPr>
        <w:tab/>
        <w:t>Lorsque le mélange est testé sous une forme non diluée et contient des composants sensibilisants</w:t>
      </w:r>
      <w:r w:rsidRPr="00321B11">
        <w:rPr>
          <w:lang w:val="fr-FR"/>
        </w:rPr>
        <w:t>, et que l</w:t>
      </w:r>
      <w:r>
        <w:rPr>
          <w:lang w:val="fr-FR"/>
        </w:rPr>
        <w:t>’</w:t>
      </w:r>
      <w:r w:rsidRPr="00321B11">
        <w:rPr>
          <w:lang w:val="fr-FR"/>
        </w:rPr>
        <w:t>on observe une augmentation du nombre d</w:t>
      </w:r>
      <w:r>
        <w:rPr>
          <w:lang w:val="fr-FR"/>
        </w:rPr>
        <w:t>’</w:t>
      </w:r>
      <w:r w:rsidRPr="00321B11">
        <w:rPr>
          <w:lang w:val="fr-FR"/>
        </w:rPr>
        <w:t xml:space="preserve">animaux positifs (essai de </w:t>
      </w:r>
      <w:proofErr w:type="spellStart"/>
      <w:r w:rsidRPr="00321B11">
        <w:rPr>
          <w:lang w:val="fr-FR"/>
        </w:rPr>
        <w:t>Buehler</w:t>
      </w:r>
      <w:proofErr w:type="spellEnd"/>
      <w:r w:rsidRPr="00321B11">
        <w:rPr>
          <w:lang w:val="fr-FR"/>
        </w:rPr>
        <w:t xml:space="preserve"> sur le cobaye et essai de maximisation sur le cobaye) ou de l</w:t>
      </w:r>
      <w:r>
        <w:rPr>
          <w:lang w:val="fr-FR"/>
        </w:rPr>
        <w:t>’</w:t>
      </w:r>
      <w:r w:rsidRPr="00321B11">
        <w:rPr>
          <w:lang w:val="fr-FR"/>
        </w:rPr>
        <w:t>intensité de la réaction (ELGL)</w:t>
      </w:r>
      <w:r>
        <w:rPr>
          <w:lang w:val="fr-FR"/>
        </w:rPr>
        <w:t xml:space="preserve"> qui ne satisfait pas aux critères d’un résultat positif, il faut procéder à une évaluation globale de la force probante des données en tenant compte des indicateurs de l’étape 3. Les données disponibles sur le pouvoir </w:t>
      </w:r>
      <w:r w:rsidR="00EF3F5E">
        <w:rPr>
          <w:lang w:val="fr-FR"/>
        </w:rPr>
        <w:t xml:space="preserve">du ou </w:t>
      </w:r>
      <w:r>
        <w:rPr>
          <w:lang w:val="fr-FR"/>
        </w:rPr>
        <w:t>des composant</w:t>
      </w:r>
      <w:r w:rsidR="00EF3F5E">
        <w:rPr>
          <w:lang w:val="fr-FR"/>
        </w:rPr>
        <w:t>(</w:t>
      </w:r>
      <w:r>
        <w:rPr>
          <w:lang w:val="fr-FR"/>
        </w:rPr>
        <w:t>s</w:t>
      </w:r>
      <w:r w:rsidR="00EF3F5E">
        <w:rPr>
          <w:lang w:val="fr-FR"/>
        </w:rPr>
        <w:t>)</w:t>
      </w:r>
      <w:r>
        <w:rPr>
          <w:lang w:val="fr-FR"/>
        </w:rPr>
        <w:t xml:space="preserve"> sensibilisant</w:t>
      </w:r>
      <w:r w:rsidR="00EF3F5E">
        <w:rPr>
          <w:lang w:val="fr-FR"/>
        </w:rPr>
        <w:t>(</w:t>
      </w:r>
      <w:r>
        <w:rPr>
          <w:lang w:val="fr-FR"/>
        </w:rPr>
        <w:t>s</w:t>
      </w:r>
      <w:r w:rsidR="00EF3F5E">
        <w:rPr>
          <w:lang w:val="fr-FR"/>
        </w:rPr>
        <w:t>)</w:t>
      </w:r>
      <w:r>
        <w:rPr>
          <w:lang w:val="fr-FR"/>
        </w:rPr>
        <w:t xml:space="preserve">, leur biodisponibilité, leur accumulation dans la peau et leurs interactions avec d’autres </w:t>
      </w:r>
      <w:r w:rsidR="00057315">
        <w:rPr>
          <w:lang w:val="fr-FR"/>
        </w:rPr>
        <w:t xml:space="preserve">composants </w:t>
      </w:r>
      <w:r>
        <w:rPr>
          <w:lang w:val="fr-FR"/>
        </w:rPr>
        <w:t xml:space="preserve">devraient également être prises en compte. Lorsque le résultat n’est pas concluant, il convient d’appliquer les principes d’extrapolation lorsque cela est possible ou de suivre l’approche fondée sur les composants, conformément à la méthode par étape concernant les mélanges (voir 1.3.2.3). </w:t>
      </w:r>
    </w:p>
    <w:p w14:paraId="2C2087B7" w14:textId="77777777" w:rsidR="008F6BAB" w:rsidRPr="00D53D56" w:rsidRDefault="008F6BAB" w:rsidP="00775023">
      <w:pPr>
        <w:pStyle w:val="SingleTxtG"/>
        <w:tabs>
          <w:tab w:val="clear" w:pos="2268"/>
          <w:tab w:val="clear" w:pos="2835"/>
          <w:tab w:val="left" w:pos="3686"/>
        </w:tabs>
        <w:ind w:left="2552"/>
        <w:rPr>
          <w:rFonts w:asciiTheme="majorBidi" w:hAnsiTheme="majorBidi" w:cstheme="majorBidi"/>
        </w:rPr>
      </w:pPr>
      <w:r>
        <w:rPr>
          <w:lang w:val="fr-FR"/>
        </w:rPr>
        <w:t>3.4.5.3.2.3.4</w:t>
      </w:r>
      <w:r>
        <w:rPr>
          <w:lang w:val="fr-FR"/>
        </w:rPr>
        <w:tab/>
        <w:t>Les données d’essai sur un mélange tiennent compte des effets des interactions possibles entre ses composants. On sait, par exemple, que la présence d’un véhicule peut considérablement influencer la capacité de sensibilisation cutanée en modifiant la pénétration du ou des composant(s) sensibilisant(s) dans la peau (</w:t>
      </w:r>
      <w:proofErr w:type="spellStart"/>
      <w:r>
        <w:rPr>
          <w:lang w:val="fr-FR"/>
        </w:rPr>
        <w:t>Basketter</w:t>
      </w:r>
      <w:proofErr w:type="spellEnd"/>
      <w:r>
        <w:rPr>
          <w:lang w:val="fr-FR"/>
        </w:rPr>
        <w:t xml:space="preserve"> </w:t>
      </w:r>
      <w:r w:rsidRPr="00507B6B">
        <w:rPr>
          <w:i/>
          <w:iCs/>
          <w:lang w:val="fr-FR"/>
        </w:rPr>
        <w:t>et al.</w:t>
      </w:r>
      <w:r>
        <w:rPr>
          <w:lang w:val="fr-FR"/>
        </w:rPr>
        <w:t xml:space="preserve">, 2001, </w:t>
      </w:r>
      <w:proofErr w:type="spellStart"/>
      <w:r>
        <w:rPr>
          <w:lang w:val="fr-FR"/>
        </w:rPr>
        <w:t>Dearman</w:t>
      </w:r>
      <w:proofErr w:type="spellEnd"/>
      <w:r>
        <w:rPr>
          <w:lang w:val="fr-FR"/>
        </w:rPr>
        <w:t xml:space="preserve"> </w:t>
      </w:r>
      <w:r w:rsidRPr="00507B6B">
        <w:rPr>
          <w:i/>
          <w:iCs/>
          <w:lang w:val="fr-FR"/>
        </w:rPr>
        <w:t>et al.</w:t>
      </w:r>
      <w:r>
        <w:rPr>
          <w:lang w:val="fr-FR"/>
        </w:rPr>
        <w:t xml:space="preserve">, 1996, </w:t>
      </w:r>
      <w:proofErr w:type="spellStart"/>
      <w:r>
        <w:rPr>
          <w:lang w:val="fr-FR"/>
        </w:rPr>
        <w:t>Heylings</w:t>
      </w:r>
      <w:proofErr w:type="spellEnd"/>
      <w:r>
        <w:rPr>
          <w:lang w:val="fr-FR"/>
        </w:rPr>
        <w:t xml:space="preserve"> </w:t>
      </w:r>
      <w:r w:rsidRPr="00507B6B">
        <w:rPr>
          <w:i/>
          <w:iCs/>
          <w:lang w:val="fr-FR"/>
        </w:rPr>
        <w:t>et al.</w:t>
      </w:r>
      <w:r>
        <w:rPr>
          <w:lang w:val="fr-FR"/>
        </w:rPr>
        <w:t>, 1996) ou par la voie d’autres mécanismes intervenant dans l’induction de la sensibilisation (</w:t>
      </w:r>
      <w:proofErr w:type="spellStart"/>
      <w:r>
        <w:rPr>
          <w:lang w:val="fr-FR"/>
        </w:rPr>
        <w:t>Cumberbatch</w:t>
      </w:r>
      <w:proofErr w:type="spellEnd"/>
      <w:r>
        <w:rPr>
          <w:lang w:val="fr-FR"/>
        </w:rPr>
        <w:t xml:space="preserve"> </w:t>
      </w:r>
      <w:r w:rsidRPr="00507B6B">
        <w:rPr>
          <w:i/>
          <w:iCs/>
          <w:lang w:val="fr-FR"/>
        </w:rPr>
        <w:t>et al.</w:t>
      </w:r>
      <w:r>
        <w:rPr>
          <w:lang w:val="fr-FR"/>
        </w:rPr>
        <w:t xml:space="preserve">, 1993 ; </w:t>
      </w:r>
      <w:proofErr w:type="spellStart"/>
      <w:r>
        <w:rPr>
          <w:lang w:val="fr-FR"/>
        </w:rPr>
        <w:t>Dearman</w:t>
      </w:r>
      <w:proofErr w:type="spellEnd"/>
      <w:r>
        <w:rPr>
          <w:lang w:val="fr-FR"/>
        </w:rPr>
        <w:t xml:space="preserve"> </w:t>
      </w:r>
      <w:r w:rsidRPr="00507B6B">
        <w:rPr>
          <w:i/>
          <w:iCs/>
          <w:lang w:val="fr-FR"/>
        </w:rPr>
        <w:t>et al.</w:t>
      </w:r>
      <w:r>
        <w:rPr>
          <w:lang w:val="fr-FR"/>
        </w:rPr>
        <w:t>, 1996). Ces mécanismes peuvent être différents chez les animaux et les humains. En particulier, quand on connaît ou soupçonne l’existence de différences susceptibles de conduire à la sous-estimation de la sensibilisation, les résultats négatifs ne sont pas toujours fiables.</w:t>
      </w:r>
    </w:p>
    <w:p w14:paraId="770330CC" w14:textId="0C67A837" w:rsidR="008F6BAB" w:rsidRDefault="008F6BAB" w:rsidP="00775023">
      <w:pPr>
        <w:pStyle w:val="SingleTxtG"/>
        <w:tabs>
          <w:tab w:val="clear" w:pos="2268"/>
          <w:tab w:val="clear" w:pos="2835"/>
          <w:tab w:val="left" w:pos="3686"/>
        </w:tabs>
        <w:ind w:left="2552"/>
        <w:rPr>
          <w:lang w:val="fr-FR"/>
        </w:rPr>
      </w:pPr>
      <w:r w:rsidRPr="00542E45">
        <w:rPr>
          <w:lang w:val="fr-FR"/>
        </w:rPr>
        <w:t>3.4.5.3.2.3.5</w:t>
      </w:r>
      <w:r w:rsidRPr="00542E45">
        <w:rPr>
          <w:lang w:val="fr-FR"/>
        </w:rPr>
        <w:tab/>
        <w:t xml:space="preserve">Si le classement </w:t>
      </w:r>
      <w:r w:rsidRPr="004928D2">
        <w:rPr>
          <w:lang w:val="fr-FR"/>
        </w:rPr>
        <w:t>d’un mélange</w:t>
      </w:r>
      <w:r w:rsidRPr="00542E45">
        <w:rPr>
          <w:lang w:val="fr-FR"/>
        </w:rPr>
        <w:t xml:space="preserve"> fondé sur un ou plusieurs essai(s) normalisé(s) sur les animaux ne correspond pas au classement fondé sur la concentration et le pouvoir d’un </w:t>
      </w:r>
      <w:r w:rsidR="00EA277A" w:rsidRPr="00542E45">
        <w:rPr>
          <w:lang w:val="fr-FR"/>
        </w:rPr>
        <w:t>ou de plusieurs</w:t>
      </w:r>
      <w:r w:rsidR="00EA277A">
        <w:rPr>
          <w:lang w:val="fr-FR"/>
        </w:rPr>
        <w:t xml:space="preserve"> </w:t>
      </w:r>
      <w:r>
        <w:rPr>
          <w:lang w:val="fr-FR"/>
        </w:rPr>
        <w:t>composant</w:t>
      </w:r>
      <w:r w:rsidR="00EA277A">
        <w:rPr>
          <w:lang w:val="fr-FR"/>
        </w:rPr>
        <w:t>(s)</w:t>
      </w:r>
      <w:r>
        <w:rPr>
          <w:lang w:val="fr-FR"/>
        </w:rPr>
        <w:t xml:space="preserve"> sensibilisant</w:t>
      </w:r>
      <w:r w:rsidR="00EA277A">
        <w:rPr>
          <w:lang w:val="fr-FR"/>
        </w:rPr>
        <w:t>(s)</w:t>
      </w:r>
      <w:r>
        <w:rPr>
          <w:lang w:val="fr-FR"/>
        </w:rPr>
        <w:t xml:space="preserve"> (à partir d’essais normalisés sur les animaux ou de données </w:t>
      </w:r>
      <w:r w:rsidR="004F5A93">
        <w:rPr>
          <w:lang w:val="fr-FR"/>
        </w:rPr>
        <w:t>humaines</w:t>
      </w:r>
      <w:r>
        <w:rPr>
          <w:lang w:val="fr-FR"/>
        </w:rPr>
        <w:t>, par exemple)</w:t>
      </w:r>
      <w:r w:rsidR="00F95D64" w:rsidRPr="00F95D64">
        <w:rPr>
          <w:lang w:val="fr-FR"/>
        </w:rPr>
        <w:t xml:space="preserve"> </w:t>
      </w:r>
      <w:r w:rsidR="00F95D64">
        <w:rPr>
          <w:lang w:val="fr-FR"/>
        </w:rPr>
        <w:t>(voir tableau 3.4.5)</w:t>
      </w:r>
      <w:r>
        <w:rPr>
          <w:lang w:val="fr-FR"/>
        </w:rPr>
        <w:t>, il faudra peut-être prendre d’autres éléments en considération aux fins du classement du mélange (voir la ligne directrice n</w:t>
      </w:r>
      <w:r w:rsidRPr="00507B6B">
        <w:rPr>
          <w:vertAlign w:val="superscript"/>
          <w:lang w:val="fr-FR"/>
        </w:rPr>
        <w:t>o</w:t>
      </w:r>
      <w:r>
        <w:rPr>
          <w:lang w:val="fr-FR"/>
        </w:rPr>
        <w:t xml:space="preserve"> 429 de l’OCDE), tels que les concentrations testées, le type </w:t>
      </w:r>
      <w:r w:rsidRPr="00910D10">
        <w:rPr>
          <w:lang w:val="fr-FR"/>
        </w:rPr>
        <w:t>de</w:t>
      </w:r>
      <w:r>
        <w:rPr>
          <w:lang w:val="fr-FR"/>
        </w:rPr>
        <w:t xml:space="preserve"> véhicule utilisé et la pureté de la matière d’essai, par exemple.</w:t>
      </w:r>
    </w:p>
    <w:p w14:paraId="50740096" w14:textId="0D7ED122" w:rsidR="008F6BAB" w:rsidRPr="00D53D56" w:rsidRDefault="008F6BAB" w:rsidP="00775023">
      <w:pPr>
        <w:pStyle w:val="SingleTxtG"/>
        <w:tabs>
          <w:tab w:val="clear" w:pos="2268"/>
          <w:tab w:val="clear" w:pos="2835"/>
          <w:tab w:val="left" w:pos="3686"/>
        </w:tabs>
        <w:ind w:left="2552"/>
        <w:rPr>
          <w:rFonts w:asciiTheme="majorBidi" w:hAnsiTheme="majorBidi" w:cstheme="majorBidi"/>
          <w:bCs/>
        </w:rPr>
      </w:pPr>
      <w:r>
        <w:rPr>
          <w:lang w:val="fr-FR"/>
        </w:rPr>
        <w:t>3.4.5.3.2.3.6</w:t>
      </w:r>
      <w:r>
        <w:rPr>
          <w:lang w:val="fr-FR"/>
        </w:rPr>
        <w:tab/>
        <w:t xml:space="preserve">Si le mélange contient des matières corrosives ou des matières irritantes puissantes qui provoquent une irritation inacceptable lors de l’étude pilote sur le mélange, soit une dilution doit être utilisée, soit les résultats sont peut-être de faux positifs. Si une dilution est testée, la dose plus faible du ou des sensibilisant(s) potentiel(s) testée dans le mélange peut conduire à des résultats faussement négatifs aux fins du classement. Dans ces cas de figure, il convient d’appliquer les principes d’extrapolation, lorsque cela est possible, ou de suivre l’approche fondée sur les composants, conformément à la méthode par étape concernant les mélanges (voir 1.3.2.3), à moins que des éléments prouvant que le résultat négatif n’est pas dû à la dilution ne soient fournis. Pour le démontrer, par exemple, il est possible de tester le mélange sans les composants corrosifs ou irritants à la concentration réelle. Par ailleurs, il est possible de </w:t>
      </w:r>
      <w:r>
        <w:rPr>
          <w:lang w:val="fr-FR"/>
        </w:rPr>
        <w:lastRenderedPageBreak/>
        <w:t xml:space="preserve">confirmer scientifiquement la validité d’une ELGL fiable sur un mélange ayant donné un résultat négatif en ajoutant un autre sensibilisant (contrôle positif) dans le mélange d’essai à différentes concentrations ou en démontrant une relation dose-effet. </w:t>
      </w:r>
    </w:p>
    <w:p w14:paraId="0D476BB6" w14:textId="77777777" w:rsidR="008F6BAB" w:rsidRPr="00D53D56" w:rsidRDefault="008F6BAB" w:rsidP="00775023">
      <w:pPr>
        <w:pStyle w:val="SingleTxtG"/>
        <w:tabs>
          <w:tab w:val="clear" w:pos="2268"/>
          <w:tab w:val="clear" w:pos="2835"/>
          <w:tab w:val="left" w:pos="3686"/>
        </w:tabs>
        <w:ind w:left="2552"/>
        <w:rPr>
          <w:rFonts w:cstheme="minorHAnsi"/>
          <w:bCs/>
        </w:rPr>
      </w:pPr>
      <w:r>
        <w:rPr>
          <w:lang w:val="fr-FR"/>
        </w:rPr>
        <w:t>3.4.5.3.2.4</w:t>
      </w:r>
      <w:r>
        <w:rPr>
          <w:lang w:val="fr-FR"/>
        </w:rPr>
        <w:tab/>
        <w:t xml:space="preserve">Orientations pour l’utilisation des méthodes définies </w:t>
      </w:r>
    </w:p>
    <w:p w14:paraId="07FBEA34" w14:textId="5529BF92" w:rsidR="008F6BAB" w:rsidRDefault="008F6BAB" w:rsidP="00775023">
      <w:pPr>
        <w:pStyle w:val="SingleTxtG"/>
        <w:tabs>
          <w:tab w:val="clear" w:pos="2268"/>
          <w:tab w:val="clear" w:pos="2835"/>
          <w:tab w:val="left" w:pos="3686"/>
        </w:tabs>
        <w:ind w:left="2552"/>
        <w:rPr>
          <w:lang w:val="fr-FR"/>
        </w:rPr>
      </w:pPr>
      <w:r>
        <w:rPr>
          <w:lang w:val="fr-FR"/>
        </w:rPr>
        <w:t>3.4.5.3.2.4.1</w:t>
      </w:r>
      <w:r>
        <w:rPr>
          <w:lang w:val="fr-FR"/>
        </w:rPr>
        <w:tab/>
        <w:t>Les méthodes définies n’ont pas nécessairement été officiellement validées pour les mélanges selon les procédures internationales. Pour plusieurs d’entre elles, il faut au préalable se poser la question de savoir si les essais donneront des résultats qui permettront de prédire les propriétés de sensibilisation cutanée du mélange (voir 3.4.5.3.2.4.</w:t>
      </w:r>
      <w:r w:rsidR="00A30B90">
        <w:rPr>
          <w:lang w:val="fr-FR"/>
        </w:rPr>
        <w:t>3</w:t>
      </w:r>
      <w:r>
        <w:rPr>
          <w:lang w:val="fr-FR"/>
        </w:rPr>
        <w:t>), par exemple en comparant le classement basé sur les résultats d’une méthode définie aux classements existants pour des mélanges similaires. S’il ressort de la comparaison que la méthode définie a une valeur prédictive pour certains types de mélanges, le résultat obtenu peut être utilisé pour d’autres mélanges du même type aux fins de classement.</w:t>
      </w:r>
    </w:p>
    <w:p w14:paraId="6654927F" w14:textId="77777777" w:rsidR="008F6BAB" w:rsidRPr="00D53D56" w:rsidRDefault="008F6BAB" w:rsidP="00775023">
      <w:pPr>
        <w:pStyle w:val="SingleTxtG"/>
        <w:tabs>
          <w:tab w:val="clear" w:pos="2268"/>
          <w:tab w:val="clear" w:pos="2835"/>
          <w:tab w:val="left" w:pos="3686"/>
        </w:tabs>
        <w:ind w:left="2552"/>
        <w:rPr>
          <w:rFonts w:cstheme="minorHAnsi"/>
          <w:bCs/>
        </w:rPr>
      </w:pPr>
      <w:r>
        <w:rPr>
          <w:lang w:val="fr-FR"/>
        </w:rPr>
        <w:t>3.4.5.3.2.4.2</w:t>
      </w:r>
      <w:r>
        <w:rPr>
          <w:lang w:val="fr-FR"/>
        </w:rPr>
        <w:tab/>
        <w:t xml:space="preserve">Les méthodes </w:t>
      </w:r>
      <w:r>
        <w:rPr>
          <w:i/>
          <w:iCs/>
          <w:lang w:val="fr-FR"/>
        </w:rPr>
        <w:t xml:space="preserve">in </w:t>
      </w:r>
      <w:proofErr w:type="spellStart"/>
      <w:r>
        <w:rPr>
          <w:i/>
          <w:iCs/>
          <w:lang w:val="fr-FR"/>
        </w:rPr>
        <w:t>chemico</w:t>
      </w:r>
      <w:proofErr w:type="spellEnd"/>
      <w:r>
        <w:rPr>
          <w:lang w:val="fr-FR"/>
        </w:rPr>
        <w:t xml:space="preserve"> et </w:t>
      </w:r>
      <w:r>
        <w:rPr>
          <w:i/>
          <w:iCs/>
          <w:lang w:val="fr-FR"/>
        </w:rPr>
        <w:t>in vitro</w:t>
      </w:r>
      <w:r>
        <w:rPr>
          <w:lang w:val="fr-FR"/>
        </w:rPr>
        <w:t xml:space="preserve"> utilisées dans le cadre des méthodes définies ne tiennent pas compte de la pénétration dans la peau. En conséquence, les résultats obtenus grâce aux méthodes définies peuvent conduire à de faux positifs par rapport aux essais normalisés sur les animaux qui tiennent compte de la pénétration dans la peau.</w:t>
      </w:r>
    </w:p>
    <w:p w14:paraId="55850886" w14:textId="77777777" w:rsidR="008F6BAB" w:rsidRPr="00D53D56" w:rsidRDefault="008F6BAB" w:rsidP="00775023">
      <w:pPr>
        <w:pStyle w:val="SingleTxtG"/>
        <w:tabs>
          <w:tab w:val="clear" w:pos="2268"/>
          <w:tab w:val="clear" w:pos="2835"/>
          <w:tab w:val="left" w:pos="3686"/>
        </w:tabs>
        <w:ind w:left="2552"/>
      </w:pPr>
      <w:bookmarkStart w:id="2" w:name="_Hlk153191171"/>
      <w:r>
        <w:rPr>
          <w:lang w:val="fr-FR"/>
        </w:rPr>
        <w:t>3.4.5.3.2.4.3</w:t>
      </w:r>
      <w:r>
        <w:rPr>
          <w:lang w:val="fr-FR"/>
        </w:rPr>
        <w:tab/>
        <w:t xml:space="preserve">En outre, la prudence est de mise lorsque l’on détermine si la dose utilisée produira des résultats qui permettront de prédire les propriétés de sensibilisation cutanée du mélange. Pour certaines méthodes </w:t>
      </w:r>
      <w:r>
        <w:rPr>
          <w:i/>
          <w:iCs/>
          <w:lang w:val="fr-FR"/>
        </w:rPr>
        <w:t xml:space="preserve">in </w:t>
      </w:r>
      <w:proofErr w:type="spellStart"/>
      <w:r>
        <w:rPr>
          <w:i/>
          <w:iCs/>
          <w:lang w:val="fr-FR"/>
        </w:rPr>
        <w:t>chemico</w:t>
      </w:r>
      <w:proofErr w:type="spellEnd"/>
      <w:r>
        <w:rPr>
          <w:lang w:val="fr-FR"/>
        </w:rPr>
        <w:t xml:space="preserve"> et </w:t>
      </w:r>
      <w:r>
        <w:rPr>
          <w:i/>
          <w:iCs/>
          <w:lang w:val="fr-FR"/>
        </w:rPr>
        <w:t xml:space="preserve">in </w:t>
      </w:r>
      <w:r w:rsidRPr="0073169C">
        <w:rPr>
          <w:lang w:val="fr-FR"/>
        </w:rPr>
        <w:t>vitro</w:t>
      </w:r>
      <w:r>
        <w:rPr>
          <w:lang w:val="fr-FR"/>
        </w:rPr>
        <w:t xml:space="preserve">, par exemple, il peut ne pas être possible de réaliser le test à une dose correspondant aux prescriptions d’essai en raison de la solubilité limitée des composants du mélange ou de la stabilité limitée des éventuelles suspensions engendrées dans le milieu d’exposition ou le solvant. Dans ce cas, on ne peut parvenir à une conclusion valide à partir d’un résultat négatif. Par ailleurs, lorsque le mélange est testé à des concentrations plus faibles selon les méthodes </w:t>
      </w:r>
      <w:r>
        <w:rPr>
          <w:i/>
          <w:iCs/>
          <w:lang w:val="fr-FR"/>
        </w:rPr>
        <w:t>in vitro</w:t>
      </w:r>
      <w:r>
        <w:rPr>
          <w:lang w:val="fr-FR"/>
        </w:rPr>
        <w:t xml:space="preserve"> en raison de la présence de composants cytotoxiques, un résultat positif peut être utilisé aux fins de classement. Cela étant, un résultat négatif est considéré comme non concluant, car il est possible que la concentration du ou des composant(s) sensibilisant(s) ait été trop faible à moins que des éléments prouvant que le résultat négatif n’est pas dû à la dilution ne soient fournis. Dans ces cas de figure, il convient d’appliquer les principes d’extrapolation, lorsque cela est possible, ou de suivre l’approche fondée sur les composants, conformément à la méthode par étape concernant les mélanges (voir le 1.3.2.3). Des méthodes à appliquer en cas de cytotoxicité sont suggérées dans les lignes directrices n</w:t>
      </w:r>
      <w:r w:rsidRPr="00507B6B">
        <w:rPr>
          <w:vertAlign w:val="superscript"/>
          <w:lang w:val="fr-FR"/>
        </w:rPr>
        <w:t>o</w:t>
      </w:r>
      <w:r>
        <w:rPr>
          <w:lang w:val="fr-FR"/>
        </w:rPr>
        <w:t> 442D et n</w:t>
      </w:r>
      <w:r w:rsidRPr="00507B6B">
        <w:rPr>
          <w:vertAlign w:val="superscript"/>
          <w:lang w:val="fr-FR"/>
        </w:rPr>
        <w:t>o</w:t>
      </w:r>
      <w:r>
        <w:rPr>
          <w:lang w:val="fr-FR"/>
        </w:rPr>
        <w:t xml:space="preserve"> 442E de l’OCDE. </w:t>
      </w:r>
      <w:bookmarkEnd w:id="2"/>
    </w:p>
    <w:p w14:paraId="6BA4D637" w14:textId="77777777" w:rsidR="008F6BAB" w:rsidRPr="00D53D56" w:rsidRDefault="008F6BAB" w:rsidP="00775023">
      <w:pPr>
        <w:pStyle w:val="SingleTxtG"/>
        <w:tabs>
          <w:tab w:val="clear" w:pos="2268"/>
          <w:tab w:val="clear" w:pos="2835"/>
          <w:tab w:val="left" w:pos="3686"/>
        </w:tabs>
        <w:ind w:left="2552"/>
        <w:rPr>
          <w:rFonts w:cstheme="minorHAnsi"/>
          <w:bCs/>
        </w:rPr>
      </w:pPr>
      <w:r>
        <w:rPr>
          <w:lang w:val="fr-FR"/>
        </w:rPr>
        <w:t>3.4.5.3.2.4.4</w:t>
      </w:r>
      <w:r>
        <w:rPr>
          <w:lang w:val="fr-FR"/>
        </w:rPr>
        <w:tab/>
        <w:t xml:space="preserve">Pour certaines méthodes, notamment les prédictions </w:t>
      </w:r>
      <w:r>
        <w:rPr>
          <w:i/>
          <w:iCs/>
          <w:lang w:val="fr-FR"/>
        </w:rPr>
        <w:t>in silico</w:t>
      </w:r>
      <w:r>
        <w:rPr>
          <w:lang w:val="fr-FR"/>
        </w:rPr>
        <w:t xml:space="preserve"> dans le cadre des méthodes définies pour la sensibilisation cutanée dans la ligne directrice n</w:t>
      </w:r>
      <w:r w:rsidRPr="00507B6B">
        <w:rPr>
          <w:vertAlign w:val="superscript"/>
          <w:lang w:val="fr-FR"/>
        </w:rPr>
        <w:t>o</w:t>
      </w:r>
      <w:r>
        <w:rPr>
          <w:lang w:val="fr-FR"/>
        </w:rPr>
        <w:t xml:space="preserve"> 497 de l’OCDE, tous les composants doivent être évalués séparément et le résultat de la partie </w:t>
      </w:r>
      <w:r>
        <w:rPr>
          <w:i/>
          <w:iCs/>
          <w:lang w:val="fr-FR"/>
        </w:rPr>
        <w:t>in silico</w:t>
      </w:r>
      <w:r>
        <w:rPr>
          <w:lang w:val="fr-FR"/>
        </w:rPr>
        <w:t xml:space="preserve"> de la méthode définie est considéré comme étant positif si un composant est positif. Cependant, il est à noter que ceci peut conduire à des prédictions excessivement prudentes ou faussement positives, les méthodes </w:t>
      </w:r>
      <w:r>
        <w:rPr>
          <w:i/>
          <w:iCs/>
          <w:lang w:val="fr-FR"/>
        </w:rPr>
        <w:t>in silico</w:t>
      </w:r>
      <w:r>
        <w:rPr>
          <w:lang w:val="fr-FR"/>
        </w:rPr>
        <w:t xml:space="preserve"> ne tenant pas compte actuellement de la concentration du composant dans le mélange.</w:t>
      </w:r>
    </w:p>
    <w:p w14:paraId="2DBAFE82" w14:textId="77777777" w:rsidR="008F6BAB" w:rsidRPr="00D53D56" w:rsidRDefault="008F6BAB" w:rsidP="00775023">
      <w:pPr>
        <w:pStyle w:val="SingleTxtG"/>
        <w:tabs>
          <w:tab w:val="clear" w:pos="2268"/>
          <w:tab w:val="clear" w:pos="2835"/>
          <w:tab w:val="left" w:pos="3686"/>
        </w:tabs>
        <w:ind w:left="2552"/>
        <w:rPr>
          <w:rFonts w:cstheme="minorHAnsi"/>
          <w:bCs/>
        </w:rPr>
      </w:pPr>
      <w:r>
        <w:rPr>
          <w:lang w:val="fr-FR"/>
        </w:rPr>
        <w:t>3.4.5.3.2.5</w:t>
      </w:r>
      <w:r>
        <w:rPr>
          <w:lang w:val="fr-FR"/>
        </w:rPr>
        <w:tab/>
        <w:t xml:space="preserve">Orientations pour l’utilisation de méthodes </w:t>
      </w:r>
      <w:r w:rsidRPr="00507B6B">
        <w:rPr>
          <w:i/>
          <w:iCs/>
          <w:lang w:val="fr-FR"/>
        </w:rPr>
        <w:t xml:space="preserve">in </w:t>
      </w:r>
      <w:proofErr w:type="spellStart"/>
      <w:r w:rsidRPr="00507B6B">
        <w:rPr>
          <w:i/>
          <w:iCs/>
          <w:lang w:val="fr-FR"/>
        </w:rPr>
        <w:t>chemico</w:t>
      </w:r>
      <w:proofErr w:type="spellEnd"/>
      <w:r>
        <w:rPr>
          <w:lang w:val="fr-FR"/>
        </w:rPr>
        <w:t>/</w:t>
      </w:r>
      <w:r w:rsidRPr="00507B6B">
        <w:rPr>
          <w:i/>
          <w:iCs/>
          <w:lang w:val="fr-FR"/>
        </w:rPr>
        <w:t>in vitro</w:t>
      </w:r>
      <w:r>
        <w:rPr>
          <w:lang w:val="fr-FR"/>
        </w:rPr>
        <w:t xml:space="preserve"> non autonomes </w:t>
      </w:r>
    </w:p>
    <w:p w14:paraId="79C284E2" w14:textId="77777777" w:rsidR="008F6BAB" w:rsidRPr="00D53D56" w:rsidRDefault="008F6BAB" w:rsidP="00775023">
      <w:pPr>
        <w:pStyle w:val="SingleTxtG"/>
        <w:tabs>
          <w:tab w:val="clear" w:pos="2268"/>
          <w:tab w:val="clear" w:pos="2835"/>
          <w:tab w:val="left" w:pos="3686"/>
        </w:tabs>
        <w:ind w:left="2552"/>
      </w:pPr>
      <w:r>
        <w:rPr>
          <w:lang w:val="fr-FR"/>
        </w:rPr>
        <w:t>3.4.5.3.2.5.1</w:t>
      </w:r>
      <w:r>
        <w:rPr>
          <w:lang w:val="fr-FR"/>
        </w:rPr>
        <w:tab/>
        <w:t xml:space="preserve">Certaines méthodes </w:t>
      </w:r>
      <w:r>
        <w:rPr>
          <w:i/>
          <w:iCs/>
          <w:lang w:val="fr-FR"/>
        </w:rPr>
        <w:t xml:space="preserve">in </w:t>
      </w:r>
      <w:proofErr w:type="spellStart"/>
      <w:r>
        <w:rPr>
          <w:i/>
          <w:iCs/>
          <w:lang w:val="fr-FR"/>
        </w:rPr>
        <w:t>chemico</w:t>
      </w:r>
      <w:proofErr w:type="spellEnd"/>
      <w:r>
        <w:rPr>
          <w:lang w:val="fr-FR"/>
        </w:rPr>
        <w:t>/</w:t>
      </w:r>
      <w:r>
        <w:rPr>
          <w:i/>
          <w:iCs/>
          <w:lang w:val="fr-FR"/>
        </w:rPr>
        <w:t>in vitro</w:t>
      </w:r>
      <w:r>
        <w:rPr>
          <w:lang w:val="fr-FR"/>
        </w:rPr>
        <w:t xml:space="preserve"> telles que celles rapportées dans les lignes directrices de l’OCDE 442C, 442D et 442E, en raison de leur traitement limité des mécanismes de sensibilisation, ne peuvent être utilisées seules pour conclure à un classement dans la catégorie 1 ou à une absence de classement. De plus, bien que certaines de </w:t>
      </w:r>
      <w:r>
        <w:rPr>
          <w:lang w:val="fr-FR"/>
        </w:rPr>
        <w:lastRenderedPageBreak/>
        <w:t xml:space="preserve">ces méthodes fournissent des informations quantitatives, celles-ci ne peuvent pas être utilisées pour la sous-catégorisation dans les sous-catégories 1A et 1B car elles n’ont pas été validées selon une procédure internationale à cette fin. Néanmoins, de telles informations quantitatives peuvent être acceptées aux fins de la sous-catégorisation par une autorité compétente lorsqu’elles sont utilisées pour évaluer la force probante des données à l’étape 2. Cela est également conforme à la ligne directrice 442E, selon laquelle, </w:t>
      </w:r>
      <w:r w:rsidRPr="00A464FF">
        <w:t>“</w:t>
      </w:r>
      <w:r>
        <w:rPr>
          <w:i/>
          <w:iCs/>
          <w:lang w:val="fr-FR"/>
        </w:rPr>
        <w:t>En fonction du cadre réglementaire applicable, des résultats positifs avec ces méthodes peuvent être considérés comme suffisants à eux seuls pour classer un produit chimique dans la catégorie 1 du SGH</w:t>
      </w:r>
      <w:r w:rsidRPr="00A464FF">
        <w:t>”</w:t>
      </w:r>
      <w:r>
        <w:rPr>
          <w:lang w:val="fr-FR"/>
        </w:rPr>
        <w:t xml:space="preserve">. Par conséquent, le SGH permet également à une autorité compétente de décider qu’un résultat positif obtenu avec l’une de ces méthodes </w:t>
      </w:r>
      <w:r w:rsidRPr="0080326C">
        <w:rPr>
          <w:i/>
          <w:iCs/>
          <w:lang w:val="fr-FR"/>
        </w:rPr>
        <w:t xml:space="preserve">in </w:t>
      </w:r>
      <w:proofErr w:type="spellStart"/>
      <w:r w:rsidRPr="0080326C">
        <w:rPr>
          <w:i/>
          <w:iCs/>
          <w:lang w:val="fr-FR"/>
        </w:rPr>
        <w:t>chemico</w:t>
      </w:r>
      <w:proofErr w:type="spellEnd"/>
      <w:r w:rsidRPr="0080326C">
        <w:rPr>
          <w:i/>
          <w:iCs/>
          <w:lang w:val="fr-FR"/>
        </w:rPr>
        <w:t>/in vitro</w:t>
      </w:r>
      <w:r>
        <w:rPr>
          <w:lang w:val="fr-FR"/>
        </w:rPr>
        <w:t xml:space="preserve"> non autonomes peut à lui seul permettre de classer un produit chimique dans la catégorie 1 et que l’essai cinétique de liaison directe sur la réactivité peptidique (</w:t>
      </w:r>
      <w:proofErr w:type="spellStart"/>
      <w:r>
        <w:rPr>
          <w:lang w:val="fr-FR"/>
        </w:rPr>
        <w:t>kDPRA</w:t>
      </w:r>
      <w:proofErr w:type="spellEnd"/>
      <w:r>
        <w:rPr>
          <w:lang w:val="fr-FR"/>
        </w:rPr>
        <w:t>) de la ligne directrice 442C (annexe III) peut être utilisé pour déterminer le classement ou non dans la sous</w:t>
      </w:r>
      <w:r>
        <w:rPr>
          <w:lang w:val="fr-FR"/>
        </w:rPr>
        <w:noBreakHyphen/>
        <w:t>catégorie 1A.</w:t>
      </w:r>
    </w:p>
    <w:p w14:paraId="3670D321" w14:textId="47532F01" w:rsidR="008F6BAB" w:rsidRDefault="008F6BAB" w:rsidP="00775023">
      <w:pPr>
        <w:pStyle w:val="SingleTxtG"/>
        <w:tabs>
          <w:tab w:val="clear" w:pos="2268"/>
          <w:tab w:val="clear" w:pos="2835"/>
          <w:tab w:val="left" w:pos="3686"/>
        </w:tabs>
        <w:ind w:left="2552"/>
        <w:rPr>
          <w:lang w:val="fr-FR"/>
        </w:rPr>
      </w:pPr>
      <w:r>
        <w:rPr>
          <w:lang w:val="fr-FR"/>
        </w:rPr>
        <w:t>3.4.5.3.2.5.2</w:t>
      </w:r>
      <w:r>
        <w:rPr>
          <w:lang w:val="fr-FR"/>
        </w:rPr>
        <w:tab/>
        <w:t xml:space="preserve">Les méthodes </w:t>
      </w:r>
      <w:r>
        <w:rPr>
          <w:i/>
          <w:iCs/>
          <w:lang w:val="fr-FR"/>
        </w:rPr>
        <w:t xml:space="preserve">in </w:t>
      </w:r>
      <w:proofErr w:type="spellStart"/>
      <w:r>
        <w:rPr>
          <w:i/>
          <w:iCs/>
          <w:lang w:val="fr-FR"/>
        </w:rPr>
        <w:t>chemico</w:t>
      </w:r>
      <w:proofErr w:type="spellEnd"/>
      <w:r>
        <w:rPr>
          <w:lang w:val="fr-FR"/>
        </w:rPr>
        <w:t>/</w:t>
      </w:r>
      <w:r>
        <w:rPr>
          <w:i/>
          <w:iCs/>
          <w:lang w:val="fr-FR"/>
        </w:rPr>
        <w:t>in vitro</w:t>
      </w:r>
      <w:r>
        <w:rPr>
          <w:lang w:val="fr-FR"/>
        </w:rPr>
        <w:t xml:space="preserve"> n’ont pas nécessairement été officiellement validées pour les mélanges selon les procédures internationales. Pour plusieurs d’entre elles, il faut au préalable se poser la question de savoir si les essais donneront des résultats qui permettront de prédire les propriétés de sensibilisation cutanée du mélange (voir 3.4.5.3.2.</w:t>
      </w:r>
      <w:r w:rsidR="000807F9">
        <w:rPr>
          <w:lang w:val="fr-FR"/>
        </w:rPr>
        <w:t>5</w:t>
      </w:r>
      <w:r>
        <w:rPr>
          <w:lang w:val="fr-FR"/>
        </w:rPr>
        <w:t>.</w:t>
      </w:r>
      <w:r w:rsidR="000807F9">
        <w:rPr>
          <w:lang w:val="fr-FR"/>
        </w:rPr>
        <w:t>4</w:t>
      </w:r>
      <w:r>
        <w:rPr>
          <w:lang w:val="fr-FR"/>
        </w:rPr>
        <w:t xml:space="preserve">), par exemple en comparant le classement basé sur les résultats d’une méthode </w:t>
      </w:r>
      <w:r>
        <w:rPr>
          <w:i/>
          <w:iCs/>
          <w:lang w:val="fr-FR"/>
        </w:rPr>
        <w:t xml:space="preserve">in </w:t>
      </w:r>
      <w:proofErr w:type="spellStart"/>
      <w:r>
        <w:rPr>
          <w:i/>
          <w:iCs/>
          <w:lang w:val="fr-FR"/>
        </w:rPr>
        <w:t>chemico</w:t>
      </w:r>
      <w:proofErr w:type="spellEnd"/>
      <w:r>
        <w:rPr>
          <w:lang w:val="fr-FR"/>
        </w:rPr>
        <w:t>/</w:t>
      </w:r>
      <w:r>
        <w:rPr>
          <w:i/>
          <w:iCs/>
          <w:lang w:val="fr-FR"/>
        </w:rPr>
        <w:t>in vitro</w:t>
      </w:r>
      <w:r>
        <w:rPr>
          <w:lang w:val="fr-FR"/>
        </w:rPr>
        <w:t xml:space="preserve"> aux classements existants pour des mélanges similaires. S’il ressort de la comparaison que la méthode </w:t>
      </w:r>
      <w:r>
        <w:rPr>
          <w:i/>
          <w:iCs/>
          <w:lang w:val="fr-FR"/>
        </w:rPr>
        <w:t xml:space="preserve">in </w:t>
      </w:r>
      <w:proofErr w:type="spellStart"/>
      <w:r>
        <w:rPr>
          <w:i/>
          <w:iCs/>
          <w:lang w:val="fr-FR"/>
        </w:rPr>
        <w:t>chemico</w:t>
      </w:r>
      <w:proofErr w:type="spellEnd"/>
      <w:r>
        <w:rPr>
          <w:lang w:val="fr-FR"/>
        </w:rPr>
        <w:t>/</w:t>
      </w:r>
      <w:r>
        <w:rPr>
          <w:i/>
          <w:iCs/>
          <w:lang w:val="fr-FR"/>
        </w:rPr>
        <w:t>in vitro</w:t>
      </w:r>
      <w:r>
        <w:rPr>
          <w:lang w:val="fr-FR"/>
        </w:rPr>
        <w:t xml:space="preserve"> a une valeur prédictive pour certains types de mélanges, le résultat obtenu grâce à la méthode </w:t>
      </w:r>
      <w:r>
        <w:rPr>
          <w:i/>
          <w:iCs/>
          <w:lang w:val="fr-FR"/>
        </w:rPr>
        <w:t xml:space="preserve">in </w:t>
      </w:r>
      <w:proofErr w:type="spellStart"/>
      <w:r>
        <w:rPr>
          <w:i/>
          <w:iCs/>
          <w:lang w:val="fr-FR"/>
        </w:rPr>
        <w:t>chemico</w:t>
      </w:r>
      <w:proofErr w:type="spellEnd"/>
      <w:r>
        <w:rPr>
          <w:lang w:val="fr-FR"/>
        </w:rPr>
        <w:t>/</w:t>
      </w:r>
      <w:r>
        <w:rPr>
          <w:i/>
          <w:iCs/>
          <w:lang w:val="fr-FR"/>
        </w:rPr>
        <w:t>in vitro</w:t>
      </w:r>
      <w:r>
        <w:rPr>
          <w:lang w:val="fr-FR"/>
        </w:rPr>
        <w:t xml:space="preserve"> peut être utilisé pour d’autres mélanges du même type aux fins de classement.</w:t>
      </w:r>
    </w:p>
    <w:p w14:paraId="21606ABD" w14:textId="77777777" w:rsidR="008F6BAB" w:rsidRPr="00D53D56" w:rsidRDefault="008F6BAB" w:rsidP="00775023">
      <w:pPr>
        <w:pStyle w:val="SingleTxtG"/>
        <w:tabs>
          <w:tab w:val="clear" w:pos="2268"/>
          <w:tab w:val="clear" w:pos="2835"/>
          <w:tab w:val="left" w:pos="3686"/>
        </w:tabs>
        <w:ind w:left="2552"/>
        <w:rPr>
          <w:rFonts w:cstheme="minorHAnsi"/>
          <w:bCs/>
        </w:rPr>
      </w:pPr>
      <w:r>
        <w:rPr>
          <w:lang w:val="fr-FR"/>
        </w:rPr>
        <w:t>3.4.5.3.2.5.3</w:t>
      </w:r>
      <w:r>
        <w:rPr>
          <w:lang w:val="fr-FR"/>
        </w:rPr>
        <w:tab/>
        <w:t xml:space="preserve">Les méthodes </w:t>
      </w:r>
      <w:r>
        <w:rPr>
          <w:i/>
          <w:iCs/>
          <w:lang w:val="fr-FR"/>
        </w:rPr>
        <w:t xml:space="preserve">in </w:t>
      </w:r>
      <w:proofErr w:type="spellStart"/>
      <w:r>
        <w:rPr>
          <w:i/>
          <w:iCs/>
          <w:lang w:val="fr-FR"/>
        </w:rPr>
        <w:t>chemico</w:t>
      </w:r>
      <w:proofErr w:type="spellEnd"/>
      <w:r>
        <w:rPr>
          <w:lang w:val="fr-FR"/>
        </w:rPr>
        <w:t>/</w:t>
      </w:r>
      <w:r>
        <w:rPr>
          <w:i/>
          <w:iCs/>
          <w:lang w:val="fr-FR"/>
        </w:rPr>
        <w:t>in vitro</w:t>
      </w:r>
      <w:r>
        <w:rPr>
          <w:lang w:val="fr-FR"/>
        </w:rPr>
        <w:t xml:space="preserve"> ne tiennent pas compte de la pénétration dans la peau. En conséquence, les résultats obtenus grâce aux méthodes</w:t>
      </w:r>
      <w:r>
        <w:rPr>
          <w:i/>
          <w:iCs/>
          <w:lang w:val="fr-FR"/>
        </w:rPr>
        <w:t xml:space="preserve"> in </w:t>
      </w:r>
      <w:proofErr w:type="spellStart"/>
      <w:r>
        <w:rPr>
          <w:i/>
          <w:iCs/>
          <w:lang w:val="fr-FR"/>
        </w:rPr>
        <w:t>chemico</w:t>
      </w:r>
      <w:proofErr w:type="spellEnd"/>
      <w:r>
        <w:rPr>
          <w:lang w:val="fr-FR"/>
        </w:rPr>
        <w:t>/</w:t>
      </w:r>
      <w:r>
        <w:rPr>
          <w:i/>
          <w:iCs/>
          <w:lang w:val="fr-FR"/>
        </w:rPr>
        <w:t>in vitro</w:t>
      </w:r>
      <w:r>
        <w:rPr>
          <w:lang w:val="fr-FR"/>
        </w:rPr>
        <w:t xml:space="preserve"> peuvent conduire à de faux positifs par rapport aux essais normalisés sur les animaux qui tiennent compte de la pénétration dans la peau.</w:t>
      </w:r>
    </w:p>
    <w:p w14:paraId="0AEB8EA9" w14:textId="77777777" w:rsidR="008F6BAB" w:rsidRPr="00D53D56" w:rsidRDefault="008F6BAB" w:rsidP="00775023">
      <w:pPr>
        <w:pStyle w:val="SingleTxtG"/>
        <w:tabs>
          <w:tab w:val="clear" w:pos="2268"/>
          <w:tab w:val="clear" w:pos="2835"/>
          <w:tab w:val="left" w:pos="3686"/>
        </w:tabs>
        <w:ind w:left="2552"/>
        <w:rPr>
          <w:rFonts w:cstheme="minorHAnsi"/>
          <w:bCs/>
        </w:rPr>
      </w:pPr>
      <w:r>
        <w:rPr>
          <w:lang w:val="fr-FR"/>
        </w:rPr>
        <w:t>3.4.5.3.2.5.4</w:t>
      </w:r>
      <w:r>
        <w:rPr>
          <w:lang w:val="fr-FR"/>
        </w:rPr>
        <w:tab/>
        <w:t xml:space="preserve">En outre, la prudence est de mise lorsque l’on détermine si la dose utilisée produira des résultats qui permettront de prédire les propriétés de sensibilisation cutanée du mélange. Pour certaines méthodes </w:t>
      </w:r>
      <w:r>
        <w:rPr>
          <w:i/>
          <w:iCs/>
          <w:lang w:val="fr-FR"/>
        </w:rPr>
        <w:t xml:space="preserve">in </w:t>
      </w:r>
      <w:proofErr w:type="spellStart"/>
      <w:r>
        <w:rPr>
          <w:i/>
          <w:iCs/>
          <w:lang w:val="fr-FR"/>
        </w:rPr>
        <w:t>chemico</w:t>
      </w:r>
      <w:proofErr w:type="spellEnd"/>
      <w:r>
        <w:rPr>
          <w:lang w:val="fr-FR"/>
        </w:rPr>
        <w:t xml:space="preserve"> et</w:t>
      </w:r>
      <w:r>
        <w:rPr>
          <w:i/>
          <w:iCs/>
          <w:lang w:val="fr-FR"/>
        </w:rPr>
        <w:t xml:space="preserve"> in vitro</w:t>
      </w:r>
      <w:r>
        <w:rPr>
          <w:lang w:val="fr-FR"/>
        </w:rPr>
        <w:t xml:space="preserve">, par exemple, il peut ne pas être possible de réaliser le test à une dose correspondant aux prescriptions d’essai en raison de la solubilité limitée des composants du mélange ou de la stabilité limitée des éventuelles suspensions engendrées dans le milieu d’exposition ou le solvant. Dans ce cas, on ne peut parvenir à une conclusion valide à partir d’un résultat négatif. Par ailleurs, lorsque le mélange est testé à des concentrations plus faibles selon les méthodes </w:t>
      </w:r>
      <w:r>
        <w:rPr>
          <w:i/>
          <w:iCs/>
          <w:lang w:val="fr-FR"/>
        </w:rPr>
        <w:t>in vitro</w:t>
      </w:r>
      <w:r>
        <w:rPr>
          <w:lang w:val="fr-FR"/>
        </w:rPr>
        <w:t xml:space="preserve"> en raison de la présence de composants cytotoxiques, un résultat positif peut être utilisé aux fins de classement. Cela étant, un résultat négatif est considéré comme non concluant, car il est possible que la concentration du ou des composant(s) sensibilisant(s) ait été trop faible à moins que des éléments prouvant que le résultat négatif n’est pas dû à la dilution ne soient fournis. Dans ces cas de figure, il convient d’appliquer les principes d’extrapolation, lorsque cela est possible, ou de suivre l’approche fondée sur les composants, conformément à la méthode par étape concernant les mélanges (voir le 1.3.2.3). Des méthodes à appliquer en cas de cytotoxicité sont suggérées dans les lignes directrices 442D et 442E de l’OCDE. ».</w:t>
      </w:r>
    </w:p>
    <w:p w14:paraId="09CC8D24" w14:textId="5D3F2269" w:rsidR="008F6BAB" w:rsidRPr="00D53D56" w:rsidRDefault="008F6BAB" w:rsidP="00775023">
      <w:pPr>
        <w:pStyle w:val="SingleTxtG"/>
        <w:tabs>
          <w:tab w:val="clear" w:pos="2268"/>
          <w:tab w:val="clear" w:pos="2835"/>
          <w:tab w:val="left" w:pos="2552"/>
          <w:tab w:val="left" w:pos="3686"/>
        </w:tabs>
      </w:pPr>
      <w:r w:rsidRPr="000C4AFC">
        <w:rPr>
          <w:lang w:val="fr-FR"/>
        </w:rPr>
        <w:t>3.4.5.3.</w:t>
      </w:r>
      <w:r w:rsidR="00455F13">
        <w:rPr>
          <w:lang w:val="fr-FR"/>
        </w:rPr>
        <w:t>3 (nouveau, ancien 3.4.5.3.7)</w:t>
      </w:r>
      <w:r>
        <w:rPr>
          <w:lang w:val="fr-FR"/>
        </w:rPr>
        <w:tab/>
        <w:t>La section « 3.4.5.3.7 » actuelle devient la section « 3.4.5.3.3 ». Les paragraphes de chaque section sont renumérotés en conséquence.</w:t>
      </w:r>
    </w:p>
    <w:p w14:paraId="074F43D9" w14:textId="50C8D4C7" w:rsidR="008F6BAB" w:rsidRPr="00D53D56" w:rsidRDefault="00DB3F49" w:rsidP="00EC290F">
      <w:pPr>
        <w:pStyle w:val="SingleTxtG"/>
        <w:keepNext/>
        <w:keepLines/>
        <w:rPr>
          <w:b/>
        </w:rPr>
      </w:pPr>
      <w:r>
        <w:rPr>
          <w:lang w:val="fr-FR"/>
        </w:rPr>
        <w:lastRenderedPageBreak/>
        <w:t>Insérer les</w:t>
      </w:r>
      <w:r w:rsidR="008F6BAB">
        <w:rPr>
          <w:lang w:val="fr-FR"/>
        </w:rPr>
        <w:t xml:space="preserve"> références suivante</w:t>
      </w:r>
      <w:r>
        <w:rPr>
          <w:lang w:val="fr-FR"/>
        </w:rPr>
        <w:t>s dans l’ordre alphabétique</w:t>
      </w:r>
      <w:r w:rsidR="00DE2369">
        <w:rPr>
          <w:lang w:val="fr-FR"/>
        </w:rPr>
        <w:t xml:space="preserve"> </w:t>
      </w:r>
      <w:r w:rsidR="002F4B90">
        <w:rPr>
          <w:lang w:val="fr-FR"/>
        </w:rPr>
        <w:t xml:space="preserve">dans la liste </w:t>
      </w:r>
      <w:r w:rsidR="00DE2369">
        <w:rPr>
          <w:lang w:val="fr-FR"/>
        </w:rPr>
        <w:t xml:space="preserve">actuelle </w:t>
      </w:r>
      <w:r w:rsidR="002F4B90">
        <w:rPr>
          <w:lang w:val="fr-FR"/>
        </w:rPr>
        <w:t>à la fin du chapitre</w:t>
      </w:r>
      <w:r w:rsidR="008F6BAB">
        <w:rPr>
          <w:lang w:val="fr-FR"/>
        </w:rPr>
        <w:t>:</w:t>
      </w:r>
    </w:p>
    <w:p w14:paraId="06EA7DEE" w14:textId="77777777" w:rsidR="008F6BAB" w:rsidRPr="00906169" w:rsidRDefault="008F6BAB" w:rsidP="008F6BAB">
      <w:pPr>
        <w:pStyle w:val="SingleTxtG"/>
        <w:rPr>
          <w:b/>
        </w:rPr>
      </w:pPr>
      <w:r w:rsidRPr="00906169">
        <w:t>« ________________________</w:t>
      </w:r>
    </w:p>
    <w:p w14:paraId="6CEDB95F" w14:textId="77777777" w:rsidR="008F6BAB" w:rsidRPr="00906169" w:rsidRDefault="008F6BAB" w:rsidP="008F6BAB">
      <w:pPr>
        <w:tabs>
          <w:tab w:val="left" w:pos="1134"/>
        </w:tabs>
        <w:spacing w:after="120" w:line="240" w:lineRule="auto"/>
        <w:ind w:left="907" w:right="1134"/>
        <w:jc w:val="both"/>
        <w:rPr>
          <w:i/>
          <w:iCs/>
          <w:sz w:val="18"/>
          <w:szCs w:val="18"/>
        </w:rPr>
      </w:pPr>
      <w:r w:rsidRPr="00906169">
        <w:rPr>
          <w:szCs w:val="18"/>
        </w:rPr>
        <w:t>*</w:t>
      </w:r>
      <w:r w:rsidRPr="00906169">
        <w:rPr>
          <w:szCs w:val="18"/>
        </w:rPr>
        <w:tab/>
      </w:r>
      <w:r w:rsidRPr="00906169">
        <w:rPr>
          <w:szCs w:val="18"/>
        </w:rPr>
        <w:tab/>
      </w:r>
      <w:r w:rsidRPr="00906169">
        <w:rPr>
          <w:i/>
          <w:sz w:val="18"/>
          <w:szCs w:val="18"/>
        </w:rPr>
        <w:t>Références </w:t>
      </w:r>
      <w:r w:rsidRPr="00906169">
        <w:rPr>
          <w:iCs/>
          <w:sz w:val="18"/>
          <w:szCs w:val="18"/>
        </w:rPr>
        <w:t>:</w:t>
      </w:r>
    </w:p>
    <w:p w14:paraId="76ED6E44" w14:textId="77777777" w:rsidR="008F6BAB" w:rsidRPr="004928D2" w:rsidRDefault="008F6BAB" w:rsidP="008F6BAB">
      <w:pPr>
        <w:pStyle w:val="SingleTxtG"/>
        <w:rPr>
          <w:rFonts w:asciiTheme="majorBidi" w:hAnsiTheme="majorBidi" w:cstheme="majorBidi"/>
          <w:i/>
          <w:iCs/>
          <w:sz w:val="18"/>
          <w:szCs w:val="18"/>
          <w:lang w:val="en-US"/>
        </w:rPr>
      </w:pPr>
      <w:r w:rsidRPr="00906169">
        <w:rPr>
          <w:i/>
          <w:iCs/>
          <w:sz w:val="18"/>
          <w:szCs w:val="18"/>
        </w:rPr>
        <w:t xml:space="preserve">Alba S., Verdonck K., Lenglet A., Rumisha S. F., Wienia M., Teunissen I., Straetemans M., Mendoza W., Jeannetot D., Weibel D., Mayanja-Kizza H., Juvekar S., (2020) Bridging Research Integrity and Global Health Epidemiology (BRIDGE) Statement: Guidelines for Good Epidemiological Practice. </w:t>
      </w:r>
      <w:r w:rsidRPr="004928D2">
        <w:rPr>
          <w:i/>
          <w:iCs/>
          <w:sz w:val="18"/>
          <w:szCs w:val="18"/>
          <w:lang w:val="en-US"/>
        </w:rPr>
        <w:t>BMJ Global Health, 5(10). Doi:10.1136/bmjgh</w:t>
      </w:r>
      <w:r w:rsidRPr="004928D2">
        <w:rPr>
          <w:i/>
          <w:iCs/>
          <w:sz w:val="18"/>
          <w:szCs w:val="18"/>
          <w:lang w:val="en-US"/>
        </w:rPr>
        <w:noBreakHyphen/>
        <w:t>2020</w:t>
      </w:r>
      <w:r w:rsidRPr="004928D2">
        <w:rPr>
          <w:i/>
          <w:iCs/>
          <w:sz w:val="18"/>
          <w:szCs w:val="18"/>
          <w:lang w:val="en-US"/>
        </w:rPr>
        <w:noBreakHyphen/>
        <w:t>003236.</w:t>
      </w:r>
    </w:p>
    <w:p w14:paraId="0DAC112E" w14:textId="77777777" w:rsidR="008F6BAB" w:rsidRPr="004928D2" w:rsidRDefault="008F6BAB" w:rsidP="008F6BAB">
      <w:pPr>
        <w:pStyle w:val="SingleTxtG"/>
        <w:rPr>
          <w:rFonts w:asciiTheme="majorBidi" w:hAnsiTheme="majorBidi" w:cstheme="majorBidi"/>
          <w:i/>
          <w:iCs/>
          <w:sz w:val="18"/>
          <w:szCs w:val="18"/>
          <w:lang w:val="en-US"/>
        </w:rPr>
      </w:pPr>
      <w:proofErr w:type="spellStart"/>
      <w:r w:rsidRPr="004928D2">
        <w:rPr>
          <w:i/>
          <w:iCs/>
          <w:sz w:val="18"/>
          <w:szCs w:val="18"/>
          <w:lang w:val="en-US"/>
        </w:rPr>
        <w:t>Basketter</w:t>
      </w:r>
      <w:proofErr w:type="spellEnd"/>
      <w:r w:rsidRPr="004928D2">
        <w:rPr>
          <w:i/>
          <w:iCs/>
          <w:sz w:val="18"/>
          <w:szCs w:val="18"/>
          <w:lang w:val="en-US"/>
        </w:rPr>
        <w:t xml:space="preserve"> D. A, Gerberick G. F., Kimber I., (2001) Skin </w:t>
      </w:r>
      <w:proofErr w:type="spellStart"/>
      <w:r w:rsidRPr="004928D2">
        <w:rPr>
          <w:i/>
          <w:iCs/>
          <w:sz w:val="18"/>
          <w:szCs w:val="18"/>
          <w:lang w:val="en-US"/>
        </w:rPr>
        <w:t>Sensitisation</w:t>
      </w:r>
      <w:proofErr w:type="spellEnd"/>
      <w:r w:rsidRPr="004928D2">
        <w:rPr>
          <w:i/>
          <w:iCs/>
          <w:sz w:val="18"/>
          <w:szCs w:val="18"/>
          <w:lang w:val="en-US"/>
        </w:rPr>
        <w:t>, Vehicle Effects and the Local Lymph Node Assay. Food and Chemical Toxicology, 39 (6): 621-627. Doi:10.1016/S0278-6915(00)00169-1.</w:t>
      </w:r>
    </w:p>
    <w:p w14:paraId="1D1BC989" w14:textId="77777777" w:rsidR="008F6BAB" w:rsidRPr="004928D2" w:rsidRDefault="008F6BAB" w:rsidP="008F6BAB">
      <w:pPr>
        <w:pStyle w:val="SingleTxtG"/>
        <w:rPr>
          <w:rFonts w:asciiTheme="majorBidi" w:hAnsiTheme="majorBidi" w:cstheme="majorBidi"/>
          <w:i/>
          <w:iCs/>
          <w:spacing w:val="-3"/>
          <w:sz w:val="18"/>
          <w:szCs w:val="18"/>
          <w:lang w:val="en-US"/>
        </w:rPr>
      </w:pPr>
      <w:r w:rsidRPr="004928D2">
        <w:rPr>
          <w:i/>
          <w:iCs/>
          <w:spacing w:val="-3"/>
          <w:sz w:val="18"/>
          <w:szCs w:val="18"/>
          <w:lang w:val="en-US"/>
        </w:rPr>
        <w:t xml:space="preserve">Cumberbatch M., Scott R. C., </w:t>
      </w:r>
      <w:proofErr w:type="spellStart"/>
      <w:r w:rsidRPr="004928D2">
        <w:rPr>
          <w:i/>
          <w:iCs/>
          <w:spacing w:val="-3"/>
          <w:sz w:val="18"/>
          <w:szCs w:val="18"/>
          <w:lang w:val="en-US"/>
        </w:rPr>
        <w:t>Basketter</w:t>
      </w:r>
      <w:proofErr w:type="spellEnd"/>
      <w:r w:rsidRPr="004928D2">
        <w:rPr>
          <w:i/>
          <w:iCs/>
          <w:spacing w:val="-3"/>
          <w:sz w:val="18"/>
          <w:szCs w:val="18"/>
          <w:lang w:val="en-US"/>
        </w:rPr>
        <w:t xml:space="preserve"> D. A., Scholes E. W., Hilton J., Dearman R. J., Kimber I., (1993) Influence of Sodium Lauryl Sulphate on 2,4-dinitrochlorobenzene-induced Lymph Node Activation. Toxicology, 77 (1-2): 181-191. Doi: 10.1016/0300</w:t>
      </w:r>
      <w:r w:rsidRPr="004928D2">
        <w:rPr>
          <w:i/>
          <w:iCs/>
          <w:spacing w:val="-3"/>
          <w:sz w:val="18"/>
          <w:szCs w:val="18"/>
          <w:lang w:val="en-US"/>
        </w:rPr>
        <w:noBreakHyphen/>
        <w:t>483X(93)90148</w:t>
      </w:r>
      <w:r w:rsidRPr="004928D2">
        <w:rPr>
          <w:i/>
          <w:iCs/>
          <w:spacing w:val="-3"/>
          <w:sz w:val="18"/>
          <w:szCs w:val="18"/>
          <w:lang w:val="en-US"/>
        </w:rPr>
        <w:noBreakHyphen/>
        <w:t>L.</w:t>
      </w:r>
    </w:p>
    <w:p w14:paraId="4E0F4C9C" w14:textId="77777777" w:rsidR="008F6BAB" w:rsidRPr="004928D2" w:rsidRDefault="008F6BAB" w:rsidP="008F6BAB">
      <w:pPr>
        <w:pStyle w:val="SingleTxtG"/>
        <w:rPr>
          <w:rFonts w:asciiTheme="majorBidi" w:hAnsiTheme="majorBidi" w:cstheme="majorBidi"/>
          <w:i/>
          <w:iCs/>
          <w:sz w:val="18"/>
          <w:szCs w:val="18"/>
          <w:lang w:val="en-US"/>
        </w:rPr>
      </w:pPr>
      <w:r w:rsidRPr="004928D2">
        <w:rPr>
          <w:i/>
          <w:iCs/>
          <w:sz w:val="18"/>
          <w:szCs w:val="18"/>
          <w:lang w:val="en-US"/>
        </w:rPr>
        <w:t xml:space="preserve">Dearman R., Cumberbatch M., Hilton J., Clowes H.M., Fielding I., </w:t>
      </w:r>
      <w:proofErr w:type="spellStart"/>
      <w:r w:rsidRPr="004928D2">
        <w:rPr>
          <w:i/>
          <w:iCs/>
          <w:sz w:val="18"/>
          <w:szCs w:val="18"/>
          <w:lang w:val="en-US"/>
        </w:rPr>
        <w:t>Heylings</w:t>
      </w:r>
      <w:proofErr w:type="spellEnd"/>
      <w:r w:rsidRPr="004928D2">
        <w:rPr>
          <w:i/>
          <w:iCs/>
          <w:sz w:val="18"/>
          <w:szCs w:val="18"/>
          <w:lang w:val="en-US"/>
        </w:rPr>
        <w:t xml:space="preserve"> J. R., Kimber I., (1996a) Influence of Dibutyl Phthalate on Dermal Sensitization to Fluorescein Isothiocyanate. Fundamental and Applied Toxicology: Official Journal of the Society of Toxicology, 33 (1):24 − 30. Doi: 10.1006/faat.1996.0139.</w:t>
      </w:r>
    </w:p>
    <w:p w14:paraId="3BFACD38" w14:textId="77777777" w:rsidR="008F6BAB" w:rsidRPr="004928D2" w:rsidRDefault="008F6BAB" w:rsidP="008F6BAB">
      <w:pPr>
        <w:pStyle w:val="SingleTxtG"/>
        <w:rPr>
          <w:rFonts w:asciiTheme="majorBidi" w:hAnsiTheme="majorBidi" w:cstheme="majorBidi"/>
          <w:i/>
          <w:iCs/>
          <w:sz w:val="18"/>
          <w:szCs w:val="18"/>
          <w:lang w:val="en-US"/>
        </w:rPr>
      </w:pPr>
      <w:r w:rsidRPr="004928D2">
        <w:rPr>
          <w:i/>
          <w:iCs/>
          <w:sz w:val="18"/>
          <w:szCs w:val="18"/>
          <w:lang w:val="en-US"/>
        </w:rPr>
        <w:t>Dearman R. J., Hope J. C., Hopkins S. J., Kimber I., (1996b) Antigen-induced Unresponsiveness in Contact Sensitivity: Association of Depressed T Lymphocyte Proliferative Responses with Decreased Interleukin 6 Secretion. Immunology Letters, 50(1</w:t>
      </w:r>
      <w:r w:rsidRPr="004928D2">
        <w:rPr>
          <w:i/>
          <w:iCs/>
          <w:sz w:val="18"/>
          <w:szCs w:val="18"/>
          <w:lang w:val="en-US"/>
        </w:rPr>
        <w:noBreakHyphen/>
        <w:t>2):29-34. Doi: 10.1016/0165-2478(96)02512-6.</w:t>
      </w:r>
    </w:p>
    <w:p w14:paraId="1F9FC14D" w14:textId="77777777" w:rsidR="008F6BAB" w:rsidRPr="004928D2" w:rsidRDefault="008F6BAB" w:rsidP="008F6BAB">
      <w:pPr>
        <w:pStyle w:val="SingleTxtG"/>
        <w:rPr>
          <w:rFonts w:asciiTheme="majorBidi" w:hAnsiTheme="majorBidi" w:cstheme="majorBidi"/>
          <w:i/>
          <w:iCs/>
          <w:sz w:val="18"/>
          <w:szCs w:val="18"/>
          <w:lang w:val="en-US"/>
        </w:rPr>
      </w:pPr>
      <w:r w:rsidRPr="004928D2">
        <w:rPr>
          <w:i/>
          <w:iCs/>
          <w:sz w:val="18"/>
          <w:szCs w:val="18"/>
          <w:lang w:val="en-US"/>
        </w:rPr>
        <w:t xml:space="preserve">Frosch P. J., Johansen, J. D., </w:t>
      </w:r>
      <w:proofErr w:type="spellStart"/>
      <w:r w:rsidRPr="004928D2">
        <w:rPr>
          <w:i/>
          <w:iCs/>
          <w:sz w:val="18"/>
          <w:szCs w:val="18"/>
          <w:lang w:val="en-US"/>
        </w:rPr>
        <w:t>Schuttelaar</w:t>
      </w:r>
      <w:proofErr w:type="spellEnd"/>
      <w:r w:rsidRPr="004928D2">
        <w:rPr>
          <w:i/>
          <w:iCs/>
          <w:sz w:val="18"/>
          <w:szCs w:val="18"/>
          <w:lang w:val="en-US"/>
        </w:rPr>
        <w:t xml:space="preserve"> M. L., Silvestre J. F., Sanchez-Perez J., Weisshaar E., Uter W., (2015) Patch Test Results with Fragrance Markers of the Baseline Series − Analysis of the European Surveillance System on Contact Allergies (ESSCA) Network 2009–2012 on Behalf of the ESSCA Network. Contact Dermatitis, 73: 1631-1671. Doi: 10.1111/cod.12420.</w:t>
      </w:r>
    </w:p>
    <w:p w14:paraId="4EC76649" w14:textId="77777777" w:rsidR="008F6BAB" w:rsidRPr="004928D2" w:rsidRDefault="008F6BAB" w:rsidP="008F6BAB">
      <w:pPr>
        <w:pStyle w:val="SingleTxtG"/>
        <w:rPr>
          <w:rFonts w:asciiTheme="majorBidi" w:hAnsiTheme="majorBidi" w:cstheme="majorBidi"/>
          <w:i/>
          <w:iCs/>
          <w:sz w:val="18"/>
          <w:szCs w:val="18"/>
          <w:lang w:val="en-US"/>
        </w:rPr>
      </w:pPr>
      <w:proofErr w:type="spellStart"/>
      <w:r w:rsidRPr="004928D2">
        <w:rPr>
          <w:i/>
          <w:iCs/>
          <w:spacing w:val="-2"/>
          <w:sz w:val="18"/>
          <w:szCs w:val="18"/>
          <w:lang w:val="en-US"/>
        </w:rPr>
        <w:t>Heylings</w:t>
      </w:r>
      <w:proofErr w:type="spellEnd"/>
      <w:r w:rsidRPr="004928D2">
        <w:rPr>
          <w:i/>
          <w:iCs/>
          <w:spacing w:val="-2"/>
          <w:sz w:val="18"/>
          <w:szCs w:val="18"/>
          <w:lang w:val="en-US"/>
        </w:rPr>
        <w:t xml:space="preserve"> J. R., Clowes H. M., Cumberbatch M., Dearman R. J., Fielding I., Hilton J., Kimber I., (1996) Sensitization to 2,4-dinitrochlorobenzene: Influence of Vehicle on Absorption and Lymph Node Activation. Toxicology, 109 (1): 57-65. Doi: 10.1016/0300-483X </w:t>
      </w:r>
      <w:r w:rsidRPr="004928D2">
        <w:rPr>
          <w:i/>
          <w:iCs/>
          <w:sz w:val="18"/>
          <w:szCs w:val="18"/>
          <w:lang w:val="en-US"/>
        </w:rPr>
        <w:t>(96)03304-5.</w:t>
      </w:r>
    </w:p>
    <w:p w14:paraId="52ABEB04" w14:textId="77777777" w:rsidR="008F6BAB" w:rsidRPr="004928D2" w:rsidRDefault="008F6BAB" w:rsidP="008F6BAB">
      <w:pPr>
        <w:pStyle w:val="SingleTxtG"/>
        <w:rPr>
          <w:rFonts w:asciiTheme="majorBidi" w:hAnsiTheme="majorBidi" w:cstheme="majorBidi"/>
          <w:i/>
          <w:iCs/>
          <w:sz w:val="18"/>
          <w:szCs w:val="18"/>
          <w:lang w:val="en-US"/>
        </w:rPr>
      </w:pPr>
      <w:r w:rsidRPr="004928D2">
        <w:rPr>
          <w:i/>
          <w:iCs/>
          <w:sz w:val="18"/>
          <w:szCs w:val="18"/>
          <w:lang w:val="en-US"/>
        </w:rPr>
        <w:t xml:space="preserve">Hoffmann W., Latza U., Baumeister S. E., Hoffmann W., Latza U., Baumeister S. E., </w:t>
      </w:r>
      <w:proofErr w:type="spellStart"/>
      <w:r w:rsidRPr="004928D2">
        <w:rPr>
          <w:i/>
          <w:iCs/>
          <w:sz w:val="18"/>
          <w:szCs w:val="18"/>
          <w:lang w:val="en-US"/>
        </w:rPr>
        <w:t>Brünger</w:t>
      </w:r>
      <w:proofErr w:type="spellEnd"/>
      <w:r w:rsidRPr="004928D2">
        <w:rPr>
          <w:i/>
          <w:iCs/>
          <w:sz w:val="18"/>
          <w:szCs w:val="18"/>
          <w:lang w:val="en-US"/>
        </w:rPr>
        <w:t xml:space="preserve"> M., </w:t>
      </w:r>
      <w:proofErr w:type="spellStart"/>
      <w:r w:rsidRPr="004928D2">
        <w:rPr>
          <w:i/>
          <w:iCs/>
          <w:sz w:val="18"/>
          <w:szCs w:val="18"/>
          <w:lang w:val="en-US"/>
        </w:rPr>
        <w:t>Buttmann</w:t>
      </w:r>
      <w:proofErr w:type="spellEnd"/>
      <w:r w:rsidRPr="004928D2">
        <w:rPr>
          <w:i/>
          <w:iCs/>
          <w:sz w:val="18"/>
          <w:szCs w:val="18"/>
          <w:lang w:val="en-US"/>
        </w:rPr>
        <w:t>-Schweiger N., Hardt J., Hoffmann V., Karch A., Richter A., Schmidt C. O., Schmidtmann I., Swart E., Van den Berg N., (2019) Guidelines and Recommendations for Ensuring Good Epidemiological Practice (GEP): A Guideline Developed by the German Society for Epidemiology. European Journal of Epidemiology 34: 301–317. Doi:10.1007/s10654-019-00500-x.</w:t>
      </w:r>
    </w:p>
    <w:p w14:paraId="2863D2E5" w14:textId="77777777" w:rsidR="008F6BAB" w:rsidRPr="004928D2" w:rsidRDefault="008F6BAB" w:rsidP="008F6BAB">
      <w:pPr>
        <w:pStyle w:val="SingleTxtG"/>
        <w:rPr>
          <w:rFonts w:asciiTheme="majorBidi" w:hAnsiTheme="majorBidi" w:cstheme="majorBidi"/>
          <w:i/>
          <w:iCs/>
          <w:sz w:val="18"/>
          <w:szCs w:val="18"/>
        </w:rPr>
      </w:pPr>
      <w:r w:rsidRPr="004928D2">
        <w:rPr>
          <w:i/>
          <w:iCs/>
          <w:sz w:val="18"/>
          <w:szCs w:val="18"/>
          <w:lang w:val="en-US"/>
        </w:rPr>
        <w:t xml:space="preserve">Johansen J. D., Aalto-Korte K., Agner T., Andersen K. E., Bircher A., </w:t>
      </w:r>
      <w:proofErr w:type="spellStart"/>
      <w:r w:rsidRPr="004928D2">
        <w:rPr>
          <w:i/>
          <w:iCs/>
          <w:sz w:val="18"/>
          <w:szCs w:val="18"/>
          <w:lang w:val="en-US"/>
        </w:rPr>
        <w:t>Bruze</w:t>
      </w:r>
      <w:proofErr w:type="spellEnd"/>
      <w:r w:rsidRPr="004928D2">
        <w:rPr>
          <w:i/>
          <w:iCs/>
          <w:sz w:val="18"/>
          <w:szCs w:val="18"/>
          <w:lang w:val="en-US"/>
        </w:rPr>
        <w:t xml:space="preserve"> M., </w:t>
      </w:r>
      <w:proofErr w:type="spellStart"/>
      <w:r w:rsidRPr="004928D2">
        <w:rPr>
          <w:i/>
          <w:iCs/>
          <w:sz w:val="18"/>
          <w:szCs w:val="18"/>
          <w:lang w:val="en-US"/>
        </w:rPr>
        <w:t>Cannavó</w:t>
      </w:r>
      <w:proofErr w:type="spellEnd"/>
      <w:r w:rsidRPr="004928D2">
        <w:rPr>
          <w:i/>
          <w:iCs/>
          <w:sz w:val="18"/>
          <w:szCs w:val="18"/>
          <w:lang w:val="en-US"/>
        </w:rPr>
        <w:t xml:space="preserve"> A., Giménez-Arnau A., Gonçalo M., Goossens A., John S. M., Lidén C., Lindberg M., Mahler V., Matura M., Rustemeyer T., Serup J., Spiewak R., Thyssen J.P., Vigan M., White I.R., Wilkinson M., Uter W., (2015) European Society of Contact Dermatitis Guideline for Diagnostic Patch Testing − Recommendations on Best Practice. </w:t>
      </w:r>
      <w:r w:rsidRPr="004928D2">
        <w:rPr>
          <w:i/>
          <w:iCs/>
          <w:sz w:val="18"/>
          <w:szCs w:val="18"/>
          <w:lang w:val="fr-FR"/>
        </w:rPr>
        <w:t xml:space="preserve">Contact </w:t>
      </w:r>
      <w:proofErr w:type="spellStart"/>
      <w:r w:rsidRPr="004928D2">
        <w:rPr>
          <w:i/>
          <w:iCs/>
          <w:sz w:val="18"/>
          <w:szCs w:val="18"/>
          <w:lang w:val="fr-FR"/>
        </w:rPr>
        <w:t>Dermatitis</w:t>
      </w:r>
      <w:proofErr w:type="spellEnd"/>
      <w:r w:rsidRPr="004928D2">
        <w:rPr>
          <w:i/>
          <w:iCs/>
          <w:sz w:val="18"/>
          <w:szCs w:val="18"/>
          <w:lang w:val="fr-FR"/>
        </w:rPr>
        <w:t xml:space="preserve">, 73(4):195-221. </w:t>
      </w:r>
      <w:proofErr w:type="spellStart"/>
      <w:r w:rsidRPr="004928D2">
        <w:rPr>
          <w:i/>
          <w:iCs/>
          <w:sz w:val="18"/>
          <w:szCs w:val="18"/>
          <w:lang w:val="fr-FR"/>
        </w:rPr>
        <w:t>Doi</w:t>
      </w:r>
      <w:proofErr w:type="spellEnd"/>
      <w:r w:rsidRPr="004928D2">
        <w:rPr>
          <w:i/>
          <w:iCs/>
          <w:sz w:val="18"/>
          <w:szCs w:val="18"/>
          <w:lang w:val="fr-FR"/>
        </w:rPr>
        <w:t>: 10.1111/cod.12432.</w:t>
      </w:r>
    </w:p>
    <w:p w14:paraId="189E57E3" w14:textId="77777777" w:rsidR="008F6BAB" w:rsidRPr="004928D2" w:rsidRDefault="008F6BAB" w:rsidP="008F6BAB">
      <w:pPr>
        <w:pStyle w:val="SingleTxtG"/>
        <w:rPr>
          <w:i/>
          <w:iCs/>
          <w:sz w:val="18"/>
          <w:szCs w:val="18"/>
        </w:rPr>
      </w:pPr>
      <w:r w:rsidRPr="004928D2">
        <w:rPr>
          <w:i/>
          <w:iCs/>
          <w:sz w:val="18"/>
          <w:szCs w:val="18"/>
          <w:lang w:val="fr-FR"/>
        </w:rPr>
        <w:t xml:space="preserve">OCDE (2010), Sensibilisation cutanée : Essai de stimulation locale des ganglions lymphatiques, Section 4 : Effets sur la santé, No. 429: Éditions OCDE, Paris. </w:t>
      </w:r>
      <w:proofErr w:type="spellStart"/>
      <w:r w:rsidRPr="004928D2">
        <w:rPr>
          <w:i/>
          <w:iCs/>
          <w:sz w:val="18"/>
          <w:szCs w:val="18"/>
          <w:lang w:val="fr-FR"/>
        </w:rPr>
        <w:t>Doi</w:t>
      </w:r>
      <w:proofErr w:type="spellEnd"/>
      <w:r w:rsidRPr="004928D2">
        <w:rPr>
          <w:i/>
          <w:iCs/>
          <w:sz w:val="18"/>
          <w:szCs w:val="18"/>
          <w:lang w:val="fr-FR"/>
        </w:rPr>
        <w:t>: 10.1787/9789264071117-fr.</w:t>
      </w:r>
    </w:p>
    <w:p w14:paraId="0D9E57E4" w14:textId="77777777" w:rsidR="008F6BAB" w:rsidRPr="004928D2" w:rsidRDefault="008F6BAB" w:rsidP="008F6BAB">
      <w:pPr>
        <w:pStyle w:val="SingleTxtG"/>
        <w:rPr>
          <w:i/>
          <w:iCs/>
          <w:sz w:val="18"/>
          <w:szCs w:val="18"/>
          <w:lang w:val="en-US"/>
        </w:rPr>
      </w:pPr>
      <w:r w:rsidRPr="004928D2">
        <w:rPr>
          <w:i/>
          <w:iCs/>
          <w:sz w:val="18"/>
          <w:szCs w:val="18"/>
          <w:lang w:val="fr-FR"/>
        </w:rPr>
        <w:t xml:space="preserve">OCDE (2010), Sensibilisation cutanée : Essai de stimulation locale des ganglions lymphatiques : DA, Section 4 : Effets sur la santé, No. 442A. </w:t>
      </w:r>
      <w:r w:rsidRPr="004928D2">
        <w:rPr>
          <w:i/>
          <w:iCs/>
          <w:sz w:val="18"/>
          <w:szCs w:val="18"/>
          <w:lang w:val="en-US"/>
        </w:rPr>
        <w:t>Éditions OCDE, Paris. Doi: 10.1787/9789264090989-fr.</w:t>
      </w:r>
    </w:p>
    <w:p w14:paraId="0E9E70B1" w14:textId="77777777" w:rsidR="008F6BAB" w:rsidRPr="004928D2" w:rsidRDefault="008F6BAB" w:rsidP="008F6BAB">
      <w:pPr>
        <w:pStyle w:val="SingleTxtG"/>
        <w:rPr>
          <w:i/>
          <w:iCs/>
          <w:sz w:val="18"/>
          <w:szCs w:val="18"/>
          <w:lang w:val="en-US"/>
        </w:rPr>
      </w:pPr>
      <w:r w:rsidRPr="004928D2">
        <w:rPr>
          <w:i/>
          <w:iCs/>
          <w:sz w:val="18"/>
          <w:szCs w:val="18"/>
          <w:lang w:val="en-US"/>
        </w:rPr>
        <w:t>OCDE (2016), Guidance Document on the Reporting of Defined Approaches to be Used Within Integrated Approaches to Testing and Assessment, Series on Testing &amp; Assessment No 255. ENV/JM/MONO(2016)28.</w:t>
      </w:r>
    </w:p>
    <w:p w14:paraId="6F55E5E1" w14:textId="77777777" w:rsidR="008F6BAB" w:rsidRPr="004928D2" w:rsidRDefault="008F6BAB" w:rsidP="008F6BAB">
      <w:pPr>
        <w:pStyle w:val="SingleTxtG"/>
        <w:rPr>
          <w:i/>
          <w:iCs/>
          <w:sz w:val="18"/>
          <w:szCs w:val="18"/>
        </w:rPr>
      </w:pPr>
      <w:r w:rsidRPr="004928D2">
        <w:rPr>
          <w:i/>
          <w:iCs/>
          <w:sz w:val="18"/>
          <w:szCs w:val="18"/>
          <w:lang w:val="en-US"/>
        </w:rPr>
        <w:t xml:space="preserve">OCDE (2016), Guidance Document on the Reporting of Defined Approaches and Individual Information Sources to be Used Within Integrated Approaches to Testing and Assessment (IATA) for Skin </w:t>
      </w:r>
      <w:proofErr w:type="spellStart"/>
      <w:r w:rsidRPr="004928D2">
        <w:rPr>
          <w:i/>
          <w:iCs/>
          <w:sz w:val="18"/>
          <w:szCs w:val="18"/>
          <w:lang w:val="en-US"/>
        </w:rPr>
        <w:t>Sensitisation</w:t>
      </w:r>
      <w:proofErr w:type="spellEnd"/>
      <w:r w:rsidRPr="004928D2">
        <w:rPr>
          <w:i/>
          <w:iCs/>
          <w:sz w:val="18"/>
          <w:szCs w:val="18"/>
          <w:lang w:val="en-US"/>
        </w:rPr>
        <w:t xml:space="preserve">, Series on Testing &amp; Assessment, No 256. </w:t>
      </w:r>
      <w:r w:rsidRPr="004928D2">
        <w:rPr>
          <w:i/>
          <w:iCs/>
          <w:sz w:val="18"/>
          <w:szCs w:val="18"/>
          <w:lang w:val="fr-FR"/>
        </w:rPr>
        <w:t>ENV/JM/MONO(2016)29.</w:t>
      </w:r>
    </w:p>
    <w:p w14:paraId="4D60CFB0" w14:textId="77777777" w:rsidR="008F6BAB" w:rsidRPr="004928D2" w:rsidRDefault="008F6BAB" w:rsidP="008F6BAB">
      <w:pPr>
        <w:pStyle w:val="SingleTxtG"/>
        <w:rPr>
          <w:i/>
          <w:iCs/>
          <w:sz w:val="18"/>
          <w:szCs w:val="18"/>
        </w:rPr>
      </w:pPr>
      <w:r w:rsidRPr="004928D2">
        <w:rPr>
          <w:i/>
          <w:iCs/>
          <w:sz w:val="18"/>
          <w:szCs w:val="18"/>
          <w:lang w:val="fr-FR"/>
        </w:rPr>
        <w:t xml:space="preserve">OCDE (2022), Sensibilisation cutanée in vitro : Méthode d’essai ARE-Nrf2 luciférase, Lignes directrices de l’OCDE pour les essais de produits chimiques, Section 4 : Effets sur la santé, No 442D : Éditions OCDE, Paris, </w:t>
      </w:r>
      <w:proofErr w:type="spellStart"/>
      <w:r w:rsidRPr="004928D2">
        <w:rPr>
          <w:i/>
          <w:iCs/>
          <w:sz w:val="18"/>
          <w:szCs w:val="18"/>
          <w:lang w:val="fr-FR"/>
        </w:rPr>
        <w:t>Doi</w:t>
      </w:r>
      <w:proofErr w:type="spellEnd"/>
      <w:r w:rsidRPr="004928D2">
        <w:rPr>
          <w:i/>
          <w:iCs/>
          <w:sz w:val="18"/>
          <w:szCs w:val="18"/>
          <w:lang w:val="fr-FR"/>
        </w:rPr>
        <w:t>: 10.1787/9789264229778-fr.</w:t>
      </w:r>
    </w:p>
    <w:p w14:paraId="160C82F5" w14:textId="77777777" w:rsidR="008F6BAB" w:rsidRPr="004928D2" w:rsidRDefault="008F6BAB" w:rsidP="008F6BAB">
      <w:pPr>
        <w:pStyle w:val="SingleTxtG"/>
        <w:rPr>
          <w:i/>
          <w:iCs/>
          <w:sz w:val="18"/>
          <w:szCs w:val="18"/>
        </w:rPr>
      </w:pPr>
      <w:r w:rsidRPr="004928D2">
        <w:rPr>
          <w:i/>
          <w:iCs/>
          <w:sz w:val="18"/>
          <w:szCs w:val="18"/>
          <w:lang w:val="fr-FR"/>
        </w:rPr>
        <w:lastRenderedPageBreak/>
        <w:t xml:space="preserve">OCDE (2022), Sensibilisation cutanée, Lignes directrices de l’OCDE pour les essais de produits chimiques, Section 4 : Effets sur la santé, No. 406. Éditions OCDE, Paris. </w:t>
      </w:r>
      <w:proofErr w:type="spellStart"/>
      <w:r w:rsidRPr="004928D2">
        <w:rPr>
          <w:i/>
          <w:iCs/>
          <w:sz w:val="18"/>
          <w:szCs w:val="18"/>
          <w:lang w:val="fr-FR"/>
        </w:rPr>
        <w:t>Doi</w:t>
      </w:r>
      <w:proofErr w:type="spellEnd"/>
      <w:r w:rsidRPr="004928D2">
        <w:rPr>
          <w:i/>
          <w:iCs/>
          <w:sz w:val="18"/>
          <w:szCs w:val="18"/>
          <w:lang w:val="fr-FR"/>
        </w:rPr>
        <w:t>: 10.1787/9789264070677-fr.</w:t>
      </w:r>
    </w:p>
    <w:p w14:paraId="7908B9AE" w14:textId="77777777" w:rsidR="008F6BAB" w:rsidRPr="004928D2" w:rsidRDefault="008F6BAB" w:rsidP="008F6BAB">
      <w:pPr>
        <w:pStyle w:val="SingleTxtG"/>
        <w:rPr>
          <w:i/>
          <w:iCs/>
          <w:sz w:val="18"/>
          <w:szCs w:val="18"/>
          <w:lang w:val="en-US"/>
        </w:rPr>
      </w:pPr>
      <w:r w:rsidRPr="004928D2">
        <w:rPr>
          <w:i/>
          <w:iCs/>
          <w:sz w:val="18"/>
          <w:szCs w:val="18"/>
          <w:lang w:val="fr-FR"/>
        </w:rPr>
        <w:t xml:space="preserve">OCDE (2023), Approches définies pour la sensibilisation cutanée, Lignes directrices de l’OCDE pour les essais de produits chimiques, Section 4 : Effets sur la santé. </w:t>
      </w:r>
      <w:r w:rsidRPr="004928D2">
        <w:rPr>
          <w:i/>
          <w:iCs/>
          <w:sz w:val="18"/>
          <w:szCs w:val="18"/>
          <w:lang w:val="en-US"/>
        </w:rPr>
        <w:t>No 497. Éditions OCDE, Paris. Doi: 10.1787/383d0478-fr.</w:t>
      </w:r>
    </w:p>
    <w:p w14:paraId="5EC84FC1" w14:textId="77777777" w:rsidR="008F6BAB" w:rsidRPr="004928D2" w:rsidRDefault="008F6BAB" w:rsidP="008F6BAB">
      <w:pPr>
        <w:pStyle w:val="SingleTxtG"/>
        <w:rPr>
          <w:i/>
          <w:iCs/>
          <w:sz w:val="18"/>
          <w:szCs w:val="18"/>
        </w:rPr>
      </w:pPr>
      <w:r w:rsidRPr="004928D2">
        <w:rPr>
          <w:i/>
          <w:iCs/>
          <w:sz w:val="18"/>
          <w:szCs w:val="18"/>
          <w:lang w:val="en-US"/>
        </w:rPr>
        <w:t xml:space="preserve">OCDE (2023), Supporting Document to the OECD Guideline 497 on Defined Approaches for Skin </w:t>
      </w:r>
      <w:proofErr w:type="spellStart"/>
      <w:r w:rsidRPr="004928D2">
        <w:rPr>
          <w:i/>
          <w:iCs/>
          <w:sz w:val="18"/>
          <w:szCs w:val="18"/>
          <w:lang w:val="en-US"/>
        </w:rPr>
        <w:t>Sensitisation</w:t>
      </w:r>
      <w:proofErr w:type="spellEnd"/>
      <w:r w:rsidRPr="004928D2">
        <w:rPr>
          <w:i/>
          <w:iCs/>
          <w:sz w:val="18"/>
          <w:szCs w:val="18"/>
          <w:lang w:val="en-US"/>
        </w:rPr>
        <w:t xml:space="preserve">, Series on Testing &amp; Assessment No 336. </w:t>
      </w:r>
      <w:r w:rsidRPr="004928D2">
        <w:rPr>
          <w:i/>
          <w:iCs/>
          <w:sz w:val="18"/>
          <w:szCs w:val="18"/>
          <w:lang w:val="fr-FR"/>
        </w:rPr>
        <w:t>ENV/CBC/MONO(2021)11.</w:t>
      </w:r>
    </w:p>
    <w:p w14:paraId="45A88F95" w14:textId="77777777" w:rsidR="008F6BAB" w:rsidRPr="004928D2" w:rsidRDefault="008F6BAB" w:rsidP="008F6BAB">
      <w:pPr>
        <w:pStyle w:val="SingleTxtG"/>
        <w:rPr>
          <w:i/>
          <w:iCs/>
          <w:sz w:val="18"/>
          <w:szCs w:val="18"/>
        </w:rPr>
      </w:pPr>
      <w:r w:rsidRPr="004928D2">
        <w:rPr>
          <w:i/>
          <w:iCs/>
          <w:sz w:val="18"/>
          <w:szCs w:val="18"/>
          <w:lang w:val="fr-FR"/>
        </w:rPr>
        <w:t xml:space="preserve">OCDE (2023), Sensibilisation cutanée in </w:t>
      </w:r>
      <w:proofErr w:type="spellStart"/>
      <w:r w:rsidRPr="004928D2">
        <w:rPr>
          <w:i/>
          <w:iCs/>
          <w:sz w:val="18"/>
          <w:szCs w:val="18"/>
          <w:lang w:val="fr-FR"/>
        </w:rPr>
        <w:t>chemico</w:t>
      </w:r>
      <w:proofErr w:type="spellEnd"/>
      <w:r w:rsidRPr="004928D2">
        <w:rPr>
          <w:i/>
          <w:iCs/>
          <w:sz w:val="18"/>
          <w:szCs w:val="18"/>
          <w:lang w:val="fr-FR"/>
        </w:rPr>
        <w:t xml:space="preserve"> : Essai portant sur l’événement clef relatif à l’établissement d’une liaison covalente avec les protéines, dans la voie toxicologique impliquée dans les effets indésirables, Lignes directrices de l’OCDE pour les essais de produits chimiques, Section 4 : Effets sur la santé, No 442C, Éditions OCDE, Paris, </w:t>
      </w:r>
      <w:proofErr w:type="spellStart"/>
      <w:r w:rsidRPr="004928D2">
        <w:rPr>
          <w:i/>
          <w:iCs/>
          <w:sz w:val="18"/>
          <w:szCs w:val="18"/>
          <w:lang w:val="fr-FR"/>
        </w:rPr>
        <w:t>Doi</w:t>
      </w:r>
      <w:proofErr w:type="spellEnd"/>
      <w:r w:rsidRPr="004928D2">
        <w:rPr>
          <w:i/>
          <w:iCs/>
          <w:sz w:val="18"/>
          <w:szCs w:val="18"/>
          <w:lang w:val="fr-FR"/>
        </w:rPr>
        <w:t>: 10.1787/9789264229723-fr.</w:t>
      </w:r>
    </w:p>
    <w:p w14:paraId="6E991341" w14:textId="77777777" w:rsidR="008F6BAB" w:rsidRPr="004928D2" w:rsidRDefault="008F6BAB" w:rsidP="008F6BAB">
      <w:pPr>
        <w:pStyle w:val="SingleTxtG"/>
        <w:rPr>
          <w:i/>
          <w:iCs/>
          <w:sz w:val="18"/>
          <w:szCs w:val="18"/>
        </w:rPr>
      </w:pPr>
      <w:r w:rsidRPr="004928D2">
        <w:rPr>
          <w:i/>
          <w:iCs/>
          <w:sz w:val="18"/>
          <w:szCs w:val="18"/>
          <w:lang w:val="fr-FR"/>
        </w:rPr>
        <w:t xml:space="preserve">OECD (2023), Sensibilisation cutanée in vitro : Essai de sensibilisation cutanée in vitro portant sur l’événement clé relatif à l’activation des cellules dendritiques dans la voie toxicologique impliquée dans les effets indésirables pour la sensibilisation cutanée, Lignes directrices de l’OCDE pour les essais de produits chimiques, Section 4, Effets sur la santé, No 442E, Éditions OCDE, Paris, </w:t>
      </w:r>
      <w:proofErr w:type="spellStart"/>
      <w:r w:rsidRPr="004928D2">
        <w:rPr>
          <w:i/>
          <w:iCs/>
          <w:sz w:val="18"/>
          <w:szCs w:val="18"/>
          <w:lang w:val="fr-FR"/>
        </w:rPr>
        <w:t>Doi</w:t>
      </w:r>
      <w:proofErr w:type="spellEnd"/>
      <w:r w:rsidRPr="004928D2">
        <w:rPr>
          <w:i/>
          <w:iCs/>
          <w:sz w:val="18"/>
          <w:szCs w:val="18"/>
          <w:lang w:val="fr-FR"/>
        </w:rPr>
        <w:t>: 10.1787/9789264276505-fr.</w:t>
      </w:r>
    </w:p>
    <w:p w14:paraId="01849370" w14:textId="77777777" w:rsidR="008F6BAB" w:rsidRPr="004928D2" w:rsidRDefault="008F6BAB" w:rsidP="008F6BAB">
      <w:pPr>
        <w:pStyle w:val="SingleTxtG"/>
        <w:rPr>
          <w:rFonts w:asciiTheme="majorBidi" w:hAnsiTheme="majorBidi" w:cstheme="majorBidi"/>
          <w:i/>
          <w:iCs/>
          <w:sz w:val="18"/>
          <w:szCs w:val="18"/>
          <w:lang w:val="en-US"/>
        </w:rPr>
      </w:pPr>
      <w:r w:rsidRPr="004928D2">
        <w:rPr>
          <w:i/>
          <w:iCs/>
          <w:spacing w:val="-2"/>
          <w:sz w:val="18"/>
          <w:szCs w:val="18"/>
          <w:lang w:val="en-US"/>
        </w:rPr>
        <w:t xml:space="preserve">Strickland J., Abedini J., Allen D. G., Gordon J., Hull V., </w:t>
      </w:r>
      <w:proofErr w:type="spellStart"/>
      <w:r w:rsidRPr="004928D2">
        <w:rPr>
          <w:i/>
          <w:iCs/>
          <w:spacing w:val="-2"/>
          <w:sz w:val="18"/>
          <w:szCs w:val="18"/>
          <w:lang w:val="en-US"/>
        </w:rPr>
        <w:t>Kleinstreuer</w:t>
      </w:r>
      <w:proofErr w:type="spellEnd"/>
      <w:r w:rsidRPr="004928D2">
        <w:rPr>
          <w:i/>
          <w:iCs/>
          <w:spacing w:val="-2"/>
          <w:sz w:val="18"/>
          <w:szCs w:val="18"/>
          <w:lang w:val="en-US"/>
        </w:rPr>
        <w:t xml:space="preserve"> N. C., Ko H. S., Matheson J., </w:t>
      </w:r>
      <w:proofErr w:type="spellStart"/>
      <w:r w:rsidRPr="004928D2">
        <w:rPr>
          <w:i/>
          <w:iCs/>
          <w:spacing w:val="-2"/>
          <w:sz w:val="18"/>
          <w:szCs w:val="18"/>
          <w:lang w:val="en-US"/>
        </w:rPr>
        <w:t>Thierse</w:t>
      </w:r>
      <w:proofErr w:type="spellEnd"/>
      <w:r w:rsidRPr="004928D2">
        <w:rPr>
          <w:i/>
          <w:iCs/>
          <w:spacing w:val="-2"/>
          <w:sz w:val="18"/>
          <w:szCs w:val="18"/>
          <w:lang w:val="en-US"/>
        </w:rPr>
        <w:t xml:space="preserve"> H. J., Truax J., Vanselow J. T., Herzler M., (2023) A Database of Human Predictive Patch Test Data for Skin Sensitization. Archives of Toxicology, 97(11):2825</w:t>
      </w:r>
      <w:r w:rsidRPr="004928D2">
        <w:rPr>
          <w:i/>
          <w:iCs/>
          <w:spacing w:val="-2"/>
          <w:sz w:val="18"/>
          <w:szCs w:val="18"/>
          <w:lang w:val="en-US"/>
        </w:rPr>
        <w:noBreakHyphen/>
        <w:t>2837.</w:t>
      </w:r>
      <w:r w:rsidRPr="004928D2">
        <w:rPr>
          <w:i/>
          <w:iCs/>
          <w:sz w:val="18"/>
          <w:szCs w:val="18"/>
          <w:lang w:val="en-US"/>
        </w:rPr>
        <w:t xml:space="preserve"> Doi: 10.1007/s00204-023-03530-3.</w:t>
      </w:r>
    </w:p>
    <w:p w14:paraId="5618D5AD" w14:textId="77777777" w:rsidR="008F6BAB" w:rsidRPr="004928D2" w:rsidRDefault="008F6BAB" w:rsidP="008F6BAB">
      <w:pPr>
        <w:pStyle w:val="SingleTxtG"/>
        <w:rPr>
          <w:rFonts w:asciiTheme="majorBidi" w:hAnsiTheme="majorBidi" w:cstheme="majorBidi"/>
          <w:i/>
          <w:iCs/>
          <w:sz w:val="18"/>
          <w:szCs w:val="18"/>
          <w:lang w:val="en-US"/>
        </w:rPr>
      </w:pPr>
      <w:r w:rsidRPr="004928D2">
        <w:rPr>
          <w:i/>
          <w:iCs/>
          <w:sz w:val="18"/>
          <w:szCs w:val="18"/>
          <w:lang w:val="en-US"/>
        </w:rPr>
        <w:t>U.S. Consumer Product Safety Commission (U.S. CPSC) (2013) CPSC Staff’s Strong Sensitizer Guidance Document.</w:t>
      </w:r>
    </w:p>
    <w:p w14:paraId="11CA2B36" w14:textId="77777777" w:rsidR="008F6BAB" w:rsidRPr="004928D2" w:rsidRDefault="008F6BAB" w:rsidP="008F6BAB">
      <w:pPr>
        <w:pStyle w:val="SingleTxtG"/>
        <w:rPr>
          <w:i/>
          <w:iCs/>
        </w:rPr>
      </w:pPr>
      <w:r w:rsidRPr="004928D2">
        <w:rPr>
          <w:i/>
          <w:iCs/>
          <w:sz w:val="18"/>
          <w:szCs w:val="18"/>
          <w:lang w:val="fr-FR"/>
        </w:rPr>
        <w:t xml:space="preserve">Organisation mondiale de la Santé, Conseil des organisations internationales des sciences médicales (OMS, CIOMS). International </w:t>
      </w:r>
      <w:proofErr w:type="spellStart"/>
      <w:r w:rsidRPr="004928D2">
        <w:rPr>
          <w:i/>
          <w:iCs/>
          <w:sz w:val="18"/>
          <w:szCs w:val="18"/>
          <w:lang w:val="fr-FR"/>
        </w:rPr>
        <w:t>Ethical</w:t>
      </w:r>
      <w:proofErr w:type="spellEnd"/>
      <w:r w:rsidRPr="004928D2">
        <w:rPr>
          <w:i/>
          <w:iCs/>
          <w:sz w:val="18"/>
          <w:szCs w:val="18"/>
          <w:lang w:val="fr-FR"/>
        </w:rPr>
        <w:t xml:space="preserve"> </w:t>
      </w:r>
      <w:r w:rsidRPr="00906169">
        <w:rPr>
          <w:i/>
          <w:iCs/>
          <w:sz w:val="18"/>
          <w:szCs w:val="18"/>
        </w:rPr>
        <w:t>Guidelines</w:t>
      </w:r>
      <w:r w:rsidRPr="004928D2">
        <w:rPr>
          <w:i/>
          <w:iCs/>
          <w:sz w:val="18"/>
          <w:szCs w:val="18"/>
          <w:lang w:val="fr-FR"/>
        </w:rPr>
        <w:t xml:space="preserve"> for </w:t>
      </w:r>
      <w:proofErr w:type="spellStart"/>
      <w:r w:rsidRPr="004928D2">
        <w:rPr>
          <w:i/>
          <w:iCs/>
          <w:sz w:val="18"/>
          <w:szCs w:val="18"/>
          <w:lang w:val="fr-FR"/>
        </w:rPr>
        <w:t>Epidemiological</w:t>
      </w:r>
      <w:proofErr w:type="spellEnd"/>
      <w:r w:rsidRPr="004928D2">
        <w:rPr>
          <w:i/>
          <w:iCs/>
          <w:sz w:val="18"/>
          <w:szCs w:val="18"/>
          <w:lang w:val="fr-FR"/>
        </w:rPr>
        <w:t xml:space="preserve"> </w:t>
      </w:r>
      <w:proofErr w:type="spellStart"/>
      <w:r w:rsidRPr="004928D2">
        <w:rPr>
          <w:i/>
          <w:iCs/>
          <w:sz w:val="18"/>
          <w:szCs w:val="18"/>
          <w:lang w:val="fr-FR"/>
        </w:rPr>
        <w:t>Studies</w:t>
      </w:r>
      <w:proofErr w:type="spellEnd"/>
      <w:r w:rsidRPr="004928D2">
        <w:rPr>
          <w:i/>
          <w:iCs/>
          <w:sz w:val="18"/>
          <w:szCs w:val="18"/>
          <w:lang w:val="fr-FR"/>
        </w:rPr>
        <w:t>. (2009), ISBN 92 9036 081 X.</w:t>
      </w:r>
      <w:r w:rsidRPr="004928D2">
        <w:rPr>
          <w:i/>
          <w:iCs/>
          <w:lang w:val="fr-FR"/>
        </w:rPr>
        <w:t> ».</w:t>
      </w:r>
    </w:p>
    <w:p w14:paraId="7320AB39" w14:textId="558C7489" w:rsidR="00246D13" w:rsidRPr="00775023" w:rsidRDefault="00787F1D" w:rsidP="00775023">
      <w:pPr>
        <w:pStyle w:val="H1G"/>
        <w:rPr>
          <w:bCs/>
        </w:rPr>
      </w:pPr>
      <w:r>
        <w:rPr>
          <w:bCs/>
        </w:rPr>
        <w:tab/>
      </w:r>
      <w:r>
        <w:rPr>
          <w:bCs/>
        </w:rPr>
        <w:tab/>
      </w:r>
      <w:r w:rsidR="00246D13" w:rsidRPr="00775023">
        <w:rPr>
          <w:bCs/>
        </w:rPr>
        <w:t xml:space="preserve">Chapitre 4.2 </w:t>
      </w:r>
    </w:p>
    <w:p w14:paraId="47558F3C" w14:textId="77777777" w:rsidR="00246D13" w:rsidRDefault="00246D13" w:rsidP="00246D13">
      <w:pPr>
        <w:spacing w:after="120" w:line="240" w:lineRule="auto"/>
        <w:ind w:left="1134"/>
        <w:rPr>
          <w:lang w:val="fr-FR"/>
        </w:rPr>
      </w:pPr>
      <w:r>
        <w:rPr>
          <w:lang w:val="fr-FR"/>
        </w:rPr>
        <w:t>Titre du chapitre</w:t>
      </w:r>
      <w:r>
        <w:rPr>
          <w:lang w:val="fr-FR"/>
        </w:rPr>
        <w:tab/>
        <w:t>Modifier pour lire comme suit : « </w:t>
      </w:r>
      <w:r>
        <w:rPr>
          <w:b/>
          <w:bCs/>
          <w:lang w:val="fr-FR"/>
        </w:rPr>
        <w:t>DANGERS POUR LE SYSTÈME ATMOSPHÉRIQUE</w:t>
      </w:r>
      <w:r>
        <w:rPr>
          <w:lang w:val="fr-FR"/>
        </w:rPr>
        <w:t> »</w:t>
      </w:r>
      <w:r w:rsidRPr="0083022B">
        <w:rPr>
          <w:lang w:val="fr-FR"/>
        </w:rPr>
        <w:t>.</w:t>
      </w:r>
    </w:p>
    <w:p w14:paraId="0E76989D" w14:textId="77777777" w:rsidR="00246D13" w:rsidRPr="00676FB6" w:rsidRDefault="00246D13" w:rsidP="00246D13">
      <w:pPr>
        <w:tabs>
          <w:tab w:val="left" w:pos="1985"/>
        </w:tabs>
        <w:spacing w:after="120" w:line="240" w:lineRule="auto"/>
        <w:ind w:left="1134"/>
        <w:rPr>
          <w:lang w:val="fr-FR"/>
        </w:rPr>
      </w:pPr>
      <w:r>
        <w:rPr>
          <w:lang w:val="fr-FR"/>
        </w:rPr>
        <w:t>4</w:t>
      </w:r>
      <w:r w:rsidRPr="0083022B">
        <w:rPr>
          <w:lang w:val="fr-FR"/>
        </w:rPr>
        <w:t>.</w:t>
      </w:r>
      <w:r>
        <w:rPr>
          <w:lang w:val="fr-FR"/>
        </w:rPr>
        <w:t>2</w:t>
      </w:r>
      <w:r w:rsidRPr="0083022B">
        <w:rPr>
          <w:lang w:val="fr-FR"/>
        </w:rPr>
        <w:t>.</w:t>
      </w:r>
      <w:r>
        <w:rPr>
          <w:lang w:val="fr-FR"/>
        </w:rPr>
        <w:t>1</w:t>
      </w:r>
      <w:r>
        <w:rPr>
          <w:lang w:val="fr-FR"/>
        </w:rPr>
        <w:tab/>
        <w:t>Modifier l’en-tête de sorte qu’il se lise comme suit : « </w:t>
      </w:r>
      <w:r>
        <w:rPr>
          <w:b/>
          <w:bCs/>
          <w:lang w:val="fr-FR"/>
        </w:rPr>
        <w:t>Définitions et considérations générales </w:t>
      </w:r>
      <w:r>
        <w:rPr>
          <w:lang w:val="fr-FR"/>
        </w:rPr>
        <w:t>»</w:t>
      </w:r>
      <w:r w:rsidRPr="0083022B">
        <w:rPr>
          <w:lang w:val="fr-FR"/>
        </w:rPr>
        <w:t>.</w:t>
      </w:r>
    </w:p>
    <w:p w14:paraId="76C976DB" w14:textId="101FF9CB" w:rsidR="00246D13" w:rsidRPr="00676FB6" w:rsidRDefault="005E57C0" w:rsidP="00775023">
      <w:pPr>
        <w:tabs>
          <w:tab w:val="left" w:pos="1440"/>
          <w:tab w:val="left" w:pos="1985"/>
        </w:tabs>
        <w:spacing w:after="120" w:line="240" w:lineRule="auto"/>
        <w:jc w:val="both"/>
        <w:rPr>
          <w:bCs/>
          <w:lang w:val="fr-FR"/>
        </w:rPr>
      </w:pPr>
      <w:r>
        <w:rPr>
          <w:lang w:val="fr-FR"/>
        </w:rPr>
        <w:tab/>
      </w:r>
      <w:r>
        <w:rPr>
          <w:lang w:val="fr-FR"/>
        </w:rPr>
        <w:tab/>
      </w:r>
      <w:r w:rsidR="00246D13">
        <w:rPr>
          <w:lang w:val="fr-FR"/>
        </w:rPr>
        <w:t>Ajouter sous l’en-tête modifié un nouveau paragraphe libellé comme suit :</w:t>
      </w:r>
    </w:p>
    <w:p w14:paraId="29E195C3" w14:textId="77777777" w:rsidR="00246D13" w:rsidRPr="00676FB6" w:rsidRDefault="00246D13" w:rsidP="00246D13">
      <w:pPr>
        <w:pStyle w:val="SingleTxtG"/>
        <w:ind w:left="1985"/>
        <w:rPr>
          <w:lang w:val="fr-FR"/>
        </w:rPr>
      </w:pPr>
      <w:bookmarkStart w:id="3" w:name="_Hlk132622256"/>
      <w:r>
        <w:rPr>
          <w:lang w:val="fr-FR"/>
        </w:rPr>
        <w:t>« Le présent chapitre concerne les substances et mélanges qui sont dangereux pour le système atmosphérique en raison de leur potentiel d’appauvrissement de la couche d’ozone ou de leur potentiel de réchauffement de la planète</w:t>
      </w:r>
      <w:r w:rsidRPr="0083022B">
        <w:rPr>
          <w:lang w:val="fr-FR"/>
        </w:rPr>
        <w:t>.</w:t>
      </w:r>
      <w:r>
        <w:rPr>
          <w:lang w:val="fr-FR"/>
        </w:rPr>
        <w:t xml:space="preserve"> Aux fins du présent chapitre, les définitions ci-après s’appliquent : »</w:t>
      </w:r>
      <w:r w:rsidRPr="0083022B">
        <w:rPr>
          <w:lang w:val="fr-FR"/>
        </w:rPr>
        <w:t>.</w:t>
      </w:r>
    </w:p>
    <w:bookmarkEnd w:id="3"/>
    <w:p w14:paraId="4E3B2A63" w14:textId="77777777" w:rsidR="00246D13" w:rsidRPr="00676FB6" w:rsidRDefault="00246D13" w:rsidP="00246D13">
      <w:pPr>
        <w:pStyle w:val="SingleTxtG"/>
        <w:tabs>
          <w:tab w:val="clear" w:pos="1701"/>
        </w:tabs>
        <w:ind w:left="1985"/>
        <w:rPr>
          <w:lang w:val="fr-FR"/>
        </w:rPr>
      </w:pPr>
      <w:r>
        <w:rPr>
          <w:lang w:val="fr-FR"/>
        </w:rPr>
        <w:t xml:space="preserve">Déplacer la définition « Le </w:t>
      </w:r>
      <w:r>
        <w:rPr>
          <w:i/>
          <w:iCs/>
          <w:lang w:val="fr-FR"/>
        </w:rPr>
        <w:t>Protocole de Montréal</w:t>
      </w:r>
      <w:r>
        <w:rPr>
          <w:lang w:val="fr-FR"/>
        </w:rPr>
        <w:t xml:space="preserve"> désigne</w:t>
      </w:r>
      <w:r w:rsidRPr="0083022B">
        <w:rPr>
          <w:lang w:val="fr-FR"/>
        </w:rPr>
        <w:t>...</w:t>
      </w:r>
      <w:r>
        <w:rPr>
          <w:lang w:val="fr-FR"/>
        </w:rPr>
        <w:t xml:space="preserve"> » avant la définition « Le </w:t>
      </w:r>
      <w:r>
        <w:rPr>
          <w:i/>
          <w:iCs/>
          <w:lang w:val="fr-FR"/>
        </w:rPr>
        <w:t>potentiel d’appauvrissement de la couche d’ozone</w:t>
      </w:r>
      <w:r>
        <w:rPr>
          <w:lang w:val="fr-FR"/>
        </w:rPr>
        <w:t> »</w:t>
      </w:r>
      <w:r w:rsidRPr="0083022B">
        <w:rPr>
          <w:lang w:val="fr-FR"/>
        </w:rPr>
        <w:t>.</w:t>
      </w:r>
    </w:p>
    <w:p w14:paraId="4ED5FBEB" w14:textId="77777777" w:rsidR="00246D13" w:rsidRPr="00676FB6" w:rsidRDefault="00246D13" w:rsidP="00246D13">
      <w:pPr>
        <w:pStyle w:val="SingleTxtG"/>
        <w:tabs>
          <w:tab w:val="clear" w:pos="1701"/>
        </w:tabs>
        <w:ind w:left="1985"/>
        <w:rPr>
          <w:bCs/>
          <w:lang w:val="fr-FR"/>
        </w:rPr>
      </w:pPr>
      <w:r>
        <w:rPr>
          <w:lang w:val="fr-FR"/>
        </w:rPr>
        <w:t>Dans la définition du « </w:t>
      </w:r>
      <w:r w:rsidRPr="005D36D3">
        <w:rPr>
          <w:lang w:val="fr-FR"/>
        </w:rPr>
        <w:t>potentiel d</w:t>
      </w:r>
      <w:r>
        <w:rPr>
          <w:lang w:val="fr-FR"/>
        </w:rPr>
        <w:t>’</w:t>
      </w:r>
      <w:r w:rsidRPr="005D36D3">
        <w:rPr>
          <w:lang w:val="fr-FR"/>
        </w:rPr>
        <w:t>appauvrissement de la couche d</w:t>
      </w:r>
      <w:r>
        <w:rPr>
          <w:lang w:val="fr-FR"/>
        </w:rPr>
        <w:t>’</w:t>
      </w:r>
      <w:r w:rsidRPr="005D36D3">
        <w:rPr>
          <w:lang w:val="fr-FR"/>
        </w:rPr>
        <w:t>ozone</w:t>
      </w:r>
      <w:r>
        <w:rPr>
          <w:lang w:val="fr-FR"/>
        </w:rPr>
        <w:t> », supprimer « </w:t>
      </w:r>
      <w:r w:rsidRPr="006B2BC5">
        <w:rPr>
          <w:i/>
          <w:iCs/>
          <w:lang w:val="fr-FR"/>
        </w:rPr>
        <w:t>(ODP)</w:t>
      </w:r>
      <w:r>
        <w:rPr>
          <w:lang w:val="fr-FR"/>
        </w:rPr>
        <w:t> » dans la première phrase</w:t>
      </w:r>
      <w:r w:rsidRPr="0083022B">
        <w:rPr>
          <w:lang w:val="fr-FR"/>
        </w:rPr>
        <w:t>.</w:t>
      </w:r>
    </w:p>
    <w:p w14:paraId="022E4C0E" w14:textId="1C709A05" w:rsidR="00246D13" w:rsidRPr="00676FB6" w:rsidRDefault="00246D13" w:rsidP="005073CC">
      <w:pPr>
        <w:pStyle w:val="SingleTxtG"/>
        <w:ind w:left="1985"/>
        <w:rPr>
          <w:lang w:val="fr-FR"/>
        </w:rPr>
      </w:pPr>
      <w:r>
        <w:rPr>
          <w:lang w:val="fr-FR"/>
        </w:rPr>
        <w:t>Après la définition du « </w:t>
      </w:r>
      <w:r w:rsidRPr="006B2BC5">
        <w:rPr>
          <w:i/>
          <w:iCs/>
          <w:lang w:val="fr-FR"/>
        </w:rPr>
        <w:t>potentiel d</w:t>
      </w:r>
      <w:r>
        <w:rPr>
          <w:i/>
          <w:iCs/>
          <w:lang w:val="fr-FR"/>
        </w:rPr>
        <w:t>’</w:t>
      </w:r>
      <w:r w:rsidRPr="006B2BC5">
        <w:rPr>
          <w:i/>
          <w:iCs/>
          <w:lang w:val="fr-FR"/>
        </w:rPr>
        <w:t>appauvrissement de la couche d</w:t>
      </w:r>
      <w:r>
        <w:rPr>
          <w:i/>
          <w:iCs/>
          <w:lang w:val="fr-FR"/>
        </w:rPr>
        <w:t>’</w:t>
      </w:r>
      <w:r w:rsidRPr="006B2BC5">
        <w:rPr>
          <w:i/>
          <w:iCs/>
          <w:lang w:val="fr-FR"/>
        </w:rPr>
        <w:t>ozone</w:t>
      </w:r>
      <w:r>
        <w:rPr>
          <w:lang w:val="fr-FR"/>
        </w:rPr>
        <w:t> », ajouter la nouvelle définition du « </w:t>
      </w:r>
      <w:r w:rsidRPr="006B2BC5">
        <w:rPr>
          <w:i/>
          <w:iCs/>
          <w:lang w:val="fr-FR"/>
        </w:rPr>
        <w:t>potentiel de réchauffement de la planète</w:t>
      </w:r>
      <w:r>
        <w:rPr>
          <w:lang w:val="fr-FR"/>
        </w:rPr>
        <w:t> »</w:t>
      </w:r>
      <w:r w:rsidR="005073CC">
        <w:rPr>
          <w:lang w:val="fr-FR"/>
        </w:rPr>
        <w:t xml:space="preserve"> suivante</w:t>
      </w:r>
      <w:r>
        <w:rPr>
          <w:lang w:val="fr-FR"/>
        </w:rPr>
        <w:t>:</w:t>
      </w:r>
    </w:p>
    <w:p w14:paraId="452854DB" w14:textId="77777777" w:rsidR="00246D13" w:rsidRDefault="00246D13" w:rsidP="00246D13">
      <w:pPr>
        <w:pStyle w:val="SingleTxtG"/>
        <w:ind w:left="1985"/>
        <w:rPr>
          <w:lang w:val="fr-FR"/>
        </w:rPr>
      </w:pPr>
      <w:r>
        <w:rPr>
          <w:lang w:val="fr-FR"/>
        </w:rPr>
        <w:t xml:space="preserve">« Le </w:t>
      </w:r>
      <w:r>
        <w:rPr>
          <w:i/>
          <w:iCs/>
          <w:lang w:val="fr-FR"/>
        </w:rPr>
        <w:t>potentiel de réchauffement de la planète</w:t>
      </w:r>
      <w:r>
        <w:rPr>
          <w:lang w:val="fr-FR"/>
        </w:rPr>
        <w:t xml:space="preserve"> est une mesure comparative de la capacité d’une substance ou d’un mélange à piéger la chaleur dans l’atmosphère par rapport à un gaz de référence (en général, le dioxyde de carbone)</w:t>
      </w:r>
      <w:r w:rsidRPr="0083022B">
        <w:rPr>
          <w:lang w:val="fr-FR"/>
        </w:rPr>
        <w:t>.</w:t>
      </w:r>
      <w:r>
        <w:rPr>
          <w:lang w:val="fr-FR"/>
        </w:rPr>
        <w:t xml:space="preserve"> Il est défini officiellement comme le forçage radiatif cumulé (effets directs et indirects), sur une période donnée, résultant de l’émission d’une unité de masse d’un gaz par rapport à une unité équivalente de dioxyde de carbone (gaz de référence)</w:t>
      </w:r>
      <w:r w:rsidRPr="0083022B">
        <w:rPr>
          <w:lang w:val="fr-FR"/>
        </w:rPr>
        <w:t>.</w:t>
      </w:r>
      <w:r>
        <w:rPr>
          <w:lang w:val="fr-FR"/>
        </w:rPr>
        <w:t> »</w:t>
      </w:r>
      <w:r w:rsidRPr="0083022B">
        <w:rPr>
          <w:lang w:val="fr-FR"/>
        </w:rPr>
        <w:t>.</w:t>
      </w:r>
      <w:bookmarkStart w:id="4" w:name="_Hlk126325711"/>
      <w:bookmarkStart w:id="5" w:name="_Hlk132622443"/>
      <w:bookmarkEnd w:id="4"/>
      <w:bookmarkEnd w:id="5"/>
    </w:p>
    <w:p w14:paraId="69FDD46B" w14:textId="674B3D37" w:rsidR="005B6479" w:rsidRDefault="00246D13" w:rsidP="005073CC">
      <w:pPr>
        <w:tabs>
          <w:tab w:val="left" w:pos="1985"/>
        </w:tabs>
        <w:spacing w:after="120" w:line="240" w:lineRule="auto"/>
        <w:ind w:left="1134" w:right="1134"/>
        <w:jc w:val="both"/>
        <w:rPr>
          <w:lang w:val="fr-FR"/>
        </w:rPr>
      </w:pPr>
      <w:r>
        <w:rPr>
          <w:lang w:val="fr-FR"/>
        </w:rPr>
        <w:lastRenderedPageBreak/>
        <w:t>4</w:t>
      </w:r>
      <w:r w:rsidRPr="0083022B">
        <w:rPr>
          <w:lang w:val="fr-FR"/>
        </w:rPr>
        <w:t>.</w:t>
      </w:r>
      <w:r>
        <w:rPr>
          <w:lang w:val="fr-FR"/>
        </w:rPr>
        <w:t>2</w:t>
      </w:r>
      <w:r w:rsidRPr="0083022B">
        <w:rPr>
          <w:lang w:val="fr-FR"/>
        </w:rPr>
        <w:t>.</w:t>
      </w:r>
      <w:r>
        <w:rPr>
          <w:lang w:val="fr-FR"/>
        </w:rPr>
        <w:t>2</w:t>
      </w:r>
      <w:r>
        <w:rPr>
          <w:lang w:val="fr-FR"/>
        </w:rPr>
        <w:tab/>
      </w:r>
      <w:r w:rsidR="008646AE">
        <w:rPr>
          <w:lang w:val="fr-FR"/>
        </w:rPr>
        <w:t>Déplacer</w:t>
      </w:r>
      <w:r w:rsidR="002E476C">
        <w:rPr>
          <w:lang w:val="fr-FR"/>
        </w:rPr>
        <w:t xml:space="preserve"> </w:t>
      </w:r>
      <w:r>
        <w:rPr>
          <w:lang w:val="fr-FR"/>
        </w:rPr>
        <w:t>l’appel de note de bas de page « 1 »</w:t>
      </w:r>
      <w:r w:rsidR="008646AE">
        <w:rPr>
          <w:lang w:val="fr-FR"/>
        </w:rPr>
        <w:t xml:space="preserve">, du titre </w:t>
      </w:r>
      <w:r w:rsidR="00A07606">
        <w:rPr>
          <w:lang w:val="fr-FR"/>
        </w:rPr>
        <w:t xml:space="preserve">du 4.2.2, </w:t>
      </w:r>
      <w:r w:rsidR="00D94D7E">
        <w:rPr>
          <w:lang w:val="fr-FR"/>
        </w:rPr>
        <w:t xml:space="preserve">à la </w:t>
      </w:r>
      <w:r w:rsidR="00A07606">
        <w:rPr>
          <w:lang w:val="fr-FR"/>
        </w:rPr>
        <w:t xml:space="preserve">fin de la </w:t>
      </w:r>
      <w:r w:rsidR="00D94D7E">
        <w:rPr>
          <w:lang w:val="fr-FR"/>
        </w:rPr>
        <w:t xml:space="preserve">première phrase sous le nouveau titre du 4.2.2.2 (voir </w:t>
      </w:r>
      <w:r w:rsidR="00A07606">
        <w:rPr>
          <w:lang w:val="fr-FR"/>
        </w:rPr>
        <w:t xml:space="preserve">amendement au 4.2.2.2 </w:t>
      </w:r>
      <w:r w:rsidR="00D94D7E">
        <w:rPr>
          <w:lang w:val="fr-FR"/>
        </w:rPr>
        <w:t>ci-dessous)</w:t>
      </w:r>
      <w:r w:rsidR="005B6479">
        <w:rPr>
          <w:lang w:val="fr-FR"/>
        </w:rPr>
        <w:t>.</w:t>
      </w:r>
    </w:p>
    <w:p w14:paraId="00DA43B3" w14:textId="025409C6" w:rsidR="00246D13" w:rsidRPr="00676FB6" w:rsidRDefault="005B6479" w:rsidP="00EB3432">
      <w:pPr>
        <w:pStyle w:val="SingleTxtG"/>
        <w:tabs>
          <w:tab w:val="clear" w:pos="1701"/>
          <w:tab w:val="clear" w:pos="2268"/>
          <w:tab w:val="left" w:pos="1985"/>
        </w:tabs>
        <w:ind w:left="1985" w:hanging="851"/>
        <w:rPr>
          <w:lang w:val="fr-FR"/>
        </w:rPr>
      </w:pPr>
      <w:r>
        <w:rPr>
          <w:lang w:val="fr-FR"/>
        </w:rPr>
        <w:tab/>
        <w:t>Insérer</w:t>
      </w:r>
      <w:r w:rsidR="00246D13">
        <w:rPr>
          <w:lang w:val="fr-FR"/>
        </w:rPr>
        <w:t xml:space="preserve"> un nouveau paragraphe 4</w:t>
      </w:r>
      <w:r w:rsidR="00246D13" w:rsidRPr="0083022B">
        <w:rPr>
          <w:lang w:val="fr-FR"/>
        </w:rPr>
        <w:t>.</w:t>
      </w:r>
      <w:r w:rsidR="00246D13">
        <w:rPr>
          <w:lang w:val="fr-FR"/>
        </w:rPr>
        <w:t>2</w:t>
      </w:r>
      <w:r w:rsidR="00246D13" w:rsidRPr="0083022B">
        <w:rPr>
          <w:lang w:val="fr-FR"/>
        </w:rPr>
        <w:t>.</w:t>
      </w:r>
      <w:r w:rsidR="00246D13">
        <w:rPr>
          <w:lang w:val="fr-FR"/>
        </w:rPr>
        <w:t>2</w:t>
      </w:r>
      <w:r w:rsidR="00246D13" w:rsidRPr="0083022B">
        <w:rPr>
          <w:lang w:val="fr-FR"/>
        </w:rPr>
        <w:t>.</w:t>
      </w:r>
      <w:r w:rsidR="00246D13">
        <w:rPr>
          <w:lang w:val="fr-FR"/>
        </w:rPr>
        <w:t xml:space="preserve">1 </w:t>
      </w:r>
      <w:r w:rsidR="00433B37">
        <w:rPr>
          <w:lang w:val="fr-FR"/>
        </w:rPr>
        <w:t xml:space="preserve">sous l’en-tête « Critères de classification » </w:t>
      </w:r>
      <w:r w:rsidR="00246D13">
        <w:rPr>
          <w:lang w:val="fr-FR"/>
        </w:rPr>
        <w:t xml:space="preserve">libellé comme suit : </w:t>
      </w:r>
    </w:p>
    <w:p w14:paraId="219756A7" w14:textId="77777777" w:rsidR="00246D13" w:rsidRDefault="00246D13" w:rsidP="00433B37">
      <w:pPr>
        <w:pStyle w:val="SingleTxtG"/>
        <w:ind w:left="1985"/>
        <w:rPr>
          <w:lang w:val="fr-FR"/>
        </w:rPr>
      </w:pPr>
      <w:r>
        <w:rPr>
          <w:lang w:val="fr-FR"/>
        </w:rPr>
        <w:t>« 4</w:t>
      </w:r>
      <w:r w:rsidRPr="0083022B">
        <w:rPr>
          <w:lang w:val="fr-FR"/>
        </w:rPr>
        <w:t>.</w:t>
      </w:r>
      <w:r>
        <w:rPr>
          <w:lang w:val="fr-FR"/>
        </w:rPr>
        <w:t>2</w:t>
      </w:r>
      <w:r w:rsidRPr="0083022B">
        <w:rPr>
          <w:lang w:val="fr-FR"/>
        </w:rPr>
        <w:t>.</w:t>
      </w:r>
      <w:r>
        <w:rPr>
          <w:lang w:val="fr-FR"/>
        </w:rPr>
        <w:t>2</w:t>
      </w:r>
      <w:r w:rsidRPr="0083022B">
        <w:rPr>
          <w:lang w:val="fr-FR"/>
        </w:rPr>
        <w:t>.</w:t>
      </w:r>
      <w:r>
        <w:rPr>
          <w:lang w:val="fr-FR"/>
        </w:rPr>
        <w:t>1</w:t>
      </w:r>
      <w:r>
        <w:rPr>
          <w:lang w:val="fr-FR"/>
        </w:rPr>
        <w:tab/>
        <w:t>Les substances et mélanges sont classés de manière indépendante dans la classe des dangers pour la couche d’ozone en raison de leur potentiel d’appauvrissement de la couche d’ozone, conformément au 4</w:t>
      </w:r>
      <w:r w:rsidRPr="0083022B">
        <w:rPr>
          <w:lang w:val="fr-FR"/>
        </w:rPr>
        <w:t>.</w:t>
      </w:r>
      <w:r>
        <w:rPr>
          <w:lang w:val="fr-FR"/>
        </w:rPr>
        <w:t>2</w:t>
      </w:r>
      <w:r w:rsidRPr="0083022B">
        <w:rPr>
          <w:lang w:val="fr-FR"/>
        </w:rPr>
        <w:t>.</w:t>
      </w:r>
      <w:r>
        <w:rPr>
          <w:lang w:val="fr-FR"/>
        </w:rPr>
        <w:t>2</w:t>
      </w:r>
      <w:r w:rsidRPr="0083022B">
        <w:rPr>
          <w:lang w:val="fr-FR"/>
        </w:rPr>
        <w:t>.</w:t>
      </w:r>
      <w:r>
        <w:rPr>
          <w:lang w:val="fr-FR"/>
        </w:rPr>
        <w:t>2, et/ou dans la classe des dangers du point de vue du réchauffement de la planète en raison de leur potentiel de réchauffement de la planète, conformément au 4</w:t>
      </w:r>
      <w:r w:rsidRPr="0083022B">
        <w:rPr>
          <w:lang w:val="fr-FR"/>
        </w:rPr>
        <w:t>.</w:t>
      </w:r>
      <w:r>
        <w:rPr>
          <w:lang w:val="fr-FR"/>
        </w:rPr>
        <w:t>2</w:t>
      </w:r>
      <w:r w:rsidRPr="0083022B">
        <w:rPr>
          <w:lang w:val="fr-FR"/>
        </w:rPr>
        <w:t>.</w:t>
      </w:r>
      <w:r>
        <w:rPr>
          <w:lang w:val="fr-FR"/>
        </w:rPr>
        <w:t>2</w:t>
      </w:r>
      <w:r w:rsidRPr="0083022B">
        <w:rPr>
          <w:lang w:val="fr-FR"/>
        </w:rPr>
        <w:t>.</w:t>
      </w:r>
      <w:r>
        <w:rPr>
          <w:lang w:val="fr-FR"/>
        </w:rPr>
        <w:t>3</w:t>
      </w:r>
      <w:r w:rsidRPr="0083022B">
        <w:rPr>
          <w:lang w:val="fr-FR"/>
        </w:rPr>
        <w:t>.</w:t>
      </w:r>
      <w:r>
        <w:rPr>
          <w:lang w:val="fr-FR"/>
        </w:rPr>
        <w:t> »</w:t>
      </w:r>
      <w:r w:rsidRPr="0083022B">
        <w:rPr>
          <w:lang w:val="fr-FR"/>
        </w:rPr>
        <w:t>.</w:t>
      </w:r>
    </w:p>
    <w:p w14:paraId="56D2E82E" w14:textId="02C22C4A" w:rsidR="00246D13" w:rsidRPr="00676FB6" w:rsidRDefault="00246D13" w:rsidP="00782C4C">
      <w:pPr>
        <w:pStyle w:val="SingleTxtG"/>
        <w:tabs>
          <w:tab w:val="clear" w:pos="1701"/>
          <w:tab w:val="left" w:pos="1985"/>
        </w:tabs>
        <w:rPr>
          <w:lang w:val="fr-FR"/>
        </w:rPr>
      </w:pPr>
      <w:r>
        <w:rPr>
          <w:lang w:val="fr-FR"/>
        </w:rPr>
        <w:t>4</w:t>
      </w:r>
      <w:r w:rsidRPr="0083022B">
        <w:rPr>
          <w:lang w:val="fr-FR"/>
        </w:rPr>
        <w:t>.</w:t>
      </w:r>
      <w:r>
        <w:rPr>
          <w:lang w:val="fr-FR"/>
        </w:rPr>
        <w:t>2</w:t>
      </w:r>
      <w:r w:rsidRPr="0083022B">
        <w:rPr>
          <w:lang w:val="fr-FR"/>
        </w:rPr>
        <w:t>.</w:t>
      </w:r>
      <w:r>
        <w:rPr>
          <w:lang w:val="fr-FR"/>
        </w:rPr>
        <w:t>2</w:t>
      </w:r>
      <w:r w:rsidRPr="0083022B">
        <w:rPr>
          <w:lang w:val="fr-FR"/>
        </w:rPr>
        <w:t>.</w:t>
      </w:r>
      <w:r>
        <w:rPr>
          <w:lang w:val="fr-FR"/>
        </w:rPr>
        <w:t>2</w:t>
      </w:r>
      <w:r>
        <w:rPr>
          <w:lang w:val="fr-FR"/>
        </w:rPr>
        <w:tab/>
        <w:t xml:space="preserve">Placer la phrase figurant actuellement sous l’en-tête « Critères de </w:t>
      </w:r>
      <w:r w:rsidR="00D703B9">
        <w:rPr>
          <w:lang w:val="fr-FR"/>
        </w:rPr>
        <w:t>classification </w:t>
      </w:r>
      <w:r>
        <w:rPr>
          <w:lang w:val="fr-FR"/>
        </w:rPr>
        <w:t>» (« Une substance ou un mélange</w:t>
      </w:r>
      <w:r w:rsidRPr="0083022B">
        <w:rPr>
          <w:lang w:val="fr-FR"/>
        </w:rPr>
        <w:t>...</w:t>
      </w:r>
      <w:r>
        <w:rPr>
          <w:lang w:val="fr-FR"/>
        </w:rPr>
        <w:t> ») sous un nouvel en-tête 4</w:t>
      </w:r>
      <w:r w:rsidRPr="0083022B">
        <w:rPr>
          <w:lang w:val="fr-FR"/>
        </w:rPr>
        <w:t>.</w:t>
      </w:r>
      <w:r>
        <w:rPr>
          <w:lang w:val="fr-FR"/>
        </w:rPr>
        <w:t>2</w:t>
      </w:r>
      <w:r w:rsidRPr="0083022B">
        <w:rPr>
          <w:lang w:val="fr-FR"/>
        </w:rPr>
        <w:t>.</w:t>
      </w:r>
      <w:r>
        <w:rPr>
          <w:lang w:val="fr-FR"/>
        </w:rPr>
        <w:t>2</w:t>
      </w:r>
      <w:r w:rsidRPr="0083022B">
        <w:rPr>
          <w:lang w:val="fr-FR"/>
        </w:rPr>
        <w:t>.</w:t>
      </w:r>
      <w:r>
        <w:rPr>
          <w:lang w:val="fr-FR"/>
        </w:rPr>
        <w:t xml:space="preserve">2 et la modifier de sorte qu’elle se lise comme suit : </w:t>
      </w:r>
    </w:p>
    <w:p w14:paraId="74220FFD" w14:textId="77777777" w:rsidR="00246D13" w:rsidRPr="00676FB6" w:rsidRDefault="00246D13" w:rsidP="00246D13">
      <w:pPr>
        <w:pStyle w:val="GHS1stline"/>
        <w:tabs>
          <w:tab w:val="clear" w:pos="1418"/>
          <w:tab w:val="clear" w:pos="1985"/>
          <w:tab w:val="clear" w:pos="2552"/>
          <w:tab w:val="clear" w:pos="3119"/>
          <w:tab w:val="clear" w:pos="3686"/>
          <w:tab w:val="left" w:pos="2835"/>
        </w:tabs>
        <w:spacing w:after="120"/>
        <w:ind w:left="1985" w:firstLine="0"/>
        <w:rPr>
          <w:b/>
          <w:bCs/>
          <w:i/>
          <w:iCs/>
          <w:lang w:val="fr-FR"/>
        </w:rPr>
      </w:pPr>
      <w:r>
        <w:rPr>
          <w:lang w:val="fr-FR"/>
        </w:rPr>
        <w:t>« </w:t>
      </w:r>
      <w:r>
        <w:rPr>
          <w:b/>
          <w:bCs/>
          <w:lang w:val="fr-FR"/>
        </w:rPr>
        <w:t>4</w:t>
      </w:r>
      <w:r w:rsidRPr="0083022B">
        <w:rPr>
          <w:b/>
          <w:bCs/>
          <w:lang w:val="fr-FR"/>
        </w:rPr>
        <w:t>.</w:t>
      </w:r>
      <w:r>
        <w:rPr>
          <w:b/>
          <w:bCs/>
          <w:lang w:val="fr-FR"/>
        </w:rPr>
        <w:t>2</w:t>
      </w:r>
      <w:r w:rsidRPr="0083022B">
        <w:rPr>
          <w:b/>
          <w:bCs/>
          <w:lang w:val="fr-FR"/>
        </w:rPr>
        <w:t>.</w:t>
      </w:r>
      <w:r>
        <w:rPr>
          <w:b/>
          <w:bCs/>
          <w:lang w:val="fr-FR"/>
        </w:rPr>
        <w:t>2</w:t>
      </w:r>
      <w:r w:rsidRPr="0083022B">
        <w:rPr>
          <w:b/>
          <w:bCs/>
          <w:lang w:val="fr-FR"/>
        </w:rPr>
        <w:t>.</w:t>
      </w:r>
      <w:r>
        <w:rPr>
          <w:b/>
          <w:bCs/>
          <w:lang w:val="fr-FR"/>
        </w:rPr>
        <w:t>2</w:t>
      </w:r>
      <w:r>
        <w:rPr>
          <w:lang w:val="fr-FR"/>
        </w:rPr>
        <w:tab/>
      </w:r>
      <w:r>
        <w:rPr>
          <w:b/>
          <w:bCs/>
          <w:i/>
          <w:iCs/>
          <w:lang w:val="fr-FR"/>
        </w:rPr>
        <w:t>Dangers pour la couche d’ozone</w:t>
      </w:r>
      <w:r>
        <w:rPr>
          <w:lang w:val="fr-FR"/>
        </w:rPr>
        <w:t xml:space="preserve"> </w:t>
      </w:r>
      <w:bookmarkStart w:id="6" w:name="_Hlk132622665"/>
      <w:bookmarkEnd w:id="6"/>
    </w:p>
    <w:p w14:paraId="59CC5099" w14:textId="5249F901" w:rsidR="00246D13" w:rsidRDefault="00246D13" w:rsidP="00246D13">
      <w:pPr>
        <w:pStyle w:val="SingleTxtG"/>
        <w:ind w:left="1985" w:firstLine="850"/>
        <w:rPr>
          <w:lang w:val="fr-FR"/>
        </w:rPr>
      </w:pPr>
      <w:r>
        <w:rPr>
          <w:lang w:val="fr-FR"/>
        </w:rPr>
        <w:tab/>
        <w:t xml:space="preserve">Une substance ou un mélange doit être classé(e) comme un danger pour la couche d’ozone de catégorie 1 </w:t>
      </w:r>
      <w:r w:rsidR="003E4E7E">
        <w:rPr>
          <w:lang w:val="fr-FR"/>
        </w:rPr>
        <w:t>conformément</w:t>
      </w:r>
      <w:r>
        <w:rPr>
          <w:lang w:val="fr-FR"/>
        </w:rPr>
        <w:t xml:space="preserve"> tableau suivant :</w:t>
      </w:r>
      <w:bookmarkStart w:id="7" w:name="_Hlk132622897"/>
      <w:bookmarkStart w:id="8" w:name="_Hlk132622705"/>
      <w:bookmarkEnd w:id="7"/>
      <w:bookmarkEnd w:id="8"/>
      <w:r w:rsidRPr="00091A21">
        <w:rPr>
          <w:sz w:val="18"/>
          <w:szCs w:val="18"/>
          <w:vertAlign w:val="superscript"/>
          <w:lang w:val="fr-FR"/>
        </w:rPr>
        <w:t xml:space="preserve"> </w:t>
      </w:r>
      <w:r w:rsidRPr="00802AA8">
        <w:rPr>
          <w:sz w:val="18"/>
          <w:szCs w:val="18"/>
          <w:vertAlign w:val="superscript"/>
          <w:lang w:val="fr-FR"/>
        </w:rPr>
        <w:t>1</w:t>
      </w:r>
      <w:r>
        <w:rPr>
          <w:lang w:val="fr-FR"/>
        </w:rPr>
        <w:t> »</w:t>
      </w:r>
      <w:r w:rsidRPr="0083022B">
        <w:rPr>
          <w:lang w:val="fr-FR"/>
        </w:rPr>
        <w:t>.</w:t>
      </w:r>
    </w:p>
    <w:p w14:paraId="51BBFDE7" w14:textId="73ADFDAF" w:rsidR="00246D13" w:rsidRPr="00676FB6" w:rsidRDefault="003D725B" w:rsidP="00055B17">
      <w:pPr>
        <w:pStyle w:val="SingleTxtG"/>
        <w:ind w:left="1985"/>
        <w:rPr>
          <w:lang w:val="fr-FR"/>
        </w:rPr>
      </w:pPr>
      <w:r>
        <w:rPr>
          <w:lang w:val="fr-FR"/>
        </w:rPr>
        <w:t>Dans le texte de la n</w:t>
      </w:r>
      <w:r w:rsidR="00246D13">
        <w:rPr>
          <w:lang w:val="fr-FR"/>
        </w:rPr>
        <w:t>ote de bas de page 1</w:t>
      </w:r>
      <w:r w:rsidR="00005D19">
        <w:rPr>
          <w:lang w:val="fr-FR"/>
        </w:rPr>
        <w:t xml:space="preserve"> </w:t>
      </w:r>
      <w:r w:rsidR="000B20B6">
        <w:rPr>
          <w:lang w:val="fr-FR"/>
        </w:rPr>
        <w:t>(</w:t>
      </w:r>
      <w:r w:rsidR="00246D13" w:rsidRPr="00E24A79">
        <w:rPr>
          <w:lang w:val="fr-FR"/>
        </w:rPr>
        <w:t>affecté</w:t>
      </w:r>
      <w:r w:rsidR="00246D13">
        <w:rPr>
          <w:lang w:val="fr-FR"/>
        </w:rPr>
        <w:t>e</w:t>
      </w:r>
      <w:r w:rsidR="00246D13" w:rsidRPr="00E24A79">
        <w:rPr>
          <w:lang w:val="fr-FR"/>
        </w:rPr>
        <w:t xml:space="preserve"> précédemment</w:t>
      </w:r>
      <w:r w:rsidR="00246D13">
        <w:rPr>
          <w:lang w:val="fr-FR"/>
        </w:rPr>
        <w:t xml:space="preserve"> au 4.2.2</w:t>
      </w:r>
      <w:r w:rsidR="000B20B6">
        <w:rPr>
          <w:lang w:val="fr-FR"/>
        </w:rPr>
        <w:t>), r</w:t>
      </w:r>
      <w:r w:rsidR="00246D13">
        <w:rPr>
          <w:lang w:val="fr-FR"/>
        </w:rPr>
        <w:t>emplacer à trois reprises « l’équipement » par « les équipements », et « la couche d’ozone » par « le système atmosphérique »:</w:t>
      </w:r>
    </w:p>
    <w:p w14:paraId="6A33035E" w14:textId="3D0ED873" w:rsidR="00513B80" w:rsidRDefault="00246D13" w:rsidP="007929DF">
      <w:pPr>
        <w:pStyle w:val="SingleTxtG"/>
        <w:tabs>
          <w:tab w:val="clear" w:pos="1701"/>
        </w:tabs>
        <w:ind w:left="1985" w:hanging="851"/>
        <w:rPr>
          <w:lang w:val="fr-FR"/>
        </w:rPr>
      </w:pPr>
      <w:r>
        <w:rPr>
          <w:lang w:val="fr-FR"/>
        </w:rPr>
        <w:t>Tableau 4</w:t>
      </w:r>
      <w:r w:rsidRPr="0083022B">
        <w:rPr>
          <w:lang w:val="fr-FR"/>
        </w:rPr>
        <w:t>.</w:t>
      </w:r>
      <w:r>
        <w:rPr>
          <w:lang w:val="fr-FR"/>
        </w:rPr>
        <w:t>2</w:t>
      </w:r>
      <w:r w:rsidRPr="0083022B">
        <w:rPr>
          <w:lang w:val="fr-FR"/>
        </w:rPr>
        <w:t>.</w:t>
      </w:r>
      <w:r>
        <w:rPr>
          <w:lang w:val="fr-FR"/>
        </w:rPr>
        <w:t>1, colonne « Critères »</w:t>
      </w:r>
      <w:r w:rsidR="00513B80">
        <w:rPr>
          <w:lang w:val="fr-FR"/>
        </w:rPr>
        <w:t xml:space="preserve"> :</w:t>
      </w:r>
    </w:p>
    <w:p w14:paraId="7FEFCF79" w14:textId="74EA2A91" w:rsidR="00246D13" w:rsidRDefault="00513B80" w:rsidP="00246D13">
      <w:pPr>
        <w:pStyle w:val="SingleTxtG"/>
        <w:ind w:left="1985" w:hanging="851"/>
        <w:rPr>
          <w:lang w:val="fr-FR"/>
        </w:rPr>
      </w:pPr>
      <w:r>
        <w:rPr>
          <w:lang w:val="fr-FR"/>
        </w:rPr>
        <w:tab/>
      </w:r>
      <w:r>
        <w:rPr>
          <w:lang w:val="fr-FR"/>
        </w:rPr>
        <w:tab/>
      </w:r>
      <w:r w:rsidR="00246D13">
        <w:rPr>
          <w:lang w:val="fr-FR"/>
        </w:rPr>
        <w:t>Remplacer « qui est énumérée aux annexes » par « qui est énumérée parmi celles présentant un potentiel d’appauvrissement de la couche d’ozone aux annexes », et « composant énuméré aux annexes » par « composant énuméré parmi ceux présentant un potentiel d’appauvrissement de la couche d’ozone aux annexes »</w:t>
      </w:r>
      <w:r w:rsidR="00246D13" w:rsidRPr="0083022B">
        <w:rPr>
          <w:lang w:val="fr-FR"/>
        </w:rPr>
        <w:t>.</w:t>
      </w:r>
    </w:p>
    <w:p w14:paraId="04B5F5C8" w14:textId="2962A114" w:rsidR="00246D13" w:rsidRPr="00676FB6" w:rsidRDefault="00246D13" w:rsidP="00246D13">
      <w:pPr>
        <w:pStyle w:val="SingleTxtG"/>
        <w:keepNext/>
        <w:keepLines/>
        <w:tabs>
          <w:tab w:val="clear" w:pos="2268"/>
          <w:tab w:val="left" w:pos="1985"/>
        </w:tabs>
        <w:rPr>
          <w:lang w:val="fr-FR"/>
        </w:rPr>
      </w:pPr>
      <w:r>
        <w:rPr>
          <w:lang w:val="fr-FR"/>
        </w:rPr>
        <w:t>4</w:t>
      </w:r>
      <w:r w:rsidRPr="0083022B">
        <w:rPr>
          <w:lang w:val="fr-FR"/>
        </w:rPr>
        <w:t>.</w:t>
      </w:r>
      <w:r>
        <w:rPr>
          <w:lang w:val="fr-FR"/>
        </w:rPr>
        <w:t>2</w:t>
      </w:r>
      <w:r w:rsidRPr="0083022B">
        <w:rPr>
          <w:lang w:val="fr-FR"/>
        </w:rPr>
        <w:t>.</w:t>
      </w:r>
      <w:r>
        <w:rPr>
          <w:lang w:val="fr-FR"/>
        </w:rPr>
        <w:t>2</w:t>
      </w:r>
      <w:r w:rsidRPr="0083022B">
        <w:rPr>
          <w:lang w:val="fr-FR"/>
        </w:rPr>
        <w:t>.</w:t>
      </w:r>
      <w:r>
        <w:rPr>
          <w:lang w:val="fr-FR"/>
        </w:rPr>
        <w:t>3</w:t>
      </w:r>
      <w:r>
        <w:rPr>
          <w:lang w:val="fr-FR"/>
        </w:rPr>
        <w:tab/>
      </w:r>
      <w:r>
        <w:rPr>
          <w:lang w:val="fr-FR"/>
        </w:rPr>
        <w:tab/>
        <w:t>Ajouter une nouvelle section libellée comme suit </w:t>
      </w:r>
      <w:r w:rsidR="00687171">
        <w:rPr>
          <w:lang w:val="fr-FR"/>
        </w:rPr>
        <w:t>après le tableau 4</w:t>
      </w:r>
      <w:r w:rsidR="00687171" w:rsidRPr="0083022B">
        <w:rPr>
          <w:lang w:val="fr-FR"/>
        </w:rPr>
        <w:t>.</w:t>
      </w:r>
      <w:r w:rsidR="00687171">
        <w:rPr>
          <w:lang w:val="fr-FR"/>
        </w:rPr>
        <w:t>2</w:t>
      </w:r>
      <w:r w:rsidR="00687171" w:rsidRPr="0083022B">
        <w:rPr>
          <w:lang w:val="fr-FR"/>
        </w:rPr>
        <w:t>.</w:t>
      </w:r>
      <w:r w:rsidR="00687171">
        <w:rPr>
          <w:lang w:val="fr-FR"/>
        </w:rPr>
        <w:t>1</w:t>
      </w:r>
      <w:r>
        <w:rPr>
          <w:lang w:val="fr-FR"/>
        </w:rPr>
        <w:t xml:space="preserve">: </w:t>
      </w:r>
    </w:p>
    <w:p w14:paraId="53A2A32A" w14:textId="77777777" w:rsidR="00246D13" w:rsidRPr="00676FB6" w:rsidRDefault="00246D13" w:rsidP="00246D13">
      <w:pPr>
        <w:pStyle w:val="SingleTxtG"/>
        <w:keepNext/>
        <w:keepLines/>
        <w:tabs>
          <w:tab w:val="clear" w:pos="2268"/>
          <w:tab w:val="left" w:pos="1985"/>
        </w:tabs>
        <w:ind w:firstLine="851"/>
        <w:rPr>
          <w:b/>
          <w:bCs/>
          <w:lang w:val="fr-FR"/>
        </w:rPr>
      </w:pPr>
      <w:bookmarkStart w:id="9" w:name="_Hlk132623002"/>
      <w:r>
        <w:rPr>
          <w:lang w:val="fr-FR"/>
        </w:rPr>
        <w:t>« </w:t>
      </w:r>
      <w:r>
        <w:rPr>
          <w:b/>
          <w:bCs/>
          <w:lang w:val="fr-FR"/>
        </w:rPr>
        <w:t>4</w:t>
      </w:r>
      <w:r w:rsidRPr="0083022B">
        <w:rPr>
          <w:b/>
          <w:bCs/>
          <w:lang w:val="fr-FR"/>
        </w:rPr>
        <w:t>.</w:t>
      </w:r>
      <w:r>
        <w:rPr>
          <w:b/>
          <w:bCs/>
          <w:lang w:val="fr-FR"/>
        </w:rPr>
        <w:t>2</w:t>
      </w:r>
      <w:r w:rsidRPr="0083022B">
        <w:rPr>
          <w:b/>
          <w:bCs/>
          <w:lang w:val="fr-FR"/>
        </w:rPr>
        <w:t>.</w:t>
      </w:r>
      <w:r>
        <w:rPr>
          <w:b/>
          <w:bCs/>
          <w:lang w:val="fr-FR"/>
        </w:rPr>
        <w:t>2</w:t>
      </w:r>
      <w:r w:rsidRPr="0083022B">
        <w:rPr>
          <w:b/>
          <w:bCs/>
          <w:lang w:val="fr-FR"/>
        </w:rPr>
        <w:t>.</w:t>
      </w:r>
      <w:r>
        <w:rPr>
          <w:b/>
          <w:bCs/>
          <w:lang w:val="fr-FR"/>
        </w:rPr>
        <w:t>3</w:t>
      </w:r>
      <w:r>
        <w:rPr>
          <w:lang w:val="fr-FR"/>
        </w:rPr>
        <w:tab/>
      </w:r>
      <w:r>
        <w:rPr>
          <w:b/>
          <w:bCs/>
          <w:i/>
          <w:iCs/>
          <w:lang w:val="fr-FR"/>
        </w:rPr>
        <w:t>Dangers du point de vue du réchauffement de la planète</w:t>
      </w:r>
    </w:p>
    <w:p w14:paraId="215A743A" w14:textId="3639B3CB" w:rsidR="00246D13" w:rsidRPr="00676FB6" w:rsidRDefault="00246D13" w:rsidP="00246D13">
      <w:pPr>
        <w:pStyle w:val="SingleTxtG"/>
        <w:keepNext/>
        <w:keepLines/>
        <w:tabs>
          <w:tab w:val="clear" w:pos="2268"/>
        </w:tabs>
        <w:ind w:left="1985"/>
        <w:rPr>
          <w:lang w:val="fr-FR"/>
        </w:rPr>
      </w:pPr>
      <w:r>
        <w:rPr>
          <w:lang w:val="fr-FR"/>
        </w:rPr>
        <w:tab/>
      </w:r>
      <w:r>
        <w:rPr>
          <w:lang w:val="fr-FR"/>
        </w:rPr>
        <w:tab/>
        <w:t xml:space="preserve">Une substance ou un mélange doit être classé(e) comme un danger </w:t>
      </w:r>
      <w:r w:rsidR="00EC28A7">
        <w:rPr>
          <w:lang w:val="fr-FR"/>
        </w:rPr>
        <w:t xml:space="preserve">de catégorie 1 </w:t>
      </w:r>
      <w:r>
        <w:rPr>
          <w:lang w:val="fr-FR"/>
        </w:rPr>
        <w:t>du point de vue du réchauffement de la planète selon le tableau suivant :</w:t>
      </w:r>
      <w:r w:rsidRPr="007435AD">
        <w:rPr>
          <w:sz w:val="18"/>
          <w:szCs w:val="18"/>
          <w:vertAlign w:val="superscript"/>
          <w:lang w:val="fr-FR"/>
        </w:rPr>
        <w:t xml:space="preserve"> </w:t>
      </w:r>
      <w:r w:rsidRPr="00802AA8">
        <w:rPr>
          <w:sz w:val="18"/>
          <w:szCs w:val="18"/>
          <w:vertAlign w:val="superscript"/>
          <w:lang w:val="fr-FR"/>
        </w:rPr>
        <w:t>1</w:t>
      </w:r>
    </w:p>
    <w:p w14:paraId="2629931D" w14:textId="77777777" w:rsidR="00246D13" w:rsidRPr="00676FB6" w:rsidRDefault="00246D13" w:rsidP="00246D13">
      <w:pPr>
        <w:pStyle w:val="SingleTxtG"/>
        <w:keepNext/>
        <w:keepLines/>
        <w:ind w:left="1985"/>
        <w:jc w:val="center"/>
        <w:rPr>
          <w:b/>
          <w:bCs/>
          <w:lang w:val="fr-FR"/>
        </w:rPr>
      </w:pPr>
      <w:r>
        <w:rPr>
          <w:b/>
          <w:bCs/>
          <w:lang w:val="fr-FR"/>
        </w:rPr>
        <w:t>Tableau 4</w:t>
      </w:r>
      <w:r w:rsidRPr="0083022B">
        <w:rPr>
          <w:b/>
          <w:bCs/>
          <w:lang w:val="fr-FR"/>
        </w:rPr>
        <w:t>.</w:t>
      </w:r>
      <w:r>
        <w:rPr>
          <w:b/>
          <w:bCs/>
          <w:lang w:val="fr-FR"/>
        </w:rPr>
        <w:t>2</w:t>
      </w:r>
      <w:r w:rsidRPr="0083022B">
        <w:rPr>
          <w:b/>
          <w:bCs/>
          <w:lang w:val="fr-FR"/>
        </w:rPr>
        <w:t>.</w:t>
      </w:r>
      <w:r>
        <w:rPr>
          <w:b/>
          <w:bCs/>
          <w:lang w:val="fr-FR"/>
        </w:rPr>
        <w:t>2 : Critères applicables aux substances et mélanges dangereux du point de vue du réchauffement de la planète</w:t>
      </w:r>
    </w:p>
    <w:tbl>
      <w:tblPr>
        <w:tblW w:w="6520"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
        <w:gridCol w:w="5528"/>
      </w:tblGrid>
      <w:tr w:rsidR="00246D13" w:rsidRPr="00916330" w14:paraId="741672EC" w14:textId="77777777" w:rsidTr="00775023">
        <w:tc>
          <w:tcPr>
            <w:tcW w:w="992" w:type="dxa"/>
            <w:shd w:val="clear" w:color="auto" w:fill="auto"/>
          </w:tcPr>
          <w:p w14:paraId="23FD824C" w14:textId="77777777" w:rsidR="00246D13" w:rsidRPr="00916330" w:rsidRDefault="00246D13" w:rsidP="004D33AF">
            <w:pPr>
              <w:keepNext/>
              <w:keepLines/>
              <w:tabs>
                <w:tab w:val="left" w:pos="1026"/>
              </w:tabs>
              <w:spacing w:before="60" w:after="60" w:line="220" w:lineRule="atLeast"/>
              <w:ind w:left="57" w:right="57"/>
              <w:jc w:val="center"/>
              <w:rPr>
                <w:b/>
              </w:rPr>
            </w:pPr>
            <w:r>
              <w:rPr>
                <w:b/>
                <w:bCs/>
                <w:lang w:val="fr-FR"/>
              </w:rPr>
              <w:t>Catégorie</w:t>
            </w:r>
          </w:p>
        </w:tc>
        <w:tc>
          <w:tcPr>
            <w:tcW w:w="5528" w:type="dxa"/>
            <w:shd w:val="clear" w:color="auto" w:fill="auto"/>
          </w:tcPr>
          <w:p w14:paraId="4F7C7161" w14:textId="77777777" w:rsidR="00246D13" w:rsidRPr="00916330" w:rsidRDefault="00246D13" w:rsidP="004D33AF">
            <w:pPr>
              <w:keepNext/>
              <w:keepLines/>
              <w:tabs>
                <w:tab w:val="left" w:pos="1026"/>
              </w:tabs>
              <w:spacing w:before="60" w:after="60" w:line="220" w:lineRule="atLeast"/>
              <w:ind w:left="57" w:right="57"/>
              <w:jc w:val="center"/>
              <w:rPr>
                <w:b/>
              </w:rPr>
            </w:pPr>
            <w:r>
              <w:rPr>
                <w:b/>
                <w:bCs/>
                <w:lang w:val="fr-FR"/>
              </w:rPr>
              <w:t>Critères</w:t>
            </w:r>
          </w:p>
        </w:tc>
      </w:tr>
      <w:tr w:rsidR="00246D13" w:rsidRPr="005D36D3" w14:paraId="6FFCF3B1" w14:textId="77777777" w:rsidTr="00775023">
        <w:trPr>
          <w:trHeight w:val="700"/>
        </w:trPr>
        <w:tc>
          <w:tcPr>
            <w:tcW w:w="992" w:type="dxa"/>
            <w:shd w:val="clear" w:color="auto" w:fill="auto"/>
            <w:vAlign w:val="center"/>
          </w:tcPr>
          <w:p w14:paraId="1C43BC07" w14:textId="77777777" w:rsidR="00246D13" w:rsidRPr="00916330" w:rsidRDefault="00246D13" w:rsidP="004D33AF">
            <w:pPr>
              <w:tabs>
                <w:tab w:val="left" w:pos="1026"/>
              </w:tabs>
              <w:spacing w:before="60" w:after="60" w:line="220" w:lineRule="atLeast"/>
              <w:ind w:left="57" w:right="57"/>
              <w:jc w:val="center"/>
              <w:rPr>
                <w:b/>
              </w:rPr>
            </w:pPr>
            <w:r>
              <w:rPr>
                <w:b/>
                <w:bCs/>
                <w:lang w:val="fr-FR"/>
              </w:rPr>
              <w:t>1</w:t>
            </w:r>
          </w:p>
        </w:tc>
        <w:tc>
          <w:tcPr>
            <w:tcW w:w="5528" w:type="dxa"/>
            <w:shd w:val="clear" w:color="auto" w:fill="auto"/>
          </w:tcPr>
          <w:p w14:paraId="6D91086B" w14:textId="4B0B4BBE" w:rsidR="00246D13" w:rsidRPr="00676FB6" w:rsidRDefault="00246D13" w:rsidP="004D33AF">
            <w:pPr>
              <w:tabs>
                <w:tab w:val="left" w:pos="1026"/>
              </w:tabs>
              <w:spacing w:before="60" w:after="60" w:line="220" w:lineRule="atLeast"/>
              <w:ind w:left="57" w:right="57"/>
              <w:rPr>
                <w:lang w:val="fr-FR"/>
              </w:rPr>
            </w:pPr>
            <w:r>
              <w:rPr>
                <w:lang w:val="fr-FR"/>
              </w:rPr>
              <w:t xml:space="preserve">Toute substance réglementée qui est énumérée parmi celles présentant un potentiel de réchauffement de la planète aux annexes du Protocole de Montréal ; ou </w:t>
            </w:r>
            <w:r>
              <w:rPr>
                <w:lang w:val="fr-FR"/>
              </w:rPr>
              <w:br/>
              <w:t>Tout mélange contenant au moins un composant énuméré parmi ceux présentant un potentiel de réchauffement de la planète aux annexes du Protocole de Montréal, à une concentration ≥</w:t>
            </w:r>
            <w:r w:rsidR="009C4DAB">
              <w:rPr>
                <w:lang w:val="fr-FR"/>
              </w:rPr>
              <w:t> </w:t>
            </w:r>
            <w:r>
              <w:rPr>
                <w:lang w:val="fr-FR"/>
              </w:rPr>
              <w:t>0,1 %</w:t>
            </w:r>
          </w:p>
        </w:tc>
      </w:tr>
    </w:tbl>
    <w:bookmarkEnd w:id="9"/>
    <w:p w14:paraId="561DD332" w14:textId="77777777" w:rsidR="00246D13" w:rsidRDefault="00246D13" w:rsidP="00246D13">
      <w:pPr>
        <w:pStyle w:val="GHS1stline"/>
        <w:tabs>
          <w:tab w:val="clear" w:pos="1418"/>
          <w:tab w:val="clear" w:pos="2552"/>
          <w:tab w:val="clear" w:pos="3119"/>
          <w:tab w:val="clear" w:pos="3686"/>
        </w:tabs>
        <w:spacing w:before="120" w:line="240" w:lineRule="atLeast"/>
        <w:ind w:right="1134" w:firstLine="0"/>
        <w:jc w:val="right"/>
        <w:rPr>
          <w:lang w:val="fr-FR"/>
        </w:rPr>
      </w:pPr>
      <w:r>
        <w:rPr>
          <w:lang w:val="fr-FR"/>
        </w:rPr>
        <w:t>. »</w:t>
      </w:r>
      <w:r w:rsidRPr="0083022B">
        <w:rPr>
          <w:lang w:val="fr-FR"/>
        </w:rPr>
        <w:t>.</w:t>
      </w:r>
    </w:p>
    <w:p w14:paraId="513C15C8" w14:textId="213977A3" w:rsidR="00246D13" w:rsidRDefault="00246D13" w:rsidP="009A67E7">
      <w:pPr>
        <w:pStyle w:val="GHS1stline"/>
        <w:keepNext/>
        <w:keepLines/>
        <w:tabs>
          <w:tab w:val="left" w:pos="3402"/>
          <w:tab w:val="left" w:pos="5954"/>
          <w:tab w:val="left" w:pos="8505"/>
        </w:tabs>
        <w:spacing w:after="120"/>
        <w:ind w:left="1985" w:right="1133" w:firstLine="0"/>
        <w:rPr>
          <w:lang w:val="fr-FR"/>
        </w:rPr>
      </w:pPr>
      <w:r>
        <w:rPr>
          <w:lang w:val="fr-FR"/>
        </w:rPr>
        <w:t>Note de bas de page 1</w:t>
      </w:r>
      <w:r w:rsidR="00C015C3">
        <w:rPr>
          <w:lang w:val="fr-FR"/>
        </w:rPr>
        <w:t xml:space="preserve"> : </w:t>
      </w:r>
      <w:r w:rsidR="005C74D2">
        <w:rPr>
          <w:lang w:val="fr-FR"/>
        </w:rPr>
        <w:t xml:space="preserve">Reproduire le texte de la note en bas de page 1 affectée au </w:t>
      </w:r>
      <w:r w:rsidRPr="00775023">
        <w:rPr>
          <w:lang w:val="fr-FR"/>
        </w:rPr>
        <w:t>4.2.2.2</w:t>
      </w:r>
      <w:r>
        <w:rPr>
          <w:lang w:val="fr-FR"/>
        </w:rPr>
        <w:t xml:space="preserve">, tel que modifié. </w:t>
      </w:r>
    </w:p>
    <w:p w14:paraId="6D88A5B0" w14:textId="59FC44EA" w:rsidR="00246D13" w:rsidRDefault="00246D13" w:rsidP="009A67E7">
      <w:pPr>
        <w:pStyle w:val="SingleTxtG"/>
        <w:keepNext/>
        <w:keepLines/>
        <w:tabs>
          <w:tab w:val="clear" w:pos="1701"/>
          <w:tab w:val="clear" w:pos="2268"/>
          <w:tab w:val="left" w:pos="1985"/>
        </w:tabs>
        <w:rPr>
          <w:lang w:val="fr-FR"/>
        </w:rPr>
      </w:pPr>
      <w:r>
        <w:rPr>
          <w:lang w:val="fr-FR"/>
        </w:rPr>
        <w:t>4</w:t>
      </w:r>
      <w:r w:rsidRPr="0083022B">
        <w:rPr>
          <w:lang w:val="fr-FR"/>
        </w:rPr>
        <w:t>.</w:t>
      </w:r>
      <w:r>
        <w:rPr>
          <w:lang w:val="fr-FR"/>
        </w:rPr>
        <w:t>2</w:t>
      </w:r>
      <w:r w:rsidRPr="0083022B">
        <w:rPr>
          <w:lang w:val="fr-FR"/>
        </w:rPr>
        <w:t>.</w:t>
      </w:r>
      <w:r>
        <w:rPr>
          <w:lang w:val="fr-FR"/>
        </w:rPr>
        <w:t>3</w:t>
      </w:r>
      <w:r>
        <w:rPr>
          <w:lang w:val="fr-FR"/>
        </w:rPr>
        <w:tab/>
        <w:t xml:space="preserve"> Le paragraphe précédant le tableau devient le paragraphe 4.2.3.1. </w:t>
      </w:r>
      <w:r w:rsidR="00EB1AB9">
        <w:rPr>
          <w:lang w:val="fr-FR"/>
        </w:rPr>
        <w:t>Dans</w:t>
      </w:r>
      <w:r>
        <w:rPr>
          <w:lang w:val="fr-FR"/>
        </w:rPr>
        <w:t xml:space="preserve"> la dernière phrase</w:t>
      </w:r>
      <w:r w:rsidR="009859AE">
        <w:rPr>
          <w:lang w:val="fr-FR"/>
        </w:rPr>
        <w:t xml:space="preserve"> de ce paragraphe</w:t>
      </w:r>
      <w:r>
        <w:rPr>
          <w:lang w:val="fr-FR"/>
        </w:rPr>
        <w:t>, remplacer « tableau 4.2.2 » par « tableau 4.2.3 ».</w:t>
      </w:r>
    </w:p>
    <w:p w14:paraId="60C13A1D" w14:textId="30E30949" w:rsidR="00F63534" w:rsidRPr="00676FB6" w:rsidRDefault="00EF4983" w:rsidP="00775023">
      <w:pPr>
        <w:pStyle w:val="SingleTxtG"/>
        <w:tabs>
          <w:tab w:val="clear" w:pos="1701"/>
          <w:tab w:val="left" w:pos="1985"/>
        </w:tabs>
        <w:ind w:left="1985"/>
        <w:rPr>
          <w:lang w:val="fr-FR"/>
        </w:rPr>
      </w:pPr>
      <w:r>
        <w:rPr>
          <w:lang w:val="fr-FR"/>
        </w:rPr>
        <w:t>Modifier l’ancien tableau 4.2.2</w:t>
      </w:r>
      <w:r w:rsidR="00F668F2">
        <w:rPr>
          <w:lang w:val="fr-FR"/>
        </w:rPr>
        <w:t xml:space="preserve"> (devenu 4.2.3) </w:t>
      </w:r>
      <w:r w:rsidR="00EB17AE">
        <w:rPr>
          <w:lang w:val="fr-FR"/>
        </w:rPr>
        <w:t>et insérer un nouveau paragraphe 4.2.3.2</w:t>
      </w:r>
      <w:r w:rsidR="00CA2053">
        <w:rPr>
          <w:lang w:val="fr-FR"/>
        </w:rPr>
        <w:t xml:space="preserve"> </w:t>
      </w:r>
      <w:r w:rsidR="00F668F2">
        <w:rPr>
          <w:lang w:val="fr-FR"/>
        </w:rPr>
        <w:t xml:space="preserve">comme suit : </w:t>
      </w:r>
    </w:p>
    <w:p w14:paraId="4A2B98B0" w14:textId="70FED0C1" w:rsidR="00246D13" w:rsidRPr="00676FB6" w:rsidRDefault="005073CC" w:rsidP="00713D3F">
      <w:pPr>
        <w:pStyle w:val="SingleTxtG"/>
        <w:keepNext/>
        <w:keepLines/>
        <w:tabs>
          <w:tab w:val="clear" w:pos="1701"/>
          <w:tab w:val="left" w:pos="1985"/>
        </w:tabs>
        <w:ind w:left="1985"/>
        <w:jc w:val="center"/>
        <w:rPr>
          <w:b/>
          <w:bCs/>
          <w:lang w:val="fr-FR"/>
        </w:rPr>
      </w:pPr>
      <w:r>
        <w:rPr>
          <w:b/>
          <w:bCs/>
          <w:lang w:val="fr-FR"/>
        </w:rPr>
        <w:lastRenderedPageBreak/>
        <w:t>« </w:t>
      </w:r>
      <w:r w:rsidR="00246D13">
        <w:rPr>
          <w:b/>
          <w:bCs/>
          <w:lang w:val="fr-FR"/>
        </w:rPr>
        <w:t>Tableau 4</w:t>
      </w:r>
      <w:r w:rsidR="00246D13" w:rsidRPr="0083022B">
        <w:rPr>
          <w:b/>
          <w:bCs/>
          <w:lang w:val="fr-FR"/>
        </w:rPr>
        <w:t>.</w:t>
      </w:r>
      <w:r w:rsidR="00246D13">
        <w:rPr>
          <w:b/>
          <w:bCs/>
          <w:lang w:val="fr-FR"/>
        </w:rPr>
        <w:t>2</w:t>
      </w:r>
      <w:r w:rsidR="00246D13" w:rsidRPr="0083022B">
        <w:rPr>
          <w:b/>
          <w:bCs/>
          <w:lang w:val="fr-FR"/>
        </w:rPr>
        <w:t>.</w:t>
      </w:r>
      <w:r w:rsidR="00246D13">
        <w:rPr>
          <w:b/>
          <w:bCs/>
          <w:lang w:val="fr-FR"/>
        </w:rPr>
        <w:t>3 : Éléments d’étiquetage pour les substances et les mélanges dangereux pour le système atmosphérique</w:t>
      </w:r>
    </w:p>
    <w:tbl>
      <w:tblPr>
        <w:tblW w:w="666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552"/>
        <w:gridCol w:w="2551"/>
      </w:tblGrid>
      <w:tr w:rsidR="00246D13" w:rsidRPr="00916330" w14:paraId="6AFD22BC" w14:textId="77777777" w:rsidTr="004D33AF">
        <w:tc>
          <w:tcPr>
            <w:tcW w:w="1559" w:type="dxa"/>
            <w:vMerge w:val="restart"/>
          </w:tcPr>
          <w:p w14:paraId="058D6844" w14:textId="77777777" w:rsidR="00246D13" w:rsidRPr="00676FB6" w:rsidRDefault="00246D13" w:rsidP="00713D3F">
            <w:pPr>
              <w:keepNext/>
              <w:keepLines/>
              <w:spacing w:before="40" w:after="40"/>
              <w:rPr>
                <w:lang w:val="fr-FR"/>
              </w:rPr>
            </w:pPr>
          </w:p>
        </w:tc>
        <w:tc>
          <w:tcPr>
            <w:tcW w:w="2552" w:type="dxa"/>
          </w:tcPr>
          <w:p w14:paraId="1CE5A164" w14:textId="77777777" w:rsidR="00246D13" w:rsidRPr="00916330" w:rsidRDefault="00246D13" w:rsidP="00713D3F">
            <w:pPr>
              <w:keepNext/>
              <w:keepLines/>
              <w:spacing w:before="40" w:after="40"/>
              <w:jc w:val="center"/>
              <w:rPr>
                <w:b/>
                <w:bCs/>
              </w:rPr>
            </w:pPr>
            <w:r>
              <w:rPr>
                <w:b/>
                <w:bCs/>
                <w:lang w:val="fr-FR"/>
              </w:rPr>
              <w:t>Catégorie 1</w:t>
            </w:r>
          </w:p>
        </w:tc>
        <w:tc>
          <w:tcPr>
            <w:tcW w:w="2551" w:type="dxa"/>
          </w:tcPr>
          <w:p w14:paraId="306D4502" w14:textId="77777777" w:rsidR="00246D13" w:rsidRPr="00916330" w:rsidRDefault="00246D13" w:rsidP="00713D3F">
            <w:pPr>
              <w:keepNext/>
              <w:keepLines/>
              <w:spacing w:before="40" w:after="40"/>
              <w:jc w:val="center"/>
              <w:rPr>
                <w:b/>
                <w:bCs/>
              </w:rPr>
            </w:pPr>
            <w:r>
              <w:rPr>
                <w:b/>
                <w:bCs/>
                <w:lang w:val="fr-FR"/>
              </w:rPr>
              <w:t>Catégorie 1</w:t>
            </w:r>
          </w:p>
        </w:tc>
      </w:tr>
      <w:tr w:rsidR="00246D13" w:rsidRPr="005D36D3" w14:paraId="7A60227E" w14:textId="77777777" w:rsidTr="004D33AF">
        <w:tc>
          <w:tcPr>
            <w:tcW w:w="1559" w:type="dxa"/>
            <w:vMerge/>
          </w:tcPr>
          <w:p w14:paraId="0C2A6B4E" w14:textId="77777777" w:rsidR="00246D13" w:rsidRPr="00916330" w:rsidRDefault="00246D13" w:rsidP="00713D3F">
            <w:pPr>
              <w:keepNext/>
              <w:keepLines/>
              <w:spacing w:before="40" w:after="40"/>
              <w:jc w:val="center"/>
            </w:pPr>
          </w:p>
        </w:tc>
        <w:tc>
          <w:tcPr>
            <w:tcW w:w="2552" w:type="dxa"/>
          </w:tcPr>
          <w:p w14:paraId="52633D1E" w14:textId="77777777" w:rsidR="00246D13" w:rsidRPr="00676FB6" w:rsidRDefault="00246D13" w:rsidP="00713D3F">
            <w:pPr>
              <w:keepNext/>
              <w:keepLines/>
              <w:spacing w:before="40" w:after="40"/>
              <w:jc w:val="center"/>
              <w:rPr>
                <w:b/>
                <w:bCs/>
                <w:lang w:val="fr-FR"/>
              </w:rPr>
            </w:pPr>
            <w:r>
              <w:rPr>
                <w:b/>
                <w:bCs/>
                <w:lang w:val="fr-FR"/>
              </w:rPr>
              <w:t>Dangers pour la couche d’ozone</w:t>
            </w:r>
          </w:p>
        </w:tc>
        <w:tc>
          <w:tcPr>
            <w:tcW w:w="2551" w:type="dxa"/>
          </w:tcPr>
          <w:p w14:paraId="442C8110" w14:textId="77777777" w:rsidR="00246D13" w:rsidRPr="00676FB6" w:rsidRDefault="00246D13" w:rsidP="00713D3F">
            <w:pPr>
              <w:keepNext/>
              <w:keepLines/>
              <w:spacing w:before="40" w:after="40"/>
              <w:jc w:val="center"/>
              <w:rPr>
                <w:b/>
                <w:bCs/>
                <w:lang w:val="fr-FR"/>
              </w:rPr>
            </w:pPr>
            <w:r>
              <w:rPr>
                <w:b/>
                <w:bCs/>
                <w:lang w:val="fr-FR"/>
              </w:rPr>
              <w:t>Dangers du point de vue du réchauffement de la planète</w:t>
            </w:r>
          </w:p>
        </w:tc>
      </w:tr>
      <w:tr w:rsidR="00246D13" w:rsidRPr="00916330" w14:paraId="49B482D2" w14:textId="77777777" w:rsidTr="004D33AF">
        <w:tc>
          <w:tcPr>
            <w:tcW w:w="1559" w:type="dxa"/>
            <w:vAlign w:val="center"/>
          </w:tcPr>
          <w:p w14:paraId="55183A40" w14:textId="77777777" w:rsidR="00246D13" w:rsidRPr="00916330" w:rsidRDefault="00246D13" w:rsidP="00713D3F">
            <w:pPr>
              <w:keepNext/>
              <w:keepLines/>
              <w:spacing w:before="40" w:after="40"/>
              <w:rPr>
                <w:b/>
                <w:bCs/>
              </w:rPr>
            </w:pPr>
            <w:r>
              <w:rPr>
                <w:b/>
                <w:bCs/>
                <w:lang w:val="fr-FR"/>
              </w:rPr>
              <w:t>Symbole</w:t>
            </w:r>
          </w:p>
        </w:tc>
        <w:tc>
          <w:tcPr>
            <w:tcW w:w="2552" w:type="dxa"/>
          </w:tcPr>
          <w:p w14:paraId="1D7F9A78" w14:textId="77777777" w:rsidR="00246D13" w:rsidRPr="00916330" w:rsidRDefault="00246D13" w:rsidP="00713D3F">
            <w:pPr>
              <w:keepNext/>
              <w:keepLines/>
              <w:spacing w:before="40" w:after="40"/>
              <w:jc w:val="center"/>
            </w:pPr>
            <w:r>
              <w:rPr>
                <w:lang w:val="fr-FR"/>
              </w:rPr>
              <w:t>Point d’exclamation</w:t>
            </w:r>
          </w:p>
        </w:tc>
        <w:tc>
          <w:tcPr>
            <w:tcW w:w="2551" w:type="dxa"/>
          </w:tcPr>
          <w:p w14:paraId="4355B2AE" w14:textId="77777777" w:rsidR="00246D13" w:rsidRPr="00916330" w:rsidRDefault="00246D13" w:rsidP="00713D3F">
            <w:pPr>
              <w:keepNext/>
              <w:keepLines/>
              <w:spacing w:before="40" w:after="40"/>
              <w:jc w:val="center"/>
            </w:pPr>
            <w:r>
              <w:rPr>
                <w:lang w:val="fr-FR"/>
              </w:rPr>
              <w:t>Point d’exclamation</w:t>
            </w:r>
          </w:p>
        </w:tc>
      </w:tr>
      <w:tr w:rsidR="00246D13" w:rsidRPr="00916330" w14:paraId="1806B5AF" w14:textId="77777777" w:rsidTr="004D33AF">
        <w:tc>
          <w:tcPr>
            <w:tcW w:w="1559" w:type="dxa"/>
            <w:vAlign w:val="center"/>
          </w:tcPr>
          <w:p w14:paraId="2D0B8250" w14:textId="77777777" w:rsidR="00246D13" w:rsidRPr="00916330" w:rsidRDefault="00246D13" w:rsidP="00713D3F">
            <w:pPr>
              <w:keepNext/>
              <w:keepLines/>
              <w:spacing w:before="40" w:after="40"/>
              <w:rPr>
                <w:b/>
                <w:bCs/>
              </w:rPr>
            </w:pPr>
            <w:r>
              <w:rPr>
                <w:b/>
                <w:bCs/>
                <w:lang w:val="fr-FR"/>
              </w:rPr>
              <w:t>Mention d’avertissement</w:t>
            </w:r>
          </w:p>
        </w:tc>
        <w:tc>
          <w:tcPr>
            <w:tcW w:w="2552" w:type="dxa"/>
          </w:tcPr>
          <w:p w14:paraId="2D93109A" w14:textId="77777777" w:rsidR="00246D13" w:rsidRPr="00916330" w:rsidRDefault="00246D13" w:rsidP="00713D3F">
            <w:pPr>
              <w:keepNext/>
              <w:keepLines/>
              <w:spacing w:before="40" w:after="40"/>
              <w:jc w:val="center"/>
            </w:pPr>
            <w:r>
              <w:rPr>
                <w:lang w:val="fr-FR"/>
              </w:rPr>
              <w:t>Attention</w:t>
            </w:r>
          </w:p>
        </w:tc>
        <w:tc>
          <w:tcPr>
            <w:tcW w:w="2551" w:type="dxa"/>
          </w:tcPr>
          <w:p w14:paraId="7DF0C01B" w14:textId="77777777" w:rsidR="00246D13" w:rsidRPr="00916330" w:rsidRDefault="00246D13" w:rsidP="00713D3F">
            <w:pPr>
              <w:keepNext/>
              <w:keepLines/>
              <w:spacing w:before="40" w:after="40"/>
              <w:jc w:val="center"/>
            </w:pPr>
            <w:r>
              <w:rPr>
                <w:lang w:val="fr-FR"/>
              </w:rPr>
              <w:t>Attention</w:t>
            </w:r>
          </w:p>
        </w:tc>
      </w:tr>
      <w:tr w:rsidR="00246D13" w:rsidRPr="005D36D3" w14:paraId="0FE7AE64" w14:textId="77777777" w:rsidTr="004D33AF">
        <w:tc>
          <w:tcPr>
            <w:tcW w:w="1559" w:type="dxa"/>
            <w:vAlign w:val="center"/>
          </w:tcPr>
          <w:p w14:paraId="5474C760" w14:textId="77777777" w:rsidR="00246D13" w:rsidRPr="00916330" w:rsidRDefault="00246D13" w:rsidP="00713D3F">
            <w:pPr>
              <w:keepNext/>
              <w:keepLines/>
              <w:spacing w:before="40" w:after="40"/>
              <w:rPr>
                <w:b/>
                <w:bCs/>
              </w:rPr>
            </w:pPr>
            <w:r>
              <w:rPr>
                <w:b/>
                <w:bCs/>
                <w:lang w:val="fr-FR"/>
              </w:rPr>
              <w:t>Mention de danger</w:t>
            </w:r>
          </w:p>
        </w:tc>
        <w:tc>
          <w:tcPr>
            <w:tcW w:w="2552" w:type="dxa"/>
          </w:tcPr>
          <w:p w14:paraId="1F118EAF" w14:textId="77777777" w:rsidR="00246D13" w:rsidRPr="00676FB6" w:rsidRDefault="00246D13" w:rsidP="00713D3F">
            <w:pPr>
              <w:keepNext/>
              <w:keepLines/>
              <w:spacing w:before="40" w:after="40"/>
              <w:jc w:val="center"/>
              <w:rPr>
                <w:lang w:val="fr-FR"/>
              </w:rPr>
            </w:pPr>
            <w:r>
              <w:rPr>
                <w:lang w:val="fr-FR"/>
              </w:rPr>
              <w:t>Nuit à la santé publique et à l’environnement en détruisant l’ozone dans la haute atmosphère</w:t>
            </w:r>
          </w:p>
        </w:tc>
        <w:tc>
          <w:tcPr>
            <w:tcW w:w="2551" w:type="dxa"/>
          </w:tcPr>
          <w:p w14:paraId="7F9B9D1F" w14:textId="77777777" w:rsidR="00246D13" w:rsidRPr="00676FB6" w:rsidRDefault="00246D13" w:rsidP="00713D3F">
            <w:pPr>
              <w:keepNext/>
              <w:keepLines/>
              <w:spacing w:before="40" w:after="40"/>
              <w:jc w:val="center"/>
              <w:rPr>
                <w:lang w:val="fr-FR"/>
              </w:rPr>
            </w:pPr>
            <w:r>
              <w:rPr>
                <w:lang w:val="fr-FR"/>
              </w:rPr>
              <w:t>Nuit à la santé publique et à l’environnement en contribuant au réchauffement de la planète</w:t>
            </w:r>
          </w:p>
        </w:tc>
      </w:tr>
    </w:tbl>
    <w:p w14:paraId="4619FD2E" w14:textId="5DF1AEBA" w:rsidR="00246D13" w:rsidRDefault="00246D13" w:rsidP="00246D13">
      <w:pPr>
        <w:pStyle w:val="SingleTxtG"/>
        <w:tabs>
          <w:tab w:val="clear" w:pos="1701"/>
        </w:tabs>
        <w:spacing w:before="120"/>
        <w:ind w:left="1985"/>
        <w:rPr>
          <w:lang w:val="fr-FR"/>
        </w:rPr>
      </w:pPr>
      <w:bookmarkStart w:id="10" w:name="_Hlk132623264"/>
      <w:r>
        <w:rPr>
          <w:lang w:val="fr-FR"/>
        </w:rPr>
        <w:t>4</w:t>
      </w:r>
      <w:r w:rsidRPr="0083022B">
        <w:rPr>
          <w:lang w:val="fr-FR"/>
        </w:rPr>
        <w:t>.</w:t>
      </w:r>
      <w:r>
        <w:rPr>
          <w:lang w:val="fr-FR"/>
        </w:rPr>
        <w:t>2</w:t>
      </w:r>
      <w:r w:rsidRPr="0083022B">
        <w:rPr>
          <w:lang w:val="fr-FR"/>
        </w:rPr>
        <w:t>.</w:t>
      </w:r>
      <w:r>
        <w:rPr>
          <w:lang w:val="fr-FR"/>
        </w:rPr>
        <w:t>3</w:t>
      </w:r>
      <w:r w:rsidRPr="0083022B">
        <w:rPr>
          <w:lang w:val="fr-FR"/>
        </w:rPr>
        <w:t>.</w:t>
      </w:r>
      <w:r>
        <w:rPr>
          <w:lang w:val="fr-FR"/>
        </w:rPr>
        <w:t>2</w:t>
      </w:r>
      <w:r>
        <w:rPr>
          <w:lang w:val="fr-FR"/>
        </w:rPr>
        <w:tab/>
      </w:r>
      <w:r>
        <w:rPr>
          <w:lang w:val="fr-FR"/>
        </w:rPr>
        <w:tab/>
        <w:t>Certaines substance</w:t>
      </w:r>
      <w:r w:rsidR="00EA2CE7">
        <w:rPr>
          <w:lang w:val="fr-FR"/>
        </w:rPr>
        <w:t>s</w:t>
      </w:r>
      <w:r>
        <w:rPr>
          <w:lang w:val="fr-FR"/>
        </w:rPr>
        <w:t xml:space="preserve"> et certains mélanges satisfont à la fois aux critères permettant de les classer comme dangereux pour la couche d’ozone et à ceux permettant de les classer comme dangereux du point de vue du réchauffement de la planète</w:t>
      </w:r>
      <w:r w:rsidRPr="0083022B">
        <w:rPr>
          <w:lang w:val="fr-FR"/>
        </w:rPr>
        <w:t>.</w:t>
      </w:r>
      <w:r>
        <w:rPr>
          <w:lang w:val="fr-FR"/>
        </w:rPr>
        <w:t xml:space="preserve"> Dans ce cas, les principes énoncés au A3</w:t>
      </w:r>
      <w:r w:rsidRPr="0083022B">
        <w:rPr>
          <w:lang w:val="fr-FR"/>
        </w:rPr>
        <w:t>.</w:t>
      </w:r>
      <w:r>
        <w:rPr>
          <w:lang w:val="fr-FR"/>
        </w:rPr>
        <w:t>1</w:t>
      </w:r>
      <w:r w:rsidRPr="0083022B">
        <w:rPr>
          <w:lang w:val="fr-FR"/>
        </w:rPr>
        <w:t>.</w:t>
      </w:r>
      <w:r>
        <w:rPr>
          <w:lang w:val="fr-FR"/>
        </w:rPr>
        <w:t>2</w:t>
      </w:r>
      <w:r w:rsidRPr="0083022B">
        <w:rPr>
          <w:lang w:val="fr-FR"/>
        </w:rPr>
        <w:t>.</w:t>
      </w:r>
      <w:r>
        <w:rPr>
          <w:lang w:val="fr-FR"/>
        </w:rPr>
        <w:t>5 peuvent être appliqués pour combiner les mentions de danger relatives aux deux classes de danger en une seule (</w:t>
      </w:r>
      <w:r w:rsidR="009A7132">
        <w:rPr>
          <w:lang w:val="fr-FR"/>
        </w:rPr>
        <w:t>c</w:t>
      </w:r>
      <w:r w:rsidR="009937A9">
        <w:rPr>
          <w:lang w:val="fr-FR"/>
        </w:rPr>
        <w:t>’est</w:t>
      </w:r>
      <w:r w:rsidR="00080081">
        <w:rPr>
          <w:lang w:val="fr-FR"/>
        </w:rPr>
        <w:t>-</w:t>
      </w:r>
      <w:r w:rsidR="009A7132">
        <w:rPr>
          <w:lang w:val="fr-FR"/>
        </w:rPr>
        <w:t>à</w:t>
      </w:r>
      <w:r w:rsidR="00080081">
        <w:rPr>
          <w:lang w:val="fr-FR"/>
        </w:rPr>
        <w:t>-</w:t>
      </w:r>
      <w:r w:rsidR="009A7132">
        <w:rPr>
          <w:lang w:val="fr-FR"/>
        </w:rPr>
        <w:t xml:space="preserve">dire, </w:t>
      </w:r>
      <w:r>
        <w:rPr>
          <w:lang w:val="fr-FR"/>
        </w:rPr>
        <w:t>“Nuit à la santé publique et à l’environnement en contribuant au réchauffement de la planète et en détruisant l’ozone dans la haute atmosphère”)</w:t>
      </w:r>
      <w:r w:rsidRPr="0083022B">
        <w:rPr>
          <w:lang w:val="fr-FR"/>
        </w:rPr>
        <w:t>.</w:t>
      </w:r>
      <w:r>
        <w:rPr>
          <w:lang w:val="fr-FR"/>
        </w:rPr>
        <w:t> »</w:t>
      </w:r>
      <w:r w:rsidRPr="0083022B">
        <w:rPr>
          <w:lang w:val="fr-FR"/>
        </w:rPr>
        <w:t>.</w:t>
      </w:r>
      <w:r>
        <w:rPr>
          <w:lang w:val="fr-FR"/>
        </w:rPr>
        <w:t xml:space="preserve"> </w:t>
      </w:r>
    </w:p>
    <w:bookmarkEnd w:id="10"/>
    <w:p w14:paraId="5F561F80" w14:textId="540AB877" w:rsidR="00246D13" w:rsidRPr="00676FB6" w:rsidRDefault="00246D13" w:rsidP="00713D3F">
      <w:pPr>
        <w:pStyle w:val="GHS1stline"/>
        <w:tabs>
          <w:tab w:val="clear" w:pos="1418"/>
          <w:tab w:val="clear" w:pos="2552"/>
          <w:tab w:val="clear" w:pos="3119"/>
          <w:tab w:val="clear" w:pos="3686"/>
          <w:tab w:val="left" w:pos="5954"/>
        </w:tabs>
        <w:spacing w:after="120"/>
        <w:ind w:left="1134" w:firstLine="0"/>
        <w:rPr>
          <w:lang w:val="fr-FR"/>
        </w:rPr>
      </w:pPr>
      <w:r>
        <w:rPr>
          <w:lang w:val="fr-FR"/>
        </w:rPr>
        <w:t>4</w:t>
      </w:r>
      <w:r w:rsidRPr="0083022B">
        <w:rPr>
          <w:lang w:val="fr-FR"/>
        </w:rPr>
        <w:t>.</w:t>
      </w:r>
      <w:r>
        <w:rPr>
          <w:lang w:val="fr-FR"/>
        </w:rPr>
        <w:t>2</w:t>
      </w:r>
      <w:r w:rsidRPr="0083022B">
        <w:rPr>
          <w:lang w:val="fr-FR"/>
        </w:rPr>
        <w:t>.</w:t>
      </w:r>
      <w:r>
        <w:rPr>
          <w:lang w:val="fr-FR"/>
        </w:rPr>
        <w:t>4</w:t>
      </w:r>
      <w:r>
        <w:rPr>
          <w:lang w:val="fr-FR"/>
        </w:rPr>
        <w:tab/>
        <w:t xml:space="preserve">Modifier </w:t>
      </w:r>
      <w:r w:rsidR="00130474">
        <w:rPr>
          <w:lang w:val="fr-FR"/>
        </w:rPr>
        <w:t>pour lire</w:t>
      </w:r>
      <w:r>
        <w:rPr>
          <w:lang w:val="fr-FR"/>
        </w:rPr>
        <w:t xml:space="preserve"> comme suit : </w:t>
      </w:r>
    </w:p>
    <w:p w14:paraId="060367F7" w14:textId="77777777" w:rsidR="00246D13" w:rsidRPr="00676FB6" w:rsidRDefault="00246D13" w:rsidP="00713D3F">
      <w:pPr>
        <w:spacing w:after="120"/>
        <w:ind w:left="1985" w:right="1134"/>
        <w:rPr>
          <w:lang w:val="fr-FR"/>
        </w:rPr>
      </w:pPr>
      <w:r>
        <w:rPr>
          <w:lang w:val="fr-FR"/>
        </w:rPr>
        <w:t>« </w:t>
      </w:r>
      <w:r>
        <w:rPr>
          <w:b/>
          <w:bCs/>
          <w:lang w:val="fr-FR"/>
        </w:rPr>
        <w:t>4</w:t>
      </w:r>
      <w:r w:rsidRPr="0083022B">
        <w:rPr>
          <w:b/>
          <w:bCs/>
          <w:lang w:val="fr-FR"/>
        </w:rPr>
        <w:t>.</w:t>
      </w:r>
      <w:r>
        <w:rPr>
          <w:b/>
          <w:bCs/>
          <w:lang w:val="fr-FR"/>
        </w:rPr>
        <w:t>2</w:t>
      </w:r>
      <w:r w:rsidRPr="0083022B">
        <w:rPr>
          <w:b/>
          <w:bCs/>
          <w:lang w:val="fr-FR"/>
        </w:rPr>
        <w:t>.</w:t>
      </w:r>
      <w:r>
        <w:rPr>
          <w:b/>
          <w:bCs/>
          <w:lang w:val="fr-FR"/>
        </w:rPr>
        <w:t>4</w:t>
      </w:r>
      <w:r>
        <w:rPr>
          <w:lang w:val="fr-FR"/>
        </w:rPr>
        <w:tab/>
      </w:r>
      <w:r>
        <w:rPr>
          <w:b/>
          <w:bCs/>
          <w:lang w:val="fr-FR"/>
        </w:rPr>
        <w:t>Procédures de décision pour les substances et les mélanges dangereux pour le système atmosphérique</w:t>
      </w:r>
      <w:bookmarkStart w:id="11" w:name="_Hlk132623326"/>
      <w:bookmarkEnd w:id="11"/>
    </w:p>
    <w:p w14:paraId="4BB828E0" w14:textId="112F3E7E" w:rsidR="00246D13" w:rsidRPr="00676FB6" w:rsidRDefault="009A67E7" w:rsidP="00713D3F">
      <w:pPr>
        <w:pStyle w:val="SingleTxtG"/>
        <w:tabs>
          <w:tab w:val="clear" w:pos="2268"/>
        </w:tabs>
        <w:ind w:left="1985"/>
        <w:rPr>
          <w:lang w:val="fr-FR"/>
        </w:rPr>
      </w:pPr>
      <w:bookmarkStart w:id="12" w:name="_Hlk132623352"/>
      <w:r>
        <w:rPr>
          <w:lang w:val="fr-FR"/>
        </w:rPr>
        <w:tab/>
      </w:r>
      <w:r w:rsidR="00246D13">
        <w:rPr>
          <w:lang w:val="fr-FR"/>
        </w:rPr>
        <w:t>Les procédures de décision ci-après concernant les dangers pour la couche d’ozone (voir 4</w:t>
      </w:r>
      <w:r w:rsidR="00246D13" w:rsidRPr="0083022B">
        <w:rPr>
          <w:lang w:val="fr-FR"/>
        </w:rPr>
        <w:t>.</w:t>
      </w:r>
      <w:r w:rsidR="00246D13">
        <w:rPr>
          <w:lang w:val="fr-FR"/>
        </w:rPr>
        <w:t>2</w:t>
      </w:r>
      <w:r w:rsidR="00246D13" w:rsidRPr="0083022B">
        <w:rPr>
          <w:lang w:val="fr-FR"/>
        </w:rPr>
        <w:t>.</w:t>
      </w:r>
      <w:r w:rsidR="00246D13">
        <w:rPr>
          <w:lang w:val="fr-FR"/>
        </w:rPr>
        <w:t>2</w:t>
      </w:r>
      <w:r w:rsidR="00246D13" w:rsidRPr="0083022B">
        <w:rPr>
          <w:lang w:val="fr-FR"/>
        </w:rPr>
        <w:t>.</w:t>
      </w:r>
      <w:r w:rsidR="00246D13">
        <w:rPr>
          <w:lang w:val="fr-FR"/>
        </w:rPr>
        <w:t>2) et les dangers du point de vue du réchauffement de la planète (voir</w:t>
      </w:r>
      <w:r w:rsidR="00080081">
        <w:rPr>
          <w:lang w:val="fr-FR"/>
        </w:rPr>
        <w:t> </w:t>
      </w:r>
      <w:r w:rsidR="00246D13">
        <w:rPr>
          <w:lang w:val="fr-FR"/>
        </w:rPr>
        <w:t>4</w:t>
      </w:r>
      <w:r w:rsidR="00246D13" w:rsidRPr="0083022B">
        <w:rPr>
          <w:lang w:val="fr-FR"/>
        </w:rPr>
        <w:t>.</w:t>
      </w:r>
      <w:r w:rsidR="00246D13">
        <w:rPr>
          <w:lang w:val="fr-FR"/>
        </w:rPr>
        <w:t>2</w:t>
      </w:r>
      <w:r w:rsidR="00246D13" w:rsidRPr="0083022B">
        <w:rPr>
          <w:lang w:val="fr-FR"/>
        </w:rPr>
        <w:t>.</w:t>
      </w:r>
      <w:r w:rsidR="00246D13">
        <w:rPr>
          <w:lang w:val="fr-FR"/>
        </w:rPr>
        <w:t>2</w:t>
      </w:r>
      <w:r w:rsidR="00246D13" w:rsidRPr="0083022B">
        <w:rPr>
          <w:lang w:val="fr-FR"/>
        </w:rPr>
        <w:t>.</w:t>
      </w:r>
      <w:r w:rsidR="00246D13">
        <w:rPr>
          <w:lang w:val="fr-FR"/>
        </w:rPr>
        <w:t>3) ne font pas partie du système général harmonisé de classification, mais sont fournies ici à titre d’aide à la décision</w:t>
      </w:r>
      <w:r w:rsidR="00246D13" w:rsidRPr="0083022B">
        <w:rPr>
          <w:lang w:val="fr-FR"/>
        </w:rPr>
        <w:t>.</w:t>
      </w:r>
      <w:r w:rsidR="00246D13">
        <w:rPr>
          <w:lang w:val="fr-FR"/>
        </w:rPr>
        <w:t xml:space="preserve"> Il est vivement recommandé que la personne chargée de la classification étudie les critères de </w:t>
      </w:r>
      <w:r w:rsidR="00E4517F">
        <w:rPr>
          <w:lang w:val="fr-FR"/>
        </w:rPr>
        <w:t xml:space="preserve">classification </w:t>
      </w:r>
      <w:r w:rsidR="00246D13">
        <w:rPr>
          <w:lang w:val="fr-FR"/>
        </w:rPr>
        <w:t>avant et durant l’application de ces procédures de décision</w:t>
      </w:r>
      <w:r w:rsidR="00246D13" w:rsidRPr="0083022B">
        <w:rPr>
          <w:lang w:val="fr-FR"/>
        </w:rPr>
        <w:t>.</w:t>
      </w:r>
      <w:bookmarkEnd w:id="12"/>
    </w:p>
    <w:p w14:paraId="7304F16A" w14:textId="77777777" w:rsidR="00246D13" w:rsidRPr="00676FB6" w:rsidRDefault="00246D13" w:rsidP="00713D3F">
      <w:pPr>
        <w:pStyle w:val="SingleTxtG"/>
        <w:ind w:left="1985"/>
        <w:rPr>
          <w:b/>
          <w:bCs/>
          <w:i/>
          <w:iCs/>
          <w:lang w:val="fr-FR"/>
        </w:rPr>
      </w:pPr>
      <w:r>
        <w:rPr>
          <w:b/>
          <w:bCs/>
          <w:i/>
          <w:iCs/>
          <w:lang w:val="fr-FR"/>
        </w:rPr>
        <w:t>Diagramme de décision 4</w:t>
      </w:r>
      <w:r w:rsidRPr="0083022B">
        <w:rPr>
          <w:b/>
          <w:bCs/>
          <w:i/>
          <w:iCs/>
          <w:lang w:val="fr-FR"/>
        </w:rPr>
        <w:t>.</w:t>
      </w:r>
      <w:r>
        <w:rPr>
          <w:b/>
          <w:bCs/>
          <w:i/>
          <w:iCs/>
          <w:lang w:val="fr-FR"/>
        </w:rPr>
        <w:t>2</w:t>
      </w:r>
      <w:r w:rsidRPr="0083022B">
        <w:rPr>
          <w:b/>
          <w:bCs/>
          <w:i/>
          <w:iCs/>
          <w:lang w:val="fr-FR"/>
        </w:rPr>
        <w:t>.</w:t>
      </w:r>
      <w:r>
        <w:rPr>
          <w:b/>
          <w:bCs/>
          <w:i/>
          <w:iCs/>
          <w:lang w:val="fr-FR"/>
        </w:rPr>
        <w:t>1 pour les dangers pour la couche d’ozone</w:t>
      </w:r>
      <w:bookmarkStart w:id="13" w:name="_Hlk132623377"/>
      <w:bookmarkEnd w:id="13"/>
    </w:p>
    <w:p w14:paraId="1FAE59C2" w14:textId="77777777" w:rsidR="00246D13" w:rsidRPr="00676FB6" w:rsidRDefault="00246D13" w:rsidP="00713D3F">
      <w:pPr>
        <w:jc w:val="center"/>
        <w:rPr>
          <w:b/>
          <w:bCs/>
          <w:i/>
          <w:iCs/>
          <w:lang w:val="fr-FR"/>
        </w:rPr>
      </w:pPr>
    </w:p>
    <w:p w14:paraId="7EB630D4" w14:textId="2607EE7A" w:rsidR="00246D13" w:rsidRDefault="00002725" w:rsidP="00713D3F">
      <w:pPr>
        <w:spacing w:after="240"/>
        <w:jc w:val="center"/>
      </w:pPr>
      <w:r>
        <w:object w:dxaOrig="7635" w:dyaOrig="2896" w14:anchorId="1242C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5pt;height:2in" o:ole="">
            <v:imagedata r:id="rId12" o:title=""/>
          </v:shape>
          <o:OLEObject Type="Embed" ProgID="Visio.Drawing.15" ShapeID="_x0000_i1025" DrawAspect="Content" ObjectID="_1788243629" r:id="rId13"/>
        </w:object>
      </w:r>
    </w:p>
    <w:p w14:paraId="2E7C2E8D" w14:textId="77777777" w:rsidR="00246D13" w:rsidRPr="00676FB6" w:rsidRDefault="00246D13" w:rsidP="007F5D21">
      <w:pPr>
        <w:pStyle w:val="SingleTxtG"/>
        <w:keepNext/>
        <w:keepLines/>
        <w:ind w:left="1985"/>
        <w:rPr>
          <w:b/>
          <w:bCs/>
          <w:i/>
          <w:iCs/>
          <w:lang w:val="fr-FR"/>
        </w:rPr>
      </w:pPr>
      <w:bookmarkStart w:id="14" w:name="_Hlk132623472"/>
      <w:r>
        <w:rPr>
          <w:b/>
          <w:bCs/>
          <w:i/>
          <w:iCs/>
          <w:lang w:val="fr-FR"/>
        </w:rPr>
        <w:lastRenderedPageBreak/>
        <w:t>Diagramme de décision 4</w:t>
      </w:r>
      <w:r w:rsidRPr="0083022B">
        <w:rPr>
          <w:b/>
          <w:bCs/>
          <w:i/>
          <w:iCs/>
          <w:lang w:val="fr-FR"/>
        </w:rPr>
        <w:t>.</w:t>
      </w:r>
      <w:r>
        <w:rPr>
          <w:b/>
          <w:bCs/>
          <w:i/>
          <w:iCs/>
          <w:lang w:val="fr-FR"/>
        </w:rPr>
        <w:t>2</w:t>
      </w:r>
      <w:r w:rsidRPr="0083022B">
        <w:rPr>
          <w:b/>
          <w:bCs/>
          <w:i/>
          <w:iCs/>
          <w:lang w:val="fr-FR"/>
        </w:rPr>
        <w:t>.</w:t>
      </w:r>
      <w:r>
        <w:rPr>
          <w:b/>
          <w:bCs/>
          <w:i/>
          <w:iCs/>
          <w:lang w:val="fr-FR"/>
        </w:rPr>
        <w:t xml:space="preserve">2 pour les dangers du point de vue </w:t>
      </w:r>
      <w:r>
        <w:rPr>
          <w:b/>
          <w:bCs/>
          <w:i/>
          <w:iCs/>
          <w:lang w:val="fr-FR"/>
        </w:rPr>
        <w:br/>
        <w:t>du réchauffement de la planète</w:t>
      </w:r>
    </w:p>
    <w:bookmarkEnd w:id="14"/>
    <w:p w14:paraId="76498124" w14:textId="1D4E024D" w:rsidR="000A2F54" w:rsidRDefault="000A2F54" w:rsidP="007F5D21">
      <w:pPr>
        <w:keepNext/>
        <w:keepLines/>
        <w:tabs>
          <w:tab w:val="left" w:pos="1418"/>
        </w:tabs>
        <w:jc w:val="center"/>
        <w:rPr>
          <w:lang w:val="fr-FR"/>
        </w:rPr>
      </w:pPr>
      <w:r>
        <w:object w:dxaOrig="7651" w:dyaOrig="2896" w14:anchorId="72AE21A7">
          <v:shape id="_x0000_i1026" type="#_x0000_t75" style="width:382.15pt;height:2in" o:ole="">
            <v:imagedata r:id="rId14" o:title=""/>
          </v:shape>
          <o:OLEObject Type="Embed" ProgID="Visio.Drawing.15" ShapeID="_x0000_i1026" DrawAspect="Content" ObjectID="_1788243630" r:id="rId15"/>
        </w:object>
      </w:r>
    </w:p>
    <w:p w14:paraId="7C5AF793" w14:textId="77777777" w:rsidR="00246D13" w:rsidRDefault="00246D13" w:rsidP="00246D13">
      <w:pPr>
        <w:tabs>
          <w:tab w:val="left" w:pos="1418"/>
        </w:tabs>
        <w:spacing w:before="120" w:after="240"/>
        <w:ind w:right="1134"/>
        <w:jc w:val="right"/>
        <w:rPr>
          <w:lang w:val="fr-FR"/>
        </w:rPr>
      </w:pPr>
      <w:r>
        <w:rPr>
          <w:lang w:val="fr-FR"/>
        </w:rPr>
        <w:t>»</w:t>
      </w:r>
      <w:r w:rsidRPr="0083022B">
        <w:rPr>
          <w:lang w:val="fr-FR"/>
        </w:rPr>
        <w:t>.</w:t>
      </w:r>
    </w:p>
    <w:p w14:paraId="3FC279A4" w14:textId="03752B54" w:rsidR="00246D13" w:rsidRPr="00676FB6" w:rsidRDefault="00246D13" w:rsidP="00246D13">
      <w:pPr>
        <w:pStyle w:val="H1G"/>
        <w:rPr>
          <w:b w:val="0"/>
          <w:lang w:val="fr-FR"/>
        </w:rPr>
      </w:pPr>
      <w:r>
        <w:rPr>
          <w:bCs/>
          <w:lang w:val="fr-FR"/>
        </w:rPr>
        <w:tab/>
      </w:r>
      <w:r>
        <w:rPr>
          <w:bCs/>
          <w:lang w:val="fr-FR"/>
        </w:rPr>
        <w:tab/>
        <w:t>Annexe 1</w:t>
      </w:r>
    </w:p>
    <w:p w14:paraId="22C15CF3" w14:textId="410BE672" w:rsidR="00246D13" w:rsidRPr="00676FB6" w:rsidRDefault="00246D13" w:rsidP="00246D13">
      <w:pPr>
        <w:pStyle w:val="SingleTxtG"/>
        <w:keepNext/>
        <w:keepLines/>
        <w:rPr>
          <w:b/>
          <w:bCs/>
          <w:lang w:val="fr-FR"/>
        </w:rPr>
      </w:pPr>
      <w:r>
        <w:rPr>
          <w:b/>
          <w:bCs/>
          <w:lang w:val="fr-FR"/>
        </w:rPr>
        <w:t>Tableau A1</w:t>
      </w:r>
      <w:r w:rsidRPr="0083022B">
        <w:rPr>
          <w:b/>
          <w:bCs/>
          <w:lang w:val="fr-FR"/>
        </w:rPr>
        <w:t>.</w:t>
      </w:r>
      <w:r>
        <w:rPr>
          <w:b/>
          <w:bCs/>
          <w:lang w:val="fr-FR"/>
        </w:rPr>
        <w:t>30</w:t>
      </w:r>
    </w:p>
    <w:p w14:paraId="6F179DFB" w14:textId="77777777" w:rsidR="00246D13" w:rsidRPr="00676FB6" w:rsidRDefault="00246D13" w:rsidP="00246D13">
      <w:pPr>
        <w:keepNext/>
        <w:keepLines/>
        <w:spacing w:after="120" w:line="240" w:lineRule="auto"/>
        <w:ind w:left="1134"/>
        <w:rPr>
          <w:lang w:val="fr-FR"/>
        </w:rPr>
      </w:pPr>
      <w:r>
        <w:rPr>
          <w:lang w:val="fr-FR"/>
        </w:rPr>
        <w:t>Modifier comme suit :</w:t>
      </w:r>
    </w:p>
    <w:p w14:paraId="78149FDD" w14:textId="5959F205" w:rsidR="00246D13" w:rsidRPr="00676FB6" w:rsidRDefault="00246D13" w:rsidP="00246D13">
      <w:pPr>
        <w:pStyle w:val="SingleTxtG"/>
        <w:rPr>
          <w:noProof/>
          <w:lang w:val="fr-FR"/>
        </w:rPr>
      </w:pPr>
      <w:r>
        <w:rPr>
          <w:lang w:val="fr-FR"/>
        </w:rPr>
        <w:t>« </w:t>
      </w:r>
      <w:r>
        <w:rPr>
          <w:b/>
          <w:bCs/>
          <w:lang w:val="fr-FR"/>
        </w:rPr>
        <w:t>A1</w:t>
      </w:r>
      <w:r w:rsidRPr="0083022B">
        <w:rPr>
          <w:b/>
          <w:bCs/>
          <w:lang w:val="fr-FR"/>
        </w:rPr>
        <w:t>.</w:t>
      </w:r>
      <w:r>
        <w:rPr>
          <w:b/>
          <w:bCs/>
          <w:lang w:val="fr-FR"/>
        </w:rPr>
        <w:t>30</w:t>
      </w:r>
      <w:r>
        <w:rPr>
          <w:lang w:val="fr-FR"/>
        </w:rPr>
        <w:tab/>
      </w:r>
      <w:r>
        <w:rPr>
          <w:b/>
          <w:bCs/>
          <w:lang w:val="fr-FR"/>
        </w:rPr>
        <w:t>Dangers pour le système atmosphérique</w:t>
      </w:r>
      <w:r>
        <w:rPr>
          <w:lang w:val="fr-FR"/>
        </w:rPr>
        <w:t xml:space="preserve"> (voir chapitre 4</w:t>
      </w:r>
      <w:r w:rsidRPr="0083022B">
        <w:rPr>
          <w:lang w:val="fr-FR"/>
        </w:rPr>
        <w:t>.</w:t>
      </w:r>
      <w:r>
        <w:rPr>
          <w:lang w:val="fr-FR"/>
        </w:rPr>
        <w:t xml:space="preserve">2 pour les critères de </w:t>
      </w:r>
      <w:r w:rsidR="006830BA">
        <w:rPr>
          <w:lang w:val="fr-FR"/>
        </w:rPr>
        <w:t>classification</w:t>
      </w:r>
      <w:r>
        <w:rPr>
          <w:lang w:val="fr-FR"/>
        </w:rPr>
        <w:t>)</w:t>
      </w:r>
    </w:p>
    <w:p w14:paraId="4A45E0E3" w14:textId="77777777" w:rsidR="00246D13" w:rsidRPr="00676FB6" w:rsidRDefault="00246D13" w:rsidP="00246D13">
      <w:pPr>
        <w:spacing w:line="240" w:lineRule="auto"/>
        <w:ind w:left="284"/>
        <w:jc w:val="both"/>
        <w:rPr>
          <w:noProof/>
          <w:sz w:val="6"/>
          <w:szCs w:val="6"/>
          <w:lang w:val="fr-FR"/>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51"/>
        <w:gridCol w:w="992"/>
        <w:gridCol w:w="1130"/>
        <w:gridCol w:w="1247"/>
        <w:gridCol w:w="1167"/>
        <w:gridCol w:w="1276"/>
        <w:gridCol w:w="708"/>
      </w:tblGrid>
      <w:tr w:rsidR="00246D13" w:rsidRPr="00555BC7" w14:paraId="558605D1" w14:textId="77777777" w:rsidTr="00775023">
        <w:trPr>
          <w:cantSplit/>
          <w:trHeight w:val="285"/>
          <w:tblHeader/>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4B30" w14:textId="77777777" w:rsidR="00246D13" w:rsidRPr="00775023" w:rsidRDefault="00246D13" w:rsidP="00775023">
            <w:pPr>
              <w:tabs>
                <w:tab w:val="left" w:pos="1425"/>
              </w:tabs>
              <w:spacing w:before="60" w:after="60" w:line="240" w:lineRule="auto"/>
              <w:ind w:left="57" w:right="57"/>
              <w:jc w:val="center"/>
              <w:rPr>
                <w:b/>
                <w:bCs/>
                <w:noProof/>
                <w:color w:val="000000" w:themeColor="text1"/>
                <w:sz w:val="16"/>
                <w:szCs w:val="16"/>
                <w:lang w:eastAsia="en-US"/>
              </w:rPr>
            </w:pPr>
            <w:r w:rsidRPr="00775023">
              <w:rPr>
                <w:b/>
                <w:bCs/>
                <w:noProof/>
                <w:color w:val="000000" w:themeColor="text1"/>
                <w:sz w:val="16"/>
                <w:szCs w:val="16"/>
                <w:lang w:eastAsia="en-US"/>
              </w:rPr>
              <w:t>Classification</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tcPr>
          <w:p w14:paraId="793E71C3" w14:textId="77777777" w:rsidR="00246D13" w:rsidRPr="00775023" w:rsidRDefault="00246D13" w:rsidP="00775023">
            <w:pPr>
              <w:tabs>
                <w:tab w:val="left" w:pos="1425"/>
              </w:tabs>
              <w:spacing w:before="60" w:after="60" w:line="240" w:lineRule="auto"/>
              <w:ind w:left="57" w:right="57"/>
              <w:jc w:val="center"/>
              <w:rPr>
                <w:b/>
                <w:bCs/>
                <w:noProof/>
                <w:color w:val="000000" w:themeColor="text1"/>
                <w:sz w:val="16"/>
                <w:szCs w:val="16"/>
                <w:lang w:eastAsia="en-US"/>
              </w:rPr>
            </w:pPr>
            <w:r w:rsidRPr="00775023">
              <w:rPr>
                <w:b/>
                <w:bCs/>
                <w:noProof/>
                <w:color w:val="000000" w:themeColor="text1"/>
                <w:sz w:val="16"/>
                <w:szCs w:val="16"/>
                <w:lang w:eastAsia="en-US"/>
              </w:rPr>
              <w:t>Étiquetage</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14:paraId="6B9F3375" w14:textId="77777777" w:rsidR="00246D13" w:rsidRPr="00775023" w:rsidRDefault="00246D13" w:rsidP="00775023">
            <w:pPr>
              <w:tabs>
                <w:tab w:val="left" w:pos="1425"/>
              </w:tabs>
              <w:spacing w:before="60" w:after="60" w:line="240" w:lineRule="auto"/>
              <w:ind w:left="-31" w:right="-32"/>
              <w:jc w:val="center"/>
              <w:rPr>
                <w:b/>
                <w:bCs/>
                <w:noProof/>
                <w:color w:val="000000" w:themeColor="text1"/>
                <w:sz w:val="16"/>
                <w:szCs w:val="16"/>
                <w:lang w:eastAsia="en-US"/>
              </w:rPr>
            </w:pPr>
            <w:r w:rsidRPr="00775023">
              <w:rPr>
                <w:b/>
                <w:bCs/>
                <w:noProof/>
                <w:color w:val="000000" w:themeColor="text1"/>
                <w:sz w:val="16"/>
                <w:szCs w:val="16"/>
                <w:lang w:eastAsia="en-US"/>
              </w:rPr>
              <w:t xml:space="preserve">Code </w:t>
            </w:r>
            <w:r w:rsidRPr="00775023">
              <w:rPr>
                <w:b/>
                <w:bCs/>
                <w:noProof/>
                <w:color w:val="000000" w:themeColor="text1"/>
                <w:sz w:val="16"/>
                <w:szCs w:val="16"/>
                <w:lang w:eastAsia="en-US"/>
              </w:rPr>
              <w:br/>
              <w:t>de la mention de danger du SGH</w:t>
            </w:r>
          </w:p>
        </w:tc>
      </w:tr>
      <w:tr w:rsidR="00C11206" w:rsidRPr="00555BC7" w14:paraId="6675EF19" w14:textId="77777777" w:rsidTr="00C11206">
        <w:trPr>
          <w:cantSplit/>
          <w:trHeight w:val="380"/>
          <w:tblHeader/>
        </w:trPr>
        <w:tc>
          <w:tcPr>
            <w:tcW w:w="1134" w:type="dxa"/>
            <w:tcBorders>
              <w:bottom w:val="single" w:sz="4" w:space="0" w:color="auto"/>
            </w:tcBorders>
            <w:shd w:val="clear" w:color="auto" w:fill="auto"/>
            <w:vAlign w:val="center"/>
          </w:tcPr>
          <w:p w14:paraId="1199F593" w14:textId="77777777" w:rsidR="00246D13" w:rsidRPr="00775023" w:rsidRDefault="00246D13" w:rsidP="00775023">
            <w:pPr>
              <w:tabs>
                <w:tab w:val="left" w:pos="1425"/>
              </w:tabs>
              <w:spacing w:before="60" w:after="60" w:line="240" w:lineRule="auto"/>
              <w:ind w:left="-26" w:right="-33"/>
              <w:jc w:val="center"/>
              <w:rPr>
                <w:b/>
                <w:bCs/>
                <w:sz w:val="16"/>
                <w:szCs w:val="16"/>
                <w:lang w:val="fr-FR"/>
              </w:rPr>
            </w:pPr>
            <w:r w:rsidRPr="00775023">
              <w:rPr>
                <w:b/>
                <w:bCs/>
                <w:noProof/>
                <w:color w:val="000000" w:themeColor="text1"/>
                <w:sz w:val="16"/>
                <w:szCs w:val="16"/>
                <w:lang w:eastAsia="en-US"/>
              </w:rPr>
              <w:t>Classe</w:t>
            </w:r>
            <w:r w:rsidRPr="00775023">
              <w:rPr>
                <w:b/>
                <w:bCs/>
                <w:sz w:val="16"/>
                <w:szCs w:val="16"/>
                <w:lang w:val="fr-FR"/>
              </w:rPr>
              <w:t xml:space="preserve"> de danger </w:t>
            </w:r>
            <w:r w:rsidRPr="00775023">
              <w:rPr>
                <w:b/>
                <w:bCs/>
                <w:sz w:val="16"/>
                <w:szCs w:val="16"/>
                <w:lang w:val="fr-FR"/>
              </w:rPr>
              <w:br/>
              <w:t>du SGH</w:t>
            </w:r>
          </w:p>
        </w:tc>
        <w:tc>
          <w:tcPr>
            <w:tcW w:w="851" w:type="dxa"/>
            <w:tcBorders>
              <w:bottom w:val="single" w:sz="4" w:space="0" w:color="auto"/>
            </w:tcBorders>
            <w:shd w:val="clear" w:color="auto" w:fill="auto"/>
            <w:vAlign w:val="center"/>
          </w:tcPr>
          <w:p w14:paraId="5A6EC94A" w14:textId="77777777" w:rsidR="00246D13" w:rsidRPr="00775023" w:rsidRDefault="00246D13" w:rsidP="00775023">
            <w:pPr>
              <w:tabs>
                <w:tab w:val="left" w:pos="1425"/>
              </w:tabs>
              <w:spacing w:before="60" w:after="60" w:line="240" w:lineRule="auto"/>
              <w:ind w:left="-32" w:right="-30"/>
              <w:jc w:val="center"/>
              <w:rPr>
                <w:b/>
                <w:bCs/>
                <w:noProof/>
                <w:color w:val="000000" w:themeColor="text1"/>
                <w:sz w:val="16"/>
                <w:szCs w:val="16"/>
                <w:lang w:eastAsia="en-US"/>
              </w:rPr>
            </w:pPr>
            <w:r w:rsidRPr="00775023">
              <w:rPr>
                <w:b/>
                <w:bCs/>
                <w:noProof/>
                <w:color w:val="000000" w:themeColor="text1"/>
                <w:sz w:val="16"/>
                <w:szCs w:val="16"/>
                <w:lang w:eastAsia="en-US"/>
              </w:rPr>
              <w:t>Catégorie de danger du SGH</w:t>
            </w:r>
          </w:p>
        </w:tc>
        <w:tc>
          <w:tcPr>
            <w:tcW w:w="992" w:type="dxa"/>
            <w:tcBorders>
              <w:bottom w:val="single" w:sz="4" w:space="0" w:color="auto"/>
            </w:tcBorders>
          </w:tcPr>
          <w:p w14:paraId="672D0142" w14:textId="77777777" w:rsidR="00246D13" w:rsidRPr="00775023" w:rsidRDefault="00246D13" w:rsidP="00775023">
            <w:pPr>
              <w:tabs>
                <w:tab w:val="left" w:pos="1425"/>
              </w:tabs>
              <w:spacing w:before="60" w:after="60" w:line="240" w:lineRule="auto"/>
              <w:ind w:left="-24"/>
              <w:jc w:val="center"/>
              <w:rPr>
                <w:b/>
                <w:bCs/>
                <w:noProof/>
                <w:color w:val="000000" w:themeColor="text1"/>
                <w:sz w:val="16"/>
                <w:szCs w:val="16"/>
                <w:lang w:eastAsia="en-US"/>
              </w:rPr>
            </w:pPr>
            <w:r w:rsidRPr="00775023">
              <w:rPr>
                <w:b/>
                <w:bCs/>
                <w:noProof/>
                <w:color w:val="000000" w:themeColor="text1"/>
                <w:sz w:val="16"/>
                <w:szCs w:val="16"/>
                <w:lang w:eastAsia="en-US"/>
              </w:rPr>
              <w:t>Classe ou division du Règlement type de l’ONU</w:t>
            </w:r>
          </w:p>
        </w:tc>
        <w:tc>
          <w:tcPr>
            <w:tcW w:w="1130" w:type="dxa"/>
            <w:tcBorders>
              <w:bottom w:val="single" w:sz="4" w:space="0" w:color="auto"/>
            </w:tcBorders>
            <w:shd w:val="clear" w:color="auto" w:fill="auto"/>
            <w:vAlign w:val="center"/>
          </w:tcPr>
          <w:p w14:paraId="449637F6" w14:textId="77777777" w:rsidR="00246D13" w:rsidRPr="00775023" w:rsidRDefault="00246D13" w:rsidP="00775023">
            <w:pPr>
              <w:tabs>
                <w:tab w:val="left" w:pos="1425"/>
              </w:tabs>
              <w:spacing w:before="60" w:after="60" w:line="240" w:lineRule="auto"/>
              <w:ind w:right="-37"/>
              <w:jc w:val="center"/>
              <w:rPr>
                <w:b/>
                <w:bCs/>
                <w:noProof/>
                <w:color w:val="000000" w:themeColor="text1"/>
                <w:sz w:val="16"/>
                <w:szCs w:val="16"/>
                <w:lang w:eastAsia="en-US"/>
              </w:rPr>
            </w:pPr>
            <w:r w:rsidRPr="00775023">
              <w:rPr>
                <w:b/>
                <w:bCs/>
                <w:noProof/>
                <w:color w:val="000000" w:themeColor="text1"/>
                <w:sz w:val="16"/>
                <w:szCs w:val="16"/>
                <w:lang w:eastAsia="en-US"/>
              </w:rPr>
              <w:t>Pictogramme du SGH</w:t>
            </w:r>
          </w:p>
        </w:tc>
        <w:tc>
          <w:tcPr>
            <w:tcW w:w="1247" w:type="dxa"/>
            <w:tcBorders>
              <w:bottom w:val="single" w:sz="4" w:space="0" w:color="auto"/>
            </w:tcBorders>
            <w:shd w:val="clear" w:color="auto" w:fill="auto"/>
            <w:vAlign w:val="center"/>
          </w:tcPr>
          <w:p w14:paraId="51EDC34A" w14:textId="77777777" w:rsidR="00246D13" w:rsidRPr="00775023" w:rsidRDefault="00246D13" w:rsidP="00775023">
            <w:pPr>
              <w:tabs>
                <w:tab w:val="left" w:pos="1425"/>
              </w:tabs>
              <w:spacing w:before="60" w:after="60" w:line="240" w:lineRule="auto"/>
              <w:jc w:val="center"/>
              <w:rPr>
                <w:b/>
                <w:bCs/>
                <w:noProof/>
                <w:color w:val="000000" w:themeColor="text1"/>
                <w:sz w:val="16"/>
                <w:szCs w:val="16"/>
                <w:lang w:eastAsia="en-US"/>
              </w:rPr>
            </w:pPr>
            <w:r w:rsidRPr="00775023">
              <w:rPr>
                <w:b/>
                <w:bCs/>
                <w:noProof/>
                <w:color w:val="000000" w:themeColor="text1"/>
                <w:sz w:val="16"/>
                <w:szCs w:val="16"/>
                <w:lang w:eastAsia="en-US"/>
              </w:rPr>
              <w:t>Pictogramme du Règlement type de l’ONU</w:t>
            </w:r>
          </w:p>
        </w:tc>
        <w:tc>
          <w:tcPr>
            <w:tcW w:w="1167" w:type="dxa"/>
            <w:tcBorders>
              <w:bottom w:val="single" w:sz="4" w:space="0" w:color="auto"/>
            </w:tcBorders>
            <w:shd w:val="clear" w:color="auto" w:fill="auto"/>
            <w:vAlign w:val="center"/>
          </w:tcPr>
          <w:p w14:paraId="2969CF71" w14:textId="77777777" w:rsidR="00246D13" w:rsidRPr="00775023" w:rsidRDefault="00246D13" w:rsidP="00775023">
            <w:pPr>
              <w:tabs>
                <w:tab w:val="left" w:pos="1425"/>
              </w:tabs>
              <w:spacing w:before="60" w:after="60" w:line="240" w:lineRule="auto"/>
              <w:ind w:left="-17" w:right="-61"/>
              <w:jc w:val="center"/>
              <w:rPr>
                <w:b/>
                <w:bCs/>
                <w:noProof/>
                <w:color w:val="000000" w:themeColor="text1"/>
                <w:sz w:val="16"/>
                <w:szCs w:val="16"/>
                <w:lang w:eastAsia="en-US"/>
              </w:rPr>
            </w:pPr>
            <w:r w:rsidRPr="00775023">
              <w:rPr>
                <w:b/>
                <w:bCs/>
                <w:noProof/>
                <w:color w:val="000000" w:themeColor="text1"/>
                <w:sz w:val="16"/>
                <w:szCs w:val="16"/>
                <w:lang w:eastAsia="en-US"/>
              </w:rPr>
              <w:t>Mention d’avertissement du SGH</w:t>
            </w:r>
          </w:p>
        </w:tc>
        <w:tc>
          <w:tcPr>
            <w:tcW w:w="1276" w:type="dxa"/>
            <w:tcBorders>
              <w:bottom w:val="single" w:sz="4" w:space="0" w:color="auto"/>
              <w:right w:val="single" w:sz="4" w:space="0" w:color="auto"/>
            </w:tcBorders>
            <w:shd w:val="clear" w:color="auto" w:fill="auto"/>
            <w:vAlign w:val="center"/>
          </w:tcPr>
          <w:p w14:paraId="5B47E88F" w14:textId="77777777" w:rsidR="00246D13" w:rsidRPr="00775023" w:rsidRDefault="00246D13" w:rsidP="00775023">
            <w:pPr>
              <w:tabs>
                <w:tab w:val="left" w:pos="1425"/>
              </w:tabs>
              <w:spacing w:before="60" w:after="60" w:line="240" w:lineRule="auto"/>
              <w:ind w:left="57" w:right="57"/>
              <w:jc w:val="center"/>
              <w:rPr>
                <w:b/>
                <w:bCs/>
                <w:noProof/>
                <w:color w:val="000000" w:themeColor="text1"/>
                <w:sz w:val="16"/>
                <w:szCs w:val="16"/>
                <w:lang w:eastAsia="en-US"/>
              </w:rPr>
            </w:pPr>
            <w:r w:rsidRPr="00775023">
              <w:rPr>
                <w:b/>
                <w:bCs/>
                <w:noProof/>
                <w:color w:val="000000" w:themeColor="text1"/>
                <w:sz w:val="16"/>
                <w:szCs w:val="16"/>
                <w:lang w:eastAsia="en-US"/>
              </w:rPr>
              <w:t xml:space="preserve">Mention de danger </w:t>
            </w:r>
            <w:r w:rsidRPr="00775023">
              <w:rPr>
                <w:b/>
                <w:bCs/>
                <w:noProof/>
                <w:color w:val="000000" w:themeColor="text1"/>
                <w:sz w:val="16"/>
                <w:szCs w:val="16"/>
                <w:lang w:eastAsia="en-US"/>
              </w:rPr>
              <w:br/>
              <w:t>du SGH</w:t>
            </w:r>
          </w:p>
        </w:tc>
        <w:tc>
          <w:tcPr>
            <w:tcW w:w="708" w:type="dxa"/>
            <w:vMerge/>
            <w:tcBorders>
              <w:left w:val="single" w:sz="4" w:space="0" w:color="auto"/>
              <w:bottom w:val="single" w:sz="4" w:space="0" w:color="auto"/>
              <w:right w:val="single" w:sz="4" w:space="0" w:color="auto"/>
            </w:tcBorders>
            <w:shd w:val="clear" w:color="auto" w:fill="auto"/>
            <w:vAlign w:val="center"/>
          </w:tcPr>
          <w:p w14:paraId="70B18CDD" w14:textId="77777777" w:rsidR="00246D13" w:rsidRPr="00775023" w:rsidRDefault="00246D13" w:rsidP="00775023">
            <w:pPr>
              <w:tabs>
                <w:tab w:val="left" w:pos="1425"/>
              </w:tabs>
              <w:spacing w:before="60" w:after="60" w:line="240" w:lineRule="auto"/>
              <w:ind w:left="57" w:right="57"/>
              <w:jc w:val="center"/>
              <w:rPr>
                <w:b/>
                <w:bCs/>
                <w:noProof/>
                <w:color w:val="000000" w:themeColor="text1"/>
                <w:sz w:val="16"/>
                <w:szCs w:val="16"/>
                <w:lang w:eastAsia="en-US"/>
              </w:rPr>
            </w:pPr>
          </w:p>
        </w:tc>
      </w:tr>
      <w:tr w:rsidR="00C11206" w:rsidRPr="00555BC7" w14:paraId="0671391F" w14:textId="77777777" w:rsidTr="00C11206">
        <w:trPr>
          <w:cantSplit/>
          <w:trHeight w:val="459"/>
        </w:trPr>
        <w:tc>
          <w:tcPr>
            <w:tcW w:w="1134" w:type="dxa"/>
            <w:tcBorders>
              <w:top w:val="single" w:sz="4" w:space="0" w:color="auto"/>
              <w:bottom w:val="single" w:sz="4" w:space="0" w:color="auto"/>
            </w:tcBorders>
            <w:shd w:val="clear" w:color="auto" w:fill="auto"/>
            <w:vAlign w:val="center"/>
          </w:tcPr>
          <w:p w14:paraId="556272D0" w14:textId="77777777" w:rsidR="00246D13" w:rsidRPr="00775023" w:rsidRDefault="00246D13" w:rsidP="00775023">
            <w:pPr>
              <w:tabs>
                <w:tab w:val="left" w:pos="1425"/>
              </w:tabs>
              <w:spacing w:before="60" w:after="60" w:line="240" w:lineRule="auto"/>
              <w:ind w:left="-26" w:right="-33"/>
              <w:jc w:val="center"/>
              <w:rPr>
                <w:b/>
                <w:bCs/>
                <w:noProof/>
                <w:color w:val="000000" w:themeColor="text1"/>
                <w:sz w:val="16"/>
                <w:szCs w:val="16"/>
                <w:lang w:eastAsia="en-US"/>
              </w:rPr>
            </w:pPr>
            <w:r w:rsidRPr="00775023">
              <w:rPr>
                <w:b/>
                <w:bCs/>
                <w:noProof/>
                <w:color w:val="000000" w:themeColor="text1"/>
                <w:sz w:val="16"/>
                <w:szCs w:val="16"/>
                <w:lang w:eastAsia="en-US"/>
              </w:rPr>
              <w:t>Dangers pour la couche d’ozone</w:t>
            </w:r>
          </w:p>
        </w:tc>
        <w:tc>
          <w:tcPr>
            <w:tcW w:w="851" w:type="dxa"/>
            <w:tcBorders>
              <w:top w:val="single" w:sz="4" w:space="0" w:color="auto"/>
              <w:bottom w:val="single" w:sz="4" w:space="0" w:color="auto"/>
            </w:tcBorders>
            <w:shd w:val="clear" w:color="auto" w:fill="auto"/>
            <w:vAlign w:val="center"/>
          </w:tcPr>
          <w:p w14:paraId="3CDB8282" w14:textId="77777777" w:rsidR="00246D13" w:rsidRPr="00775023" w:rsidRDefault="00246D13" w:rsidP="00775023">
            <w:pPr>
              <w:tabs>
                <w:tab w:val="left" w:pos="1425"/>
              </w:tabs>
              <w:spacing w:before="60" w:after="60" w:line="240" w:lineRule="auto"/>
              <w:ind w:left="57" w:right="57"/>
              <w:jc w:val="center"/>
              <w:rPr>
                <w:b/>
                <w:bCs/>
                <w:noProof/>
                <w:color w:val="000000" w:themeColor="text1"/>
                <w:sz w:val="16"/>
                <w:szCs w:val="16"/>
                <w:lang w:eastAsia="en-US"/>
              </w:rPr>
            </w:pPr>
            <w:r w:rsidRPr="00775023">
              <w:rPr>
                <w:b/>
                <w:bCs/>
                <w:noProof/>
                <w:color w:val="000000" w:themeColor="text1"/>
                <w:sz w:val="16"/>
                <w:szCs w:val="16"/>
                <w:lang w:eastAsia="en-US"/>
              </w:rPr>
              <w:t>1</w:t>
            </w:r>
          </w:p>
        </w:tc>
        <w:tc>
          <w:tcPr>
            <w:tcW w:w="992" w:type="dxa"/>
            <w:vMerge w:val="restart"/>
            <w:tcBorders>
              <w:top w:val="single" w:sz="4" w:space="0" w:color="auto"/>
            </w:tcBorders>
            <w:vAlign w:val="center"/>
          </w:tcPr>
          <w:p w14:paraId="4C2A931C" w14:textId="77777777" w:rsidR="00246D13" w:rsidRPr="00775023" w:rsidRDefault="00246D13" w:rsidP="00775023">
            <w:pPr>
              <w:tabs>
                <w:tab w:val="left" w:pos="1425"/>
              </w:tabs>
              <w:spacing w:before="60" w:after="60" w:line="240" w:lineRule="auto"/>
              <w:ind w:left="57" w:right="57"/>
              <w:jc w:val="center"/>
              <w:rPr>
                <w:i/>
                <w:iCs/>
                <w:noProof/>
                <w:color w:val="000000" w:themeColor="text1"/>
                <w:sz w:val="16"/>
                <w:szCs w:val="16"/>
                <w:lang w:eastAsia="en-US"/>
              </w:rPr>
            </w:pPr>
            <w:r w:rsidRPr="00775023">
              <w:rPr>
                <w:i/>
                <w:iCs/>
                <w:noProof/>
                <w:color w:val="000000" w:themeColor="text1"/>
                <w:sz w:val="16"/>
                <w:szCs w:val="16"/>
                <w:lang w:eastAsia="en-US"/>
              </w:rPr>
              <w:t>Sans objet</w:t>
            </w:r>
          </w:p>
        </w:tc>
        <w:tc>
          <w:tcPr>
            <w:tcW w:w="1130" w:type="dxa"/>
            <w:vMerge w:val="restart"/>
            <w:tcBorders>
              <w:top w:val="single" w:sz="4" w:space="0" w:color="auto"/>
            </w:tcBorders>
            <w:shd w:val="clear" w:color="auto" w:fill="auto"/>
            <w:vAlign w:val="center"/>
          </w:tcPr>
          <w:p w14:paraId="185A89DE" w14:textId="77777777" w:rsidR="00246D13" w:rsidRPr="00775023" w:rsidRDefault="00246D13" w:rsidP="00775023">
            <w:pPr>
              <w:rPr>
                <w:noProof/>
                <w:sz w:val="16"/>
                <w:szCs w:val="16"/>
              </w:rPr>
            </w:pPr>
            <w:r w:rsidRPr="00775023">
              <w:rPr>
                <w:noProof/>
                <w:sz w:val="16"/>
                <w:szCs w:val="16"/>
              </w:rPr>
              <w:drawing>
                <wp:inline distT="0" distB="0" distL="0" distR="0" wp14:anchorId="0EB48902" wp14:editId="3EF8B9D0">
                  <wp:extent cx="628015" cy="62801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tc>
        <w:tc>
          <w:tcPr>
            <w:tcW w:w="1247" w:type="dxa"/>
            <w:vMerge w:val="restart"/>
            <w:tcBorders>
              <w:top w:val="single" w:sz="4" w:space="0" w:color="auto"/>
            </w:tcBorders>
            <w:shd w:val="clear" w:color="auto" w:fill="auto"/>
            <w:vAlign w:val="center"/>
          </w:tcPr>
          <w:p w14:paraId="6467C451" w14:textId="77777777" w:rsidR="00246D13" w:rsidRPr="00775023" w:rsidRDefault="00246D13" w:rsidP="00775023">
            <w:pPr>
              <w:tabs>
                <w:tab w:val="left" w:pos="1425"/>
              </w:tabs>
              <w:spacing w:before="60" w:after="60" w:line="240" w:lineRule="auto"/>
              <w:ind w:left="57" w:right="57"/>
              <w:jc w:val="center"/>
              <w:rPr>
                <w:i/>
                <w:sz w:val="16"/>
                <w:szCs w:val="16"/>
              </w:rPr>
            </w:pPr>
            <w:r w:rsidRPr="00775023">
              <w:rPr>
                <w:i/>
                <w:iCs/>
                <w:noProof/>
                <w:color w:val="000000" w:themeColor="text1"/>
                <w:sz w:val="16"/>
                <w:szCs w:val="16"/>
                <w:lang w:eastAsia="en-US"/>
              </w:rPr>
              <w:t>Sans objet</w:t>
            </w:r>
          </w:p>
        </w:tc>
        <w:tc>
          <w:tcPr>
            <w:tcW w:w="1167" w:type="dxa"/>
            <w:vMerge w:val="restart"/>
            <w:tcBorders>
              <w:top w:val="single" w:sz="4" w:space="0" w:color="auto"/>
            </w:tcBorders>
            <w:shd w:val="clear" w:color="auto" w:fill="auto"/>
            <w:vAlign w:val="center"/>
          </w:tcPr>
          <w:p w14:paraId="7BE339E1" w14:textId="77777777" w:rsidR="00246D13" w:rsidRPr="00775023" w:rsidRDefault="00246D13" w:rsidP="00775023">
            <w:pPr>
              <w:tabs>
                <w:tab w:val="left" w:pos="1425"/>
              </w:tabs>
              <w:spacing w:before="60" w:after="60" w:line="240" w:lineRule="auto"/>
              <w:ind w:left="57" w:right="57"/>
              <w:jc w:val="center"/>
              <w:rPr>
                <w:sz w:val="16"/>
                <w:szCs w:val="16"/>
              </w:rPr>
            </w:pPr>
            <w:r w:rsidRPr="00775023">
              <w:rPr>
                <w:b/>
                <w:bCs/>
                <w:noProof/>
                <w:color w:val="000000" w:themeColor="text1"/>
                <w:sz w:val="16"/>
                <w:szCs w:val="16"/>
                <w:lang w:eastAsia="en-US"/>
              </w:rPr>
              <w:t>Attention</w:t>
            </w:r>
          </w:p>
        </w:tc>
        <w:tc>
          <w:tcPr>
            <w:tcW w:w="1276" w:type="dxa"/>
            <w:tcBorders>
              <w:top w:val="single" w:sz="4" w:space="0" w:color="auto"/>
              <w:bottom w:val="single" w:sz="4" w:space="0" w:color="auto"/>
            </w:tcBorders>
            <w:shd w:val="clear" w:color="auto" w:fill="auto"/>
            <w:vAlign w:val="center"/>
          </w:tcPr>
          <w:p w14:paraId="57306080" w14:textId="77777777" w:rsidR="00246D13" w:rsidRPr="00775023" w:rsidRDefault="00246D13" w:rsidP="00775023">
            <w:pPr>
              <w:tabs>
                <w:tab w:val="left" w:pos="1425"/>
              </w:tabs>
              <w:spacing w:before="40" w:after="40" w:line="240" w:lineRule="auto"/>
              <w:ind w:left="57" w:right="57"/>
              <w:rPr>
                <w:sz w:val="16"/>
                <w:szCs w:val="16"/>
                <w:lang w:val="fr-FR"/>
              </w:rPr>
            </w:pPr>
            <w:r w:rsidRPr="00775023">
              <w:rPr>
                <w:sz w:val="16"/>
                <w:szCs w:val="16"/>
                <w:lang w:val="fr-FR"/>
              </w:rPr>
              <w:t xml:space="preserve">Nuit à la santé publique et à </w:t>
            </w:r>
            <w:r w:rsidRPr="00775023">
              <w:rPr>
                <w:noProof/>
                <w:color w:val="000000" w:themeColor="text1"/>
                <w:sz w:val="16"/>
                <w:szCs w:val="16"/>
                <w:lang w:eastAsia="en-US"/>
              </w:rPr>
              <w:t>l’environnement</w:t>
            </w:r>
            <w:r w:rsidRPr="00775023">
              <w:rPr>
                <w:sz w:val="16"/>
                <w:szCs w:val="16"/>
                <w:lang w:val="fr-FR"/>
              </w:rPr>
              <w:t xml:space="preserve"> en détruisant l’ozone dans la haute atmosphère</w:t>
            </w:r>
          </w:p>
        </w:tc>
        <w:tc>
          <w:tcPr>
            <w:tcW w:w="708" w:type="dxa"/>
            <w:tcBorders>
              <w:top w:val="single" w:sz="4" w:space="0" w:color="auto"/>
              <w:bottom w:val="single" w:sz="4" w:space="0" w:color="auto"/>
            </w:tcBorders>
            <w:shd w:val="clear" w:color="auto" w:fill="auto"/>
            <w:vAlign w:val="center"/>
          </w:tcPr>
          <w:p w14:paraId="75F300C3" w14:textId="77777777" w:rsidR="00246D13" w:rsidRPr="00775023" w:rsidRDefault="00246D13" w:rsidP="00775023">
            <w:pPr>
              <w:tabs>
                <w:tab w:val="left" w:pos="1425"/>
              </w:tabs>
              <w:spacing w:before="60" w:after="60" w:line="240" w:lineRule="auto"/>
              <w:ind w:left="57" w:right="57"/>
              <w:jc w:val="center"/>
              <w:rPr>
                <w:noProof/>
                <w:color w:val="000000" w:themeColor="text1"/>
                <w:sz w:val="16"/>
                <w:szCs w:val="16"/>
                <w:lang w:eastAsia="en-US"/>
              </w:rPr>
            </w:pPr>
            <w:r w:rsidRPr="00775023">
              <w:rPr>
                <w:noProof/>
                <w:color w:val="000000" w:themeColor="text1"/>
                <w:sz w:val="16"/>
                <w:szCs w:val="16"/>
                <w:lang w:eastAsia="en-US"/>
              </w:rPr>
              <w:t>H420</w:t>
            </w:r>
          </w:p>
        </w:tc>
      </w:tr>
      <w:tr w:rsidR="00C11206" w:rsidRPr="00555BC7" w14:paraId="5FDA8385" w14:textId="77777777" w:rsidTr="00C11206">
        <w:trPr>
          <w:cantSplit/>
          <w:trHeight w:val="459"/>
        </w:trPr>
        <w:tc>
          <w:tcPr>
            <w:tcW w:w="1134" w:type="dxa"/>
            <w:tcBorders>
              <w:top w:val="single" w:sz="4" w:space="0" w:color="auto"/>
              <w:bottom w:val="single" w:sz="4" w:space="0" w:color="auto"/>
            </w:tcBorders>
            <w:shd w:val="clear" w:color="auto" w:fill="auto"/>
            <w:vAlign w:val="center"/>
          </w:tcPr>
          <w:p w14:paraId="40A90C8A" w14:textId="77777777" w:rsidR="00246D13" w:rsidRPr="00775023" w:rsidRDefault="00246D13" w:rsidP="00775023">
            <w:pPr>
              <w:tabs>
                <w:tab w:val="left" w:pos="1425"/>
              </w:tabs>
              <w:spacing w:before="60" w:after="60" w:line="240" w:lineRule="auto"/>
              <w:ind w:left="-26" w:right="-33"/>
              <w:jc w:val="center"/>
              <w:rPr>
                <w:b/>
                <w:bCs/>
                <w:noProof/>
                <w:color w:val="000000" w:themeColor="text1"/>
                <w:sz w:val="16"/>
                <w:szCs w:val="16"/>
                <w:lang w:eastAsia="en-US"/>
              </w:rPr>
            </w:pPr>
            <w:r w:rsidRPr="00775023">
              <w:rPr>
                <w:b/>
                <w:bCs/>
                <w:noProof/>
                <w:color w:val="000000" w:themeColor="text1"/>
                <w:sz w:val="16"/>
                <w:szCs w:val="16"/>
                <w:lang w:eastAsia="en-US"/>
              </w:rPr>
              <w:t xml:space="preserve">Dangers </w:t>
            </w:r>
            <w:r w:rsidRPr="00775023">
              <w:rPr>
                <w:b/>
                <w:bCs/>
                <w:noProof/>
                <w:color w:val="000000" w:themeColor="text1"/>
                <w:sz w:val="16"/>
                <w:szCs w:val="16"/>
                <w:lang w:eastAsia="en-US"/>
              </w:rPr>
              <w:br/>
              <w:t>du point de vue du réchauffement de la planète</w:t>
            </w:r>
          </w:p>
        </w:tc>
        <w:tc>
          <w:tcPr>
            <w:tcW w:w="851" w:type="dxa"/>
            <w:tcBorders>
              <w:top w:val="single" w:sz="4" w:space="0" w:color="auto"/>
            </w:tcBorders>
            <w:shd w:val="clear" w:color="auto" w:fill="auto"/>
            <w:vAlign w:val="center"/>
          </w:tcPr>
          <w:p w14:paraId="3052DF67" w14:textId="77777777" w:rsidR="00246D13" w:rsidRPr="00775023" w:rsidRDefault="00246D13" w:rsidP="00775023">
            <w:pPr>
              <w:tabs>
                <w:tab w:val="left" w:pos="1425"/>
              </w:tabs>
              <w:spacing w:before="60" w:after="60" w:line="240" w:lineRule="auto"/>
              <w:ind w:left="57" w:right="57"/>
              <w:jc w:val="center"/>
              <w:rPr>
                <w:b/>
                <w:sz w:val="16"/>
                <w:szCs w:val="16"/>
              </w:rPr>
            </w:pPr>
            <w:r w:rsidRPr="00775023">
              <w:rPr>
                <w:b/>
                <w:bCs/>
                <w:sz w:val="16"/>
                <w:szCs w:val="16"/>
                <w:lang w:val="fr-FR"/>
              </w:rPr>
              <w:t>1</w:t>
            </w:r>
          </w:p>
        </w:tc>
        <w:tc>
          <w:tcPr>
            <w:tcW w:w="992" w:type="dxa"/>
            <w:vMerge/>
            <w:vAlign w:val="center"/>
          </w:tcPr>
          <w:p w14:paraId="76514104" w14:textId="77777777" w:rsidR="00246D13" w:rsidRPr="00775023" w:rsidRDefault="00246D13" w:rsidP="00775023">
            <w:pPr>
              <w:rPr>
                <w:noProof/>
                <w:sz w:val="16"/>
                <w:szCs w:val="16"/>
              </w:rPr>
            </w:pPr>
          </w:p>
        </w:tc>
        <w:tc>
          <w:tcPr>
            <w:tcW w:w="1130" w:type="dxa"/>
            <w:vMerge/>
            <w:shd w:val="clear" w:color="auto" w:fill="auto"/>
            <w:vAlign w:val="center"/>
          </w:tcPr>
          <w:p w14:paraId="2638250D" w14:textId="77777777" w:rsidR="00246D13" w:rsidRPr="00775023" w:rsidRDefault="00246D13" w:rsidP="00775023">
            <w:pPr>
              <w:rPr>
                <w:sz w:val="16"/>
                <w:szCs w:val="16"/>
              </w:rPr>
            </w:pPr>
          </w:p>
        </w:tc>
        <w:tc>
          <w:tcPr>
            <w:tcW w:w="1247" w:type="dxa"/>
            <w:vMerge/>
            <w:shd w:val="clear" w:color="auto" w:fill="auto"/>
            <w:vAlign w:val="center"/>
          </w:tcPr>
          <w:p w14:paraId="52F21B18" w14:textId="77777777" w:rsidR="00246D13" w:rsidRPr="00775023" w:rsidRDefault="00246D13" w:rsidP="00775023">
            <w:pPr>
              <w:rPr>
                <w:sz w:val="16"/>
                <w:szCs w:val="16"/>
              </w:rPr>
            </w:pPr>
          </w:p>
        </w:tc>
        <w:tc>
          <w:tcPr>
            <w:tcW w:w="1167" w:type="dxa"/>
            <w:vMerge/>
            <w:shd w:val="clear" w:color="auto" w:fill="auto"/>
            <w:vAlign w:val="center"/>
          </w:tcPr>
          <w:p w14:paraId="2D064A7A" w14:textId="77777777" w:rsidR="00246D13" w:rsidRPr="00775023" w:rsidRDefault="00246D13" w:rsidP="00775023">
            <w:pPr>
              <w:rPr>
                <w:sz w:val="16"/>
                <w:szCs w:val="16"/>
              </w:rPr>
            </w:pPr>
          </w:p>
        </w:tc>
        <w:tc>
          <w:tcPr>
            <w:tcW w:w="1276" w:type="dxa"/>
            <w:tcBorders>
              <w:top w:val="single" w:sz="4" w:space="0" w:color="auto"/>
              <w:bottom w:val="single" w:sz="4" w:space="0" w:color="auto"/>
            </w:tcBorders>
            <w:shd w:val="clear" w:color="auto" w:fill="auto"/>
            <w:vAlign w:val="center"/>
          </w:tcPr>
          <w:p w14:paraId="6563ED3B" w14:textId="77777777" w:rsidR="00246D13" w:rsidRPr="00775023" w:rsidRDefault="00246D13" w:rsidP="00775023">
            <w:pPr>
              <w:tabs>
                <w:tab w:val="left" w:pos="1425"/>
              </w:tabs>
              <w:spacing w:before="40" w:after="40" w:line="240" w:lineRule="auto"/>
              <w:ind w:left="57" w:right="57"/>
              <w:rPr>
                <w:noProof/>
                <w:sz w:val="16"/>
                <w:szCs w:val="16"/>
                <w:lang w:val="fr-FR"/>
              </w:rPr>
            </w:pPr>
            <w:r w:rsidRPr="00775023">
              <w:rPr>
                <w:sz w:val="16"/>
                <w:szCs w:val="16"/>
                <w:lang w:val="fr-FR"/>
              </w:rPr>
              <w:t xml:space="preserve">Nuit à la santé publique et à </w:t>
            </w:r>
            <w:r w:rsidRPr="00775023">
              <w:rPr>
                <w:noProof/>
                <w:color w:val="000000" w:themeColor="text1"/>
                <w:sz w:val="16"/>
                <w:szCs w:val="16"/>
                <w:lang w:eastAsia="en-US"/>
              </w:rPr>
              <w:t>l’environnement</w:t>
            </w:r>
            <w:r w:rsidRPr="00775023">
              <w:rPr>
                <w:sz w:val="16"/>
                <w:szCs w:val="16"/>
                <w:lang w:val="fr-FR"/>
              </w:rPr>
              <w:t xml:space="preserve"> </w:t>
            </w:r>
            <w:r w:rsidRPr="00775023">
              <w:rPr>
                <w:sz w:val="16"/>
                <w:szCs w:val="16"/>
                <w:lang w:val="fr-FR"/>
              </w:rPr>
              <w:br/>
              <w:t xml:space="preserve">en contribuant au réchauffement </w:t>
            </w:r>
            <w:r w:rsidRPr="00775023">
              <w:rPr>
                <w:sz w:val="16"/>
                <w:szCs w:val="16"/>
                <w:lang w:val="fr-FR"/>
              </w:rPr>
              <w:br/>
              <w:t xml:space="preserve">de la planète </w:t>
            </w:r>
          </w:p>
        </w:tc>
        <w:tc>
          <w:tcPr>
            <w:tcW w:w="708" w:type="dxa"/>
            <w:tcBorders>
              <w:top w:val="single" w:sz="4" w:space="0" w:color="auto"/>
              <w:bottom w:val="single" w:sz="4" w:space="0" w:color="auto"/>
            </w:tcBorders>
            <w:shd w:val="clear" w:color="auto" w:fill="auto"/>
            <w:vAlign w:val="center"/>
          </w:tcPr>
          <w:p w14:paraId="4590D224" w14:textId="77777777" w:rsidR="00246D13" w:rsidRPr="00775023" w:rsidRDefault="00246D13" w:rsidP="00775023">
            <w:pPr>
              <w:tabs>
                <w:tab w:val="left" w:pos="1425"/>
              </w:tabs>
              <w:spacing w:before="60" w:after="60" w:line="240" w:lineRule="auto"/>
              <w:ind w:left="57" w:right="57"/>
              <w:jc w:val="center"/>
              <w:rPr>
                <w:noProof/>
                <w:color w:val="000000" w:themeColor="text1"/>
                <w:sz w:val="16"/>
                <w:szCs w:val="16"/>
                <w:lang w:eastAsia="en-US"/>
              </w:rPr>
            </w:pPr>
            <w:r w:rsidRPr="00775023">
              <w:rPr>
                <w:noProof/>
                <w:color w:val="000000" w:themeColor="text1"/>
                <w:sz w:val="16"/>
                <w:szCs w:val="16"/>
                <w:lang w:eastAsia="en-US"/>
              </w:rPr>
              <w:t>H421</w:t>
            </w:r>
          </w:p>
        </w:tc>
      </w:tr>
    </w:tbl>
    <w:p w14:paraId="5CF47A5A" w14:textId="77777777" w:rsidR="00246D13" w:rsidRDefault="00246D13" w:rsidP="00246D13">
      <w:pPr>
        <w:spacing w:before="120" w:line="240" w:lineRule="auto"/>
        <w:ind w:left="1418"/>
        <w:jc w:val="right"/>
        <w:rPr>
          <w:lang w:val="fr-FR"/>
        </w:rPr>
      </w:pPr>
      <w:r>
        <w:rPr>
          <w:lang w:val="fr-FR"/>
        </w:rPr>
        <w:t>»</w:t>
      </w:r>
      <w:r w:rsidRPr="0083022B">
        <w:rPr>
          <w:lang w:val="fr-FR"/>
        </w:rPr>
        <w:t>.</w:t>
      </w:r>
    </w:p>
    <w:p w14:paraId="60A3F197" w14:textId="51E892CB" w:rsidR="00246D13" w:rsidRPr="00676FB6" w:rsidRDefault="00246D13" w:rsidP="00246D13">
      <w:pPr>
        <w:pStyle w:val="H1G"/>
        <w:rPr>
          <w:lang w:val="fr-FR"/>
        </w:rPr>
      </w:pPr>
      <w:r>
        <w:rPr>
          <w:lang w:val="fr-FR"/>
        </w:rPr>
        <w:tab/>
      </w:r>
      <w:r>
        <w:rPr>
          <w:lang w:val="fr-FR"/>
        </w:rPr>
        <w:tab/>
        <w:t>Annexe 3, section 1</w:t>
      </w:r>
    </w:p>
    <w:p w14:paraId="0C7810FD" w14:textId="77777777" w:rsidR="00246D13" w:rsidRPr="00676FB6" w:rsidRDefault="00246D13" w:rsidP="00246D13">
      <w:pPr>
        <w:pStyle w:val="SingleTxtG"/>
        <w:rPr>
          <w:b/>
          <w:bCs/>
          <w:noProof/>
          <w:lang w:val="fr-FR"/>
        </w:rPr>
      </w:pPr>
      <w:r>
        <w:rPr>
          <w:b/>
          <w:bCs/>
          <w:lang w:val="fr-FR"/>
        </w:rPr>
        <w:t>Tableau A3</w:t>
      </w:r>
      <w:r w:rsidRPr="0083022B">
        <w:rPr>
          <w:b/>
          <w:bCs/>
          <w:lang w:val="fr-FR"/>
        </w:rPr>
        <w:t>.</w:t>
      </w:r>
      <w:r>
        <w:rPr>
          <w:b/>
          <w:bCs/>
          <w:lang w:val="fr-FR"/>
        </w:rPr>
        <w:t>1</w:t>
      </w:r>
      <w:r w:rsidRPr="0083022B">
        <w:rPr>
          <w:b/>
          <w:bCs/>
          <w:lang w:val="fr-FR"/>
        </w:rPr>
        <w:t>.</w:t>
      </w:r>
      <w:r>
        <w:rPr>
          <w:b/>
          <w:bCs/>
          <w:lang w:val="fr-FR"/>
        </w:rPr>
        <w:t>3</w:t>
      </w:r>
      <w:r>
        <w:rPr>
          <w:lang w:val="fr-FR"/>
        </w:rPr>
        <w:t xml:space="preserve"> </w:t>
      </w:r>
    </w:p>
    <w:p w14:paraId="7530794C" w14:textId="62544FBC" w:rsidR="00246D13" w:rsidRPr="00676FB6" w:rsidRDefault="00246D13" w:rsidP="00246D13">
      <w:pPr>
        <w:spacing w:after="240" w:line="240" w:lineRule="auto"/>
        <w:ind w:left="1134"/>
        <w:jc w:val="both"/>
        <w:rPr>
          <w:lang w:val="fr-FR"/>
        </w:rPr>
      </w:pPr>
      <w:r>
        <w:rPr>
          <w:lang w:val="fr-FR"/>
        </w:rPr>
        <w:t>Insérer la nouvelle ligne suivante sous H420 :</w:t>
      </w:r>
    </w:p>
    <w:tbl>
      <w:tblPr>
        <w:tblStyle w:val="Grilledutableau"/>
        <w:tblW w:w="8050" w:type="dxa"/>
        <w:tblInd w:w="1129" w:type="dxa"/>
        <w:tblLayout w:type="fixed"/>
        <w:tblLook w:val="04A0" w:firstRow="1" w:lastRow="0" w:firstColumn="1" w:lastColumn="0" w:noHBand="0" w:noVBand="1"/>
      </w:tblPr>
      <w:tblGrid>
        <w:gridCol w:w="709"/>
        <w:gridCol w:w="3827"/>
        <w:gridCol w:w="2845"/>
        <w:gridCol w:w="669"/>
      </w:tblGrid>
      <w:tr w:rsidR="00246D13" w:rsidRPr="00B65252" w14:paraId="629FCBFB" w14:textId="77777777" w:rsidTr="004D33AF">
        <w:tc>
          <w:tcPr>
            <w:tcW w:w="709" w:type="dxa"/>
            <w:tcBorders>
              <w:bottom w:val="single" w:sz="4" w:space="0" w:color="auto"/>
            </w:tcBorders>
          </w:tcPr>
          <w:p w14:paraId="5FAA4C13" w14:textId="77777777" w:rsidR="00246D13" w:rsidRPr="00B65252" w:rsidRDefault="00246D13" w:rsidP="004D33AF">
            <w:pPr>
              <w:pStyle w:val="SingleTxtG"/>
              <w:spacing w:before="60" w:after="60" w:line="220" w:lineRule="atLeast"/>
              <w:ind w:left="57" w:right="57"/>
              <w:jc w:val="center"/>
              <w:rPr>
                <w:b/>
                <w:bCs/>
                <w:sz w:val="18"/>
                <w:szCs w:val="18"/>
              </w:rPr>
            </w:pPr>
            <w:r w:rsidRPr="00B65252">
              <w:rPr>
                <w:b/>
                <w:bCs/>
                <w:sz w:val="18"/>
                <w:szCs w:val="18"/>
                <w:lang w:val="fr-FR"/>
              </w:rPr>
              <w:t>(1)</w:t>
            </w:r>
          </w:p>
        </w:tc>
        <w:tc>
          <w:tcPr>
            <w:tcW w:w="3827" w:type="dxa"/>
            <w:tcBorders>
              <w:bottom w:val="single" w:sz="4" w:space="0" w:color="auto"/>
            </w:tcBorders>
          </w:tcPr>
          <w:p w14:paraId="23354B4C" w14:textId="77777777" w:rsidR="00246D13" w:rsidRPr="00B65252" w:rsidRDefault="00246D13" w:rsidP="004D33AF">
            <w:pPr>
              <w:pStyle w:val="SingleTxtG"/>
              <w:spacing w:before="60" w:after="60" w:line="220" w:lineRule="atLeast"/>
              <w:ind w:left="57" w:right="57"/>
              <w:jc w:val="center"/>
              <w:rPr>
                <w:b/>
                <w:bCs/>
                <w:sz w:val="18"/>
                <w:szCs w:val="18"/>
              </w:rPr>
            </w:pPr>
            <w:r w:rsidRPr="00B65252">
              <w:rPr>
                <w:b/>
                <w:bCs/>
                <w:sz w:val="18"/>
                <w:szCs w:val="18"/>
                <w:lang w:val="fr-FR"/>
              </w:rPr>
              <w:t>(2)</w:t>
            </w:r>
          </w:p>
        </w:tc>
        <w:tc>
          <w:tcPr>
            <w:tcW w:w="2845" w:type="dxa"/>
          </w:tcPr>
          <w:p w14:paraId="4E9666A5" w14:textId="77777777" w:rsidR="00246D13" w:rsidRPr="00B65252" w:rsidRDefault="00246D13" w:rsidP="004D33AF">
            <w:pPr>
              <w:pStyle w:val="SingleTxtG"/>
              <w:spacing w:before="60" w:after="60" w:line="220" w:lineRule="atLeast"/>
              <w:ind w:left="57" w:right="57"/>
              <w:jc w:val="center"/>
              <w:rPr>
                <w:b/>
                <w:bCs/>
                <w:sz w:val="18"/>
                <w:szCs w:val="18"/>
              </w:rPr>
            </w:pPr>
            <w:r w:rsidRPr="00B65252">
              <w:rPr>
                <w:b/>
                <w:bCs/>
                <w:sz w:val="18"/>
                <w:szCs w:val="18"/>
                <w:lang w:val="fr-FR"/>
              </w:rPr>
              <w:t>(3)</w:t>
            </w:r>
          </w:p>
        </w:tc>
        <w:tc>
          <w:tcPr>
            <w:tcW w:w="669" w:type="dxa"/>
          </w:tcPr>
          <w:p w14:paraId="7AEC9F14" w14:textId="77777777" w:rsidR="00246D13" w:rsidRPr="00B65252" w:rsidRDefault="00246D13" w:rsidP="004D33AF">
            <w:pPr>
              <w:pStyle w:val="SingleTxtG"/>
              <w:spacing w:before="60" w:after="60" w:line="220" w:lineRule="atLeast"/>
              <w:ind w:left="57" w:right="57"/>
              <w:jc w:val="center"/>
              <w:rPr>
                <w:b/>
                <w:bCs/>
                <w:sz w:val="18"/>
                <w:szCs w:val="18"/>
              </w:rPr>
            </w:pPr>
            <w:r w:rsidRPr="00B65252">
              <w:rPr>
                <w:b/>
                <w:bCs/>
                <w:sz w:val="18"/>
                <w:szCs w:val="18"/>
                <w:lang w:val="fr-FR"/>
              </w:rPr>
              <w:t>(4)</w:t>
            </w:r>
          </w:p>
        </w:tc>
      </w:tr>
      <w:tr w:rsidR="00246D13" w:rsidRPr="00B65252" w14:paraId="1B9FFDF5" w14:textId="77777777" w:rsidTr="004D33AF">
        <w:trPr>
          <w:trHeight w:val="328"/>
        </w:trPr>
        <w:tc>
          <w:tcPr>
            <w:tcW w:w="709" w:type="dxa"/>
            <w:tcBorders>
              <w:bottom w:val="single" w:sz="4" w:space="0" w:color="auto"/>
              <w:right w:val="single" w:sz="4" w:space="0" w:color="auto"/>
            </w:tcBorders>
          </w:tcPr>
          <w:p w14:paraId="276156FE" w14:textId="77777777" w:rsidR="00246D13" w:rsidRPr="00B65252" w:rsidRDefault="00246D13" w:rsidP="004D33AF">
            <w:pPr>
              <w:spacing w:before="60" w:after="60" w:line="220" w:lineRule="atLeast"/>
              <w:ind w:left="57" w:right="57"/>
              <w:jc w:val="center"/>
              <w:rPr>
                <w:sz w:val="18"/>
                <w:szCs w:val="18"/>
              </w:rPr>
            </w:pPr>
            <w:r w:rsidRPr="00B65252">
              <w:rPr>
                <w:sz w:val="18"/>
                <w:szCs w:val="18"/>
                <w:lang w:val="fr-FR"/>
              </w:rPr>
              <w:t>H421</w:t>
            </w:r>
          </w:p>
        </w:tc>
        <w:tc>
          <w:tcPr>
            <w:tcW w:w="3827" w:type="dxa"/>
            <w:tcBorders>
              <w:left w:val="single" w:sz="4" w:space="0" w:color="auto"/>
              <w:bottom w:val="single" w:sz="4" w:space="0" w:color="auto"/>
            </w:tcBorders>
          </w:tcPr>
          <w:p w14:paraId="5C531CF2" w14:textId="77777777" w:rsidR="00246D13" w:rsidRPr="00B65252" w:rsidRDefault="00246D13" w:rsidP="004D33AF">
            <w:pPr>
              <w:spacing w:before="60" w:after="60" w:line="220" w:lineRule="atLeast"/>
              <w:ind w:left="57" w:right="57"/>
              <w:rPr>
                <w:b/>
                <w:bCs/>
                <w:sz w:val="18"/>
                <w:szCs w:val="18"/>
                <w:lang w:val="fr-FR"/>
              </w:rPr>
            </w:pPr>
            <w:r w:rsidRPr="00B65252">
              <w:rPr>
                <w:b/>
                <w:bCs/>
                <w:sz w:val="18"/>
                <w:szCs w:val="18"/>
                <w:lang w:val="fr-FR"/>
              </w:rPr>
              <w:t>Nuit à la santé publique et à l</w:t>
            </w:r>
            <w:r>
              <w:rPr>
                <w:b/>
                <w:bCs/>
                <w:sz w:val="18"/>
                <w:szCs w:val="18"/>
                <w:lang w:val="fr-FR"/>
              </w:rPr>
              <w:t>’</w:t>
            </w:r>
            <w:r w:rsidRPr="00B65252">
              <w:rPr>
                <w:b/>
                <w:bCs/>
                <w:sz w:val="18"/>
                <w:szCs w:val="18"/>
                <w:lang w:val="fr-FR"/>
              </w:rPr>
              <w:t xml:space="preserve">environnement </w:t>
            </w:r>
            <w:r>
              <w:rPr>
                <w:b/>
                <w:bCs/>
                <w:sz w:val="18"/>
                <w:szCs w:val="18"/>
                <w:lang w:val="fr-FR"/>
              </w:rPr>
              <w:br/>
            </w:r>
            <w:r w:rsidRPr="00B65252">
              <w:rPr>
                <w:b/>
                <w:bCs/>
                <w:sz w:val="18"/>
                <w:szCs w:val="18"/>
                <w:lang w:val="fr-FR"/>
              </w:rPr>
              <w:t>en contribuant au réchauffement de la planète</w:t>
            </w:r>
          </w:p>
        </w:tc>
        <w:tc>
          <w:tcPr>
            <w:tcW w:w="2845" w:type="dxa"/>
          </w:tcPr>
          <w:p w14:paraId="7B8A6579" w14:textId="5783BEE7" w:rsidR="00246D13" w:rsidRPr="00B65252" w:rsidRDefault="00246D13" w:rsidP="004D33AF">
            <w:pPr>
              <w:spacing w:before="60" w:after="60" w:line="220" w:lineRule="atLeast"/>
              <w:ind w:left="57" w:right="57"/>
              <w:rPr>
                <w:sz w:val="18"/>
                <w:szCs w:val="18"/>
                <w:lang w:val="fr-FR"/>
              </w:rPr>
            </w:pPr>
            <w:r w:rsidRPr="00B65252">
              <w:rPr>
                <w:sz w:val="18"/>
                <w:szCs w:val="18"/>
                <w:lang w:val="fr-FR"/>
              </w:rPr>
              <w:t xml:space="preserve">Dangers </w:t>
            </w:r>
            <w:r>
              <w:rPr>
                <w:sz w:val="18"/>
                <w:szCs w:val="18"/>
                <w:lang w:val="fr-FR"/>
              </w:rPr>
              <w:t>du point de vue du</w:t>
            </w:r>
            <w:r w:rsidRPr="00B65252">
              <w:rPr>
                <w:sz w:val="18"/>
                <w:szCs w:val="18"/>
                <w:lang w:val="fr-FR"/>
              </w:rPr>
              <w:t xml:space="preserve"> réchauffement de la planète (chap</w:t>
            </w:r>
            <w:r w:rsidR="00745F67">
              <w:rPr>
                <w:sz w:val="18"/>
                <w:szCs w:val="18"/>
                <w:lang w:val="fr-FR"/>
              </w:rPr>
              <w:t>itre</w:t>
            </w:r>
            <w:r>
              <w:rPr>
                <w:sz w:val="18"/>
                <w:szCs w:val="18"/>
                <w:lang w:val="fr-FR"/>
              </w:rPr>
              <w:t> </w:t>
            </w:r>
            <w:r w:rsidRPr="00B65252">
              <w:rPr>
                <w:sz w:val="18"/>
                <w:szCs w:val="18"/>
                <w:lang w:val="fr-FR"/>
              </w:rPr>
              <w:t>4</w:t>
            </w:r>
            <w:r w:rsidRPr="0083022B">
              <w:rPr>
                <w:sz w:val="18"/>
                <w:szCs w:val="18"/>
                <w:lang w:val="fr-FR"/>
              </w:rPr>
              <w:t>.</w:t>
            </w:r>
            <w:r w:rsidRPr="00B65252">
              <w:rPr>
                <w:sz w:val="18"/>
                <w:szCs w:val="18"/>
                <w:lang w:val="fr-FR"/>
              </w:rPr>
              <w:t>2)</w:t>
            </w:r>
          </w:p>
        </w:tc>
        <w:tc>
          <w:tcPr>
            <w:tcW w:w="669" w:type="dxa"/>
          </w:tcPr>
          <w:p w14:paraId="0763D2F0" w14:textId="77777777" w:rsidR="00246D13" w:rsidRPr="00B65252" w:rsidRDefault="00246D13" w:rsidP="004D33AF">
            <w:pPr>
              <w:spacing w:before="60" w:after="60" w:line="220" w:lineRule="atLeast"/>
              <w:ind w:left="57" w:right="57"/>
              <w:jc w:val="center"/>
              <w:rPr>
                <w:sz w:val="18"/>
                <w:szCs w:val="18"/>
              </w:rPr>
            </w:pPr>
            <w:r w:rsidRPr="00B65252">
              <w:rPr>
                <w:sz w:val="18"/>
                <w:szCs w:val="18"/>
                <w:lang w:val="fr-FR"/>
              </w:rPr>
              <w:t>1</w:t>
            </w:r>
          </w:p>
        </w:tc>
      </w:tr>
    </w:tbl>
    <w:p w14:paraId="64FE72CA" w14:textId="743F9B6D" w:rsidR="00246D13" w:rsidRPr="00676FB6" w:rsidRDefault="00246D13" w:rsidP="00246D13">
      <w:pPr>
        <w:pStyle w:val="H1G"/>
        <w:rPr>
          <w:lang w:val="fr-FR"/>
        </w:rPr>
      </w:pPr>
      <w:r>
        <w:rPr>
          <w:lang w:val="fr-FR"/>
        </w:rPr>
        <w:lastRenderedPageBreak/>
        <w:tab/>
      </w:r>
      <w:r>
        <w:rPr>
          <w:lang w:val="fr-FR"/>
        </w:rPr>
        <w:tab/>
        <w:t>Annexe 3, section 2</w:t>
      </w:r>
    </w:p>
    <w:p w14:paraId="1086AC11" w14:textId="77777777" w:rsidR="00246D13" w:rsidRPr="00AE3663" w:rsidRDefault="00246D13" w:rsidP="00775023">
      <w:pPr>
        <w:pStyle w:val="H23G"/>
        <w:rPr>
          <w:lang w:val="fr-FR"/>
        </w:rPr>
      </w:pPr>
      <w:r>
        <w:rPr>
          <w:lang w:val="fr-FR"/>
        </w:rPr>
        <w:tab/>
      </w:r>
      <w:r>
        <w:rPr>
          <w:lang w:val="fr-FR"/>
        </w:rPr>
        <w:tab/>
      </w:r>
      <w:r w:rsidRPr="00AE3663">
        <w:rPr>
          <w:lang w:val="fr-FR"/>
        </w:rPr>
        <w:t>Tableau A3.2.2</w:t>
      </w:r>
    </w:p>
    <w:p w14:paraId="1983C53F" w14:textId="77777777" w:rsidR="00246D13" w:rsidRPr="00AE3663" w:rsidRDefault="00246D13" w:rsidP="00246D13">
      <w:pPr>
        <w:pStyle w:val="H23G"/>
        <w:rPr>
          <w:lang w:val="fr-FR"/>
        </w:rPr>
      </w:pPr>
      <w:r w:rsidRPr="00AE3663">
        <w:rPr>
          <w:lang w:val="fr-FR"/>
        </w:rPr>
        <w:tab/>
      </w:r>
      <w:r w:rsidRPr="00AE3663">
        <w:rPr>
          <w:lang w:val="fr-FR"/>
        </w:rPr>
        <w:tab/>
        <w:t>P260, colonne (4)</w:t>
      </w:r>
    </w:p>
    <w:p w14:paraId="6F32B6C9" w14:textId="7B58DC17" w:rsidR="00246D13" w:rsidRPr="00AE3663" w:rsidRDefault="003869BD" w:rsidP="00246D13">
      <w:pPr>
        <w:pStyle w:val="SingleTxtG"/>
        <w:rPr>
          <w:rFonts w:asciiTheme="majorBidi" w:hAnsiTheme="majorBidi" w:cstheme="majorBidi"/>
          <w:lang w:val="fr-FR"/>
        </w:rPr>
      </w:pPr>
      <w:r>
        <w:rPr>
          <w:rFonts w:asciiTheme="majorBidi" w:hAnsiTheme="majorBidi" w:cstheme="majorBidi"/>
          <w:lang w:val="fr-FR"/>
        </w:rPr>
        <w:t>Ligne</w:t>
      </w:r>
      <w:r w:rsidR="00660593">
        <w:rPr>
          <w:rFonts w:asciiTheme="majorBidi" w:hAnsiTheme="majorBidi" w:cstheme="majorBidi"/>
          <w:lang w:val="fr-FR"/>
        </w:rPr>
        <w:t xml:space="preserve"> </w:t>
      </w:r>
      <w:r w:rsidR="00246D13" w:rsidRPr="00AE3663">
        <w:rPr>
          <w:rFonts w:asciiTheme="majorBidi" w:hAnsiTheme="majorBidi" w:cstheme="majorBidi"/>
          <w:lang w:val="fr-FR"/>
        </w:rPr>
        <w:t>«</w:t>
      </w:r>
      <w:r w:rsidR="00246D13">
        <w:rPr>
          <w:rFonts w:asciiTheme="majorBidi" w:hAnsiTheme="majorBidi" w:cstheme="majorBidi"/>
          <w:lang w:val="fr-FR"/>
        </w:rPr>
        <w:t> </w:t>
      </w:r>
      <w:r w:rsidR="00246D13" w:rsidRPr="00AE3663">
        <w:rPr>
          <w:rFonts w:asciiTheme="majorBidi" w:hAnsiTheme="majorBidi" w:cstheme="majorBidi"/>
          <w:lang w:val="fr-FR"/>
        </w:rPr>
        <w:t>Toxicité aiguë, inhalation (chap</w:t>
      </w:r>
      <w:r w:rsidR="00FD461B">
        <w:rPr>
          <w:rFonts w:asciiTheme="majorBidi" w:hAnsiTheme="majorBidi" w:cstheme="majorBidi"/>
          <w:lang w:val="fr-FR"/>
        </w:rPr>
        <w:t>itre</w:t>
      </w:r>
      <w:r w:rsidR="00246D13">
        <w:rPr>
          <w:rFonts w:asciiTheme="majorBidi" w:hAnsiTheme="majorBidi" w:cstheme="majorBidi"/>
          <w:lang w:val="fr-FR"/>
        </w:rPr>
        <w:t> </w:t>
      </w:r>
      <w:r w:rsidR="00246D13" w:rsidRPr="00AE3663">
        <w:rPr>
          <w:rFonts w:asciiTheme="majorBidi" w:hAnsiTheme="majorBidi" w:cstheme="majorBidi"/>
          <w:lang w:val="fr-FR"/>
        </w:rPr>
        <w:t>3.1)</w:t>
      </w:r>
      <w:r w:rsidR="00246D13">
        <w:rPr>
          <w:rFonts w:asciiTheme="majorBidi" w:hAnsiTheme="majorBidi" w:cstheme="majorBidi"/>
          <w:lang w:val="fr-FR"/>
        </w:rPr>
        <w:t> </w:t>
      </w:r>
      <w:r w:rsidR="00246D13" w:rsidRPr="00AE3663">
        <w:rPr>
          <w:rFonts w:asciiTheme="majorBidi" w:hAnsiTheme="majorBidi" w:cstheme="majorBidi"/>
          <w:lang w:val="fr-FR"/>
        </w:rPr>
        <w:t>»</w:t>
      </w:r>
      <w:r w:rsidR="009339ED">
        <w:rPr>
          <w:rFonts w:asciiTheme="majorBidi" w:hAnsiTheme="majorBidi" w:cstheme="majorBidi"/>
          <w:lang w:val="fr-FR"/>
        </w:rPr>
        <w:t> :</w:t>
      </w:r>
      <w:r w:rsidR="00246D13" w:rsidRPr="00AE3663">
        <w:rPr>
          <w:rFonts w:asciiTheme="majorBidi" w:hAnsiTheme="majorBidi" w:cstheme="majorBidi"/>
          <w:lang w:val="fr-FR"/>
        </w:rPr>
        <w:t xml:space="preserve"> ajouter «, 3 » après « 1, 2 ».</w:t>
      </w:r>
    </w:p>
    <w:p w14:paraId="079B2001" w14:textId="7D97DCBE" w:rsidR="00246D13" w:rsidRDefault="003869BD" w:rsidP="009C7B54">
      <w:pPr>
        <w:pStyle w:val="SingleTxtG"/>
        <w:rPr>
          <w:rFonts w:asciiTheme="majorBidi" w:hAnsiTheme="majorBidi" w:cstheme="majorBidi"/>
          <w:lang w:val="fr-FR"/>
        </w:rPr>
      </w:pPr>
      <w:r>
        <w:rPr>
          <w:rFonts w:asciiTheme="majorBidi" w:hAnsiTheme="majorBidi" w:cstheme="majorBidi"/>
          <w:lang w:val="fr-FR"/>
        </w:rPr>
        <w:t>Lignes</w:t>
      </w:r>
      <w:r w:rsidR="00660593">
        <w:rPr>
          <w:rFonts w:asciiTheme="majorBidi" w:hAnsiTheme="majorBidi" w:cstheme="majorBidi"/>
          <w:lang w:val="fr-FR"/>
        </w:rPr>
        <w:t xml:space="preserve"> </w:t>
      </w:r>
      <w:r w:rsidR="00246D13" w:rsidRPr="00AE3663">
        <w:rPr>
          <w:rFonts w:asciiTheme="majorBidi" w:hAnsiTheme="majorBidi" w:cstheme="majorBidi"/>
          <w:lang w:val="fr-FR"/>
        </w:rPr>
        <w:t>« Toxicité pour certains organes cibles, exposition unique (chap</w:t>
      </w:r>
      <w:r w:rsidR="00A13AF9">
        <w:rPr>
          <w:rFonts w:asciiTheme="majorBidi" w:hAnsiTheme="majorBidi" w:cstheme="majorBidi"/>
          <w:lang w:val="fr-FR"/>
        </w:rPr>
        <w:t>itre</w:t>
      </w:r>
      <w:r w:rsidR="00246D13">
        <w:rPr>
          <w:rFonts w:asciiTheme="majorBidi" w:hAnsiTheme="majorBidi" w:cstheme="majorBidi"/>
          <w:lang w:val="fr-FR"/>
        </w:rPr>
        <w:t> </w:t>
      </w:r>
      <w:r w:rsidR="00246D13" w:rsidRPr="00AE3663">
        <w:rPr>
          <w:rFonts w:asciiTheme="majorBidi" w:hAnsiTheme="majorBidi" w:cstheme="majorBidi"/>
          <w:lang w:val="fr-FR"/>
        </w:rPr>
        <w:t>3.8) » et « Toxicité pour certains organes cibles, exposition répétée (chap</w:t>
      </w:r>
      <w:r w:rsidR="00A13AF9">
        <w:rPr>
          <w:rFonts w:asciiTheme="majorBidi" w:hAnsiTheme="majorBidi" w:cstheme="majorBidi"/>
          <w:lang w:val="fr-FR"/>
        </w:rPr>
        <w:t>itre</w:t>
      </w:r>
      <w:r w:rsidR="00246D13">
        <w:rPr>
          <w:rFonts w:asciiTheme="majorBidi" w:hAnsiTheme="majorBidi" w:cstheme="majorBidi"/>
          <w:lang w:val="fr-FR"/>
        </w:rPr>
        <w:t> </w:t>
      </w:r>
      <w:r w:rsidR="00246D13" w:rsidRPr="00AE3663">
        <w:rPr>
          <w:rFonts w:asciiTheme="majorBidi" w:hAnsiTheme="majorBidi" w:cstheme="majorBidi"/>
          <w:lang w:val="fr-FR"/>
        </w:rPr>
        <w:t>3.9) »</w:t>
      </w:r>
      <w:r w:rsidR="00660593">
        <w:rPr>
          <w:rFonts w:asciiTheme="majorBidi" w:hAnsiTheme="majorBidi" w:cstheme="majorBidi"/>
          <w:lang w:val="fr-FR"/>
        </w:rPr>
        <w:t> :</w:t>
      </w:r>
      <w:r w:rsidR="00246D13" w:rsidRPr="00AE3663">
        <w:rPr>
          <w:rFonts w:asciiTheme="majorBidi" w:hAnsiTheme="majorBidi" w:cstheme="majorBidi"/>
          <w:lang w:val="fr-FR"/>
        </w:rPr>
        <w:t xml:space="preserve"> </w:t>
      </w:r>
      <w:r w:rsidR="009C7B54">
        <w:rPr>
          <w:rFonts w:asciiTheme="majorBidi" w:hAnsiTheme="majorBidi" w:cstheme="majorBidi"/>
          <w:lang w:val="fr-FR"/>
        </w:rPr>
        <w:t>s</w:t>
      </w:r>
      <w:r w:rsidR="00246D13" w:rsidRPr="00AE3663">
        <w:rPr>
          <w:rFonts w:asciiTheme="majorBidi" w:hAnsiTheme="majorBidi" w:cstheme="majorBidi"/>
          <w:lang w:val="fr-FR"/>
        </w:rPr>
        <w:t>upprimer «, 2 ».</w:t>
      </w:r>
    </w:p>
    <w:p w14:paraId="362F4224" w14:textId="77777777" w:rsidR="00246D13" w:rsidRPr="00AE3663" w:rsidRDefault="00246D13" w:rsidP="00246D13">
      <w:pPr>
        <w:pStyle w:val="H23G"/>
        <w:rPr>
          <w:lang w:val="fr-FR"/>
        </w:rPr>
      </w:pPr>
      <w:r w:rsidRPr="00AE3663">
        <w:rPr>
          <w:lang w:val="fr-FR"/>
        </w:rPr>
        <w:tab/>
      </w:r>
      <w:r w:rsidRPr="00AE3663">
        <w:rPr>
          <w:lang w:val="fr-FR"/>
        </w:rPr>
        <w:tab/>
        <w:t>P261</w:t>
      </w:r>
    </w:p>
    <w:p w14:paraId="4E093086" w14:textId="638E11F1" w:rsidR="00246D13" w:rsidRPr="00AE3663" w:rsidRDefault="00BE3E8E" w:rsidP="00246D13">
      <w:pPr>
        <w:pStyle w:val="SingleTxtG"/>
        <w:rPr>
          <w:rFonts w:asciiTheme="majorBidi" w:hAnsiTheme="majorBidi" w:cstheme="majorBidi"/>
          <w:lang w:val="fr-FR"/>
        </w:rPr>
      </w:pPr>
      <w:r>
        <w:rPr>
          <w:rFonts w:asciiTheme="majorBidi" w:hAnsiTheme="majorBidi" w:cstheme="majorBidi"/>
          <w:lang w:val="fr-FR"/>
        </w:rPr>
        <w:t>L</w:t>
      </w:r>
      <w:r w:rsidR="007E003A">
        <w:rPr>
          <w:rFonts w:asciiTheme="majorBidi" w:hAnsiTheme="majorBidi" w:cstheme="majorBidi"/>
          <w:lang w:val="fr-FR"/>
        </w:rPr>
        <w:t>igne</w:t>
      </w:r>
      <w:r w:rsidR="003E1618">
        <w:rPr>
          <w:rFonts w:asciiTheme="majorBidi" w:hAnsiTheme="majorBidi" w:cstheme="majorBidi"/>
          <w:lang w:val="fr-FR"/>
        </w:rPr>
        <w:t xml:space="preserve"> </w:t>
      </w:r>
      <w:r w:rsidR="00246D13" w:rsidRPr="00AE3663">
        <w:rPr>
          <w:rFonts w:asciiTheme="majorBidi" w:hAnsiTheme="majorBidi" w:cstheme="majorBidi"/>
          <w:lang w:val="fr-FR"/>
        </w:rPr>
        <w:t>«</w:t>
      </w:r>
      <w:r w:rsidR="00246D13">
        <w:rPr>
          <w:rFonts w:asciiTheme="majorBidi" w:hAnsiTheme="majorBidi" w:cstheme="majorBidi"/>
          <w:lang w:val="fr-FR"/>
        </w:rPr>
        <w:t> </w:t>
      </w:r>
      <w:r w:rsidR="00246D13" w:rsidRPr="00AE3663">
        <w:rPr>
          <w:rFonts w:asciiTheme="majorBidi" w:hAnsiTheme="majorBidi" w:cstheme="majorBidi"/>
          <w:lang w:val="fr-FR"/>
        </w:rPr>
        <w:t>Toxicité aiguë, inhalation (chap</w:t>
      </w:r>
      <w:r w:rsidR="00A13AF9">
        <w:rPr>
          <w:rFonts w:asciiTheme="majorBidi" w:hAnsiTheme="majorBidi" w:cstheme="majorBidi"/>
          <w:lang w:val="fr-FR"/>
        </w:rPr>
        <w:t>itre</w:t>
      </w:r>
      <w:r w:rsidR="00246D13">
        <w:rPr>
          <w:rFonts w:asciiTheme="majorBidi" w:hAnsiTheme="majorBidi" w:cstheme="majorBidi"/>
          <w:lang w:val="fr-FR"/>
        </w:rPr>
        <w:t> </w:t>
      </w:r>
      <w:r w:rsidR="00246D13" w:rsidRPr="00AE3663">
        <w:rPr>
          <w:rFonts w:asciiTheme="majorBidi" w:hAnsiTheme="majorBidi" w:cstheme="majorBidi"/>
          <w:lang w:val="fr-FR"/>
        </w:rPr>
        <w:t>3.1)</w:t>
      </w:r>
      <w:r w:rsidR="00246D13">
        <w:rPr>
          <w:rFonts w:asciiTheme="majorBidi" w:hAnsiTheme="majorBidi" w:cstheme="majorBidi"/>
          <w:lang w:val="fr-FR"/>
        </w:rPr>
        <w:t> </w:t>
      </w:r>
      <w:r w:rsidR="00246D13" w:rsidRPr="00AE3663">
        <w:rPr>
          <w:rFonts w:asciiTheme="majorBidi" w:hAnsiTheme="majorBidi" w:cstheme="majorBidi"/>
          <w:lang w:val="fr-FR"/>
        </w:rPr>
        <w:t>»</w:t>
      </w:r>
      <w:r>
        <w:rPr>
          <w:rFonts w:asciiTheme="majorBidi" w:hAnsiTheme="majorBidi" w:cstheme="majorBidi"/>
          <w:lang w:val="fr-FR"/>
        </w:rPr>
        <w:t>, c</w:t>
      </w:r>
      <w:r w:rsidRPr="00AE3663">
        <w:rPr>
          <w:rFonts w:asciiTheme="majorBidi" w:hAnsiTheme="majorBidi" w:cstheme="majorBidi"/>
          <w:lang w:val="fr-FR"/>
        </w:rPr>
        <w:t>olonne (4)</w:t>
      </w:r>
      <w:r w:rsidR="009C7B54">
        <w:rPr>
          <w:rFonts w:asciiTheme="majorBidi" w:hAnsiTheme="majorBidi" w:cstheme="majorBidi"/>
          <w:lang w:val="fr-FR"/>
        </w:rPr>
        <w:t> :</w:t>
      </w:r>
      <w:r w:rsidR="00246D13" w:rsidRPr="00AE3663">
        <w:rPr>
          <w:rFonts w:asciiTheme="majorBidi" w:hAnsiTheme="majorBidi" w:cstheme="majorBidi"/>
          <w:lang w:val="fr-FR"/>
        </w:rPr>
        <w:t xml:space="preserve"> supprimer « 3, ».</w:t>
      </w:r>
    </w:p>
    <w:p w14:paraId="51976F87" w14:textId="3060AEAF" w:rsidR="00246D13" w:rsidRPr="00AE3663" w:rsidRDefault="007E003A" w:rsidP="00246D13">
      <w:pPr>
        <w:pStyle w:val="SingleTxtG"/>
        <w:rPr>
          <w:rFonts w:asciiTheme="majorBidi" w:hAnsiTheme="majorBidi" w:cstheme="majorBidi"/>
          <w:lang w:val="fr-FR"/>
        </w:rPr>
      </w:pPr>
      <w:r>
        <w:rPr>
          <w:rFonts w:asciiTheme="majorBidi" w:hAnsiTheme="majorBidi" w:cstheme="majorBidi"/>
          <w:lang w:val="fr-FR"/>
        </w:rPr>
        <w:t>A</w:t>
      </w:r>
      <w:r w:rsidR="00246D13" w:rsidRPr="00AE3663">
        <w:rPr>
          <w:rFonts w:asciiTheme="majorBidi" w:hAnsiTheme="majorBidi" w:cstheme="majorBidi"/>
          <w:lang w:val="fr-FR"/>
        </w:rPr>
        <w:t>jouter l</w:t>
      </w:r>
      <w:r w:rsidR="00246D13">
        <w:rPr>
          <w:rFonts w:asciiTheme="majorBidi" w:hAnsiTheme="majorBidi" w:cstheme="majorBidi"/>
          <w:lang w:val="fr-FR"/>
        </w:rPr>
        <w:t>a</w:t>
      </w:r>
      <w:r w:rsidR="00246D13" w:rsidRPr="00AE3663">
        <w:rPr>
          <w:rFonts w:asciiTheme="majorBidi" w:hAnsiTheme="majorBidi" w:cstheme="majorBidi"/>
          <w:lang w:val="fr-FR"/>
        </w:rPr>
        <w:t xml:space="preserve"> </w:t>
      </w:r>
      <w:r>
        <w:rPr>
          <w:rFonts w:asciiTheme="majorBidi" w:hAnsiTheme="majorBidi" w:cstheme="majorBidi"/>
          <w:lang w:val="fr-FR"/>
        </w:rPr>
        <w:t>ligne</w:t>
      </w:r>
      <w:r w:rsidR="00246D13" w:rsidRPr="00AE3663">
        <w:rPr>
          <w:rFonts w:asciiTheme="majorBidi" w:hAnsiTheme="majorBidi" w:cstheme="majorBidi"/>
          <w:lang w:val="fr-FR"/>
        </w:rPr>
        <w:t xml:space="preserve"> suivante</w:t>
      </w:r>
      <w:r w:rsidR="00246D13">
        <w:rPr>
          <w:rFonts w:asciiTheme="majorBidi" w:hAnsiTheme="majorBidi" w:cstheme="majorBidi"/>
          <w:lang w:val="fr-FR"/>
        </w:rPr>
        <w:t> </w:t>
      </w:r>
      <w:r w:rsidR="001E486A">
        <w:rPr>
          <w:rFonts w:asciiTheme="majorBidi" w:hAnsiTheme="majorBidi" w:cstheme="majorBidi"/>
          <w:lang w:val="fr-FR"/>
        </w:rPr>
        <w:t>s</w:t>
      </w:r>
      <w:r w:rsidR="001E486A" w:rsidRPr="00AE3663">
        <w:rPr>
          <w:rFonts w:asciiTheme="majorBidi" w:hAnsiTheme="majorBidi" w:cstheme="majorBidi"/>
          <w:lang w:val="fr-FR"/>
        </w:rPr>
        <w:t xml:space="preserve">ous la </w:t>
      </w:r>
      <w:r w:rsidR="001E486A">
        <w:rPr>
          <w:rFonts w:asciiTheme="majorBidi" w:hAnsiTheme="majorBidi" w:cstheme="majorBidi"/>
          <w:lang w:val="fr-FR"/>
        </w:rPr>
        <w:t>ligne</w:t>
      </w:r>
      <w:r w:rsidR="001E486A" w:rsidRPr="00AE3663">
        <w:rPr>
          <w:rFonts w:asciiTheme="majorBidi" w:hAnsiTheme="majorBidi" w:cstheme="majorBidi"/>
          <w:lang w:val="fr-FR"/>
        </w:rPr>
        <w:t xml:space="preserve"> « </w:t>
      </w:r>
      <w:r w:rsidR="001E486A">
        <w:rPr>
          <w:rFonts w:asciiTheme="majorBidi" w:hAnsiTheme="majorBidi" w:cstheme="majorBidi"/>
          <w:lang w:val="fr-FR"/>
        </w:rPr>
        <w:t>S</w:t>
      </w:r>
      <w:r w:rsidR="001E486A" w:rsidRPr="00AE3663">
        <w:rPr>
          <w:rFonts w:asciiTheme="majorBidi" w:hAnsiTheme="majorBidi" w:cstheme="majorBidi"/>
          <w:lang w:val="fr-FR"/>
        </w:rPr>
        <w:t>ensibilisation cutanée (chap</w:t>
      </w:r>
      <w:r w:rsidR="001E486A">
        <w:rPr>
          <w:rFonts w:asciiTheme="majorBidi" w:hAnsiTheme="majorBidi" w:cstheme="majorBidi"/>
          <w:lang w:val="fr-FR"/>
        </w:rPr>
        <w:t>itre </w:t>
      </w:r>
      <w:r w:rsidR="001E486A" w:rsidRPr="00AE3663">
        <w:rPr>
          <w:rFonts w:asciiTheme="majorBidi" w:hAnsiTheme="majorBidi" w:cstheme="majorBidi"/>
          <w:lang w:val="fr-FR"/>
        </w:rPr>
        <w:t>3.4) »</w:t>
      </w:r>
      <w:r w:rsidR="00246D13" w:rsidRPr="00AE3663">
        <w:rPr>
          <w:rFonts w:asciiTheme="majorBidi" w:hAnsiTheme="majorBidi" w:cstheme="majorBidi"/>
          <w:lang w:val="fr-FR"/>
        </w:rPr>
        <w:t>:</w:t>
      </w:r>
    </w:p>
    <w:tbl>
      <w:tblPr>
        <w:tblStyle w:val="Grilledutableau"/>
        <w:tblW w:w="0" w:type="auto"/>
        <w:tblInd w:w="1134" w:type="dxa"/>
        <w:tblLayout w:type="fixed"/>
        <w:tblLook w:val="04A0" w:firstRow="1" w:lastRow="0" w:firstColumn="1" w:lastColumn="0" w:noHBand="0" w:noVBand="1"/>
      </w:tblPr>
      <w:tblGrid>
        <w:gridCol w:w="846"/>
        <w:gridCol w:w="850"/>
        <w:gridCol w:w="3261"/>
        <w:gridCol w:w="708"/>
        <w:gridCol w:w="1701"/>
      </w:tblGrid>
      <w:tr w:rsidR="00246D13" w:rsidRPr="00AE3663" w14:paraId="5AE6B64B" w14:textId="77777777" w:rsidTr="004D33AF">
        <w:tc>
          <w:tcPr>
            <w:tcW w:w="846" w:type="dxa"/>
            <w:tcBorders>
              <w:bottom w:val="single" w:sz="4" w:space="0" w:color="auto"/>
            </w:tcBorders>
          </w:tcPr>
          <w:p w14:paraId="399E68A2"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(1)</w:t>
            </w:r>
          </w:p>
        </w:tc>
        <w:tc>
          <w:tcPr>
            <w:tcW w:w="850" w:type="dxa"/>
            <w:tcBorders>
              <w:bottom w:val="single" w:sz="4" w:space="0" w:color="auto"/>
            </w:tcBorders>
          </w:tcPr>
          <w:p w14:paraId="0D20D97C"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(2)</w:t>
            </w:r>
          </w:p>
        </w:tc>
        <w:tc>
          <w:tcPr>
            <w:tcW w:w="3261" w:type="dxa"/>
          </w:tcPr>
          <w:p w14:paraId="40441A3A"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(3)</w:t>
            </w:r>
          </w:p>
        </w:tc>
        <w:tc>
          <w:tcPr>
            <w:tcW w:w="708" w:type="dxa"/>
          </w:tcPr>
          <w:p w14:paraId="0FAEF50C"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(4)</w:t>
            </w:r>
          </w:p>
        </w:tc>
        <w:tc>
          <w:tcPr>
            <w:tcW w:w="1701" w:type="dxa"/>
            <w:tcBorders>
              <w:bottom w:val="single" w:sz="4" w:space="0" w:color="auto"/>
            </w:tcBorders>
          </w:tcPr>
          <w:p w14:paraId="45FB75E5"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(5)</w:t>
            </w:r>
          </w:p>
        </w:tc>
      </w:tr>
      <w:tr w:rsidR="00246D13" w:rsidRPr="00AE3663" w14:paraId="16632A44" w14:textId="77777777" w:rsidTr="004D33AF">
        <w:trPr>
          <w:trHeight w:val="238"/>
        </w:trPr>
        <w:tc>
          <w:tcPr>
            <w:tcW w:w="846" w:type="dxa"/>
            <w:tcBorders>
              <w:right w:val="single" w:sz="4" w:space="0" w:color="auto"/>
            </w:tcBorders>
          </w:tcPr>
          <w:p w14:paraId="5FEC4EDC" w14:textId="77777777" w:rsidR="00246D13" w:rsidRPr="00CD2995" w:rsidRDefault="00246D13" w:rsidP="004D33AF">
            <w:pPr>
              <w:pStyle w:val="SingleTxtG"/>
              <w:spacing w:before="40" w:after="40" w:line="220" w:lineRule="atLeast"/>
              <w:ind w:left="57" w:right="57"/>
              <w:jc w:val="left"/>
              <w:rPr>
                <w:rFonts w:asciiTheme="majorBidi" w:hAnsiTheme="majorBidi" w:cstheme="majorBidi"/>
                <w:b/>
                <w:bCs/>
                <w:sz w:val="18"/>
                <w:szCs w:val="18"/>
                <w:lang w:val="fr-FR"/>
              </w:rPr>
            </w:pPr>
          </w:p>
        </w:tc>
        <w:tc>
          <w:tcPr>
            <w:tcW w:w="850" w:type="dxa"/>
            <w:tcBorders>
              <w:left w:val="single" w:sz="4" w:space="0" w:color="auto"/>
            </w:tcBorders>
          </w:tcPr>
          <w:p w14:paraId="079A322E"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p>
        </w:tc>
        <w:tc>
          <w:tcPr>
            <w:tcW w:w="3261" w:type="dxa"/>
          </w:tcPr>
          <w:p w14:paraId="4183C389" w14:textId="081A49DE" w:rsidR="00246D13" w:rsidRPr="00CD2995" w:rsidRDefault="00246D13" w:rsidP="004D33AF">
            <w:pPr>
              <w:pStyle w:val="SingleTxtG"/>
              <w:spacing w:before="40" w:after="40" w:line="220" w:lineRule="atLeast"/>
              <w:ind w:left="57" w:right="57"/>
              <w:jc w:val="left"/>
              <w:rPr>
                <w:rFonts w:asciiTheme="majorBidi" w:hAnsiTheme="majorBidi" w:cstheme="majorBidi"/>
                <w:sz w:val="18"/>
                <w:szCs w:val="18"/>
                <w:lang w:val="fr-FR"/>
              </w:rPr>
            </w:pPr>
            <w:r w:rsidRPr="00CD2995">
              <w:rPr>
                <w:rFonts w:asciiTheme="majorBidi" w:hAnsiTheme="majorBidi" w:cstheme="majorBidi"/>
                <w:sz w:val="18"/>
                <w:szCs w:val="18"/>
                <w:lang w:val="fr-FR"/>
              </w:rPr>
              <w:t>Toxicité pour certains organes cibles, exposition unique (chap</w:t>
            </w:r>
            <w:r>
              <w:rPr>
                <w:rFonts w:asciiTheme="majorBidi" w:hAnsiTheme="majorBidi" w:cstheme="majorBidi"/>
                <w:sz w:val="18"/>
                <w:szCs w:val="18"/>
                <w:lang w:val="fr-FR"/>
              </w:rPr>
              <w:t>itre</w:t>
            </w:r>
            <w:r w:rsidRPr="00CD2995">
              <w:rPr>
                <w:rFonts w:asciiTheme="majorBidi" w:hAnsiTheme="majorBidi" w:cstheme="majorBidi"/>
                <w:sz w:val="18"/>
                <w:szCs w:val="18"/>
                <w:lang w:val="fr-FR"/>
              </w:rPr>
              <w:t> 3.8)</w:t>
            </w:r>
          </w:p>
        </w:tc>
        <w:tc>
          <w:tcPr>
            <w:tcW w:w="708" w:type="dxa"/>
          </w:tcPr>
          <w:p w14:paraId="76F13AC7"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CD2995">
              <w:rPr>
                <w:rFonts w:asciiTheme="majorBidi" w:hAnsiTheme="majorBidi" w:cstheme="majorBidi"/>
                <w:sz w:val="18"/>
                <w:szCs w:val="18"/>
                <w:lang w:val="fr-FR"/>
              </w:rPr>
              <w:t>2</w:t>
            </w:r>
          </w:p>
        </w:tc>
        <w:tc>
          <w:tcPr>
            <w:tcW w:w="1701" w:type="dxa"/>
          </w:tcPr>
          <w:p w14:paraId="1F68E698" w14:textId="77777777" w:rsidR="00246D13" w:rsidRPr="00AE3663" w:rsidRDefault="00246D13" w:rsidP="004D33AF">
            <w:pPr>
              <w:pStyle w:val="SingleTxtG"/>
              <w:spacing w:before="40" w:after="40" w:line="220" w:lineRule="atLeast"/>
              <w:ind w:left="57" w:right="57"/>
              <w:jc w:val="left"/>
              <w:rPr>
                <w:rFonts w:asciiTheme="majorBidi" w:hAnsiTheme="majorBidi" w:cstheme="majorBidi"/>
                <w:sz w:val="18"/>
                <w:szCs w:val="18"/>
                <w:lang w:val="fr-FR"/>
              </w:rPr>
            </w:pPr>
          </w:p>
        </w:tc>
      </w:tr>
    </w:tbl>
    <w:p w14:paraId="75592C65" w14:textId="77777777" w:rsidR="00246D13" w:rsidRDefault="00246D13" w:rsidP="00246D13"/>
    <w:p w14:paraId="790919A5" w14:textId="37728959" w:rsidR="00246D13" w:rsidRDefault="001E486A" w:rsidP="00775023">
      <w:pPr>
        <w:pStyle w:val="SingleTxtG"/>
      </w:pPr>
      <w:r>
        <w:rPr>
          <w:rFonts w:asciiTheme="majorBidi" w:hAnsiTheme="majorBidi" w:cstheme="majorBidi"/>
          <w:lang w:val="fr-FR"/>
        </w:rPr>
        <w:t>A</w:t>
      </w:r>
      <w:r w:rsidRPr="00AE3663">
        <w:rPr>
          <w:rFonts w:asciiTheme="majorBidi" w:hAnsiTheme="majorBidi" w:cstheme="majorBidi"/>
          <w:lang w:val="fr-FR"/>
        </w:rPr>
        <w:t>jouter l</w:t>
      </w:r>
      <w:r>
        <w:rPr>
          <w:rFonts w:asciiTheme="majorBidi" w:hAnsiTheme="majorBidi" w:cstheme="majorBidi"/>
          <w:lang w:val="fr-FR"/>
        </w:rPr>
        <w:t>a</w:t>
      </w:r>
      <w:r w:rsidRPr="00AE3663">
        <w:rPr>
          <w:rFonts w:asciiTheme="majorBidi" w:hAnsiTheme="majorBidi" w:cstheme="majorBidi"/>
          <w:lang w:val="fr-FR"/>
        </w:rPr>
        <w:t xml:space="preserve"> nouvelle ligne suivante</w:t>
      </w:r>
      <w:r>
        <w:rPr>
          <w:rFonts w:asciiTheme="majorBidi" w:hAnsiTheme="majorBidi" w:cstheme="majorBidi"/>
          <w:lang w:val="fr-FR"/>
        </w:rPr>
        <w:t> s</w:t>
      </w:r>
      <w:r w:rsidR="00246D13" w:rsidRPr="00AE3663">
        <w:rPr>
          <w:rFonts w:asciiTheme="majorBidi" w:hAnsiTheme="majorBidi" w:cstheme="majorBidi"/>
          <w:lang w:val="fr-FR"/>
        </w:rPr>
        <w:t xml:space="preserve">ous la </w:t>
      </w:r>
      <w:r w:rsidR="007E003A">
        <w:rPr>
          <w:rFonts w:asciiTheme="majorBidi" w:hAnsiTheme="majorBidi" w:cstheme="majorBidi"/>
          <w:lang w:val="fr-FR"/>
        </w:rPr>
        <w:t>ligne</w:t>
      </w:r>
      <w:r w:rsidR="00246D13" w:rsidRPr="00AE3663">
        <w:rPr>
          <w:rFonts w:asciiTheme="majorBidi" w:hAnsiTheme="majorBidi" w:cstheme="majorBidi"/>
          <w:lang w:val="fr-FR"/>
        </w:rPr>
        <w:t xml:space="preserve"> « </w:t>
      </w:r>
      <w:r w:rsidR="00246D13" w:rsidRPr="00775023">
        <w:rPr>
          <w:rFonts w:asciiTheme="majorBidi" w:hAnsiTheme="majorBidi" w:cstheme="majorBidi"/>
          <w:lang w:val="fr-FR"/>
        </w:rPr>
        <w:t xml:space="preserve">Toxicité pour certains organes cibles, exposition unique ; </w:t>
      </w:r>
      <w:r w:rsidR="00E7563F">
        <w:rPr>
          <w:rFonts w:asciiTheme="majorBidi" w:hAnsiTheme="majorBidi" w:cstheme="majorBidi"/>
          <w:lang w:val="fr-FR"/>
        </w:rPr>
        <w:t>Effets narco</w:t>
      </w:r>
      <w:r w:rsidR="002412BF">
        <w:rPr>
          <w:rFonts w:asciiTheme="majorBidi" w:hAnsiTheme="majorBidi" w:cstheme="majorBidi"/>
          <w:lang w:val="fr-FR"/>
        </w:rPr>
        <w:t>tiques</w:t>
      </w:r>
      <w:r w:rsidR="00246D13" w:rsidRPr="00775023">
        <w:rPr>
          <w:rFonts w:asciiTheme="majorBidi" w:hAnsiTheme="majorBidi" w:cstheme="majorBidi"/>
          <w:lang w:val="fr-FR"/>
        </w:rPr>
        <w:t xml:space="preserve"> (chapitre 3.8)</w:t>
      </w:r>
      <w:r w:rsidR="00246D13" w:rsidRPr="00AE3663">
        <w:rPr>
          <w:rFonts w:asciiTheme="majorBidi" w:hAnsiTheme="majorBidi" w:cstheme="majorBidi"/>
          <w:lang w:val="fr-FR"/>
        </w:rPr>
        <w:t> »</w:t>
      </w:r>
      <w:r>
        <w:rPr>
          <w:rFonts w:asciiTheme="majorBidi" w:hAnsiTheme="majorBidi" w:cstheme="majorBidi"/>
          <w:lang w:val="fr-FR"/>
        </w:rPr>
        <w:t> :</w:t>
      </w:r>
      <w:r w:rsidR="00246D13" w:rsidRPr="00AE3663">
        <w:rPr>
          <w:rFonts w:asciiTheme="majorBidi" w:hAnsiTheme="majorBidi" w:cstheme="majorBidi"/>
          <w:lang w:val="fr-FR"/>
        </w:rPr>
        <w:t xml:space="preserve"> </w:t>
      </w:r>
    </w:p>
    <w:tbl>
      <w:tblPr>
        <w:tblStyle w:val="Grilledutableau"/>
        <w:tblW w:w="0" w:type="auto"/>
        <w:tblInd w:w="1134" w:type="dxa"/>
        <w:tblLayout w:type="fixed"/>
        <w:tblLook w:val="04A0" w:firstRow="1" w:lastRow="0" w:firstColumn="1" w:lastColumn="0" w:noHBand="0" w:noVBand="1"/>
      </w:tblPr>
      <w:tblGrid>
        <w:gridCol w:w="846"/>
        <w:gridCol w:w="850"/>
        <w:gridCol w:w="3261"/>
        <w:gridCol w:w="708"/>
        <w:gridCol w:w="1701"/>
      </w:tblGrid>
      <w:tr w:rsidR="00246D13" w:rsidRPr="00AE3663" w14:paraId="08B7662B" w14:textId="77777777" w:rsidTr="004D33AF">
        <w:tc>
          <w:tcPr>
            <w:tcW w:w="846" w:type="dxa"/>
            <w:tcBorders>
              <w:bottom w:val="single" w:sz="4" w:space="0" w:color="auto"/>
            </w:tcBorders>
          </w:tcPr>
          <w:p w14:paraId="6D29D1FD"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(1)</w:t>
            </w:r>
          </w:p>
        </w:tc>
        <w:tc>
          <w:tcPr>
            <w:tcW w:w="850" w:type="dxa"/>
            <w:tcBorders>
              <w:bottom w:val="single" w:sz="4" w:space="0" w:color="auto"/>
            </w:tcBorders>
          </w:tcPr>
          <w:p w14:paraId="7869CB45"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(2)</w:t>
            </w:r>
          </w:p>
        </w:tc>
        <w:tc>
          <w:tcPr>
            <w:tcW w:w="3261" w:type="dxa"/>
          </w:tcPr>
          <w:p w14:paraId="0DA819B8"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(3)</w:t>
            </w:r>
          </w:p>
        </w:tc>
        <w:tc>
          <w:tcPr>
            <w:tcW w:w="708" w:type="dxa"/>
          </w:tcPr>
          <w:p w14:paraId="04EF60DE"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(4)</w:t>
            </w:r>
          </w:p>
        </w:tc>
        <w:tc>
          <w:tcPr>
            <w:tcW w:w="1701" w:type="dxa"/>
            <w:tcBorders>
              <w:bottom w:val="single" w:sz="4" w:space="0" w:color="auto"/>
            </w:tcBorders>
          </w:tcPr>
          <w:p w14:paraId="6E63E0E3"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(5)</w:t>
            </w:r>
          </w:p>
        </w:tc>
      </w:tr>
      <w:tr w:rsidR="00246D13" w:rsidRPr="00AE3663" w14:paraId="05017318" w14:textId="77777777" w:rsidTr="004D33AF">
        <w:trPr>
          <w:trHeight w:val="238"/>
        </w:trPr>
        <w:tc>
          <w:tcPr>
            <w:tcW w:w="846" w:type="dxa"/>
            <w:tcBorders>
              <w:right w:val="single" w:sz="4" w:space="0" w:color="auto"/>
            </w:tcBorders>
          </w:tcPr>
          <w:p w14:paraId="7ED74347" w14:textId="77777777" w:rsidR="00246D13" w:rsidRPr="00CD2995" w:rsidRDefault="00246D13" w:rsidP="004D33AF">
            <w:pPr>
              <w:pStyle w:val="SingleTxtG"/>
              <w:spacing w:before="40" w:after="40" w:line="220" w:lineRule="atLeast"/>
              <w:ind w:left="57" w:right="57"/>
              <w:jc w:val="left"/>
              <w:rPr>
                <w:rFonts w:asciiTheme="majorBidi" w:hAnsiTheme="majorBidi" w:cstheme="majorBidi"/>
                <w:b/>
                <w:bCs/>
                <w:sz w:val="18"/>
                <w:szCs w:val="18"/>
                <w:lang w:val="fr-FR"/>
              </w:rPr>
            </w:pPr>
          </w:p>
        </w:tc>
        <w:tc>
          <w:tcPr>
            <w:tcW w:w="850" w:type="dxa"/>
            <w:tcBorders>
              <w:left w:val="single" w:sz="4" w:space="0" w:color="auto"/>
            </w:tcBorders>
          </w:tcPr>
          <w:p w14:paraId="233CFBD2"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p>
        </w:tc>
        <w:tc>
          <w:tcPr>
            <w:tcW w:w="3261" w:type="dxa"/>
          </w:tcPr>
          <w:p w14:paraId="75957908" w14:textId="77777777" w:rsidR="00246D13" w:rsidRPr="00CD2995" w:rsidRDefault="00246D13" w:rsidP="004D33AF">
            <w:pPr>
              <w:pStyle w:val="SingleTxtG"/>
              <w:spacing w:before="40" w:after="40" w:line="220" w:lineRule="atLeast"/>
              <w:ind w:left="57" w:right="57"/>
              <w:jc w:val="left"/>
              <w:rPr>
                <w:rFonts w:asciiTheme="majorBidi" w:hAnsiTheme="majorBidi" w:cstheme="majorBidi"/>
                <w:sz w:val="18"/>
                <w:szCs w:val="18"/>
                <w:lang w:val="fr-FR"/>
              </w:rPr>
            </w:pPr>
            <w:r w:rsidRPr="00CD2995">
              <w:rPr>
                <w:rFonts w:asciiTheme="majorBidi" w:hAnsiTheme="majorBidi" w:cstheme="majorBidi"/>
                <w:sz w:val="18"/>
                <w:szCs w:val="18"/>
                <w:lang w:val="fr-FR"/>
              </w:rPr>
              <w:t>Toxicité pour certains organes cibles, exposition répétée (chap</w:t>
            </w:r>
            <w:r>
              <w:rPr>
                <w:rFonts w:asciiTheme="majorBidi" w:hAnsiTheme="majorBidi" w:cstheme="majorBidi"/>
                <w:sz w:val="18"/>
                <w:szCs w:val="18"/>
                <w:lang w:val="fr-FR"/>
              </w:rPr>
              <w:t>itre</w:t>
            </w:r>
            <w:r w:rsidRPr="00CD2995">
              <w:rPr>
                <w:rFonts w:asciiTheme="majorBidi" w:hAnsiTheme="majorBidi" w:cstheme="majorBidi"/>
                <w:sz w:val="18"/>
                <w:szCs w:val="18"/>
                <w:lang w:val="fr-FR"/>
              </w:rPr>
              <w:t> 3.9)</w:t>
            </w:r>
          </w:p>
        </w:tc>
        <w:tc>
          <w:tcPr>
            <w:tcW w:w="708" w:type="dxa"/>
          </w:tcPr>
          <w:p w14:paraId="02512EA2"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CD2995">
              <w:rPr>
                <w:rFonts w:asciiTheme="majorBidi" w:hAnsiTheme="majorBidi" w:cstheme="majorBidi"/>
                <w:sz w:val="18"/>
                <w:szCs w:val="18"/>
                <w:lang w:val="fr-FR"/>
              </w:rPr>
              <w:t>2</w:t>
            </w:r>
          </w:p>
        </w:tc>
        <w:tc>
          <w:tcPr>
            <w:tcW w:w="1701" w:type="dxa"/>
          </w:tcPr>
          <w:p w14:paraId="7F76A0BD" w14:textId="77777777" w:rsidR="00246D13" w:rsidRPr="00AE3663" w:rsidRDefault="00246D13" w:rsidP="004D33AF">
            <w:pPr>
              <w:pStyle w:val="SingleTxtG"/>
              <w:spacing w:before="40" w:after="40" w:line="220" w:lineRule="atLeast"/>
              <w:ind w:left="57" w:right="57"/>
              <w:jc w:val="left"/>
              <w:rPr>
                <w:rFonts w:asciiTheme="majorBidi" w:hAnsiTheme="majorBidi" w:cstheme="majorBidi"/>
                <w:sz w:val="18"/>
                <w:szCs w:val="18"/>
                <w:lang w:val="fr-FR"/>
              </w:rPr>
            </w:pPr>
          </w:p>
        </w:tc>
      </w:tr>
    </w:tbl>
    <w:p w14:paraId="23A910A6" w14:textId="03BF2E73" w:rsidR="00246D13" w:rsidRDefault="001C1F4D" w:rsidP="00246D13">
      <w:pPr>
        <w:pStyle w:val="SingleTxtG"/>
        <w:spacing w:before="240"/>
        <w:rPr>
          <w:rFonts w:asciiTheme="majorBidi" w:hAnsiTheme="majorBidi" w:cstheme="majorBidi"/>
          <w:lang w:val="fr-FR"/>
        </w:rPr>
      </w:pPr>
      <w:r>
        <w:rPr>
          <w:rFonts w:asciiTheme="majorBidi" w:hAnsiTheme="majorBidi" w:cstheme="majorBidi"/>
          <w:lang w:val="fr-FR"/>
        </w:rPr>
        <w:t>À</w:t>
      </w:r>
      <w:r w:rsidRPr="00AE3663">
        <w:rPr>
          <w:rFonts w:asciiTheme="majorBidi" w:hAnsiTheme="majorBidi" w:cstheme="majorBidi"/>
          <w:lang w:val="fr-FR"/>
        </w:rPr>
        <w:t xml:space="preserve"> </w:t>
      </w:r>
      <w:r w:rsidR="00246D13" w:rsidRPr="00AE3663">
        <w:rPr>
          <w:rFonts w:asciiTheme="majorBidi" w:hAnsiTheme="majorBidi" w:cstheme="majorBidi"/>
          <w:lang w:val="fr-FR"/>
        </w:rPr>
        <w:t xml:space="preserve">la colonne (5), à la fin de la condition </w:t>
      </w:r>
      <w:r w:rsidR="00DE2353">
        <w:rPr>
          <w:rFonts w:asciiTheme="majorBidi" w:hAnsiTheme="majorBidi" w:cstheme="majorBidi"/>
          <w:lang w:val="fr-FR"/>
        </w:rPr>
        <w:t xml:space="preserve">actuelle </w:t>
      </w:r>
      <w:r w:rsidR="00246D13" w:rsidRPr="00AE3663">
        <w:rPr>
          <w:rFonts w:asciiTheme="majorBidi" w:hAnsiTheme="majorBidi" w:cstheme="majorBidi"/>
          <w:lang w:val="fr-FR"/>
        </w:rPr>
        <w:t>relative à l</w:t>
      </w:r>
      <w:r w:rsidR="00246D13">
        <w:rPr>
          <w:rFonts w:asciiTheme="majorBidi" w:hAnsiTheme="majorBidi" w:cstheme="majorBidi"/>
          <w:lang w:val="fr-FR"/>
        </w:rPr>
        <w:t>’</w:t>
      </w:r>
      <w:r w:rsidR="00246D13" w:rsidRPr="00AE3663">
        <w:rPr>
          <w:rFonts w:asciiTheme="majorBidi" w:hAnsiTheme="majorBidi" w:cstheme="majorBidi"/>
          <w:lang w:val="fr-FR"/>
        </w:rPr>
        <w:t xml:space="preserve">utilisation (applicable à toutes les </w:t>
      </w:r>
      <w:r w:rsidR="00DE2353">
        <w:rPr>
          <w:rFonts w:asciiTheme="majorBidi" w:hAnsiTheme="majorBidi" w:cstheme="majorBidi"/>
          <w:lang w:val="fr-FR"/>
        </w:rPr>
        <w:t>rubriques</w:t>
      </w:r>
      <w:r w:rsidR="00246D13" w:rsidRPr="00AE3663">
        <w:rPr>
          <w:rFonts w:asciiTheme="majorBidi" w:hAnsiTheme="majorBidi" w:cstheme="majorBidi"/>
          <w:lang w:val="fr-FR"/>
        </w:rPr>
        <w:t>), remplacer « les conditions applicables » par « l</w:t>
      </w:r>
      <w:r w:rsidR="00246D13">
        <w:rPr>
          <w:rFonts w:asciiTheme="majorBidi" w:hAnsiTheme="majorBidi" w:cstheme="majorBidi"/>
          <w:lang w:val="fr-FR"/>
        </w:rPr>
        <w:t>’</w:t>
      </w:r>
      <w:r w:rsidR="00246D13" w:rsidRPr="00AE3663">
        <w:rPr>
          <w:rFonts w:asciiTheme="majorBidi" w:hAnsiTheme="majorBidi" w:cstheme="majorBidi"/>
          <w:lang w:val="fr-FR"/>
        </w:rPr>
        <w:t>état physique ou les états physiques applicable(s) ».</w:t>
      </w:r>
    </w:p>
    <w:p w14:paraId="4FB478D9" w14:textId="296CAD6D" w:rsidR="00246D13" w:rsidRPr="00AE3663" w:rsidRDefault="00246D13" w:rsidP="00246D13">
      <w:pPr>
        <w:pStyle w:val="H23G"/>
        <w:rPr>
          <w:lang w:val="fr-FR"/>
        </w:rPr>
      </w:pPr>
      <w:r w:rsidRPr="00AE3663">
        <w:rPr>
          <w:lang w:val="fr-FR"/>
        </w:rPr>
        <w:tab/>
      </w:r>
      <w:r w:rsidRPr="00AE3663">
        <w:rPr>
          <w:lang w:val="fr-FR"/>
        </w:rPr>
        <w:tab/>
        <w:t xml:space="preserve">P284, </w:t>
      </w:r>
      <w:r w:rsidR="003F7680">
        <w:rPr>
          <w:rFonts w:asciiTheme="majorBidi" w:hAnsiTheme="majorBidi" w:cstheme="majorBidi"/>
          <w:lang w:val="fr-FR"/>
        </w:rPr>
        <w:t>ligne</w:t>
      </w:r>
      <w:r w:rsidR="007F4B18" w:rsidRPr="00AE3663">
        <w:rPr>
          <w:rFonts w:asciiTheme="majorBidi" w:hAnsiTheme="majorBidi" w:cstheme="majorBidi"/>
          <w:lang w:val="fr-FR"/>
        </w:rPr>
        <w:t xml:space="preserve"> «</w:t>
      </w:r>
      <w:r w:rsidR="007F4B18">
        <w:rPr>
          <w:rFonts w:asciiTheme="majorBidi" w:hAnsiTheme="majorBidi" w:cstheme="majorBidi"/>
          <w:lang w:val="fr-FR"/>
        </w:rPr>
        <w:t> </w:t>
      </w:r>
      <w:r w:rsidR="007F4B18" w:rsidRPr="00AE3663">
        <w:rPr>
          <w:rFonts w:asciiTheme="majorBidi" w:hAnsiTheme="majorBidi" w:cstheme="majorBidi"/>
          <w:lang w:val="fr-FR"/>
        </w:rPr>
        <w:t>Toxicité aiguë, inhalation (chap</w:t>
      </w:r>
      <w:r w:rsidR="007F4B18">
        <w:rPr>
          <w:rFonts w:asciiTheme="majorBidi" w:hAnsiTheme="majorBidi" w:cstheme="majorBidi"/>
          <w:lang w:val="fr-FR"/>
        </w:rPr>
        <w:t>itre </w:t>
      </w:r>
      <w:r w:rsidR="007F4B18" w:rsidRPr="00AE3663">
        <w:rPr>
          <w:rFonts w:asciiTheme="majorBidi" w:hAnsiTheme="majorBidi" w:cstheme="majorBidi"/>
          <w:lang w:val="fr-FR"/>
        </w:rPr>
        <w:t>3.1)</w:t>
      </w:r>
      <w:r w:rsidR="007F4B18">
        <w:rPr>
          <w:rFonts w:asciiTheme="majorBidi" w:hAnsiTheme="majorBidi" w:cstheme="majorBidi"/>
          <w:lang w:val="fr-FR"/>
        </w:rPr>
        <w:t xml:space="preserve">, </w:t>
      </w:r>
      <w:r w:rsidRPr="00AE3663">
        <w:rPr>
          <w:lang w:val="fr-FR"/>
        </w:rPr>
        <w:t>colonne (4)</w:t>
      </w:r>
    </w:p>
    <w:p w14:paraId="598D04AE" w14:textId="7F06B51A" w:rsidR="00246D13" w:rsidRPr="00AE3663" w:rsidRDefault="007F4B18" w:rsidP="00246D13">
      <w:pPr>
        <w:pStyle w:val="SingleTxtG"/>
        <w:rPr>
          <w:rFonts w:asciiTheme="majorBidi" w:hAnsiTheme="majorBidi" w:cstheme="majorBidi"/>
          <w:lang w:val="fr-FR"/>
        </w:rPr>
      </w:pPr>
      <w:r>
        <w:rPr>
          <w:rFonts w:asciiTheme="majorBidi" w:hAnsiTheme="majorBidi" w:cstheme="majorBidi"/>
          <w:lang w:val="fr-FR"/>
        </w:rPr>
        <w:t>A</w:t>
      </w:r>
      <w:r w:rsidR="00246D13" w:rsidRPr="00AE3663">
        <w:rPr>
          <w:rFonts w:asciiTheme="majorBidi" w:hAnsiTheme="majorBidi" w:cstheme="majorBidi"/>
          <w:lang w:val="fr-FR"/>
        </w:rPr>
        <w:t>jouter « , 3 » après « 1, 2 ».</w:t>
      </w:r>
    </w:p>
    <w:p w14:paraId="2B628F7A" w14:textId="77777777" w:rsidR="00246D13" w:rsidRPr="00775023" w:rsidRDefault="00246D13" w:rsidP="00775023">
      <w:pPr>
        <w:pStyle w:val="H23G"/>
      </w:pPr>
      <w:r w:rsidRPr="00775023">
        <w:tab/>
      </w:r>
      <w:r w:rsidRPr="00775023">
        <w:tab/>
        <w:t>Tableau A3.2.3</w:t>
      </w:r>
    </w:p>
    <w:p w14:paraId="7F2702E0" w14:textId="77777777" w:rsidR="00246D13" w:rsidRPr="00AE3663" w:rsidRDefault="00246D13" w:rsidP="00246D13">
      <w:pPr>
        <w:pStyle w:val="H23G"/>
        <w:rPr>
          <w:lang w:val="fr-FR"/>
        </w:rPr>
      </w:pPr>
      <w:r w:rsidRPr="00AE3663">
        <w:rPr>
          <w:lang w:val="fr-FR"/>
        </w:rPr>
        <w:tab/>
      </w:r>
      <w:r w:rsidRPr="00AE3663">
        <w:rPr>
          <w:lang w:val="fr-FR"/>
        </w:rPr>
        <w:tab/>
        <w:t>P320</w:t>
      </w:r>
    </w:p>
    <w:p w14:paraId="16A63720" w14:textId="2BF58E05" w:rsidR="00246D13" w:rsidRPr="00AE3663" w:rsidRDefault="00BF4179" w:rsidP="00246D13">
      <w:pPr>
        <w:pStyle w:val="SingleTxtG"/>
        <w:rPr>
          <w:rFonts w:asciiTheme="majorBidi" w:hAnsiTheme="majorBidi" w:cstheme="majorBidi"/>
          <w:lang w:val="fr-FR"/>
        </w:rPr>
      </w:pPr>
      <w:r>
        <w:rPr>
          <w:rFonts w:asciiTheme="majorBidi" w:hAnsiTheme="majorBidi" w:cstheme="majorBidi"/>
          <w:lang w:val="fr-FR"/>
        </w:rPr>
        <w:t>À</w:t>
      </w:r>
      <w:r w:rsidRPr="00AE3663">
        <w:rPr>
          <w:rFonts w:asciiTheme="majorBidi" w:hAnsiTheme="majorBidi" w:cstheme="majorBidi"/>
          <w:lang w:val="fr-FR"/>
        </w:rPr>
        <w:t xml:space="preserve"> </w:t>
      </w:r>
      <w:r w:rsidR="00246D13" w:rsidRPr="00AE3663">
        <w:rPr>
          <w:rFonts w:asciiTheme="majorBidi" w:hAnsiTheme="majorBidi" w:cstheme="majorBidi"/>
          <w:lang w:val="fr-FR"/>
        </w:rPr>
        <w:t>la colonne (2), remplacer « </w:t>
      </w:r>
      <w:r w:rsidR="00246D13" w:rsidRPr="00AE3663">
        <w:rPr>
          <w:rFonts w:asciiTheme="majorBidi" w:hAnsiTheme="majorBidi" w:cstheme="majorBidi"/>
          <w:b/>
          <w:bCs/>
          <w:lang w:val="fr-FR"/>
        </w:rPr>
        <w:t>(voir… sur cette étiquette)</w:t>
      </w:r>
      <w:r w:rsidR="00246D13" w:rsidRPr="00AE3663">
        <w:rPr>
          <w:rFonts w:asciiTheme="majorBidi" w:hAnsiTheme="majorBidi" w:cstheme="majorBidi"/>
          <w:lang w:val="fr-FR"/>
        </w:rPr>
        <w:t> » par « (</w:t>
      </w:r>
      <w:r w:rsidR="00246D13" w:rsidRPr="00AE3663">
        <w:rPr>
          <w:rFonts w:asciiTheme="majorBidi" w:hAnsiTheme="majorBidi" w:cstheme="majorBidi"/>
          <w:b/>
          <w:bCs/>
          <w:lang w:val="fr-FR"/>
        </w:rPr>
        <w:t>voir les informations figurant sur cette étiquette et sur la fiche de données de sécurité)</w:t>
      </w:r>
      <w:r w:rsidR="00246D13" w:rsidRPr="00AE3663">
        <w:rPr>
          <w:rFonts w:asciiTheme="majorBidi" w:hAnsiTheme="majorBidi" w:cstheme="majorBidi"/>
          <w:lang w:val="fr-FR"/>
        </w:rPr>
        <w:t xml:space="preserve"> ». </w:t>
      </w:r>
    </w:p>
    <w:p w14:paraId="019D81E6" w14:textId="7B5B60AE" w:rsidR="00246D13" w:rsidRPr="00AE3663" w:rsidRDefault="00246D13" w:rsidP="00246D13">
      <w:pPr>
        <w:pStyle w:val="SingleTxtG"/>
        <w:rPr>
          <w:lang w:val="fr-FR"/>
        </w:rPr>
      </w:pPr>
      <w:r w:rsidRPr="00AE3663">
        <w:rPr>
          <w:lang w:val="fr-FR"/>
        </w:rPr>
        <w:t xml:space="preserve">Insérer les </w:t>
      </w:r>
      <w:r w:rsidR="003F7680">
        <w:rPr>
          <w:lang w:val="fr-FR"/>
        </w:rPr>
        <w:t>lignes</w:t>
      </w:r>
      <w:r w:rsidR="00BF4179" w:rsidRPr="00AE3663">
        <w:rPr>
          <w:lang w:val="fr-FR"/>
        </w:rPr>
        <w:t xml:space="preserve"> </w:t>
      </w:r>
      <w:r w:rsidRPr="00AE3663">
        <w:rPr>
          <w:lang w:val="fr-FR"/>
        </w:rPr>
        <w:t xml:space="preserve">suivantes avant </w:t>
      </w:r>
      <w:r w:rsidR="00E30D2B">
        <w:rPr>
          <w:lang w:val="fr-FR"/>
        </w:rPr>
        <w:t xml:space="preserve">la ligne </w:t>
      </w:r>
      <w:r>
        <w:rPr>
          <w:lang w:val="fr-FR"/>
        </w:rPr>
        <w:t>« T</w:t>
      </w:r>
      <w:r w:rsidRPr="00AE3663">
        <w:rPr>
          <w:lang w:val="fr-FR"/>
        </w:rPr>
        <w:t>oxicité aiguë</w:t>
      </w:r>
      <w:r>
        <w:rPr>
          <w:lang w:val="fr-FR"/>
        </w:rPr>
        <w:t xml:space="preserve">, </w:t>
      </w:r>
      <w:r w:rsidRPr="00AE3663">
        <w:rPr>
          <w:lang w:val="fr-FR"/>
        </w:rPr>
        <w:t>inhalation (chap</w:t>
      </w:r>
      <w:r w:rsidR="00924216">
        <w:rPr>
          <w:lang w:val="fr-FR"/>
        </w:rPr>
        <w:t>itre</w:t>
      </w:r>
      <w:r>
        <w:rPr>
          <w:lang w:val="fr-FR"/>
        </w:rPr>
        <w:t> </w:t>
      </w:r>
      <w:r w:rsidRPr="00AE3663">
        <w:rPr>
          <w:lang w:val="fr-FR"/>
        </w:rPr>
        <w:t>3.1)</w:t>
      </w:r>
      <w:r>
        <w:rPr>
          <w:lang w:val="fr-FR"/>
        </w:rPr>
        <w:t> »</w:t>
      </w:r>
      <w:r w:rsidRPr="00AE3663">
        <w:rPr>
          <w:lang w:val="fr-FR"/>
        </w:rPr>
        <w:t> :</w:t>
      </w:r>
    </w:p>
    <w:tbl>
      <w:tblPr>
        <w:tblStyle w:val="Grilledutableau"/>
        <w:tblW w:w="0" w:type="auto"/>
        <w:tblInd w:w="1134" w:type="dxa"/>
        <w:tblLayout w:type="fixed"/>
        <w:tblLook w:val="04A0" w:firstRow="1" w:lastRow="0" w:firstColumn="1" w:lastColumn="0" w:noHBand="0" w:noVBand="1"/>
      </w:tblPr>
      <w:tblGrid>
        <w:gridCol w:w="846"/>
        <w:gridCol w:w="850"/>
        <w:gridCol w:w="3261"/>
        <w:gridCol w:w="708"/>
        <w:gridCol w:w="1701"/>
      </w:tblGrid>
      <w:tr w:rsidR="00246D13" w:rsidRPr="00CD2995" w14:paraId="72780706" w14:textId="77777777" w:rsidTr="004D33AF">
        <w:tc>
          <w:tcPr>
            <w:tcW w:w="846" w:type="dxa"/>
            <w:tcBorders>
              <w:bottom w:val="single" w:sz="4" w:space="0" w:color="auto"/>
            </w:tcBorders>
          </w:tcPr>
          <w:p w14:paraId="128CFBAC"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(1)</w:t>
            </w:r>
          </w:p>
        </w:tc>
        <w:tc>
          <w:tcPr>
            <w:tcW w:w="850" w:type="dxa"/>
            <w:tcBorders>
              <w:bottom w:val="single" w:sz="4" w:space="0" w:color="auto"/>
            </w:tcBorders>
          </w:tcPr>
          <w:p w14:paraId="459FA1EB"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(2)</w:t>
            </w:r>
          </w:p>
        </w:tc>
        <w:tc>
          <w:tcPr>
            <w:tcW w:w="3261" w:type="dxa"/>
          </w:tcPr>
          <w:p w14:paraId="18138EB3"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(3)</w:t>
            </w:r>
          </w:p>
        </w:tc>
        <w:tc>
          <w:tcPr>
            <w:tcW w:w="708" w:type="dxa"/>
          </w:tcPr>
          <w:p w14:paraId="41562E69"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(4)</w:t>
            </w:r>
          </w:p>
        </w:tc>
        <w:tc>
          <w:tcPr>
            <w:tcW w:w="1701" w:type="dxa"/>
            <w:tcBorders>
              <w:bottom w:val="single" w:sz="4" w:space="0" w:color="auto"/>
            </w:tcBorders>
          </w:tcPr>
          <w:p w14:paraId="223F53A1"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r w:rsidRPr="00CD2995">
              <w:rPr>
                <w:rFonts w:asciiTheme="majorBidi" w:hAnsiTheme="majorBidi" w:cstheme="majorBidi"/>
                <w:b/>
                <w:bCs/>
                <w:sz w:val="18"/>
                <w:szCs w:val="18"/>
                <w:lang w:val="fr-FR"/>
              </w:rPr>
              <w:t>(5)</w:t>
            </w:r>
          </w:p>
        </w:tc>
      </w:tr>
      <w:tr w:rsidR="00246D13" w:rsidRPr="00CD2995" w14:paraId="38E4E71D" w14:textId="77777777" w:rsidTr="004D33AF">
        <w:tc>
          <w:tcPr>
            <w:tcW w:w="846" w:type="dxa"/>
            <w:tcBorders>
              <w:bottom w:val="nil"/>
              <w:right w:val="single" w:sz="4" w:space="0" w:color="auto"/>
            </w:tcBorders>
          </w:tcPr>
          <w:p w14:paraId="01B27296" w14:textId="77777777" w:rsidR="00246D13" w:rsidRPr="00CD2995" w:rsidRDefault="00246D13" w:rsidP="004D33AF">
            <w:pPr>
              <w:pStyle w:val="SingleTxtG"/>
              <w:spacing w:before="40" w:after="40" w:line="220" w:lineRule="atLeast"/>
              <w:ind w:left="57" w:right="57"/>
              <w:jc w:val="left"/>
              <w:rPr>
                <w:rFonts w:asciiTheme="majorBidi" w:hAnsiTheme="majorBidi" w:cstheme="majorBidi"/>
                <w:b/>
                <w:bCs/>
                <w:sz w:val="18"/>
                <w:szCs w:val="18"/>
                <w:lang w:val="fr-FR"/>
              </w:rPr>
            </w:pPr>
          </w:p>
        </w:tc>
        <w:tc>
          <w:tcPr>
            <w:tcW w:w="850" w:type="dxa"/>
            <w:tcBorders>
              <w:left w:val="single" w:sz="4" w:space="0" w:color="auto"/>
              <w:bottom w:val="nil"/>
            </w:tcBorders>
          </w:tcPr>
          <w:p w14:paraId="35E28C48"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b/>
                <w:bCs/>
                <w:sz w:val="18"/>
                <w:szCs w:val="18"/>
                <w:lang w:val="fr-FR"/>
              </w:rPr>
            </w:pPr>
          </w:p>
        </w:tc>
        <w:tc>
          <w:tcPr>
            <w:tcW w:w="3261" w:type="dxa"/>
          </w:tcPr>
          <w:p w14:paraId="4F2C6AF1" w14:textId="7B98DFA1" w:rsidR="00246D13" w:rsidRPr="00CD2995" w:rsidRDefault="00246D13" w:rsidP="004D33AF">
            <w:pPr>
              <w:pStyle w:val="SingleTxtG"/>
              <w:spacing w:before="40" w:after="40" w:line="220" w:lineRule="atLeast"/>
              <w:ind w:left="57" w:right="57"/>
              <w:jc w:val="left"/>
              <w:rPr>
                <w:rFonts w:asciiTheme="majorBidi" w:hAnsiTheme="majorBidi" w:cstheme="majorBidi"/>
                <w:b/>
                <w:bCs/>
                <w:sz w:val="18"/>
                <w:szCs w:val="18"/>
                <w:lang w:val="fr-FR"/>
              </w:rPr>
            </w:pPr>
            <w:r w:rsidRPr="00CD2995">
              <w:rPr>
                <w:rFonts w:asciiTheme="majorBidi" w:hAnsiTheme="majorBidi" w:cstheme="majorBidi"/>
                <w:sz w:val="18"/>
                <w:szCs w:val="18"/>
                <w:lang w:val="fr-FR"/>
              </w:rPr>
              <w:t>Toxicité aiguë, orale (chap</w:t>
            </w:r>
            <w:r>
              <w:rPr>
                <w:rFonts w:asciiTheme="majorBidi" w:hAnsiTheme="majorBidi" w:cstheme="majorBidi"/>
                <w:sz w:val="18"/>
                <w:szCs w:val="18"/>
                <w:lang w:val="fr-FR"/>
              </w:rPr>
              <w:t>itre</w:t>
            </w:r>
            <w:r w:rsidRPr="00CD2995">
              <w:rPr>
                <w:rFonts w:asciiTheme="majorBidi" w:hAnsiTheme="majorBidi" w:cstheme="majorBidi"/>
                <w:sz w:val="18"/>
                <w:szCs w:val="18"/>
                <w:lang w:val="fr-FR"/>
              </w:rPr>
              <w:t> 3.1)</w:t>
            </w:r>
          </w:p>
        </w:tc>
        <w:tc>
          <w:tcPr>
            <w:tcW w:w="708" w:type="dxa"/>
          </w:tcPr>
          <w:p w14:paraId="760F86A6"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CD2995">
              <w:rPr>
                <w:rFonts w:asciiTheme="majorBidi" w:hAnsiTheme="majorBidi" w:cstheme="majorBidi"/>
                <w:sz w:val="18"/>
                <w:szCs w:val="18"/>
                <w:lang w:val="fr-FR"/>
              </w:rPr>
              <w:t>1, 2, 3</w:t>
            </w:r>
          </w:p>
        </w:tc>
        <w:tc>
          <w:tcPr>
            <w:tcW w:w="1701" w:type="dxa"/>
            <w:vMerge w:val="restart"/>
          </w:tcPr>
          <w:p w14:paraId="4CAD8C1C" w14:textId="77777777" w:rsidR="00246D13" w:rsidRPr="00CD2995" w:rsidRDefault="00246D13" w:rsidP="004D33AF">
            <w:pPr>
              <w:pStyle w:val="SingleTxtG"/>
              <w:spacing w:before="40" w:after="40" w:line="220" w:lineRule="atLeast"/>
              <w:ind w:left="57" w:right="57"/>
              <w:jc w:val="left"/>
              <w:rPr>
                <w:rFonts w:asciiTheme="majorBidi" w:hAnsiTheme="majorBidi" w:cstheme="majorBidi"/>
                <w:sz w:val="18"/>
                <w:szCs w:val="18"/>
                <w:lang w:val="fr-FR"/>
              </w:rPr>
            </w:pPr>
          </w:p>
        </w:tc>
      </w:tr>
      <w:tr w:rsidR="00246D13" w:rsidRPr="00CD2995" w14:paraId="5F48FE8E" w14:textId="77777777" w:rsidTr="004D33AF">
        <w:tc>
          <w:tcPr>
            <w:tcW w:w="846" w:type="dxa"/>
            <w:tcBorders>
              <w:top w:val="nil"/>
              <w:right w:val="single" w:sz="4" w:space="0" w:color="auto"/>
            </w:tcBorders>
          </w:tcPr>
          <w:p w14:paraId="40830E50" w14:textId="77777777" w:rsidR="00246D13" w:rsidRPr="00CD2995"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850" w:type="dxa"/>
            <w:tcBorders>
              <w:top w:val="nil"/>
              <w:left w:val="single" w:sz="4" w:space="0" w:color="auto"/>
            </w:tcBorders>
          </w:tcPr>
          <w:p w14:paraId="7EC8F78A" w14:textId="77777777" w:rsidR="00246D13" w:rsidRPr="00CD2995"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3261" w:type="dxa"/>
          </w:tcPr>
          <w:p w14:paraId="7ECD5939" w14:textId="32C81D66" w:rsidR="00246D13" w:rsidRPr="00CD2995" w:rsidRDefault="00246D13" w:rsidP="004D33AF">
            <w:pPr>
              <w:pStyle w:val="SingleTxtG"/>
              <w:spacing w:before="40" w:after="40" w:line="220" w:lineRule="atLeast"/>
              <w:ind w:left="57" w:right="57"/>
              <w:rPr>
                <w:rFonts w:asciiTheme="majorBidi" w:hAnsiTheme="majorBidi" w:cstheme="majorBidi"/>
                <w:sz w:val="18"/>
                <w:szCs w:val="18"/>
                <w:lang w:val="fr-FR"/>
              </w:rPr>
            </w:pPr>
            <w:r w:rsidRPr="00CD2995">
              <w:rPr>
                <w:rFonts w:asciiTheme="majorBidi" w:hAnsiTheme="majorBidi" w:cstheme="majorBidi"/>
                <w:sz w:val="18"/>
                <w:szCs w:val="18"/>
                <w:lang w:val="fr-FR"/>
              </w:rPr>
              <w:t>Toxicité aiguë, cutanée (chap</w:t>
            </w:r>
            <w:r>
              <w:rPr>
                <w:rFonts w:asciiTheme="majorBidi" w:hAnsiTheme="majorBidi" w:cstheme="majorBidi"/>
                <w:sz w:val="18"/>
                <w:szCs w:val="18"/>
                <w:lang w:val="fr-FR"/>
              </w:rPr>
              <w:t>itre</w:t>
            </w:r>
            <w:r w:rsidRPr="00CD2995">
              <w:rPr>
                <w:rFonts w:asciiTheme="majorBidi" w:hAnsiTheme="majorBidi" w:cstheme="majorBidi"/>
                <w:sz w:val="18"/>
                <w:szCs w:val="18"/>
                <w:lang w:val="fr-FR"/>
              </w:rPr>
              <w:t> 3.1)</w:t>
            </w:r>
          </w:p>
        </w:tc>
        <w:tc>
          <w:tcPr>
            <w:tcW w:w="708" w:type="dxa"/>
          </w:tcPr>
          <w:p w14:paraId="26E4D5B9" w14:textId="77777777" w:rsidR="00246D13" w:rsidRPr="00CD2995"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CD2995">
              <w:rPr>
                <w:rFonts w:asciiTheme="majorBidi" w:hAnsiTheme="majorBidi" w:cstheme="majorBidi"/>
                <w:sz w:val="18"/>
                <w:szCs w:val="18"/>
                <w:lang w:val="fr-FR"/>
              </w:rPr>
              <w:t>1, 2, 3</w:t>
            </w:r>
          </w:p>
        </w:tc>
        <w:tc>
          <w:tcPr>
            <w:tcW w:w="1701" w:type="dxa"/>
            <w:vMerge/>
          </w:tcPr>
          <w:p w14:paraId="33E7D0FB" w14:textId="77777777" w:rsidR="00246D13" w:rsidRPr="00CD2995" w:rsidRDefault="00246D13" w:rsidP="004D33AF">
            <w:pPr>
              <w:pStyle w:val="SingleTxtG"/>
              <w:spacing w:before="40" w:after="40" w:line="220" w:lineRule="atLeast"/>
              <w:ind w:left="57" w:right="57"/>
              <w:rPr>
                <w:rFonts w:asciiTheme="majorBidi" w:hAnsiTheme="majorBidi" w:cstheme="majorBidi"/>
                <w:sz w:val="18"/>
                <w:szCs w:val="18"/>
                <w:lang w:val="fr-FR"/>
              </w:rPr>
            </w:pPr>
          </w:p>
        </w:tc>
      </w:tr>
    </w:tbl>
    <w:p w14:paraId="0E5A7178" w14:textId="533BDF18" w:rsidR="00246D13" w:rsidRPr="00AE3663" w:rsidRDefault="00E30D2B" w:rsidP="00E30D2B">
      <w:pPr>
        <w:pStyle w:val="SingleTxtG"/>
        <w:spacing w:before="240"/>
        <w:rPr>
          <w:lang w:val="fr-FR"/>
        </w:rPr>
      </w:pPr>
      <w:r>
        <w:rPr>
          <w:lang w:val="fr-FR"/>
        </w:rPr>
        <w:t>Ligne</w:t>
      </w:r>
      <w:r w:rsidR="00395719">
        <w:rPr>
          <w:lang w:val="fr-FR"/>
        </w:rPr>
        <w:t xml:space="preserve"> </w:t>
      </w:r>
      <w:r w:rsidR="00246D13" w:rsidRPr="00AE3663">
        <w:rPr>
          <w:lang w:val="fr-FR"/>
        </w:rPr>
        <w:t xml:space="preserve"> «</w:t>
      </w:r>
      <w:r w:rsidR="00246D13">
        <w:rPr>
          <w:lang w:val="fr-FR"/>
        </w:rPr>
        <w:t> </w:t>
      </w:r>
      <w:r w:rsidR="00246D13" w:rsidRPr="00AE3663">
        <w:rPr>
          <w:lang w:val="fr-FR"/>
        </w:rPr>
        <w:t>Toxicité aiguë, inhalation (chap</w:t>
      </w:r>
      <w:r w:rsidR="00246D13">
        <w:rPr>
          <w:lang w:val="fr-FR"/>
        </w:rPr>
        <w:t>itre </w:t>
      </w:r>
      <w:r w:rsidR="00246D13" w:rsidRPr="00AE3663">
        <w:rPr>
          <w:lang w:val="fr-FR"/>
        </w:rPr>
        <w:t>3.1)</w:t>
      </w:r>
      <w:r w:rsidR="00246D13">
        <w:rPr>
          <w:lang w:val="fr-FR"/>
        </w:rPr>
        <w:t> </w:t>
      </w:r>
      <w:r w:rsidR="00246D13" w:rsidRPr="00AE3663">
        <w:rPr>
          <w:lang w:val="fr-FR"/>
        </w:rPr>
        <w:t>»</w:t>
      </w:r>
      <w:r>
        <w:rPr>
          <w:lang w:val="fr-FR"/>
        </w:rPr>
        <w:t>, colonne (4):</w:t>
      </w:r>
      <w:r w:rsidR="00246D13" w:rsidRPr="00AE3663">
        <w:rPr>
          <w:lang w:val="fr-FR"/>
        </w:rPr>
        <w:t xml:space="preserve"> ajouter « , 3 » après « 1, 2 »</w:t>
      </w:r>
      <w:r>
        <w:rPr>
          <w:lang w:val="fr-FR"/>
        </w:rPr>
        <w:t>.</w:t>
      </w:r>
      <w:r w:rsidR="00395719">
        <w:rPr>
          <w:lang w:val="fr-FR"/>
        </w:rPr>
        <w:t xml:space="preserve"> </w:t>
      </w:r>
    </w:p>
    <w:p w14:paraId="3EBFC0F1" w14:textId="4BC09D25" w:rsidR="00246D13" w:rsidRPr="00AE3663" w:rsidRDefault="00246D13" w:rsidP="00246D13">
      <w:pPr>
        <w:pStyle w:val="SingleTxtG"/>
        <w:keepNext/>
        <w:rPr>
          <w:lang w:val="fr-FR"/>
        </w:rPr>
      </w:pPr>
      <w:r w:rsidRPr="00AE3663">
        <w:rPr>
          <w:lang w:val="fr-FR"/>
        </w:rPr>
        <w:t xml:space="preserve">Dans la colonne (5), modifier la condition </w:t>
      </w:r>
      <w:r w:rsidR="00DE2353">
        <w:rPr>
          <w:lang w:val="fr-FR"/>
        </w:rPr>
        <w:t xml:space="preserve">actuelle </w:t>
      </w:r>
      <w:r w:rsidRPr="00AE3663">
        <w:rPr>
          <w:lang w:val="fr-FR"/>
        </w:rPr>
        <w:t>relative à l</w:t>
      </w:r>
      <w:r>
        <w:rPr>
          <w:lang w:val="fr-FR"/>
        </w:rPr>
        <w:t>’</w:t>
      </w:r>
      <w:r w:rsidRPr="00AE3663">
        <w:rPr>
          <w:lang w:val="fr-FR"/>
        </w:rPr>
        <w:t xml:space="preserve">utilisation (applicable à toutes les entrées) </w:t>
      </w:r>
      <w:r>
        <w:rPr>
          <w:lang w:val="fr-FR"/>
        </w:rPr>
        <w:t xml:space="preserve">de sorte qu’elle se lise </w:t>
      </w:r>
      <w:r w:rsidRPr="00AE3663">
        <w:rPr>
          <w:lang w:val="fr-FR"/>
        </w:rPr>
        <w:t xml:space="preserve">comme suit : </w:t>
      </w:r>
    </w:p>
    <w:p w14:paraId="5D59A7CE" w14:textId="77777777" w:rsidR="00246D13" w:rsidRDefault="00246D13" w:rsidP="00246D13">
      <w:pPr>
        <w:pStyle w:val="SingleTxtG"/>
        <w:ind w:left="1701"/>
        <w:rPr>
          <w:rFonts w:asciiTheme="majorBidi" w:hAnsiTheme="majorBidi" w:cstheme="majorBidi"/>
          <w:lang w:val="fr-FR"/>
        </w:rPr>
      </w:pPr>
      <w:r w:rsidRPr="00AE3663">
        <w:rPr>
          <w:rFonts w:asciiTheme="majorBidi" w:hAnsiTheme="majorBidi" w:cstheme="majorBidi"/>
          <w:lang w:val="fr-FR"/>
        </w:rPr>
        <w:t>« </w:t>
      </w:r>
      <w:r w:rsidRPr="00371822">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371822">
        <w:rPr>
          <w:rFonts w:asciiTheme="majorBidi" w:hAnsiTheme="majorBidi" w:cstheme="majorBidi"/>
          <w:i/>
          <w:iCs/>
          <w:lang w:val="fr-FR"/>
        </w:rPr>
        <w:t>administration d</w:t>
      </w:r>
      <w:r>
        <w:rPr>
          <w:rFonts w:asciiTheme="majorBidi" w:hAnsiTheme="majorBidi" w:cstheme="majorBidi"/>
          <w:i/>
          <w:iCs/>
          <w:lang w:val="fr-FR"/>
        </w:rPr>
        <w:t>’</w:t>
      </w:r>
      <w:r w:rsidRPr="00371822">
        <w:rPr>
          <w:rFonts w:asciiTheme="majorBidi" w:hAnsiTheme="majorBidi" w:cstheme="majorBidi"/>
          <w:i/>
          <w:iCs/>
          <w:lang w:val="fr-FR"/>
        </w:rPr>
        <w:t>un antidote ou d</w:t>
      </w:r>
      <w:r>
        <w:rPr>
          <w:rFonts w:asciiTheme="majorBidi" w:hAnsiTheme="majorBidi" w:cstheme="majorBidi"/>
          <w:i/>
          <w:iCs/>
          <w:lang w:val="fr-FR"/>
        </w:rPr>
        <w:t>’</w:t>
      </w:r>
      <w:r w:rsidRPr="00371822">
        <w:rPr>
          <w:rFonts w:asciiTheme="majorBidi" w:hAnsiTheme="majorBidi" w:cstheme="majorBidi"/>
          <w:i/>
          <w:iCs/>
          <w:lang w:val="fr-FR"/>
        </w:rPr>
        <w:t>un autre traitement spécifique, sont nécessaires. Ces</w:t>
      </w:r>
      <w:r w:rsidRPr="00AE3663">
        <w:rPr>
          <w:rFonts w:asciiTheme="majorBidi" w:hAnsiTheme="majorBidi" w:cstheme="majorBidi"/>
          <w:i/>
          <w:iCs/>
          <w:lang w:val="fr-FR"/>
        </w:rPr>
        <w:t xml:space="preserve"> mesures doivent être </w:t>
      </w:r>
      <w:r>
        <w:rPr>
          <w:rFonts w:asciiTheme="majorBidi" w:hAnsiTheme="majorBidi" w:cstheme="majorBidi"/>
          <w:i/>
          <w:iCs/>
          <w:lang w:val="fr-FR"/>
        </w:rPr>
        <w:t>précisées</w:t>
      </w:r>
      <w:r w:rsidRPr="00AE3663">
        <w:rPr>
          <w:rFonts w:asciiTheme="majorBidi" w:hAnsiTheme="majorBidi" w:cstheme="majorBidi"/>
          <w:i/>
          <w:iCs/>
          <w:lang w:val="fr-FR"/>
        </w:rPr>
        <w:t xml:space="preserve">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w:t>
      </w:r>
      <w:r>
        <w:rPr>
          <w:rFonts w:asciiTheme="majorBidi" w:hAnsiTheme="majorBidi" w:cstheme="majorBidi"/>
          <w:i/>
          <w:iCs/>
          <w:lang w:val="fr-FR"/>
        </w:rPr>
        <w:t>evant</w:t>
      </w:r>
      <w:r w:rsidRPr="00AE3663">
        <w:rPr>
          <w:rFonts w:asciiTheme="majorBidi" w:hAnsiTheme="majorBidi" w:cstheme="majorBidi"/>
          <w:i/>
          <w:iCs/>
          <w:lang w:val="fr-FR"/>
        </w:rPr>
        <w:t xml:space="preserve"> être fournies sur la fiche de données de sécurité, le cas échéant.</w:t>
      </w:r>
      <w:r w:rsidRPr="00AE3663">
        <w:rPr>
          <w:rFonts w:asciiTheme="majorBidi" w:hAnsiTheme="majorBidi" w:cstheme="majorBidi"/>
          <w:lang w:val="fr-FR"/>
        </w:rPr>
        <w:t> »</w:t>
      </w:r>
    </w:p>
    <w:p w14:paraId="0C105523" w14:textId="77777777" w:rsidR="00246D13" w:rsidRPr="00AE3663" w:rsidRDefault="00246D13" w:rsidP="00246D13">
      <w:pPr>
        <w:pStyle w:val="H23G"/>
        <w:rPr>
          <w:lang w:val="fr-FR"/>
        </w:rPr>
      </w:pPr>
      <w:r w:rsidRPr="00AE3663">
        <w:rPr>
          <w:lang w:val="fr-FR"/>
        </w:rPr>
        <w:lastRenderedPageBreak/>
        <w:tab/>
      </w:r>
      <w:r w:rsidRPr="00AE3663">
        <w:rPr>
          <w:lang w:val="fr-FR"/>
        </w:rPr>
        <w:tab/>
        <w:t>P321</w:t>
      </w:r>
    </w:p>
    <w:p w14:paraId="699EC660" w14:textId="3AEA8A77" w:rsidR="00246D13" w:rsidRPr="00AE3663" w:rsidRDefault="00246D13" w:rsidP="00246D13">
      <w:pPr>
        <w:pStyle w:val="SingleTxtG"/>
        <w:rPr>
          <w:rFonts w:asciiTheme="majorBidi" w:hAnsiTheme="majorBidi" w:cstheme="majorBidi"/>
          <w:lang w:val="fr-FR"/>
        </w:rPr>
      </w:pPr>
      <w:r w:rsidRPr="00AE3663">
        <w:rPr>
          <w:rFonts w:asciiTheme="majorBidi" w:hAnsiTheme="majorBidi" w:cstheme="majorBidi"/>
          <w:lang w:val="fr-FR"/>
        </w:rPr>
        <w:t>Dans la colonne (2), remplacer « </w:t>
      </w:r>
      <w:r w:rsidRPr="00AE3663">
        <w:rPr>
          <w:rFonts w:asciiTheme="majorBidi" w:hAnsiTheme="majorBidi" w:cstheme="majorBidi"/>
          <w:b/>
          <w:bCs/>
          <w:lang w:val="fr-FR"/>
        </w:rPr>
        <w:t>(voir… sur cette étiquette)</w:t>
      </w:r>
      <w:r w:rsidRPr="00AE3663">
        <w:rPr>
          <w:rFonts w:asciiTheme="majorBidi" w:hAnsiTheme="majorBidi" w:cstheme="majorBidi"/>
          <w:lang w:val="fr-FR"/>
        </w:rPr>
        <w:t> » par « </w:t>
      </w:r>
      <w:r w:rsidRPr="00AE3663">
        <w:rPr>
          <w:rFonts w:asciiTheme="majorBidi" w:hAnsiTheme="majorBidi" w:cstheme="majorBidi"/>
          <w:b/>
          <w:bCs/>
          <w:lang w:val="fr-FR"/>
        </w:rPr>
        <w:t>(voir les informations figurant sur cette étiquette et sur la fiche de données de sécurité)</w:t>
      </w:r>
      <w:r w:rsidRPr="00AE3663">
        <w:rPr>
          <w:rFonts w:asciiTheme="majorBidi" w:hAnsiTheme="majorBidi" w:cstheme="majorBidi"/>
          <w:lang w:val="fr-FR"/>
        </w:rPr>
        <w:t xml:space="preserve"> ». </w:t>
      </w:r>
    </w:p>
    <w:p w14:paraId="0B2D4697" w14:textId="77777777" w:rsidR="00246D13" w:rsidRPr="00AE3663" w:rsidRDefault="00246D13" w:rsidP="00246D13">
      <w:pPr>
        <w:pStyle w:val="SingleTxtG"/>
        <w:rPr>
          <w:lang w:val="fr-FR"/>
        </w:rPr>
      </w:pPr>
      <w:r w:rsidRPr="00AE3663">
        <w:rPr>
          <w:lang w:val="fr-FR"/>
        </w:rPr>
        <w:t>Dans la colonne (4)</w:t>
      </w:r>
      <w:r>
        <w:rPr>
          <w:lang w:val="fr-FR"/>
        </w:rPr>
        <w:t> </w:t>
      </w:r>
      <w:r w:rsidRPr="00AE3663">
        <w:rPr>
          <w:lang w:val="fr-FR"/>
        </w:rPr>
        <w:t>:</w:t>
      </w:r>
    </w:p>
    <w:p w14:paraId="62F9D00B" w14:textId="17251E4F" w:rsidR="00246D13" w:rsidRPr="00AE3663" w:rsidRDefault="002E377B" w:rsidP="00246D13">
      <w:pPr>
        <w:pStyle w:val="Bullet1G"/>
        <w:numPr>
          <w:ilvl w:val="0"/>
          <w:numId w:val="1"/>
        </w:numPr>
        <w:suppressAutoHyphens/>
        <w:kinsoku w:val="0"/>
        <w:overflowPunct w:val="0"/>
        <w:autoSpaceDE w:val="0"/>
        <w:autoSpaceDN w:val="0"/>
        <w:adjustRightInd w:val="0"/>
        <w:snapToGrid w:val="0"/>
        <w:rPr>
          <w:lang w:val="fr-FR"/>
        </w:rPr>
      </w:pPr>
      <w:r>
        <w:rPr>
          <w:lang w:val="fr-FR"/>
        </w:rPr>
        <w:t>Ligne</w:t>
      </w:r>
      <w:r w:rsidR="004D6C0C" w:rsidRPr="00AE3663">
        <w:rPr>
          <w:lang w:val="fr-FR"/>
        </w:rPr>
        <w:t xml:space="preserve"> </w:t>
      </w:r>
      <w:r w:rsidR="00246D13" w:rsidRPr="00AE3663">
        <w:rPr>
          <w:lang w:val="fr-FR"/>
        </w:rPr>
        <w:t>« Toxicité aiguë, orale (chap</w:t>
      </w:r>
      <w:r w:rsidR="00246D13">
        <w:rPr>
          <w:lang w:val="fr-FR"/>
        </w:rPr>
        <w:t>itre </w:t>
      </w:r>
      <w:r w:rsidR="00246D13" w:rsidRPr="00AE3663">
        <w:rPr>
          <w:lang w:val="fr-FR"/>
        </w:rPr>
        <w:t>3.1) »</w:t>
      </w:r>
      <w:r w:rsidR="00377A41">
        <w:rPr>
          <w:lang w:val="fr-FR"/>
        </w:rPr>
        <w:t> :</w:t>
      </w:r>
      <w:r w:rsidR="00246D13" w:rsidRPr="00AE3663">
        <w:rPr>
          <w:lang w:val="fr-FR"/>
        </w:rPr>
        <w:t xml:space="preserve"> remplacer « 1, 2, 3 » par « 4 »</w:t>
      </w:r>
      <w:r>
        <w:rPr>
          <w:lang w:val="fr-FR"/>
        </w:rPr>
        <w:t>.</w:t>
      </w:r>
    </w:p>
    <w:p w14:paraId="24AF10E3" w14:textId="53424034" w:rsidR="00246D13" w:rsidRPr="00AE3663" w:rsidRDefault="002E377B" w:rsidP="00246D13">
      <w:pPr>
        <w:pStyle w:val="Bullet1G"/>
        <w:numPr>
          <w:ilvl w:val="0"/>
          <w:numId w:val="1"/>
        </w:numPr>
        <w:suppressAutoHyphens/>
        <w:kinsoku w:val="0"/>
        <w:overflowPunct w:val="0"/>
        <w:autoSpaceDE w:val="0"/>
        <w:autoSpaceDN w:val="0"/>
        <w:adjustRightInd w:val="0"/>
        <w:snapToGrid w:val="0"/>
        <w:rPr>
          <w:rFonts w:asciiTheme="majorBidi" w:hAnsiTheme="majorBidi" w:cstheme="majorBidi"/>
          <w:lang w:val="fr-FR"/>
        </w:rPr>
      </w:pPr>
      <w:r>
        <w:rPr>
          <w:rFonts w:asciiTheme="majorBidi" w:hAnsiTheme="majorBidi" w:cstheme="majorBidi"/>
          <w:lang w:val="fr-FR"/>
        </w:rPr>
        <w:t>Ligne</w:t>
      </w:r>
      <w:r w:rsidR="00246D13" w:rsidRPr="00AE3663">
        <w:rPr>
          <w:rFonts w:asciiTheme="majorBidi" w:hAnsiTheme="majorBidi" w:cstheme="majorBidi"/>
          <w:lang w:val="fr-FR"/>
        </w:rPr>
        <w:t xml:space="preserve"> « Toxicité aiguë, cutanée (chap</w:t>
      </w:r>
      <w:r w:rsidR="00246D13">
        <w:rPr>
          <w:rFonts w:asciiTheme="majorBidi" w:hAnsiTheme="majorBidi" w:cstheme="majorBidi"/>
          <w:lang w:val="fr-FR"/>
        </w:rPr>
        <w:t>itre </w:t>
      </w:r>
      <w:r w:rsidR="00246D13" w:rsidRPr="00AE3663">
        <w:rPr>
          <w:rFonts w:asciiTheme="majorBidi" w:hAnsiTheme="majorBidi" w:cstheme="majorBidi"/>
          <w:lang w:val="fr-FR"/>
        </w:rPr>
        <w:t>3.1) »</w:t>
      </w:r>
      <w:r w:rsidR="00377A41">
        <w:rPr>
          <w:rFonts w:asciiTheme="majorBidi" w:hAnsiTheme="majorBidi" w:cstheme="majorBidi"/>
          <w:lang w:val="fr-FR"/>
        </w:rPr>
        <w:t> :</w:t>
      </w:r>
      <w:r w:rsidR="00246D13" w:rsidRPr="00AE3663">
        <w:rPr>
          <w:rFonts w:asciiTheme="majorBidi" w:hAnsiTheme="majorBidi" w:cstheme="majorBidi"/>
          <w:lang w:val="fr-FR"/>
        </w:rPr>
        <w:t xml:space="preserve"> supprimer « 1, 2, 3 »</w:t>
      </w:r>
      <w:r>
        <w:rPr>
          <w:rFonts w:asciiTheme="majorBidi" w:hAnsiTheme="majorBidi" w:cstheme="majorBidi"/>
          <w:lang w:val="fr-FR"/>
        </w:rPr>
        <w:t>.</w:t>
      </w:r>
    </w:p>
    <w:p w14:paraId="6B27949A" w14:textId="2D107D32" w:rsidR="00246D13" w:rsidRPr="00AE3663" w:rsidRDefault="002E377B" w:rsidP="00246D13">
      <w:pPr>
        <w:pStyle w:val="Bullet1G"/>
        <w:numPr>
          <w:ilvl w:val="0"/>
          <w:numId w:val="1"/>
        </w:numPr>
        <w:suppressAutoHyphens/>
        <w:kinsoku w:val="0"/>
        <w:overflowPunct w:val="0"/>
        <w:autoSpaceDE w:val="0"/>
        <w:autoSpaceDN w:val="0"/>
        <w:adjustRightInd w:val="0"/>
        <w:snapToGrid w:val="0"/>
        <w:rPr>
          <w:rFonts w:asciiTheme="majorBidi" w:hAnsiTheme="majorBidi" w:cstheme="majorBidi"/>
          <w:lang w:val="fr-FR"/>
        </w:rPr>
      </w:pPr>
      <w:r>
        <w:rPr>
          <w:rFonts w:asciiTheme="majorBidi" w:hAnsiTheme="majorBidi" w:cstheme="majorBidi"/>
          <w:lang w:val="fr-FR"/>
        </w:rPr>
        <w:t>Ligne</w:t>
      </w:r>
      <w:r w:rsidR="00246D13" w:rsidRPr="00AE3663">
        <w:rPr>
          <w:rFonts w:asciiTheme="majorBidi" w:hAnsiTheme="majorBidi" w:cstheme="majorBidi"/>
          <w:lang w:val="fr-FR"/>
        </w:rPr>
        <w:t xml:space="preserve"> « Toxicité aiguë, inhalation (chap</w:t>
      </w:r>
      <w:r w:rsidR="00246D13">
        <w:rPr>
          <w:rFonts w:asciiTheme="majorBidi" w:hAnsiTheme="majorBidi" w:cstheme="majorBidi"/>
          <w:lang w:val="fr-FR"/>
        </w:rPr>
        <w:t>itre </w:t>
      </w:r>
      <w:r w:rsidR="00246D13" w:rsidRPr="00AE3663">
        <w:rPr>
          <w:rFonts w:asciiTheme="majorBidi" w:hAnsiTheme="majorBidi" w:cstheme="majorBidi"/>
          <w:lang w:val="fr-FR"/>
        </w:rPr>
        <w:t>3.1)</w:t>
      </w:r>
      <w:r w:rsidR="00246D13">
        <w:rPr>
          <w:rFonts w:asciiTheme="majorBidi" w:hAnsiTheme="majorBidi" w:cstheme="majorBidi"/>
          <w:lang w:val="fr-FR"/>
        </w:rPr>
        <w:t> </w:t>
      </w:r>
      <w:r w:rsidR="00246D13" w:rsidRPr="00AE3663">
        <w:rPr>
          <w:rFonts w:asciiTheme="majorBidi" w:hAnsiTheme="majorBidi" w:cstheme="majorBidi"/>
          <w:lang w:val="fr-FR"/>
        </w:rPr>
        <w:t>»</w:t>
      </w:r>
      <w:r w:rsidR="00377A41">
        <w:rPr>
          <w:rFonts w:asciiTheme="majorBidi" w:hAnsiTheme="majorBidi" w:cstheme="majorBidi"/>
          <w:lang w:val="fr-FR"/>
        </w:rPr>
        <w:t> :</w:t>
      </w:r>
      <w:r w:rsidR="00246D13" w:rsidRPr="00AE3663">
        <w:rPr>
          <w:rFonts w:asciiTheme="majorBidi" w:hAnsiTheme="majorBidi" w:cstheme="majorBidi"/>
          <w:lang w:val="fr-FR"/>
        </w:rPr>
        <w:t xml:space="preserve"> remplacer « 3 » par « 4 ».</w:t>
      </w:r>
    </w:p>
    <w:p w14:paraId="687CC45D" w14:textId="6C9FB7C9" w:rsidR="00246D13" w:rsidRPr="00AE3663" w:rsidRDefault="00246D13" w:rsidP="00246D13">
      <w:pPr>
        <w:pStyle w:val="SingleTxtG"/>
        <w:rPr>
          <w:rFonts w:asciiTheme="majorBidi" w:hAnsiTheme="majorBidi" w:cstheme="majorBidi"/>
          <w:lang w:val="fr-FR"/>
        </w:rPr>
      </w:pPr>
      <w:r w:rsidRPr="00AE3663">
        <w:rPr>
          <w:rFonts w:asciiTheme="majorBidi" w:hAnsiTheme="majorBidi" w:cstheme="majorBidi"/>
          <w:lang w:val="fr-FR"/>
        </w:rPr>
        <w:t>Dans la colonne (5), remplacer toutes les conditions relatives à l</w:t>
      </w:r>
      <w:r>
        <w:rPr>
          <w:rFonts w:asciiTheme="majorBidi" w:hAnsiTheme="majorBidi" w:cstheme="majorBidi"/>
          <w:lang w:val="fr-FR"/>
        </w:rPr>
        <w:t>’</w:t>
      </w:r>
      <w:r w:rsidRPr="00AE3663">
        <w:rPr>
          <w:rFonts w:asciiTheme="majorBidi" w:hAnsiTheme="majorBidi" w:cstheme="majorBidi"/>
          <w:lang w:val="fr-FR"/>
        </w:rPr>
        <w:t xml:space="preserve">utilisation par le texte suivant (applicable à toutes les </w:t>
      </w:r>
      <w:r w:rsidR="009267B3">
        <w:rPr>
          <w:rFonts w:asciiTheme="majorBidi" w:hAnsiTheme="majorBidi" w:cstheme="majorBidi"/>
          <w:lang w:val="fr-FR"/>
        </w:rPr>
        <w:t>rubriques</w:t>
      </w:r>
      <w:r w:rsidRPr="00AE3663">
        <w:rPr>
          <w:rFonts w:asciiTheme="majorBidi" w:hAnsiTheme="majorBidi" w:cstheme="majorBidi"/>
          <w:lang w:val="fr-FR"/>
        </w:rPr>
        <w:t>) :</w:t>
      </w:r>
    </w:p>
    <w:p w14:paraId="15861DB2"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xml:space="preserve">« - </w:t>
      </w:r>
      <w:r>
        <w:rPr>
          <w:rFonts w:asciiTheme="majorBidi" w:hAnsiTheme="majorBidi" w:cstheme="majorBidi"/>
          <w:i/>
          <w:iCs/>
          <w:lang w:val="fr-FR"/>
        </w:rPr>
        <w:t>S</w:t>
      </w:r>
      <w:r w:rsidRPr="00AE3663">
        <w:rPr>
          <w:rFonts w:asciiTheme="majorBidi" w:hAnsiTheme="majorBidi" w:cstheme="majorBidi"/>
          <w:i/>
          <w:iCs/>
          <w:lang w:val="fr-FR"/>
        </w:rPr>
        <w:t>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 xml:space="preserve">Ces mesures doivent être </w:t>
      </w:r>
      <w:r>
        <w:rPr>
          <w:rFonts w:asciiTheme="majorBidi" w:hAnsiTheme="majorBidi" w:cstheme="majorBidi"/>
          <w:i/>
          <w:iCs/>
          <w:lang w:val="fr-FR"/>
        </w:rPr>
        <w:t>précisées</w:t>
      </w:r>
      <w:r w:rsidRPr="00AE3663">
        <w:rPr>
          <w:rFonts w:asciiTheme="majorBidi" w:hAnsiTheme="majorBidi" w:cstheme="majorBidi"/>
          <w:i/>
          <w:iCs/>
          <w:lang w:val="fr-FR"/>
        </w:rPr>
        <w:t xml:space="preserve">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w:t>
      </w:r>
      <w:r>
        <w:rPr>
          <w:rFonts w:asciiTheme="majorBidi" w:hAnsiTheme="majorBidi" w:cstheme="majorBidi"/>
          <w:i/>
          <w:iCs/>
          <w:lang w:val="fr-FR"/>
        </w:rPr>
        <w:t>evant</w:t>
      </w:r>
      <w:r w:rsidRPr="00AE3663">
        <w:rPr>
          <w:rFonts w:asciiTheme="majorBidi" w:hAnsiTheme="majorBidi" w:cstheme="majorBidi"/>
          <w:i/>
          <w:iCs/>
          <w:lang w:val="fr-FR"/>
        </w:rPr>
        <w:t xml:space="preserve"> être fournies sur la fiche de données de sécurité, le cas échéant.</w:t>
      </w:r>
    </w:p>
    <w:p w14:paraId="552DFD72" w14:textId="77777777" w:rsidR="00246D13" w:rsidRDefault="00246D13" w:rsidP="00246D13">
      <w:pPr>
        <w:pStyle w:val="SingleTxtG"/>
        <w:ind w:left="1701"/>
        <w:rPr>
          <w:rFonts w:asciiTheme="majorBidi" w:hAnsiTheme="majorBidi" w:cstheme="majorBidi"/>
          <w:lang w:val="fr-FR"/>
        </w:rPr>
      </w:pPr>
      <w:r w:rsidRPr="00AE3663">
        <w:rPr>
          <w:rFonts w:asciiTheme="majorBidi" w:hAnsiTheme="majorBidi" w:cstheme="majorBidi"/>
          <w:i/>
          <w:iCs/>
          <w:lang w:val="fr-FR"/>
        </w:rPr>
        <w:t xml:space="preserve">- </w:t>
      </w:r>
      <w:r>
        <w:rPr>
          <w:rFonts w:asciiTheme="majorBidi" w:hAnsiTheme="majorBidi" w:cstheme="majorBidi"/>
          <w:i/>
          <w:iCs/>
          <w:lang w:val="fr-FR"/>
        </w:rPr>
        <w:t>P</w:t>
      </w:r>
      <w:r w:rsidRPr="00AE3663">
        <w:rPr>
          <w:rFonts w:asciiTheme="majorBidi" w:hAnsiTheme="majorBidi" w:cstheme="majorBidi"/>
          <w:i/>
          <w:iCs/>
          <w:lang w:val="fr-FR"/>
        </w:rPr>
        <w:t>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 </w:t>
      </w:r>
      <w:r w:rsidRPr="00AE3663">
        <w:rPr>
          <w:rFonts w:asciiTheme="majorBidi" w:hAnsiTheme="majorBidi" w:cstheme="majorBidi"/>
          <w:lang w:val="fr-FR"/>
        </w:rPr>
        <w:t>».</w:t>
      </w:r>
    </w:p>
    <w:p w14:paraId="7E664681" w14:textId="7C45C075" w:rsidR="00246D13" w:rsidRPr="00AE3663" w:rsidRDefault="00246D13" w:rsidP="00246D13">
      <w:pPr>
        <w:pStyle w:val="H23G"/>
        <w:rPr>
          <w:lang w:val="fr-FR"/>
        </w:rPr>
      </w:pPr>
      <w:r w:rsidRPr="00AE3663">
        <w:rPr>
          <w:lang w:val="fr-FR"/>
        </w:rPr>
        <w:tab/>
      </w:r>
      <w:r w:rsidRPr="00AE3663">
        <w:rPr>
          <w:lang w:val="fr-FR"/>
        </w:rPr>
        <w:tab/>
        <w:t>P322</w:t>
      </w:r>
      <w:r w:rsidR="009F2EA7">
        <w:rPr>
          <w:lang w:val="fr-FR"/>
        </w:rPr>
        <w:t xml:space="preserve"> et P323</w:t>
      </w:r>
      <w:r w:rsidRPr="00AE3663">
        <w:rPr>
          <w:lang w:val="fr-FR"/>
        </w:rPr>
        <w:t xml:space="preserve"> (nouveau</w:t>
      </w:r>
      <w:r w:rsidR="009F2EA7">
        <w:rPr>
          <w:lang w:val="fr-FR"/>
        </w:rPr>
        <w:t>x</w:t>
      </w:r>
      <w:r w:rsidRPr="00AE3663">
        <w:rPr>
          <w:lang w:val="fr-FR"/>
        </w:rPr>
        <w:t>)</w:t>
      </w:r>
    </w:p>
    <w:p w14:paraId="34ABD041" w14:textId="4E401F8D" w:rsidR="00246D13" w:rsidRPr="00AE3663" w:rsidRDefault="00246D13" w:rsidP="00246D13">
      <w:pPr>
        <w:pStyle w:val="SingleTxtG"/>
        <w:ind w:left="1701" w:hanging="567"/>
        <w:rPr>
          <w:rFonts w:asciiTheme="majorBidi" w:hAnsiTheme="majorBidi" w:cstheme="majorBidi"/>
          <w:lang w:val="fr-FR"/>
        </w:rPr>
      </w:pPr>
      <w:r w:rsidRPr="00AE3663">
        <w:rPr>
          <w:rFonts w:asciiTheme="majorBidi" w:hAnsiTheme="majorBidi" w:cstheme="majorBidi"/>
          <w:lang w:val="fr-FR"/>
        </w:rPr>
        <w:t>Ajouter le</w:t>
      </w:r>
      <w:r w:rsidR="009F2EA7">
        <w:rPr>
          <w:rFonts w:asciiTheme="majorBidi" w:hAnsiTheme="majorBidi" w:cstheme="majorBidi"/>
          <w:lang w:val="fr-FR"/>
        </w:rPr>
        <w:t>s</w:t>
      </w:r>
      <w:r w:rsidRPr="00AE3663">
        <w:rPr>
          <w:rFonts w:asciiTheme="majorBidi" w:hAnsiTheme="majorBidi" w:cstheme="majorBidi"/>
          <w:lang w:val="fr-FR"/>
        </w:rPr>
        <w:t xml:space="preserve"> nouveau</w:t>
      </w:r>
      <w:r w:rsidR="009F2EA7">
        <w:rPr>
          <w:rFonts w:asciiTheme="majorBidi" w:hAnsiTheme="majorBidi" w:cstheme="majorBidi"/>
          <w:lang w:val="fr-FR"/>
        </w:rPr>
        <w:t>x</w:t>
      </w:r>
      <w:r w:rsidRPr="00AE3663">
        <w:rPr>
          <w:rFonts w:asciiTheme="majorBidi" w:hAnsiTheme="majorBidi" w:cstheme="majorBidi"/>
          <w:lang w:val="fr-FR"/>
        </w:rPr>
        <w:t xml:space="preserve"> conseil</w:t>
      </w:r>
      <w:r w:rsidR="009F2EA7">
        <w:rPr>
          <w:rFonts w:asciiTheme="majorBidi" w:hAnsiTheme="majorBidi" w:cstheme="majorBidi"/>
          <w:lang w:val="fr-FR"/>
        </w:rPr>
        <w:t>s</w:t>
      </w:r>
      <w:r w:rsidRPr="00AE3663">
        <w:rPr>
          <w:rFonts w:asciiTheme="majorBidi" w:hAnsiTheme="majorBidi" w:cstheme="majorBidi"/>
          <w:lang w:val="fr-FR"/>
        </w:rPr>
        <w:t xml:space="preserve"> de prudence suivant</w:t>
      </w:r>
      <w:r w:rsidR="009F2EA7">
        <w:rPr>
          <w:rFonts w:asciiTheme="majorBidi" w:hAnsiTheme="majorBidi" w:cstheme="majorBidi"/>
          <w:lang w:val="fr-FR"/>
        </w:rPr>
        <w:t>s</w:t>
      </w:r>
      <w:r w:rsidRPr="00AE3663">
        <w:rPr>
          <w:rFonts w:asciiTheme="majorBidi" w:hAnsiTheme="majorBidi" w:cstheme="majorBidi"/>
          <w:lang w:val="fr-FR"/>
        </w:rPr>
        <w:t xml:space="preserve"> après P321</w:t>
      </w:r>
      <w:r w:rsidR="009F2EA7">
        <w:rPr>
          <w:rFonts w:asciiTheme="majorBidi" w:hAnsiTheme="majorBidi" w:cstheme="majorBidi"/>
          <w:lang w:val="fr-FR"/>
        </w:rPr>
        <w:t> :</w:t>
      </w:r>
    </w:p>
    <w:tbl>
      <w:tblPr>
        <w:tblStyle w:val="Grilledutableau"/>
        <w:tblW w:w="0" w:type="auto"/>
        <w:tblInd w:w="1134" w:type="dxa"/>
        <w:tblLayout w:type="fixed"/>
        <w:tblLook w:val="04A0" w:firstRow="1" w:lastRow="0" w:firstColumn="1" w:lastColumn="0" w:noHBand="0" w:noVBand="1"/>
      </w:tblPr>
      <w:tblGrid>
        <w:gridCol w:w="562"/>
        <w:gridCol w:w="1701"/>
        <w:gridCol w:w="2127"/>
        <w:gridCol w:w="1134"/>
        <w:gridCol w:w="1842"/>
      </w:tblGrid>
      <w:tr w:rsidR="00246D13" w:rsidRPr="006365D7" w14:paraId="29964300" w14:textId="77777777" w:rsidTr="00775023">
        <w:tc>
          <w:tcPr>
            <w:tcW w:w="562" w:type="dxa"/>
            <w:tcBorders>
              <w:bottom w:val="single" w:sz="4" w:space="0" w:color="auto"/>
            </w:tcBorders>
          </w:tcPr>
          <w:p w14:paraId="3E611E29" w14:textId="77777777" w:rsidR="00246D13" w:rsidRPr="006365D7" w:rsidRDefault="00246D13" w:rsidP="006E14D3">
            <w:pPr>
              <w:pStyle w:val="SingleTxtG"/>
              <w:keepNext/>
              <w:keepLines/>
              <w:spacing w:before="40" w:after="40" w:line="220" w:lineRule="atLeast"/>
              <w:ind w:left="57" w:right="57"/>
              <w:jc w:val="center"/>
              <w:rPr>
                <w:rFonts w:asciiTheme="majorBidi" w:hAnsiTheme="majorBidi" w:cstheme="majorBidi"/>
                <w:b/>
                <w:bCs/>
                <w:sz w:val="18"/>
                <w:szCs w:val="18"/>
                <w:lang w:val="fr-FR"/>
              </w:rPr>
            </w:pPr>
            <w:r w:rsidRPr="006365D7">
              <w:rPr>
                <w:rFonts w:asciiTheme="majorBidi" w:hAnsiTheme="majorBidi" w:cstheme="majorBidi"/>
                <w:b/>
                <w:bCs/>
                <w:sz w:val="18"/>
                <w:szCs w:val="18"/>
                <w:lang w:val="fr-FR"/>
              </w:rPr>
              <w:t>(1)</w:t>
            </w:r>
          </w:p>
        </w:tc>
        <w:tc>
          <w:tcPr>
            <w:tcW w:w="1701" w:type="dxa"/>
            <w:tcBorders>
              <w:bottom w:val="single" w:sz="4" w:space="0" w:color="auto"/>
            </w:tcBorders>
          </w:tcPr>
          <w:p w14:paraId="2ECEEEDA" w14:textId="77777777" w:rsidR="00246D13" w:rsidRPr="006365D7" w:rsidRDefault="00246D13" w:rsidP="006E14D3">
            <w:pPr>
              <w:pStyle w:val="SingleTxtG"/>
              <w:keepNext/>
              <w:keepLines/>
              <w:spacing w:before="40" w:after="40" w:line="220" w:lineRule="atLeast"/>
              <w:ind w:left="57" w:right="57"/>
              <w:jc w:val="center"/>
              <w:rPr>
                <w:rFonts w:asciiTheme="majorBidi" w:hAnsiTheme="majorBidi" w:cstheme="majorBidi"/>
                <w:b/>
                <w:bCs/>
                <w:sz w:val="18"/>
                <w:szCs w:val="18"/>
                <w:lang w:val="fr-FR"/>
              </w:rPr>
            </w:pPr>
            <w:r w:rsidRPr="006365D7">
              <w:rPr>
                <w:rFonts w:asciiTheme="majorBidi" w:hAnsiTheme="majorBidi" w:cstheme="majorBidi"/>
                <w:b/>
                <w:bCs/>
                <w:sz w:val="18"/>
                <w:szCs w:val="18"/>
                <w:lang w:val="fr-FR"/>
              </w:rPr>
              <w:t>(2)</w:t>
            </w:r>
          </w:p>
        </w:tc>
        <w:tc>
          <w:tcPr>
            <w:tcW w:w="2127" w:type="dxa"/>
          </w:tcPr>
          <w:p w14:paraId="53ADE082" w14:textId="77777777" w:rsidR="00246D13" w:rsidRPr="006365D7" w:rsidRDefault="00246D13" w:rsidP="006E14D3">
            <w:pPr>
              <w:pStyle w:val="SingleTxtG"/>
              <w:keepNext/>
              <w:keepLines/>
              <w:spacing w:before="40" w:after="40" w:line="220" w:lineRule="atLeast"/>
              <w:ind w:left="57" w:right="57"/>
              <w:jc w:val="center"/>
              <w:rPr>
                <w:rFonts w:asciiTheme="majorBidi" w:hAnsiTheme="majorBidi" w:cstheme="majorBidi"/>
                <w:b/>
                <w:bCs/>
                <w:sz w:val="18"/>
                <w:szCs w:val="18"/>
                <w:lang w:val="fr-FR"/>
              </w:rPr>
            </w:pPr>
            <w:r w:rsidRPr="006365D7">
              <w:rPr>
                <w:rFonts w:asciiTheme="majorBidi" w:hAnsiTheme="majorBidi" w:cstheme="majorBidi"/>
                <w:b/>
                <w:bCs/>
                <w:sz w:val="18"/>
                <w:szCs w:val="18"/>
                <w:lang w:val="fr-FR"/>
              </w:rPr>
              <w:t>(3)</w:t>
            </w:r>
          </w:p>
        </w:tc>
        <w:tc>
          <w:tcPr>
            <w:tcW w:w="1134" w:type="dxa"/>
          </w:tcPr>
          <w:p w14:paraId="508AC7B9" w14:textId="77777777" w:rsidR="00246D13" w:rsidRPr="006365D7" w:rsidRDefault="00246D13" w:rsidP="006E14D3">
            <w:pPr>
              <w:pStyle w:val="SingleTxtG"/>
              <w:keepNext/>
              <w:keepLines/>
              <w:spacing w:before="40" w:after="40" w:line="220" w:lineRule="atLeast"/>
              <w:ind w:left="57" w:right="57"/>
              <w:jc w:val="center"/>
              <w:rPr>
                <w:rFonts w:asciiTheme="majorBidi" w:hAnsiTheme="majorBidi" w:cstheme="majorBidi"/>
                <w:b/>
                <w:bCs/>
                <w:sz w:val="18"/>
                <w:szCs w:val="18"/>
                <w:lang w:val="fr-FR"/>
              </w:rPr>
            </w:pPr>
            <w:r w:rsidRPr="006365D7">
              <w:rPr>
                <w:rFonts w:asciiTheme="majorBidi" w:hAnsiTheme="majorBidi" w:cstheme="majorBidi"/>
                <w:b/>
                <w:bCs/>
                <w:sz w:val="18"/>
                <w:szCs w:val="18"/>
                <w:lang w:val="fr-FR"/>
              </w:rPr>
              <w:t>(4)</w:t>
            </w:r>
          </w:p>
        </w:tc>
        <w:tc>
          <w:tcPr>
            <w:tcW w:w="1842" w:type="dxa"/>
            <w:tcBorders>
              <w:bottom w:val="single" w:sz="4" w:space="0" w:color="auto"/>
            </w:tcBorders>
          </w:tcPr>
          <w:p w14:paraId="771CDEA4" w14:textId="77777777" w:rsidR="00246D13" w:rsidRPr="006365D7" w:rsidRDefault="00246D13" w:rsidP="006E14D3">
            <w:pPr>
              <w:pStyle w:val="SingleTxtG"/>
              <w:keepNext/>
              <w:keepLines/>
              <w:spacing w:before="40" w:after="40" w:line="220" w:lineRule="atLeast"/>
              <w:ind w:left="57" w:right="57"/>
              <w:jc w:val="center"/>
              <w:rPr>
                <w:rFonts w:asciiTheme="majorBidi" w:hAnsiTheme="majorBidi" w:cstheme="majorBidi"/>
                <w:b/>
                <w:bCs/>
                <w:sz w:val="18"/>
                <w:szCs w:val="18"/>
                <w:lang w:val="fr-FR"/>
              </w:rPr>
            </w:pPr>
            <w:r w:rsidRPr="006365D7">
              <w:rPr>
                <w:rFonts w:asciiTheme="majorBidi" w:hAnsiTheme="majorBidi" w:cstheme="majorBidi"/>
                <w:b/>
                <w:bCs/>
                <w:sz w:val="18"/>
                <w:szCs w:val="18"/>
                <w:lang w:val="fr-FR"/>
              </w:rPr>
              <w:t>(5)</w:t>
            </w:r>
          </w:p>
        </w:tc>
      </w:tr>
      <w:tr w:rsidR="00246D13" w:rsidRPr="006365D7" w14:paraId="631E0596" w14:textId="77777777" w:rsidTr="00775023">
        <w:tc>
          <w:tcPr>
            <w:tcW w:w="562" w:type="dxa"/>
            <w:vMerge w:val="restart"/>
            <w:tcBorders>
              <w:right w:val="single" w:sz="4" w:space="0" w:color="auto"/>
            </w:tcBorders>
          </w:tcPr>
          <w:p w14:paraId="04950F93" w14:textId="77777777" w:rsidR="00246D13" w:rsidRPr="006365D7" w:rsidRDefault="00246D13" w:rsidP="006E14D3">
            <w:pPr>
              <w:pStyle w:val="SingleTxtG"/>
              <w:keepNext/>
              <w:keepLines/>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P322</w:t>
            </w:r>
          </w:p>
        </w:tc>
        <w:tc>
          <w:tcPr>
            <w:tcW w:w="1701" w:type="dxa"/>
            <w:vMerge w:val="restart"/>
            <w:tcBorders>
              <w:left w:val="single" w:sz="4" w:space="0" w:color="auto"/>
            </w:tcBorders>
          </w:tcPr>
          <w:p w14:paraId="65833332" w14:textId="77777777" w:rsidR="00246D13" w:rsidRPr="006365D7" w:rsidRDefault="00246D13" w:rsidP="006E14D3">
            <w:pPr>
              <w:pStyle w:val="SingleTxtG"/>
              <w:keepNext/>
              <w:keepLines/>
              <w:spacing w:before="40" w:after="40" w:line="220" w:lineRule="atLeast"/>
              <w:ind w:left="57" w:right="57"/>
              <w:jc w:val="left"/>
              <w:rPr>
                <w:rFonts w:asciiTheme="majorBidi" w:hAnsiTheme="majorBidi" w:cstheme="majorBidi"/>
                <w:b/>
                <w:bCs/>
                <w:sz w:val="18"/>
                <w:szCs w:val="18"/>
                <w:lang w:val="fr-FR"/>
              </w:rPr>
            </w:pPr>
            <w:r w:rsidRPr="006365D7">
              <w:rPr>
                <w:rFonts w:asciiTheme="majorBidi" w:hAnsiTheme="majorBidi" w:cstheme="majorBidi"/>
                <w:b/>
                <w:bCs/>
                <w:sz w:val="18"/>
                <w:szCs w:val="18"/>
                <w:lang w:val="fr-FR"/>
              </w:rPr>
              <w:t>Un traitement spécifique est urgent (voir les informations figurant sur la fiche de données de sécurité).</w:t>
            </w:r>
          </w:p>
        </w:tc>
        <w:tc>
          <w:tcPr>
            <w:tcW w:w="2127" w:type="dxa"/>
          </w:tcPr>
          <w:p w14:paraId="754FF93A" w14:textId="0D073706" w:rsidR="00246D13" w:rsidRPr="006365D7" w:rsidRDefault="00246D13" w:rsidP="006E14D3">
            <w:pPr>
              <w:pStyle w:val="SingleTxtG"/>
              <w:keepNext/>
              <w:keepLines/>
              <w:spacing w:before="40" w:after="40" w:line="220" w:lineRule="atLeast"/>
              <w:ind w:left="57" w:right="57"/>
              <w:jc w:val="left"/>
              <w:rPr>
                <w:rFonts w:asciiTheme="majorBidi" w:hAnsiTheme="majorBidi" w:cstheme="majorBidi"/>
                <w:b/>
                <w:bCs/>
                <w:sz w:val="18"/>
                <w:szCs w:val="18"/>
                <w:lang w:val="fr-FR"/>
              </w:rPr>
            </w:pPr>
            <w:r w:rsidRPr="006365D7">
              <w:rPr>
                <w:rFonts w:asciiTheme="majorBidi" w:hAnsiTheme="majorBidi" w:cstheme="majorBidi"/>
                <w:sz w:val="18"/>
                <w:szCs w:val="18"/>
                <w:lang w:val="fr-FR"/>
              </w:rPr>
              <w:t>Toxicité aiguë, orale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3.1)</w:t>
            </w:r>
          </w:p>
        </w:tc>
        <w:tc>
          <w:tcPr>
            <w:tcW w:w="1134" w:type="dxa"/>
          </w:tcPr>
          <w:p w14:paraId="18190DC6" w14:textId="77777777" w:rsidR="00246D13" w:rsidRPr="006365D7" w:rsidRDefault="00246D13" w:rsidP="006E14D3">
            <w:pPr>
              <w:pStyle w:val="SingleTxtG"/>
              <w:keepNext/>
              <w:keepLines/>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1, 2, 3</w:t>
            </w:r>
          </w:p>
        </w:tc>
        <w:tc>
          <w:tcPr>
            <w:tcW w:w="1842" w:type="dxa"/>
            <w:vMerge w:val="restart"/>
          </w:tcPr>
          <w:p w14:paraId="14322765" w14:textId="77777777" w:rsidR="00246D13" w:rsidRPr="006365D7" w:rsidRDefault="00246D13" w:rsidP="006E14D3">
            <w:pPr>
              <w:keepNext/>
              <w:keepLines/>
              <w:tabs>
                <w:tab w:val="left" w:pos="178"/>
              </w:tabs>
              <w:spacing w:before="40" w:after="40" w:line="220" w:lineRule="atLeast"/>
              <w:ind w:left="57" w:right="57"/>
              <w:rPr>
                <w:rFonts w:asciiTheme="majorBidi" w:hAnsiTheme="majorBidi" w:cstheme="majorBidi"/>
                <w:i/>
                <w:iCs/>
                <w:sz w:val="18"/>
                <w:szCs w:val="18"/>
                <w:lang w:val="fr-FR"/>
              </w:rPr>
            </w:pPr>
            <w:r w:rsidRPr="006365D7">
              <w:rPr>
                <w:rFonts w:asciiTheme="majorBidi" w:hAnsiTheme="majorBidi" w:cstheme="majorBidi"/>
                <w:sz w:val="18"/>
                <w:szCs w:val="18"/>
                <w:lang w:val="fr-FR"/>
              </w:rPr>
              <w:t>Le fabricant/fournisseur doit mentionner sur la fiche de données de sécurité des instructions détaillées, y</w:t>
            </w:r>
            <w:r>
              <w:rPr>
                <w:rFonts w:asciiTheme="majorBidi" w:hAnsiTheme="majorBidi" w:cstheme="majorBidi"/>
                <w:sz w:val="18"/>
                <w:szCs w:val="18"/>
                <w:lang w:val="fr-FR"/>
              </w:rPr>
              <w:t> </w:t>
            </w:r>
            <w:r w:rsidRPr="006365D7">
              <w:rPr>
                <w:rFonts w:asciiTheme="majorBidi" w:hAnsiTheme="majorBidi" w:cstheme="majorBidi"/>
                <w:sz w:val="18"/>
                <w:szCs w:val="18"/>
                <w:lang w:val="fr-FR"/>
              </w:rPr>
              <w:t xml:space="preserve">compris les exigences en matière de formation, pour l’administration d’un antidote ou d’un autre traitement spécifique. </w:t>
            </w:r>
            <w:r>
              <w:rPr>
                <w:rFonts w:asciiTheme="majorBidi" w:hAnsiTheme="majorBidi" w:cstheme="majorBidi"/>
                <w:sz w:val="18"/>
                <w:szCs w:val="18"/>
                <w:lang w:val="fr-FR"/>
              </w:rPr>
              <w:br/>
            </w:r>
            <w:r w:rsidRPr="006365D7">
              <w:rPr>
                <w:rFonts w:asciiTheme="majorBidi" w:hAnsiTheme="majorBidi" w:cstheme="majorBidi"/>
                <w:i/>
                <w:iCs/>
                <w:sz w:val="18"/>
                <w:szCs w:val="18"/>
                <w:lang w:val="fr-FR"/>
              </w:rPr>
              <w:t>- Peut être omis si le conseil P320 figure sur l’étiquette.</w:t>
            </w:r>
          </w:p>
        </w:tc>
      </w:tr>
      <w:tr w:rsidR="00246D13" w:rsidRPr="006365D7" w14:paraId="661CA851" w14:textId="77777777" w:rsidTr="00775023">
        <w:tc>
          <w:tcPr>
            <w:tcW w:w="562" w:type="dxa"/>
            <w:vMerge/>
            <w:tcBorders>
              <w:right w:val="single" w:sz="4" w:space="0" w:color="auto"/>
            </w:tcBorders>
          </w:tcPr>
          <w:p w14:paraId="11C938AA" w14:textId="77777777" w:rsidR="00246D13" w:rsidRPr="006365D7" w:rsidRDefault="00246D13" w:rsidP="006E14D3">
            <w:pPr>
              <w:pStyle w:val="SingleTxtG"/>
              <w:keepNext/>
              <w:keepLines/>
              <w:spacing w:before="40" w:after="40" w:line="220" w:lineRule="atLeast"/>
              <w:ind w:left="57" w:right="57"/>
              <w:jc w:val="left"/>
              <w:rPr>
                <w:rFonts w:asciiTheme="majorBidi" w:hAnsiTheme="majorBidi" w:cstheme="majorBidi"/>
                <w:b/>
                <w:bCs/>
                <w:sz w:val="18"/>
                <w:szCs w:val="18"/>
                <w:lang w:val="fr-FR"/>
              </w:rPr>
            </w:pPr>
          </w:p>
        </w:tc>
        <w:tc>
          <w:tcPr>
            <w:tcW w:w="1701" w:type="dxa"/>
            <w:vMerge/>
            <w:tcBorders>
              <w:left w:val="single" w:sz="4" w:space="0" w:color="auto"/>
            </w:tcBorders>
          </w:tcPr>
          <w:p w14:paraId="6F8F9E2F" w14:textId="77777777" w:rsidR="00246D13" w:rsidRPr="006365D7" w:rsidRDefault="00246D13" w:rsidP="006E14D3">
            <w:pPr>
              <w:pStyle w:val="SingleTxtG"/>
              <w:keepNext/>
              <w:keepLines/>
              <w:spacing w:before="40" w:after="40" w:line="220" w:lineRule="atLeast"/>
              <w:ind w:left="57" w:right="57"/>
              <w:jc w:val="left"/>
              <w:rPr>
                <w:rFonts w:asciiTheme="majorBidi" w:hAnsiTheme="majorBidi" w:cstheme="majorBidi"/>
                <w:b/>
                <w:bCs/>
                <w:sz w:val="18"/>
                <w:szCs w:val="18"/>
                <w:lang w:val="fr-FR"/>
              </w:rPr>
            </w:pPr>
          </w:p>
        </w:tc>
        <w:tc>
          <w:tcPr>
            <w:tcW w:w="2127" w:type="dxa"/>
          </w:tcPr>
          <w:p w14:paraId="73B45566" w14:textId="68D689A4" w:rsidR="00246D13" w:rsidRPr="006365D7" w:rsidRDefault="00246D13" w:rsidP="006E14D3">
            <w:pPr>
              <w:pStyle w:val="SingleTxtG"/>
              <w:keepNext/>
              <w:keepLines/>
              <w:spacing w:before="40" w:after="40" w:line="220" w:lineRule="atLeast"/>
              <w:ind w:left="57" w:right="57"/>
              <w:jc w:val="left"/>
              <w:rPr>
                <w:rFonts w:asciiTheme="majorBidi" w:hAnsiTheme="majorBidi" w:cstheme="majorBidi"/>
                <w:sz w:val="18"/>
                <w:szCs w:val="18"/>
                <w:lang w:val="fr-FR"/>
              </w:rPr>
            </w:pPr>
            <w:r w:rsidRPr="006365D7">
              <w:rPr>
                <w:rFonts w:asciiTheme="majorBidi" w:hAnsiTheme="majorBidi" w:cstheme="majorBidi"/>
                <w:sz w:val="18"/>
                <w:szCs w:val="18"/>
                <w:lang w:val="fr-FR"/>
              </w:rPr>
              <w:t>Toxicité aiguë, cutanée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3.1)</w:t>
            </w:r>
          </w:p>
        </w:tc>
        <w:tc>
          <w:tcPr>
            <w:tcW w:w="1134" w:type="dxa"/>
          </w:tcPr>
          <w:p w14:paraId="683D32A6" w14:textId="77777777" w:rsidR="00246D13" w:rsidRPr="006365D7" w:rsidRDefault="00246D13" w:rsidP="006E14D3">
            <w:pPr>
              <w:pStyle w:val="SingleTxtG"/>
              <w:keepNext/>
              <w:keepLines/>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1, 2, 3</w:t>
            </w:r>
          </w:p>
        </w:tc>
        <w:tc>
          <w:tcPr>
            <w:tcW w:w="1842" w:type="dxa"/>
            <w:vMerge/>
          </w:tcPr>
          <w:p w14:paraId="0ECCE93E" w14:textId="77777777" w:rsidR="00246D13" w:rsidRPr="006365D7" w:rsidRDefault="00246D13" w:rsidP="006E14D3">
            <w:pPr>
              <w:keepNext/>
              <w:keepLines/>
              <w:tabs>
                <w:tab w:val="left" w:pos="178"/>
              </w:tabs>
              <w:spacing w:before="40" w:after="40" w:line="220" w:lineRule="atLeast"/>
              <w:ind w:left="57" w:right="57"/>
              <w:rPr>
                <w:rStyle w:val="StyleItalic"/>
                <w:rFonts w:asciiTheme="majorBidi" w:hAnsiTheme="majorBidi" w:cstheme="majorBidi"/>
                <w:b/>
                <w:bCs/>
                <w:color w:val="0070C0"/>
                <w:sz w:val="18"/>
                <w:szCs w:val="18"/>
              </w:rPr>
            </w:pPr>
          </w:p>
        </w:tc>
      </w:tr>
      <w:tr w:rsidR="00246D13" w:rsidRPr="006365D7" w14:paraId="3AD5FDF4" w14:textId="77777777" w:rsidTr="00775023">
        <w:tc>
          <w:tcPr>
            <w:tcW w:w="562" w:type="dxa"/>
            <w:vMerge/>
            <w:tcBorders>
              <w:right w:val="single" w:sz="4" w:space="0" w:color="auto"/>
            </w:tcBorders>
          </w:tcPr>
          <w:p w14:paraId="74721F7D"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1701" w:type="dxa"/>
            <w:vMerge/>
            <w:tcBorders>
              <w:left w:val="single" w:sz="4" w:space="0" w:color="auto"/>
            </w:tcBorders>
          </w:tcPr>
          <w:p w14:paraId="592EE61C"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2127" w:type="dxa"/>
          </w:tcPr>
          <w:p w14:paraId="773EA8FE" w14:textId="096B35B8" w:rsidR="00246D13" w:rsidRPr="006365D7" w:rsidRDefault="00246D13" w:rsidP="004D33AF">
            <w:pPr>
              <w:pStyle w:val="SingleTxtG"/>
              <w:spacing w:before="40" w:after="40" w:line="220" w:lineRule="atLeast"/>
              <w:ind w:left="57" w:right="57"/>
              <w:jc w:val="left"/>
              <w:rPr>
                <w:rFonts w:asciiTheme="majorBidi" w:hAnsiTheme="majorBidi" w:cstheme="majorBidi"/>
                <w:sz w:val="18"/>
                <w:szCs w:val="18"/>
                <w:lang w:val="fr-FR"/>
              </w:rPr>
            </w:pPr>
            <w:r w:rsidRPr="006365D7">
              <w:rPr>
                <w:rFonts w:asciiTheme="majorBidi" w:hAnsiTheme="majorBidi" w:cstheme="majorBidi"/>
                <w:sz w:val="18"/>
                <w:szCs w:val="18"/>
                <w:lang w:val="fr-FR"/>
              </w:rPr>
              <w:t>Toxicité aiguë, inhalation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3.1)</w:t>
            </w:r>
          </w:p>
        </w:tc>
        <w:tc>
          <w:tcPr>
            <w:tcW w:w="1134" w:type="dxa"/>
          </w:tcPr>
          <w:p w14:paraId="39E61CE6" w14:textId="77777777" w:rsidR="00246D13" w:rsidRPr="006365D7"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1, 2, 3</w:t>
            </w:r>
          </w:p>
        </w:tc>
        <w:tc>
          <w:tcPr>
            <w:tcW w:w="1842" w:type="dxa"/>
            <w:vMerge/>
          </w:tcPr>
          <w:p w14:paraId="4BEF6A83"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r>
      <w:tr w:rsidR="00246D13" w:rsidRPr="006365D7" w14:paraId="64C1037B" w14:textId="77777777" w:rsidTr="004D33AF">
        <w:tc>
          <w:tcPr>
            <w:tcW w:w="562" w:type="dxa"/>
            <w:vMerge w:val="restart"/>
            <w:tcBorders>
              <w:right w:val="single" w:sz="4" w:space="0" w:color="auto"/>
            </w:tcBorders>
          </w:tcPr>
          <w:p w14:paraId="39F57FE3" w14:textId="77777777" w:rsidR="00246D13" w:rsidRPr="006365D7"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P323</w:t>
            </w:r>
          </w:p>
        </w:tc>
        <w:tc>
          <w:tcPr>
            <w:tcW w:w="1701" w:type="dxa"/>
            <w:vMerge w:val="restart"/>
            <w:tcBorders>
              <w:left w:val="single" w:sz="4" w:space="0" w:color="auto"/>
            </w:tcBorders>
          </w:tcPr>
          <w:p w14:paraId="1A3807AD" w14:textId="77777777" w:rsidR="00246D13" w:rsidRPr="006365D7" w:rsidRDefault="00246D13" w:rsidP="004D33AF">
            <w:pPr>
              <w:pStyle w:val="SingleTxtG"/>
              <w:spacing w:before="40" w:after="40" w:line="220" w:lineRule="atLeast"/>
              <w:ind w:left="57" w:right="57"/>
              <w:jc w:val="left"/>
              <w:rPr>
                <w:rFonts w:asciiTheme="majorBidi" w:hAnsiTheme="majorBidi" w:cstheme="majorBidi"/>
                <w:b/>
                <w:bCs/>
                <w:sz w:val="18"/>
                <w:szCs w:val="18"/>
                <w:lang w:val="fr-FR"/>
              </w:rPr>
            </w:pPr>
            <w:r w:rsidRPr="006365D7">
              <w:rPr>
                <w:rFonts w:asciiTheme="majorBidi" w:hAnsiTheme="majorBidi" w:cstheme="majorBidi"/>
                <w:b/>
                <w:bCs/>
                <w:sz w:val="18"/>
                <w:szCs w:val="18"/>
                <w:lang w:val="fr-FR"/>
              </w:rPr>
              <w:t xml:space="preserve">Traitement spécifique (voir les informations figurant </w:t>
            </w:r>
            <w:r>
              <w:rPr>
                <w:rFonts w:asciiTheme="majorBidi" w:hAnsiTheme="majorBidi" w:cstheme="majorBidi"/>
                <w:b/>
                <w:bCs/>
                <w:sz w:val="18"/>
                <w:szCs w:val="18"/>
                <w:lang w:val="fr-FR"/>
              </w:rPr>
              <w:t xml:space="preserve">sur </w:t>
            </w:r>
            <w:r w:rsidRPr="006365D7">
              <w:rPr>
                <w:rFonts w:asciiTheme="majorBidi" w:hAnsiTheme="majorBidi" w:cstheme="majorBidi"/>
                <w:b/>
                <w:bCs/>
                <w:sz w:val="18"/>
                <w:szCs w:val="18"/>
                <w:lang w:val="fr-FR"/>
              </w:rPr>
              <w:t>la fiche de données de sécurité).</w:t>
            </w:r>
          </w:p>
        </w:tc>
        <w:tc>
          <w:tcPr>
            <w:tcW w:w="2127" w:type="dxa"/>
          </w:tcPr>
          <w:p w14:paraId="728B3403" w14:textId="64C2FB80" w:rsidR="00246D13" w:rsidRPr="006365D7" w:rsidRDefault="00246D13" w:rsidP="004D33AF">
            <w:pPr>
              <w:pStyle w:val="SingleTxtG"/>
              <w:spacing w:before="40" w:after="40" w:line="220" w:lineRule="atLeast"/>
              <w:ind w:left="57" w:right="57"/>
              <w:jc w:val="left"/>
              <w:rPr>
                <w:rFonts w:asciiTheme="majorBidi" w:hAnsiTheme="majorBidi" w:cstheme="majorBidi"/>
                <w:b/>
                <w:bCs/>
                <w:sz w:val="18"/>
                <w:szCs w:val="18"/>
                <w:lang w:val="fr-FR"/>
              </w:rPr>
            </w:pPr>
            <w:r w:rsidRPr="006365D7">
              <w:rPr>
                <w:rFonts w:asciiTheme="majorBidi" w:hAnsiTheme="majorBidi" w:cstheme="majorBidi"/>
                <w:sz w:val="18"/>
                <w:szCs w:val="18"/>
                <w:lang w:val="fr-FR"/>
              </w:rPr>
              <w:t>Toxicité aiguë, orale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3.1)</w:t>
            </w:r>
          </w:p>
        </w:tc>
        <w:tc>
          <w:tcPr>
            <w:tcW w:w="1134" w:type="dxa"/>
          </w:tcPr>
          <w:p w14:paraId="615751D2" w14:textId="77777777" w:rsidR="00246D13" w:rsidRPr="006365D7"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4</w:t>
            </w:r>
          </w:p>
        </w:tc>
        <w:tc>
          <w:tcPr>
            <w:tcW w:w="1842" w:type="dxa"/>
            <w:vMerge w:val="restart"/>
          </w:tcPr>
          <w:p w14:paraId="6DEAD382" w14:textId="77777777" w:rsidR="00246D13" w:rsidRPr="006365D7" w:rsidRDefault="00246D13" w:rsidP="004D33AF">
            <w:pPr>
              <w:keepLines/>
              <w:tabs>
                <w:tab w:val="left" w:pos="178"/>
              </w:tabs>
              <w:spacing w:before="40" w:after="40" w:line="220" w:lineRule="atLeast"/>
              <w:ind w:left="57" w:right="57"/>
              <w:rPr>
                <w:rFonts w:asciiTheme="majorBidi" w:hAnsiTheme="majorBidi" w:cstheme="majorBidi"/>
                <w:spacing w:val="-2"/>
                <w:sz w:val="18"/>
                <w:szCs w:val="18"/>
                <w:lang w:val="fr-FR"/>
              </w:rPr>
            </w:pPr>
            <w:r w:rsidRPr="006365D7">
              <w:rPr>
                <w:rFonts w:asciiTheme="majorBidi" w:hAnsiTheme="majorBidi" w:cstheme="majorBidi"/>
                <w:spacing w:val="-2"/>
                <w:sz w:val="18"/>
                <w:szCs w:val="18"/>
                <w:lang w:val="fr-FR"/>
              </w:rPr>
              <w:t xml:space="preserve">Le fabricant/fournisseur doit mentionner sur la fiche de données de sécurité des instructions détaillées, y compris les exigences en matière de formation, pour l’administration d’un antidote ou d’un autre traitement spécifique. </w:t>
            </w:r>
            <w:r>
              <w:rPr>
                <w:rFonts w:asciiTheme="majorBidi" w:hAnsiTheme="majorBidi" w:cstheme="majorBidi"/>
                <w:spacing w:val="-2"/>
                <w:sz w:val="18"/>
                <w:szCs w:val="18"/>
                <w:lang w:val="fr-FR"/>
              </w:rPr>
              <w:br/>
            </w:r>
            <w:r w:rsidRPr="006365D7">
              <w:rPr>
                <w:rFonts w:asciiTheme="majorBidi" w:hAnsiTheme="majorBidi" w:cstheme="majorBidi"/>
                <w:i/>
                <w:iCs/>
                <w:spacing w:val="-2"/>
                <w:sz w:val="18"/>
                <w:szCs w:val="18"/>
                <w:lang w:val="fr-FR"/>
              </w:rPr>
              <w:t>- Peut être omis si le conseil P321 ou P322 figure sur l’étiquette.</w:t>
            </w:r>
          </w:p>
        </w:tc>
      </w:tr>
      <w:tr w:rsidR="00246D13" w:rsidRPr="006365D7" w14:paraId="6867B4E6" w14:textId="77777777" w:rsidTr="004D33AF">
        <w:tc>
          <w:tcPr>
            <w:tcW w:w="562" w:type="dxa"/>
            <w:vMerge/>
            <w:tcBorders>
              <w:right w:val="single" w:sz="4" w:space="0" w:color="auto"/>
            </w:tcBorders>
          </w:tcPr>
          <w:p w14:paraId="5BAF7D31" w14:textId="77777777" w:rsidR="00246D13" w:rsidRPr="006365D7" w:rsidRDefault="00246D13" w:rsidP="004D33AF">
            <w:pPr>
              <w:pStyle w:val="SingleTxtG"/>
              <w:spacing w:before="40" w:after="40" w:line="220" w:lineRule="atLeast"/>
              <w:ind w:left="57" w:right="57"/>
              <w:jc w:val="left"/>
              <w:rPr>
                <w:rFonts w:asciiTheme="majorBidi" w:hAnsiTheme="majorBidi" w:cstheme="majorBidi"/>
                <w:b/>
                <w:bCs/>
                <w:sz w:val="18"/>
                <w:szCs w:val="18"/>
                <w:lang w:val="fr-FR"/>
              </w:rPr>
            </w:pPr>
          </w:p>
        </w:tc>
        <w:tc>
          <w:tcPr>
            <w:tcW w:w="1701" w:type="dxa"/>
            <w:vMerge/>
            <w:tcBorders>
              <w:left w:val="single" w:sz="4" w:space="0" w:color="auto"/>
            </w:tcBorders>
          </w:tcPr>
          <w:p w14:paraId="7662B623" w14:textId="77777777" w:rsidR="00246D13" w:rsidRPr="006365D7" w:rsidRDefault="00246D13" w:rsidP="004D33AF">
            <w:pPr>
              <w:pStyle w:val="SingleTxtG"/>
              <w:spacing w:before="40" w:after="40" w:line="220" w:lineRule="atLeast"/>
              <w:ind w:left="57" w:right="57"/>
              <w:jc w:val="left"/>
              <w:rPr>
                <w:rFonts w:asciiTheme="majorBidi" w:hAnsiTheme="majorBidi" w:cstheme="majorBidi"/>
                <w:b/>
                <w:bCs/>
                <w:sz w:val="18"/>
                <w:szCs w:val="18"/>
                <w:lang w:val="fr-FR"/>
              </w:rPr>
            </w:pPr>
          </w:p>
        </w:tc>
        <w:tc>
          <w:tcPr>
            <w:tcW w:w="2127" w:type="dxa"/>
          </w:tcPr>
          <w:p w14:paraId="43F247CA" w14:textId="27375264" w:rsidR="00246D13" w:rsidRPr="006365D7" w:rsidRDefault="00246D13" w:rsidP="004D33AF">
            <w:pPr>
              <w:pStyle w:val="SingleTxtG"/>
              <w:spacing w:before="40" w:after="40" w:line="220" w:lineRule="atLeast"/>
              <w:ind w:left="57" w:right="57"/>
              <w:jc w:val="left"/>
              <w:rPr>
                <w:rFonts w:asciiTheme="majorBidi" w:hAnsiTheme="majorBidi" w:cstheme="majorBidi"/>
                <w:sz w:val="18"/>
                <w:szCs w:val="18"/>
                <w:lang w:val="fr-FR"/>
              </w:rPr>
            </w:pPr>
            <w:r w:rsidRPr="006365D7">
              <w:rPr>
                <w:rFonts w:asciiTheme="majorBidi" w:hAnsiTheme="majorBidi" w:cstheme="majorBidi"/>
                <w:sz w:val="18"/>
                <w:szCs w:val="18"/>
                <w:lang w:val="fr-FR"/>
              </w:rPr>
              <w:t>Toxicité aiguë, cutanée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3.1)</w:t>
            </w:r>
          </w:p>
        </w:tc>
        <w:tc>
          <w:tcPr>
            <w:tcW w:w="1134" w:type="dxa"/>
          </w:tcPr>
          <w:p w14:paraId="40B8D997" w14:textId="77777777" w:rsidR="00246D13" w:rsidRPr="006365D7"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4</w:t>
            </w:r>
          </w:p>
        </w:tc>
        <w:tc>
          <w:tcPr>
            <w:tcW w:w="1842" w:type="dxa"/>
            <w:vMerge/>
          </w:tcPr>
          <w:p w14:paraId="0E803B18" w14:textId="77777777" w:rsidR="00246D13" w:rsidRPr="006365D7" w:rsidRDefault="00246D13" w:rsidP="004D33AF">
            <w:pPr>
              <w:keepLines/>
              <w:tabs>
                <w:tab w:val="left" w:pos="178"/>
              </w:tabs>
              <w:spacing w:before="40" w:after="40" w:line="220" w:lineRule="atLeast"/>
              <w:ind w:left="57" w:right="57"/>
              <w:rPr>
                <w:rStyle w:val="StyleItalic"/>
                <w:rFonts w:asciiTheme="majorBidi" w:eastAsia="SimSun" w:hAnsiTheme="majorBidi" w:cstheme="majorBidi"/>
                <w:b/>
                <w:bCs/>
                <w:color w:val="0070C0"/>
                <w:sz w:val="18"/>
                <w:szCs w:val="18"/>
              </w:rPr>
            </w:pPr>
          </w:p>
        </w:tc>
      </w:tr>
      <w:tr w:rsidR="00246D13" w:rsidRPr="006365D7" w14:paraId="5F84335B" w14:textId="77777777" w:rsidTr="004D33AF">
        <w:tc>
          <w:tcPr>
            <w:tcW w:w="562" w:type="dxa"/>
            <w:vMerge/>
            <w:tcBorders>
              <w:right w:val="single" w:sz="4" w:space="0" w:color="auto"/>
            </w:tcBorders>
          </w:tcPr>
          <w:p w14:paraId="6D93C9B2"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1701" w:type="dxa"/>
            <w:vMerge/>
            <w:tcBorders>
              <w:left w:val="single" w:sz="4" w:space="0" w:color="auto"/>
            </w:tcBorders>
          </w:tcPr>
          <w:p w14:paraId="59ADB251"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2127" w:type="dxa"/>
          </w:tcPr>
          <w:p w14:paraId="779EA29E" w14:textId="10608798" w:rsidR="00246D13" w:rsidRPr="006365D7" w:rsidRDefault="00246D13" w:rsidP="004D33AF">
            <w:pPr>
              <w:pStyle w:val="SingleTxtG"/>
              <w:spacing w:before="40" w:after="40" w:line="220" w:lineRule="atLeast"/>
              <w:ind w:left="57" w:right="57"/>
              <w:jc w:val="left"/>
              <w:rPr>
                <w:rFonts w:asciiTheme="majorBidi" w:hAnsiTheme="majorBidi" w:cstheme="majorBidi"/>
                <w:sz w:val="18"/>
                <w:szCs w:val="18"/>
                <w:lang w:val="fr-FR"/>
              </w:rPr>
            </w:pPr>
            <w:r w:rsidRPr="006365D7">
              <w:rPr>
                <w:rFonts w:asciiTheme="majorBidi" w:hAnsiTheme="majorBidi" w:cstheme="majorBidi"/>
                <w:sz w:val="18"/>
                <w:szCs w:val="18"/>
                <w:lang w:val="fr-FR"/>
              </w:rPr>
              <w:t>Toxicité aiguë, inhalation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3.1)</w:t>
            </w:r>
          </w:p>
        </w:tc>
        <w:tc>
          <w:tcPr>
            <w:tcW w:w="1134" w:type="dxa"/>
          </w:tcPr>
          <w:p w14:paraId="1BD17565" w14:textId="77777777" w:rsidR="00246D13" w:rsidRPr="006365D7"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4</w:t>
            </w:r>
          </w:p>
        </w:tc>
        <w:tc>
          <w:tcPr>
            <w:tcW w:w="1842" w:type="dxa"/>
            <w:vMerge/>
          </w:tcPr>
          <w:p w14:paraId="4D91700B"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r>
      <w:tr w:rsidR="00246D13" w:rsidRPr="006365D7" w14:paraId="6196DB7A" w14:textId="77777777" w:rsidTr="004D33AF">
        <w:tc>
          <w:tcPr>
            <w:tcW w:w="562" w:type="dxa"/>
            <w:vMerge/>
            <w:tcBorders>
              <w:right w:val="single" w:sz="4" w:space="0" w:color="auto"/>
            </w:tcBorders>
          </w:tcPr>
          <w:p w14:paraId="6DB31055"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1701" w:type="dxa"/>
            <w:vMerge/>
            <w:tcBorders>
              <w:left w:val="single" w:sz="4" w:space="0" w:color="auto"/>
            </w:tcBorders>
          </w:tcPr>
          <w:p w14:paraId="09868AC3"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2127" w:type="dxa"/>
          </w:tcPr>
          <w:p w14:paraId="09861450" w14:textId="623E8DB6" w:rsidR="00246D13" w:rsidRPr="006365D7" w:rsidRDefault="00246D13" w:rsidP="004D33AF">
            <w:pPr>
              <w:pStyle w:val="SingleTxtG"/>
              <w:spacing w:before="40" w:after="40" w:line="220" w:lineRule="atLeast"/>
              <w:ind w:left="57" w:right="57"/>
              <w:jc w:val="left"/>
              <w:rPr>
                <w:rFonts w:asciiTheme="majorBidi" w:hAnsiTheme="majorBidi" w:cstheme="majorBidi"/>
                <w:sz w:val="18"/>
                <w:szCs w:val="18"/>
                <w:lang w:val="fr-FR"/>
              </w:rPr>
            </w:pPr>
            <w:r w:rsidRPr="006365D7">
              <w:rPr>
                <w:rFonts w:asciiTheme="majorBidi" w:hAnsiTheme="majorBidi" w:cstheme="majorBidi"/>
                <w:sz w:val="18"/>
                <w:szCs w:val="18"/>
                <w:lang w:val="fr-FR"/>
              </w:rPr>
              <w:t>Corrosion cutanée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3.2)</w:t>
            </w:r>
          </w:p>
        </w:tc>
        <w:tc>
          <w:tcPr>
            <w:tcW w:w="1134" w:type="dxa"/>
          </w:tcPr>
          <w:p w14:paraId="77C600C0" w14:textId="77777777" w:rsidR="00246D13" w:rsidRPr="006365D7"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1, 1A, 1B, 1C</w:t>
            </w:r>
          </w:p>
        </w:tc>
        <w:tc>
          <w:tcPr>
            <w:tcW w:w="1842" w:type="dxa"/>
            <w:vMerge/>
          </w:tcPr>
          <w:p w14:paraId="0217AEBB"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r>
      <w:tr w:rsidR="00246D13" w:rsidRPr="006365D7" w14:paraId="67D740DC" w14:textId="77777777" w:rsidTr="004D33AF">
        <w:tc>
          <w:tcPr>
            <w:tcW w:w="562" w:type="dxa"/>
            <w:vMerge/>
            <w:tcBorders>
              <w:right w:val="single" w:sz="4" w:space="0" w:color="auto"/>
            </w:tcBorders>
          </w:tcPr>
          <w:p w14:paraId="736EC337"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1701" w:type="dxa"/>
            <w:vMerge/>
            <w:tcBorders>
              <w:left w:val="single" w:sz="4" w:space="0" w:color="auto"/>
            </w:tcBorders>
          </w:tcPr>
          <w:p w14:paraId="7B441B66"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2127" w:type="dxa"/>
          </w:tcPr>
          <w:p w14:paraId="7EDC1329" w14:textId="14CF6180" w:rsidR="00246D13" w:rsidRPr="006365D7" w:rsidRDefault="00246D13" w:rsidP="004D33AF">
            <w:pPr>
              <w:pStyle w:val="SingleTxtG"/>
              <w:spacing w:before="40" w:after="40" w:line="220" w:lineRule="atLeast"/>
              <w:ind w:left="57" w:right="57"/>
              <w:jc w:val="left"/>
              <w:rPr>
                <w:rFonts w:asciiTheme="majorBidi" w:hAnsiTheme="majorBidi" w:cstheme="majorBidi"/>
                <w:sz w:val="18"/>
                <w:szCs w:val="18"/>
                <w:lang w:val="fr-FR"/>
              </w:rPr>
            </w:pPr>
            <w:r w:rsidRPr="006365D7">
              <w:rPr>
                <w:rFonts w:asciiTheme="majorBidi" w:hAnsiTheme="majorBidi" w:cstheme="majorBidi"/>
                <w:sz w:val="18"/>
                <w:szCs w:val="18"/>
                <w:lang w:val="fr-FR"/>
              </w:rPr>
              <w:t>Irritation cutanée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3.2)</w:t>
            </w:r>
          </w:p>
        </w:tc>
        <w:tc>
          <w:tcPr>
            <w:tcW w:w="1134" w:type="dxa"/>
          </w:tcPr>
          <w:p w14:paraId="5BD7F684" w14:textId="77777777" w:rsidR="00246D13" w:rsidRPr="006365D7"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2</w:t>
            </w:r>
          </w:p>
        </w:tc>
        <w:tc>
          <w:tcPr>
            <w:tcW w:w="1842" w:type="dxa"/>
            <w:vMerge/>
          </w:tcPr>
          <w:p w14:paraId="07191214"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r>
      <w:tr w:rsidR="00246D13" w:rsidRPr="006365D7" w14:paraId="07A40931" w14:textId="77777777" w:rsidTr="004D33AF">
        <w:tc>
          <w:tcPr>
            <w:tcW w:w="562" w:type="dxa"/>
            <w:vMerge/>
            <w:tcBorders>
              <w:right w:val="single" w:sz="4" w:space="0" w:color="auto"/>
            </w:tcBorders>
          </w:tcPr>
          <w:p w14:paraId="47E02F95"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1701" w:type="dxa"/>
            <w:vMerge/>
            <w:tcBorders>
              <w:left w:val="single" w:sz="4" w:space="0" w:color="auto"/>
            </w:tcBorders>
          </w:tcPr>
          <w:p w14:paraId="7E8E4409"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2127" w:type="dxa"/>
          </w:tcPr>
          <w:p w14:paraId="32D51677" w14:textId="72DC31EE" w:rsidR="00246D13" w:rsidRPr="006365D7" w:rsidRDefault="00246D13" w:rsidP="004D33AF">
            <w:pPr>
              <w:pStyle w:val="SingleTxtG"/>
              <w:spacing w:before="40" w:after="40" w:line="220" w:lineRule="atLeast"/>
              <w:ind w:left="57" w:right="57"/>
              <w:jc w:val="left"/>
              <w:rPr>
                <w:rFonts w:asciiTheme="majorBidi" w:hAnsiTheme="majorBidi" w:cstheme="majorBidi"/>
                <w:sz w:val="18"/>
                <w:szCs w:val="18"/>
                <w:lang w:val="fr-FR"/>
              </w:rPr>
            </w:pPr>
            <w:r w:rsidRPr="006365D7">
              <w:rPr>
                <w:rFonts w:asciiTheme="majorBidi" w:hAnsiTheme="majorBidi" w:cstheme="majorBidi"/>
                <w:sz w:val="18"/>
                <w:szCs w:val="18"/>
                <w:lang w:val="fr-FR"/>
              </w:rPr>
              <w:t>Sensibilisation cutanée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3.4)</w:t>
            </w:r>
          </w:p>
        </w:tc>
        <w:tc>
          <w:tcPr>
            <w:tcW w:w="1134" w:type="dxa"/>
          </w:tcPr>
          <w:p w14:paraId="33CB9D30" w14:textId="77777777" w:rsidR="00246D13" w:rsidRPr="006365D7"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1, 1A, 1B</w:t>
            </w:r>
          </w:p>
        </w:tc>
        <w:tc>
          <w:tcPr>
            <w:tcW w:w="1842" w:type="dxa"/>
            <w:vMerge/>
          </w:tcPr>
          <w:p w14:paraId="2559F8A1"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r>
      <w:tr w:rsidR="00246D13" w:rsidRPr="006365D7" w14:paraId="077D7F9C" w14:textId="77777777" w:rsidTr="004D33AF">
        <w:tc>
          <w:tcPr>
            <w:tcW w:w="562" w:type="dxa"/>
            <w:vMerge/>
            <w:tcBorders>
              <w:right w:val="single" w:sz="4" w:space="0" w:color="auto"/>
            </w:tcBorders>
          </w:tcPr>
          <w:p w14:paraId="3B0141F7"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1701" w:type="dxa"/>
            <w:vMerge/>
            <w:tcBorders>
              <w:left w:val="single" w:sz="4" w:space="0" w:color="auto"/>
            </w:tcBorders>
          </w:tcPr>
          <w:p w14:paraId="3A4C7E2B"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c>
          <w:tcPr>
            <w:tcW w:w="2127" w:type="dxa"/>
          </w:tcPr>
          <w:p w14:paraId="2390FE81" w14:textId="04746DC7" w:rsidR="00246D13" w:rsidRPr="006365D7" w:rsidRDefault="00246D13" w:rsidP="004D33AF">
            <w:pPr>
              <w:pStyle w:val="SingleTxtG"/>
              <w:spacing w:before="40" w:after="40" w:line="220" w:lineRule="atLeast"/>
              <w:ind w:left="57" w:right="57"/>
              <w:jc w:val="left"/>
              <w:rPr>
                <w:rFonts w:asciiTheme="majorBidi" w:hAnsiTheme="majorBidi" w:cstheme="majorBidi"/>
                <w:sz w:val="18"/>
                <w:szCs w:val="18"/>
                <w:lang w:val="fr-FR"/>
              </w:rPr>
            </w:pPr>
            <w:r w:rsidRPr="006365D7">
              <w:rPr>
                <w:rFonts w:asciiTheme="majorBidi" w:hAnsiTheme="majorBidi" w:cstheme="majorBidi"/>
                <w:sz w:val="18"/>
                <w:szCs w:val="18"/>
                <w:lang w:val="fr-FR"/>
              </w:rPr>
              <w:t>Toxicité pour certains organes cibles, exposition unique (chap</w:t>
            </w:r>
            <w:r>
              <w:rPr>
                <w:rFonts w:asciiTheme="majorBidi" w:hAnsiTheme="majorBidi" w:cstheme="majorBidi"/>
                <w:sz w:val="18"/>
                <w:szCs w:val="18"/>
                <w:lang w:val="fr-FR"/>
              </w:rPr>
              <w:t>itre</w:t>
            </w:r>
            <w:r w:rsidRPr="006365D7">
              <w:rPr>
                <w:rFonts w:asciiTheme="majorBidi" w:hAnsiTheme="majorBidi" w:cstheme="majorBidi"/>
                <w:sz w:val="18"/>
                <w:szCs w:val="18"/>
                <w:lang w:val="fr-FR"/>
              </w:rPr>
              <w:t> 3.8)</w:t>
            </w:r>
          </w:p>
        </w:tc>
        <w:tc>
          <w:tcPr>
            <w:tcW w:w="1134" w:type="dxa"/>
          </w:tcPr>
          <w:p w14:paraId="0C806E43" w14:textId="77777777" w:rsidR="00246D13" w:rsidRPr="006365D7" w:rsidRDefault="00246D13" w:rsidP="004D33AF">
            <w:pPr>
              <w:pStyle w:val="SingleTxtG"/>
              <w:spacing w:before="40" w:after="40" w:line="220" w:lineRule="atLeast"/>
              <w:ind w:left="57" w:right="57"/>
              <w:jc w:val="center"/>
              <w:rPr>
                <w:rFonts w:asciiTheme="majorBidi" w:hAnsiTheme="majorBidi" w:cstheme="majorBidi"/>
                <w:sz w:val="18"/>
                <w:szCs w:val="18"/>
                <w:lang w:val="fr-FR"/>
              </w:rPr>
            </w:pPr>
            <w:r w:rsidRPr="006365D7">
              <w:rPr>
                <w:rFonts w:asciiTheme="majorBidi" w:hAnsiTheme="majorBidi" w:cstheme="majorBidi"/>
                <w:sz w:val="18"/>
                <w:szCs w:val="18"/>
                <w:lang w:val="fr-FR"/>
              </w:rPr>
              <w:t>1</w:t>
            </w:r>
          </w:p>
        </w:tc>
        <w:tc>
          <w:tcPr>
            <w:tcW w:w="1842" w:type="dxa"/>
            <w:vMerge/>
          </w:tcPr>
          <w:p w14:paraId="3612BA2F" w14:textId="77777777" w:rsidR="00246D13" w:rsidRPr="006365D7" w:rsidRDefault="00246D13" w:rsidP="004D33AF">
            <w:pPr>
              <w:pStyle w:val="SingleTxtG"/>
              <w:spacing w:before="40" w:after="40" w:line="220" w:lineRule="atLeast"/>
              <w:ind w:left="57" w:right="57"/>
              <w:rPr>
                <w:rFonts w:asciiTheme="majorBidi" w:hAnsiTheme="majorBidi" w:cstheme="majorBidi"/>
                <w:sz w:val="18"/>
                <w:szCs w:val="18"/>
                <w:lang w:val="fr-FR"/>
              </w:rPr>
            </w:pPr>
          </w:p>
        </w:tc>
      </w:tr>
    </w:tbl>
    <w:p w14:paraId="1A9FA7EC" w14:textId="7427ACC2" w:rsidR="00246D13" w:rsidRPr="00AE3663" w:rsidRDefault="00246D13" w:rsidP="00DF4F02">
      <w:pPr>
        <w:pStyle w:val="H23G"/>
        <w:rPr>
          <w:lang w:val="fr-FR"/>
        </w:rPr>
      </w:pPr>
      <w:r>
        <w:rPr>
          <w:lang w:val="fr-FR"/>
        </w:rPr>
        <w:lastRenderedPageBreak/>
        <w:tab/>
      </w:r>
      <w:r>
        <w:rPr>
          <w:lang w:val="fr-FR"/>
        </w:rPr>
        <w:tab/>
      </w:r>
      <w:r w:rsidRPr="00AE3663">
        <w:rPr>
          <w:lang w:val="fr-FR"/>
        </w:rPr>
        <w:t xml:space="preserve">P340, </w:t>
      </w:r>
      <w:r w:rsidR="00E939FE">
        <w:rPr>
          <w:rFonts w:asciiTheme="majorBidi" w:hAnsiTheme="majorBidi" w:cstheme="majorBidi"/>
          <w:lang w:val="fr-FR"/>
        </w:rPr>
        <w:t>ligne</w:t>
      </w:r>
      <w:r w:rsidR="000049F1" w:rsidRPr="00AE3663">
        <w:rPr>
          <w:rFonts w:asciiTheme="majorBidi" w:hAnsiTheme="majorBidi" w:cstheme="majorBidi"/>
          <w:lang w:val="fr-FR"/>
        </w:rPr>
        <w:t xml:space="preserve"> «</w:t>
      </w:r>
      <w:r w:rsidR="000049F1">
        <w:rPr>
          <w:rFonts w:asciiTheme="majorBidi" w:hAnsiTheme="majorBidi" w:cstheme="majorBidi"/>
          <w:lang w:val="fr-FR"/>
        </w:rPr>
        <w:t> </w:t>
      </w:r>
      <w:r w:rsidR="000049F1" w:rsidRPr="00AE3663">
        <w:rPr>
          <w:rFonts w:asciiTheme="majorBidi" w:hAnsiTheme="majorBidi" w:cstheme="majorBidi"/>
          <w:lang w:val="fr-FR"/>
        </w:rPr>
        <w:t>Toxicité aiguë, inhalation (chap</w:t>
      </w:r>
      <w:r w:rsidR="000049F1">
        <w:rPr>
          <w:rFonts w:asciiTheme="majorBidi" w:hAnsiTheme="majorBidi" w:cstheme="majorBidi"/>
          <w:lang w:val="fr-FR"/>
        </w:rPr>
        <w:t>itre </w:t>
      </w:r>
      <w:r w:rsidR="000049F1" w:rsidRPr="00AE3663">
        <w:rPr>
          <w:rFonts w:asciiTheme="majorBidi" w:hAnsiTheme="majorBidi" w:cstheme="majorBidi"/>
          <w:lang w:val="fr-FR"/>
        </w:rPr>
        <w:t>3.1)</w:t>
      </w:r>
      <w:r w:rsidR="000049F1">
        <w:rPr>
          <w:rFonts w:asciiTheme="majorBidi" w:hAnsiTheme="majorBidi" w:cstheme="majorBidi"/>
          <w:lang w:val="fr-FR"/>
        </w:rPr>
        <w:t> </w:t>
      </w:r>
      <w:r w:rsidR="000049F1" w:rsidRPr="00AE3663">
        <w:rPr>
          <w:rFonts w:asciiTheme="majorBidi" w:hAnsiTheme="majorBidi" w:cstheme="majorBidi"/>
          <w:lang w:val="fr-FR"/>
        </w:rPr>
        <w:t xml:space="preserve">», </w:t>
      </w:r>
      <w:r w:rsidRPr="00AE3663">
        <w:rPr>
          <w:lang w:val="fr-FR"/>
        </w:rPr>
        <w:t>colonne (4)</w:t>
      </w:r>
    </w:p>
    <w:p w14:paraId="79F9B5C3" w14:textId="4DC28990" w:rsidR="00246D13" w:rsidRDefault="000049F1" w:rsidP="00DF4F02">
      <w:pPr>
        <w:pStyle w:val="SingleTxtG"/>
        <w:keepNext/>
        <w:keepLines/>
        <w:rPr>
          <w:rFonts w:asciiTheme="majorBidi" w:hAnsiTheme="majorBidi" w:cstheme="majorBidi"/>
          <w:lang w:val="fr-FR"/>
        </w:rPr>
      </w:pPr>
      <w:r>
        <w:rPr>
          <w:rFonts w:asciiTheme="majorBidi" w:hAnsiTheme="majorBidi" w:cstheme="majorBidi"/>
          <w:lang w:val="fr-FR"/>
        </w:rPr>
        <w:t>A</w:t>
      </w:r>
      <w:r w:rsidR="00246D13" w:rsidRPr="00AE3663">
        <w:rPr>
          <w:rFonts w:asciiTheme="majorBidi" w:hAnsiTheme="majorBidi" w:cstheme="majorBidi"/>
          <w:lang w:val="fr-FR"/>
        </w:rPr>
        <w:t>jouter «, 5 » après « 1, 2, 3, 4 ».</w:t>
      </w:r>
    </w:p>
    <w:p w14:paraId="697F9EAC" w14:textId="07C88909" w:rsidR="00246D13" w:rsidRPr="00AE3663" w:rsidRDefault="00246D13" w:rsidP="00246D13">
      <w:pPr>
        <w:pStyle w:val="H23G"/>
        <w:rPr>
          <w:lang w:val="fr-FR"/>
        </w:rPr>
      </w:pPr>
      <w:r>
        <w:rPr>
          <w:lang w:val="fr-FR"/>
        </w:rPr>
        <w:tab/>
      </w:r>
      <w:r w:rsidRPr="00AE3663">
        <w:rPr>
          <w:lang w:val="fr-FR"/>
        </w:rPr>
        <w:tab/>
        <w:t xml:space="preserve">P352, </w:t>
      </w:r>
      <w:r w:rsidR="006655EA">
        <w:rPr>
          <w:rFonts w:asciiTheme="majorBidi" w:hAnsiTheme="majorBidi" w:cstheme="majorBidi"/>
          <w:lang w:val="fr-FR"/>
        </w:rPr>
        <w:t>ligne</w:t>
      </w:r>
      <w:r w:rsidR="00BC3F71" w:rsidRPr="00AE3663">
        <w:rPr>
          <w:rFonts w:asciiTheme="majorBidi" w:hAnsiTheme="majorBidi" w:cstheme="majorBidi"/>
          <w:lang w:val="fr-FR"/>
        </w:rPr>
        <w:t xml:space="preserve"> « Toxicité aiguë, cutanée (chap</w:t>
      </w:r>
      <w:r w:rsidR="00BC3F71">
        <w:rPr>
          <w:rFonts w:asciiTheme="majorBidi" w:hAnsiTheme="majorBidi" w:cstheme="majorBidi"/>
          <w:lang w:val="fr-FR"/>
        </w:rPr>
        <w:t>itre </w:t>
      </w:r>
      <w:r w:rsidR="00BC3F71" w:rsidRPr="00AE3663">
        <w:rPr>
          <w:rFonts w:asciiTheme="majorBidi" w:hAnsiTheme="majorBidi" w:cstheme="majorBidi"/>
          <w:lang w:val="fr-FR"/>
        </w:rPr>
        <w:t>3.1) »</w:t>
      </w:r>
      <w:r w:rsidR="00BC3F71">
        <w:rPr>
          <w:rFonts w:asciiTheme="majorBidi" w:hAnsiTheme="majorBidi" w:cstheme="majorBidi"/>
          <w:lang w:val="fr-FR"/>
        </w:rPr>
        <w:t xml:space="preserve">, </w:t>
      </w:r>
      <w:r w:rsidRPr="00AE3663">
        <w:rPr>
          <w:lang w:val="fr-FR"/>
        </w:rPr>
        <w:t>colonne (4)</w:t>
      </w:r>
    </w:p>
    <w:p w14:paraId="5FF7274A" w14:textId="438BF4C6" w:rsidR="00246D13" w:rsidRDefault="00BC3F71" w:rsidP="00246D13">
      <w:pPr>
        <w:pStyle w:val="SingleTxtG"/>
        <w:rPr>
          <w:rFonts w:asciiTheme="majorBidi" w:hAnsiTheme="majorBidi" w:cstheme="majorBidi"/>
          <w:lang w:val="fr-FR"/>
        </w:rPr>
      </w:pPr>
      <w:r>
        <w:rPr>
          <w:rFonts w:asciiTheme="majorBidi" w:hAnsiTheme="majorBidi" w:cstheme="majorBidi"/>
          <w:lang w:val="fr-FR"/>
        </w:rPr>
        <w:t>A</w:t>
      </w:r>
      <w:r w:rsidR="00246D13" w:rsidRPr="00AE3663">
        <w:rPr>
          <w:rFonts w:asciiTheme="majorBidi" w:hAnsiTheme="majorBidi" w:cstheme="majorBidi"/>
          <w:lang w:val="fr-FR"/>
        </w:rPr>
        <w:t>jouter «, 5 » après « 1, 2, 3, 4 ».</w:t>
      </w:r>
    </w:p>
    <w:p w14:paraId="6E66CAEE" w14:textId="3179AB1A" w:rsidR="00246D13" w:rsidRPr="00AE3663" w:rsidRDefault="00246D13" w:rsidP="00246D13">
      <w:pPr>
        <w:pStyle w:val="H23G"/>
        <w:rPr>
          <w:lang w:val="fr-FR"/>
        </w:rPr>
      </w:pPr>
      <w:r w:rsidRPr="00AE3663">
        <w:rPr>
          <w:lang w:val="fr-FR"/>
        </w:rPr>
        <w:tab/>
      </w:r>
      <w:r w:rsidRPr="00AE3663">
        <w:rPr>
          <w:lang w:val="fr-FR"/>
        </w:rPr>
        <w:tab/>
        <w:t>P302+P317, colonne (2)</w:t>
      </w:r>
    </w:p>
    <w:p w14:paraId="78840C6F" w14:textId="23A5DDB0" w:rsidR="00246D13" w:rsidRDefault="00246D13" w:rsidP="00246D13">
      <w:pPr>
        <w:pStyle w:val="SingleTxtG"/>
        <w:rPr>
          <w:lang w:val="fr-FR"/>
        </w:rPr>
      </w:pPr>
      <w:r w:rsidRPr="00AE3663">
        <w:rPr>
          <w:lang w:val="fr-FR"/>
        </w:rPr>
        <w:t>Remplacer le texte actuel par « </w:t>
      </w:r>
      <w:r w:rsidRPr="00775023">
        <w:rPr>
          <w:i/>
          <w:iCs/>
          <w:lang w:val="fr-FR"/>
        </w:rPr>
        <w:t>[Supprimé]</w:t>
      </w:r>
      <w:r w:rsidRPr="00AE3663">
        <w:rPr>
          <w:lang w:val="fr-FR"/>
        </w:rPr>
        <w:t xml:space="preserve"> » et supprimer le texte des colonnes (3) et (4). </w:t>
      </w:r>
    </w:p>
    <w:p w14:paraId="6CDEC2C0" w14:textId="1B6FAA11" w:rsidR="00246D13" w:rsidRPr="00AE3663" w:rsidRDefault="00246D13" w:rsidP="00246D13">
      <w:pPr>
        <w:pStyle w:val="H23G"/>
        <w:rPr>
          <w:lang w:val="fr-FR"/>
        </w:rPr>
      </w:pPr>
      <w:r w:rsidRPr="00AE3663">
        <w:rPr>
          <w:lang w:val="fr-FR"/>
        </w:rPr>
        <w:tab/>
      </w:r>
      <w:r w:rsidRPr="00AE3663">
        <w:rPr>
          <w:lang w:val="fr-FR"/>
        </w:rPr>
        <w:tab/>
        <w:t xml:space="preserve">P302+P352, </w:t>
      </w:r>
      <w:r w:rsidR="002B757C">
        <w:rPr>
          <w:lang w:val="fr-FR"/>
        </w:rPr>
        <w:t>ligne</w:t>
      </w:r>
      <w:r w:rsidR="00D92941">
        <w:rPr>
          <w:lang w:val="fr-FR"/>
        </w:rPr>
        <w:t xml:space="preserve"> </w:t>
      </w:r>
      <w:r w:rsidR="00D92941" w:rsidRPr="00AE3663">
        <w:rPr>
          <w:lang w:val="fr-FR"/>
        </w:rPr>
        <w:t>« Toxicité aiguë, cutanée (chap</w:t>
      </w:r>
      <w:r w:rsidR="00D92941">
        <w:rPr>
          <w:lang w:val="fr-FR"/>
        </w:rPr>
        <w:t>itre </w:t>
      </w:r>
      <w:r w:rsidR="00D92941" w:rsidRPr="00AE3663">
        <w:rPr>
          <w:lang w:val="fr-FR"/>
        </w:rPr>
        <w:t xml:space="preserve">3.1) », </w:t>
      </w:r>
      <w:r w:rsidRPr="00AE3663">
        <w:rPr>
          <w:lang w:val="fr-FR"/>
        </w:rPr>
        <w:t>colonne (4)</w:t>
      </w:r>
    </w:p>
    <w:p w14:paraId="38E23A42" w14:textId="2862F9F4" w:rsidR="00246D13" w:rsidRDefault="00D92941" w:rsidP="00246D13">
      <w:pPr>
        <w:pStyle w:val="SingleTxtG"/>
        <w:rPr>
          <w:lang w:val="fr-FR"/>
        </w:rPr>
      </w:pPr>
      <w:r>
        <w:rPr>
          <w:lang w:val="fr-FR"/>
        </w:rPr>
        <w:t>A</w:t>
      </w:r>
      <w:r w:rsidRPr="00AE3663">
        <w:rPr>
          <w:lang w:val="fr-FR"/>
        </w:rPr>
        <w:t xml:space="preserve">jouter </w:t>
      </w:r>
      <w:r w:rsidR="00246D13" w:rsidRPr="00AE3663">
        <w:rPr>
          <w:lang w:val="fr-FR"/>
        </w:rPr>
        <w:t>«, 5 » après « 1, 2, 3, 4 ».</w:t>
      </w:r>
    </w:p>
    <w:p w14:paraId="46D757A2" w14:textId="5E6AD999" w:rsidR="00246D13" w:rsidRPr="00AE3663" w:rsidRDefault="00246D13" w:rsidP="00246D13">
      <w:pPr>
        <w:pStyle w:val="H23G"/>
        <w:rPr>
          <w:lang w:val="fr-FR"/>
        </w:rPr>
      </w:pPr>
      <w:r w:rsidRPr="00AE3663">
        <w:rPr>
          <w:lang w:val="fr-FR"/>
        </w:rPr>
        <w:tab/>
      </w:r>
      <w:r w:rsidRPr="00AE3663">
        <w:rPr>
          <w:lang w:val="fr-FR"/>
        </w:rPr>
        <w:tab/>
        <w:t>P304+P317, colonne (2)</w:t>
      </w:r>
    </w:p>
    <w:p w14:paraId="4E49B5D8" w14:textId="442AAE67" w:rsidR="00246D13" w:rsidRDefault="00246D13" w:rsidP="00246D13">
      <w:pPr>
        <w:pStyle w:val="SingleTxtG"/>
        <w:rPr>
          <w:lang w:val="fr-FR"/>
        </w:rPr>
      </w:pPr>
      <w:r w:rsidRPr="00AE3663">
        <w:rPr>
          <w:lang w:val="fr-FR"/>
        </w:rPr>
        <w:t>Remplacer le texte actuel par « </w:t>
      </w:r>
      <w:r w:rsidRPr="00775023">
        <w:rPr>
          <w:i/>
          <w:iCs/>
          <w:lang w:val="fr-FR"/>
        </w:rPr>
        <w:t>[Supprimé]</w:t>
      </w:r>
      <w:r w:rsidRPr="00AE3663">
        <w:rPr>
          <w:lang w:val="fr-FR"/>
        </w:rPr>
        <w:t xml:space="preserve"> » et supprimer le texte des colonnes (3) et (4). </w:t>
      </w:r>
    </w:p>
    <w:p w14:paraId="21E55460" w14:textId="035C5F6F" w:rsidR="00246D13" w:rsidRPr="00AE3663" w:rsidRDefault="00246D13" w:rsidP="00246D13">
      <w:pPr>
        <w:pStyle w:val="H23G"/>
        <w:rPr>
          <w:lang w:val="fr-FR"/>
        </w:rPr>
      </w:pPr>
      <w:r w:rsidRPr="00AE3663">
        <w:rPr>
          <w:lang w:val="fr-FR"/>
        </w:rPr>
        <w:tab/>
      </w:r>
      <w:r w:rsidRPr="00AE3663">
        <w:rPr>
          <w:lang w:val="fr-FR"/>
        </w:rPr>
        <w:tab/>
        <w:t xml:space="preserve">P304+P340, </w:t>
      </w:r>
      <w:r w:rsidR="0099490A">
        <w:rPr>
          <w:lang w:val="fr-FR"/>
        </w:rPr>
        <w:t>ligne</w:t>
      </w:r>
      <w:r w:rsidR="00600990">
        <w:rPr>
          <w:lang w:val="fr-FR"/>
        </w:rPr>
        <w:t xml:space="preserve"> </w:t>
      </w:r>
      <w:r w:rsidR="00600990" w:rsidRPr="00540F1C">
        <w:rPr>
          <w:lang w:val="fr-FR"/>
        </w:rPr>
        <w:t>« Toxicité aiguë, inhalation (chap</w:t>
      </w:r>
      <w:r w:rsidR="00600990">
        <w:rPr>
          <w:lang w:val="fr-FR"/>
        </w:rPr>
        <w:t>itre</w:t>
      </w:r>
      <w:r w:rsidR="00600990" w:rsidRPr="00540F1C">
        <w:rPr>
          <w:lang w:val="fr-FR"/>
        </w:rPr>
        <w:t xml:space="preserve"> 3.1) », </w:t>
      </w:r>
      <w:r w:rsidRPr="00AE3663">
        <w:rPr>
          <w:lang w:val="fr-FR"/>
        </w:rPr>
        <w:t>colonne (4)</w:t>
      </w:r>
    </w:p>
    <w:p w14:paraId="75E2BE50" w14:textId="786673CF" w:rsidR="00246D13" w:rsidRPr="00775023" w:rsidRDefault="00600990" w:rsidP="00775023">
      <w:pPr>
        <w:pStyle w:val="SingleTxtG"/>
        <w:rPr>
          <w:lang w:val="fr-FR"/>
        </w:rPr>
      </w:pPr>
      <w:r>
        <w:rPr>
          <w:lang w:val="fr-FR"/>
        </w:rPr>
        <w:t>A</w:t>
      </w:r>
      <w:r w:rsidR="00246D13" w:rsidRPr="00775023">
        <w:rPr>
          <w:lang w:val="fr-FR"/>
        </w:rPr>
        <w:t>jouter «, 5 » après « 1, 2, 3, 4 ».</w:t>
      </w:r>
    </w:p>
    <w:p w14:paraId="5FE0BB34" w14:textId="77777777" w:rsidR="00246D13" w:rsidRPr="00AE3663" w:rsidRDefault="00246D13" w:rsidP="003E6F21">
      <w:pPr>
        <w:pStyle w:val="H1G"/>
        <w:spacing w:before="240"/>
        <w:rPr>
          <w:lang w:val="fr-FR"/>
        </w:rPr>
      </w:pPr>
      <w:r>
        <w:rPr>
          <w:lang w:val="fr-FR"/>
        </w:rPr>
        <w:tab/>
      </w:r>
      <w:r>
        <w:rPr>
          <w:lang w:val="fr-FR"/>
        </w:rPr>
        <w:tab/>
      </w:r>
      <w:r w:rsidRPr="00AE3663">
        <w:rPr>
          <w:lang w:val="fr-FR"/>
        </w:rPr>
        <w:t>Tableau A3.2.5</w:t>
      </w:r>
    </w:p>
    <w:p w14:paraId="4B7AB06D" w14:textId="5A7AFB1E" w:rsidR="00246D13" w:rsidRPr="00AE3663" w:rsidRDefault="00246D13" w:rsidP="00246D13">
      <w:pPr>
        <w:pStyle w:val="H23G"/>
        <w:rPr>
          <w:lang w:val="fr-FR"/>
        </w:rPr>
      </w:pPr>
      <w:r w:rsidRPr="00AE3663">
        <w:rPr>
          <w:lang w:val="fr-FR"/>
        </w:rPr>
        <w:tab/>
      </w:r>
      <w:r w:rsidRPr="00AE3663">
        <w:rPr>
          <w:lang w:val="fr-FR"/>
        </w:rPr>
        <w:tab/>
        <w:t>P501</w:t>
      </w:r>
      <w:r w:rsidR="00A06F12">
        <w:rPr>
          <w:lang w:val="fr-FR"/>
        </w:rPr>
        <w:t xml:space="preserve">, ligne </w:t>
      </w:r>
      <w:r w:rsidR="00A06F12" w:rsidRPr="00AE3663">
        <w:rPr>
          <w:rFonts w:asciiTheme="majorBidi" w:hAnsiTheme="majorBidi" w:cstheme="majorBidi"/>
          <w:lang w:val="fr-FR"/>
        </w:rPr>
        <w:t>« Toxicité aiguë, inhalation (chap</w:t>
      </w:r>
      <w:r w:rsidR="00A06F12">
        <w:rPr>
          <w:rFonts w:asciiTheme="majorBidi" w:hAnsiTheme="majorBidi" w:cstheme="majorBidi"/>
          <w:lang w:val="fr-FR"/>
        </w:rPr>
        <w:t>itre </w:t>
      </w:r>
      <w:r w:rsidR="00A06F12" w:rsidRPr="00AE3663">
        <w:rPr>
          <w:rFonts w:asciiTheme="majorBidi" w:hAnsiTheme="majorBidi" w:cstheme="majorBidi"/>
          <w:lang w:val="fr-FR"/>
        </w:rPr>
        <w:t>3.1) »,</w:t>
      </w:r>
      <w:r w:rsidR="00A06F12">
        <w:rPr>
          <w:rFonts w:asciiTheme="majorBidi" w:hAnsiTheme="majorBidi" w:cstheme="majorBidi"/>
          <w:lang w:val="fr-FR"/>
        </w:rPr>
        <w:t xml:space="preserve"> </w:t>
      </w:r>
      <w:r w:rsidR="00D85BF1">
        <w:rPr>
          <w:rFonts w:asciiTheme="majorBidi" w:hAnsiTheme="majorBidi" w:cstheme="majorBidi"/>
          <w:lang w:val="fr-FR"/>
        </w:rPr>
        <w:t>colonne (4)</w:t>
      </w:r>
    </w:p>
    <w:p w14:paraId="3CCF2D13" w14:textId="37F3D9C2" w:rsidR="00246D13" w:rsidRPr="00AE3663" w:rsidRDefault="00D85BF1" w:rsidP="00246D13">
      <w:pPr>
        <w:pStyle w:val="SingleTxtG"/>
        <w:ind w:right="992"/>
        <w:rPr>
          <w:rFonts w:asciiTheme="majorBidi" w:hAnsiTheme="majorBidi" w:cstheme="majorBidi"/>
          <w:lang w:val="fr-FR"/>
        </w:rPr>
      </w:pPr>
      <w:r>
        <w:rPr>
          <w:rFonts w:asciiTheme="majorBidi" w:hAnsiTheme="majorBidi" w:cstheme="majorBidi"/>
          <w:lang w:val="fr-FR"/>
        </w:rPr>
        <w:t>A</w:t>
      </w:r>
      <w:r w:rsidR="00246D13" w:rsidRPr="00AE3663">
        <w:rPr>
          <w:rFonts w:asciiTheme="majorBidi" w:hAnsiTheme="majorBidi" w:cstheme="majorBidi"/>
          <w:lang w:val="fr-FR"/>
        </w:rPr>
        <w:t>jouter «, 4 » après « 1, 2, 3 ».</w:t>
      </w:r>
    </w:p>
    <w:p w14:paraId="094933EA" w14:textId="10E7E1F4" w:rsidR="00246D13" w:rsidRPr="00676FB6" w:rsidRDefault="00246D13" w:rsidP="00246D13">
      <w:pPr>
        <w:pStyle w:val="SingleTxtG"/>
        <w:rPr>
          <w:b/>
          <w:bCs/>
          <w:lang w:val="fr-FR"/>
        </w:rPr>
      </w:pPr>
      <w:r>
        <w:rPr>
          <w:b/>
          <w:bCs/>
          <w:lang w:val="fr-FR"/>
        </w:rPr>
        <w:t>P502</w:t>
      </w:r>
    </w:p>
    <w:p w14:paraId="58595DC4" w14:textId="7260A83D" w:rsidR="00246D13" w:rsidRPr="00676FB6" w:rsidRDefault="00246D13" w:rsidP="00246D13">
      <w:pPr>
        <w:pStyle w:val="SingleTxtG"/>
        <w:rPr>
          <w:lang w:val="fr-FR"/>
        </w:rPr>
      </w:pPr>
      <w:r>
        <w:rPr>
          <w:lang w:val="fr-FR"/>
        </w:rPr>
        <w:t>Insérer la nouvelle ligne suivante sous la ligne « Dangers pour la couche d’ozone (chapitre 4</w:t>
      </w:r>
      <w:r w:rsidRPr="0083022B">
        <w:rPr>
          <w:lang w:val="fr-FR"/>
        </w:rPr>
        <w:t>.</w:t>
      </w:r>
      <w:r>
        <w:rPr>
          <w:lang w:val="fr-FR"/>
        </w:rPr>
        <w:t>2) » </w:t>
      </w:r>
      <w:r w:rsidR="001850C7">
        <w:rPr>
          <w:lang w:val="fr-FR"/>
        </w:rPr>
        <w:t>actuelle</w:t>
      </w:r>
      <w:r>
        <w:rPr>
          <w:lang w:val="fr-FR"/>
        </w:rPr>
        <w:t>:</w:t>
      </w:r>
    </w:p>
    <w:tbl>
      <w:tblPr>
        <w:tblStyle w:val="Grilledutableau"/>
        <w:tblW w:w="8075" w:type="dxa"/>
        <w:tblInd w:w="1134" w:type="dxa"/>
        <w:tblLayout w:type="fixed"/>
        <w:tblLook w:val="04A0" w:firstRow="1" w:lastRow="0" w:firstColumn="1" w:lastColumn="0" w:noHBand="0" w:noVBand="1"/>
      </w:tblPr>
      <w:tblGrid>
        <w:gridCol w:w="743"/>
        <w:gridCol w:w="746"/>
        <w:gridCol w:w="3468"/>
        <w:gridCol w:w="708"/>
        <w:gridCol w:w="2410"/>
      </w:tblGrid>
      <w:tr w:rsidR="00246D13" w:rsidRPr="00B65252" w14:paraId="22A8E702" w14:textId="77777777" w:rsidTr="004D33AF">
        <w:tc>
          <w:tcPr>
            <w:tcW w:w="743" w:type="dxa"/>
            <w:tcBorders>
              <w:bottom w:val="single" w:sz="4" w:space="0" w:color="auto"/>
            </w:tcBorders>
          </w:tcPr>
          <w:p w14:paraId="776F0629" w14:textId="77777777" w:rsidR="00246D13" w:rsidRPr="00B65252" w:rsidRDefault="00246D13" w:rsidP="004D33AF">
            <w:pPr>
              <w:pStyle w:val="SingleTxtG"/>
              <w:spacing w:before="60" w:after="60" w:line="220" w:lineRule="atLeast"/>
              <w:ind w:left="57" w:right="57"/>
              <w:jc w:val="center"/>
              <w:rPr>
                <w:b/>
                <w:bCs/>
                <w:sz w:val="18"/>
                <w:szCs w:val="18"/>
              </w:rPr>
            </w:pPr>
            <w:r w:rsidRPr="00B65252">
              <w:rPr>
                <w:b/>
                <w:bCs/>
                <w:sz w:val="18"/>
                <w:szCs w:val="18"/>
                <w:lang w:val="fr-FR"/>
              </w:rPr>
              <w:t>(1)</w:t>
            </w:r>
          </w:p>
        </w:tc>
        <w:tc>
          <w:tcPr>
            <w:tcW w:w="746" w:type="dxa"/>
            <w:tcBorders>
              <w:bottom w:val="single" w:sz="4" w:space="0" w:color="auto"/>
            </w:tcBorders>
          </w:tcPr>
          <w:p w14:paraId="794C4A8D" w14:textId="77777777" w:rsidR="00246D13" w:rsidRPr="00B65252" w:rsidRDefault="00246D13" w:rsidP="004D33AF">
            <w:pPr>
              <w:pStyle w:val="SingleTxtG"/>
              <w:spacing w:before="60" w:after="60" w:line="220" w:lineRule="atLeast"/>
              <w:ind w:left="57" w:right="57"/>
              <w:jc w:val="center"/>
              <w:rPr>
                <w:b/>
                <w:bCs/>
                <w:sz w:val="18"/>
                <w:szCs w:val="18"/>
              </w:rPr>
            </w:pPr>
            <w:r w:rsidRPr="00B65252">
              <w:rPr>
                <w:b/>
                <w:bCs/>
                <w:sz w:val="18"/>
                <w:szCs w:val="18"/>
                <w:lang w:val="fr-FR"/>
              </w:rPr>
              <w:t>(2)</w:t>
            </w:r>
          </w:p>
        </w:tc>
        <w:tc>
          <w:tcPr>
            <w:tcW w:w="3468" w:type="dxa"/>
          </w:tcPr>
          <w:p w14:paraId="7ED50692" w14:textId="77777777" w:rsidR="00246D13" w:rsidRPr="00B65252" w:rsidRDefault="00246D13" w:rsidP="004D33AF">
            <w:pPr>
              <w:pStyle w:val="SingleTxtG"/>
              <w:spacing w:before="60" w:after="60" w:line="220" w:lineRule="atLeast"/>
              <w:ind w:left="57" w:right="57"/>
              <w:jc w:val="center"/>
              <w:rPr>
                <w:b/>
                <w:bCs/>
                <w:sz w:val="18"/>
                <w:szCs w:val="18"/>
              </w:rPr>
            </w:pPr>
            <w:r w:rsidRPr="00B65252">
              <w:rPr>
                <w:b/>
                <w:bCs/>
                <w:sz w:val="18"/>
                <w:szCs w:val="18"/>
                <w:lang w:val="fr-FR"/>
              </w:rPr>
              <w:t>(3)</w:t>
            </w:r>
          </w:p>
        </w:tc>
        <w:tc>
          <w:tcPr>
            <w:tcW w:w="708" w:type="dxa"/>
          </w:tcPr>
          <w:p w14:paraId="4D69F8EA" w14:textId="77777777" w:rsidR="00246D13" w:rsidRPr="00B65252" w:rsidRDefault="00246D13" w:rsidP="004D33AF">
            <w:pPr>
              <w:pStyle w:val="SingleTxtG"/>
              <w:spacing w:before="60" w:after="60" w:line="220" w:lineRule="atLeast"/>
              <w:ind w:left="57" w:right="57"/>
              <w:jc w:val="center"/>
              <w:rPr>
                <w:b/>
                <w:bCs/>
                <w:sz w:val="18"/>
                <w:szCs w:val="18"/>
              </w:rPr>
            </w:pPr>
            <w:r w:rsidRPr="00B65252">
              <w:rPr>
                <w:b/>
                <w:bCs/>
                <w:sz w:val="18"/>
                <w:szCs w:val="18"/>
                <w:lang w:val="fr-FR"/>
              </w:rPr>
              <w:t>(4)</w:t>
            </w:r>
          </w:p>
        </w:tc>
        <w:tc>
          <w:tcPr>
            <w:tcW w:w="2410" w:type="dxa"/>
            <w:tcBorders>
              <w:bottom w:val="single" w:sz="4" w:space="0" w:color="auto"/>
            </w:tcBorders>
          </w:tcPr>
          <w:p w14:paraId="757EF5CE" w14:textId="77777777" w:rsidR="00246D13" w:rsidRPr="00B65252" w:rsidRDefault="00246D13" w:rsidP="004D33AF">
            <w:pPr>
              <w:pStyle w:val="SingleTxtG"/>
              <w:spacing w:before="60" w:after="60" w:line="220" w:lineRule="atLeast"/>
              <w:ind w:left="57" w:right="57"/>
              <w:jc w:val="center"/>
              <w:rPr>
                <w:b/>
                <w:bCs/>
                <w:sz w:val="18"/>
                <w:szCs w:val="18"/>
              </w:rPr>
            </w:pPr>
            <w:r w:rsidRPr="00B65252">
              <w:rPr>
                <w:b/>
                <w:bCs/>
                <w:sz w:val="18"/>
                <w:szCs w:val="18"/>
                <w:lang w:val="fr-FR"/>
              </w:rPr>
              <w:t>(5)</w:t>
            </w:r>
          </w:p>
        </w:tc>
      </w:tr>
      <w:tr w:rsidR="00246D13" w:rsidRPr="00B65252" w14:paraId="5814D796" w14:textId="77777777" w:rsidTr="004D33AF">
        <w:tc>
          <w:tcPr>
            <w:tcW w:w="743" w:type="dxa"/>
            <w:tcBorders>
              <w:top w:val="nil"/>
              <w:right w:val="single" w:sz="4" w:space="0" w:color="auto"/>
            </w:tcBorders>
          </w:tcPr>
          <w:p w14:paraId="44B30547" w14:textId="77777777" w:rsidR="00246D13" w:rsidRPr="00B65252" w:rsidRDefault="00246D13" w:rsidP="004D33AF">
            <w:pPr>
              <w:pStyle w:val="SingleTxtG"/>
              <w:spacing w:before="60" w:after="60" w:line="220" w:lineRule="atLeast"/>
              <w:ind w:left="57" w:right="57"/>
              <w:rPr>
                <w:sz w:val="18"/>
                <w:szCs w:val="18"/>
              </w:rPr>
            </w:pPr>
          </w:p>
        </w:tc>
        <w:tc>
          <w:tcPr>
            <w:tcW w:w="746" w:type="dxa"/>
            <w:tcBorders>
              <w:top w:val="nil"/>
              <w:left w:val="single" w:sz="4" w:space="0" w:color="auto"/>
            </w:tcBorders>
          </w:tcPr>
          <w:p w14:paraId="22DE4E8F" w14:textId="77777777" w:rsidR="00246D13" w:rsidRPr="00B65252" w:rsidRDefault="00246D13" w:rsidP="004D33AF">
            <w:pPr>
              <w:pStyle w:val="SingleTxtG"/>
              <w:spacing w:before="60" w:after="60" w:line="220" w:lineRule="atLeast"/>
              <w:ind w:left="57" w:right="57"/>
              <w:rPr>
                <w:sz w:val="18"/>
                <w:szCs w:val="18"/>
              </w:rPr>
            </w:pPr>
          </w:p>
        </w:tc>
        <w:tc>
          <w:tcPr>
            <w:tcW w:w="3468" w:type="dxa"/>
          </w:tcPr>
          <w:p w14:paraId="45788EA7" w14:textId="251B8C77" w:rsidR="00246D13" w:rsidRPr="00B65252" w:rsidRDefault="00246D13" w:rsidP="004D33AF">
            <w:pPr>
              <w:pStyle w:val="SingleTxtG"/>
              <w:spacing w:before="60" w:after="60" w:line="220" w:lineRule="atLeast"/>
              <w:ind w:left="57" w:right="57"/>
              <w:rPr>
                <w:sz w:val="18"/>
                <w:szCs w:val="18"/>
                <w:lang w:val="fr-FR"/>
              </w:rPr>
            </w:pPr>
            <w:r w:rsidRPr="00B65252">
              <w:rPr>
                <w:sz w:val="18"/>
                <w:szCs w:val="18"/>
                <w:lang w:val="fr-FR"/>
              </w:rPr>
              <w:t xml:space="preserve">Dangers </w:t>
            </w:r>
            <w:r>
              <w:rPr>
                <w:sz w:val="18"/>
                <w:szCs w:val="18"/>
                <w:lang w:val="fr-FR"/>
              </w:rPr>
              <w:t>du point de vue du</w:t>
            </w:r>
            <w:r w:rsidRPr="00B65252">
              <w:rPr>
                <w:sz w:val="18"/>
                <w:szCs w:val="18"/>
                <w:lang w:val="fr-FR"/>
              </w:rPr>
              <w:t xml:space="preserve"> réchauffement de la planète (chap</w:t>
            </w:r>
            <w:r>
              <w:rPr>
                <w:sz w:val="18"/>
                <w:szCs w:val="18"/>
                <w:lang w:val="fr-FR"/>
              </w:rPr>
              <w:t>itre </w:t>
            </w:r>
            <w:r w:rsidRPr="00B65252">
              <w:rPr>
                <w:sz w:val="18"/>
                <w:szCs w:val="18"/>
                <w:lang w:val="fr-FR"/>
              </w:rPr>
              <w:t>4</w:t>
            </w:r>
            <w:r w:rsidRPr="0083022B">
              <w:rPr>
                <w:sz w:val="18"/>
                <w:szCs w:val="18"/>
                <w:lang w:val="fr-FR"/>
              </w:rPr>
              <w:t>.</w:t>
            </w:r>
            <w:r w:rsidRPr="00B65252">
              <w:rPr>
                <w:sz w:val="18"/>
                <w:szCs w:val="18"/>
                <w:lang w:val="fr-FR"/>
              </w:rPr>
              <w:t>2)</w:t>
            </w:r>
          </w:p>
        </w:tc>
        <w:tc>
          <w:tcPr>
            <w:tcW w:w="708" w:type="dxa"/>
          </w:tcPr>
          <w:p w14:paraId="3D057A2E" w14:textId="77777777" w:rsidR="00246D13" w:rsidRPr="00B65252" w:rsidRDefault="00246D13" w:rsidP="004D33AF">
            <w:pPr>
              <w:pStyle w:val="SingleTxtG"/>
              <w:spacing w:before="60" w:after="60" w:line="220" w:lineRule="atLeast"/>
              <w:ind w:left="57" w:right="57"/>
              <w:jc w:val="center"/>
              <w:rPr>
                <w:sz w:val="18"/>
                <w:szCs w:val="18"/>
              </w:rPr>
            </w:pPr>
            <w:r w:rsidRPr="00B65252">
              <w:rPr>
                <w:sz w:val="18"/>
                <w:szCs w:val="18"/>
                <w:lang w:val="fr-FR"/>
              </w:rPr>
              <w:t>1</w:t>
            </w:r>
          </w:p>
        </w:tc>
        <w:tc>
          <w:tcPr>
            <w:tcW w:w="2410" w:type="dxa"/>
          </w:tcPr>
          <w:p w14:paraId="162D0490" w14:textId="77777777" w:rsidR="00246D13" w:rsidRPr="00B65252" w:rsidRDefault="00246D13" w:rsidP="004D33AF">
            <w:pPr>
              <w:pStyle w:val="SingleTxtG"/>
              <w:spacing w:before="60" w:after="60" w:line="220" w:lineRule="atLeast"/>
              <w:ind w:left="57" w:right="57"/>
              <w:rPr>
                <w:sz w:val="18"/>
                <w:szCs w:val="18"/>
              </w:rPr>
            </w:pPr>
          </w:p>
        </w:tc>
      </w:tr>
    </w:tbl>
    <w:p w14:paraId="2A8195EA" w14:textId="2CE87771" w:rsidR="00246D13" w:rsidRDefault="00246D13" w:rsidP="001E0685">
      <w:pPr>
        <w:pStyle w:val="H1G"/>
        <w:spacing w:before="240"/>
        <w:rPr>
          <w:lang w:val="fr-FR"/>
        </w:rPr>
      </w:pPr>
      <w:r>
        <w:rPr>
          <w:lang w:val="fr-FR"/>
        </w:rPr>
        <w:tab/>
      </w:r>
      <w:r>
        <w:rPr>
          <w:lang w:val="fr-FR"/>
        </w:rPr>
        <w:tab/>
        <w:t>Annexe 3, section 3</w:t>
      </w:r>
    </w:p>
    <w:p w14:paraId="4860F1C6" w14:textId="249FDD39" w:rsidR="00246D13" w:rsidRPr="00AE3663" w:rsidRDefault="00246D13" w:rsidP="0067398C">
      <w:pPr>
        <w:pStyle w:val="H23G"/>
        <w:rPr>
          <w:lang w:val="fr-FR"/>
        </w:rPr>
      </w:pPr>
      <w:r>
        <w:rPr>
          <w:lang w:val="fr-FR"/>
        </w:rPr>
        <w:tab/>
      </w:r>
      <w:r>
        <w:rPr>
          <w:lang w:val="fr-FR"/>
        </w:rPr>
        <w:tab/>
      </w:r>
      <w:r w:rsidRPr="00AE3663">
        <w:rPr>
          <w:lang w:val="fr-FR"/>
        </w:rPr>
        <w:t>Tableau  « Toxicité aiguë, voie orale (chap</w:t>
      </w:r>
      <w:r>
        <w:rPr>
          <w:lang w:val="fr-FR"/>
        </w:rPr>
        <w:t>itre </w:t>
      </w:r>
      <w:r w:rsidRPr="00AE3663">
        <w:rPr>
          <w:lang w:val="fr-FR"/>
        </w:rPr>
        <w:t>3.1) », catégories de danger</w:t>
      </w:r>
      <w:r>
        <w:rPr>
          <w:lang w:val="fr-FR"/>
        </w:rPr>
        <w:t> </w:t>
      </w:r>
      <w:r w:rsidRPr="00AE3663">
        <w:rPr>
          <w:lang w:val="fr-FR"/>
        </w:rPr>
        <w:t>1, 2, 3</w:t>
      </w:r>
      <w:r w:rsidR="00B4252D">
        <w:rPr>
          <w:lang w:val="fr-FR"/>
        </w:rPr>
        <w:t xml:space="preserve">, colonne </w:t>
      </w:r>
      <w:r w:rsidR="00B4252D" w:rsidRPr="00AE3663">
        <w:rPr>
          <w:lang w:val="fr-FR"/>
        </w:rPr>
        <w:t xml:space="preserve">« Intervention » </w:t>
      </w:r>
    </w:p>
    <w:p w14:paraId="4A280282" w14:textId="01230ED8" w:rsidR="00246D13" w:rsidRPr="00AE3663" w:rsidRDefault="00B4252D" w:rsidP="00476B9B">
      <w:pPr>
        <w:pStyle w:val="SingleTxtG"/>
        <w:rPr>
          <w:lang w:val="fr-FR"/>
        </w:rPr>
      </w:pPr>
      <w:r>
        <w:rPr>
          <w:lang w:val="fr-FR"/>
        </w:rPr>
        <w:t>S</w:t>
      </w:r>
      <w:r w:rsidR="00246D13" w:rsidRPr="00AE3663">
        <w:rPr>
          <w:lang w:val="fr-FR"/>
        </w:rPr>
        <w:t xml:space="preserve">upprimer </w:t>
      </w:r>
      <w:r w:rsidR="00512FEB">
        <w:rPr>
          <w:lang w:val="fr-FR"/>
        </w:rPr>
        <w:t>la rubrique</w:t>
      </w:r>
      <w:r w:rsidR="00246D13" w:rsidRPr="00AE3663">
        <w:rPr>
          <w:lang w:val="fr-FR"/>
        </w:rPr>
        <w:t xml:space="preserve"> P321 et ajouter </w:t>
      </w:r>
      <w:r w:rsidR="00512FEB">
        <w:rPr>
          <w:lang w:val="fr-FR"/>
        </w:rPr>
        <w:t>l</w:t>
      </w:r>
      <w:r w:rsidR="00012F25">
        <w:rPr>
          <w:lang w:val="fr-FR"/>
        </w:rPr>
        <w:t>es</w:t>
      </w:r>
      <w:r w:rsidRPr="00AE3663">
        <w:rPr>
          <w:lang w:val="fr-FR"/>
        </w:rPr>
        <w:t xml:space="preserve"> </w:t>
      </w:r>
      <w:r w:rsidR="00246D13" w:rsidRPr="00AE3663">
        <w:rPr>
          <w:lang w:val="fr-FR"/>
        </w:rPr>
        <w:t>P320 et P322</w:t>
      </w:r>
      <w:r w:rsidR="00476B9B">
        <w:rPr>
          <w:lang w:val="fr-FR"/>
        </w:rPr>
        <w:t xml:space="preserve"> suivant</w:t>
      </w:r>
      <w:r w:rsidR="001850C7">
        <w:rPr>
          <w:lang w:val="fr-FR"/>
        </w:rPr>
        <w:t>e</w:t>
      </w:r>
      <w:r w:rsidR="00476B9B">
        <w:rPr>
          <w:lang w:val="fr-FR"/>
        </w:rPr>
        <w:t>s</w:t>
      </w:r>
      <w:r w:rsidR="00246D13">
        <w:rPr>
          <w:lang w:val="fr-FR"/>
        </w:rPr>
        <w:t xml:space="preserve"> </w:t>
      </w:r>
      <w:r w:rsidR="00246D13" w:rsidRPr="00AE3663">
        <w:rPr>
          <w:lang w:val="fr-FR"/>
        </w:rPr>
        <w:t xml:space="preserve">(les </w:t>
      </w:r>
      <w:r w:rsidR="00012F25">
        <w:rPr>
          <w:lang w:val="fr-FR"/>
        </w:rPr>
        <w:t xml:space="preserve">rubriques </w:t>
      </w:r>
      <w:r w:rsidR="00246D13" w:rsidRPr="00AE3663">
        <w:rPr>
          <w:lang w:val="fr-FR"/>
        </w:rPr>
        <w:t xml:space="preserve">P301+P316 et P330 </w:t>
      </w:r>
      <w:r w:rsidR="00012F25">
        <w:rPr>
          <w:lang w:val="fr-FR"/>
        </w:rPr>
        <w:t xml:space="preserve">actuelles </w:t>
      </w:r>
      <w:r w:rsidR="00246D13" w:rsidRPr="00AE3663">
        <w:rPr>
          <w:lang w:val="fr-FR"/>
        </w:rPr>
        <w:t>demeurent inchangées) :</w:t>
      </w:r>
    </w:p>
    <w:p w14:paraId="0571F848" w14:textId="0A1060B7" w:rsidR="00246D13" w:rsidRPr="00AE3663" w:rsidRDefault="00246D13" w:rsidP="005B4E1A">
      <w:pPr>
        <w:pStyle w:val="SingleTxtG"/>
        <w:ind w:left="1701"/>
        <w:rPr>
          <w:rFonts w:asciiTheme="majorBidi" w:hAnsiTheme="majorBidi" w:cstheme="majorBidi"/>
          <w:b/>
          <w:lang w:val="fr-FR"/>
        </w:rPr>
      </w:pPr>
      <w:r w:rsidRPr="00AE3663">
        <w:rPr>
          <w:rFonts w:asciiTheme="majorBidi" w:hAnsiTheme="majorBidi" w:cstheme="majorBidi"/>
          <w:lang w:val="fr-FR"/>
        </w:rPr>
        <w:t>« P320</w:t>
      </w:r>
      <w:r w:rsidR="005B4E1A">
        <w:rPr>
          <w:rFonts w:asciiTheme="majorBidi" w:hAnsiTheme="majorBidi" w:cstheme="majorBidi"/>
          <w:b/>
          <w:bCs/>
          <w:lang w:val="fr-FR"/>
        </w:rPr>
        <w:br/>
      </w:r>
      <w:r w:rsidRPr="00AE3663">
        <w:rPr>
          <w:rFonts w:asciiTheme="majorBidi" w:hAnsiTheme="majorBidi" w:cstheme="majorBidi"/>
          <w:b/>
          <w:bCs/>
          <w:lang w:val="fr-FR"/>
        </w:rPr>
        <w:t>Un traitement spécifique est urgent (voir les informations figurant sur cette étiquette et sur la fiche de données de sécurité).</w:t>
      </w:r>
    </w:p>
    <w:p w14:paraId="004E8574"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précisées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devant figurer sur la fiche de données de sécurité, le cas échéant.</w:t>
      </w:r>
    </w:p>
    <w:p w14:paraId="5A754AB0" w14:textId="2D4B5996" w:rsidR="00246D13" w:rsidRPr="00AE3663" w:rsidRDefault="00246D13" w:rsidP="005B4E1A">
      <w:pPr>
        <w:pStyle w:val="SingleTxtG"/>
        <w:ind w:left="1701"/>
        <w:rPr>
          <w:rFonts w:asciiTheme="majorBidi" w:hAnsiTheme="majorBidi" w:cstheme="majorBidi"/>
          <w:snapToGrid w:val="0"/>
          <w:lang w:val="fr-FR"/>
        </w:rPr>
      </w:pPr>
      <w:r w:rsidRPr="00AE3663">
        <w:rPr>
          <w:rFonts w:asciiTheme="majorBidi" w:hAnsiTheme="majorBidi" w:cstheme="majorBidi"/>
          <w:lang w:val="fr-FR"/>
        </w:rPr>
        <w:t>P322</w:t>
      </w:r>
      <w:r w:rsidR="005B4E1A">
        <w:rPr>
          <w:rFonts w:asciiTheme="majorBidi" w:hAnsiTheme="majorBidi" w:cstheme="majorBidi"/>
          <w:b/>
          <w:bCs/>
          <w:lang w:val="fr-FR"/>
        </w:rPr>
        <w:br/>
      </w:r>
      <w:r w:rsidRPr="00AE3663">
        <w:rPr>
          <w:rFonts w:asciiTheme="majorBidi" w:hAnsiTheme="majorBidi" w:cstheme="majorBidi"/>
          <w:b/>
          <w:bCs/>
          <w:lang w:val="fr-FR"/>
        </w:rPr>
        <w:t>Un traitement spécifique est urgent (voir les informations figurant sur la fiche de données de sécurité).</w:t>
      </w:r>
    </w:p>
    <w:p w14:paraId="60BF1A5A" w14:textId="77777777" w:rsidR="00246D13" w:rsidRPr="00AE3663" w:rsidRDefault="00246D13" w:rsidP="003E6F21">
      <w:pPr>
        <w:pStyle w:val="SingleTxtG"/>
        <w:keepLines/>
        <w:ind w:left="1701"/>
        <w:rPr>
          <w:rStyle w:val="StyleItalic"/>
          <w:rFonts w:asciiTheme="majorBidi" w:hAnsiTheme="majorBidi" w:cstheme="majorBidi"/>
          <w:i w:val="0"/>
          <w:iCs w:val="0"/>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un autre traitement spécifique.</w:t>
      </w:r>
    </w:p>
    <w:p w14:paraId="1E62D56D" w14:textId="77777777" w:rsidR="00246D13" w:rsidRDefault="00246D13" w:rsidP="003E6F21">
      <w:pPr>
        <w:pStyle w:val="SingleTxtG"/>
        <w:keepLines/>
        <w:ind w:left="1701"/>
        <w:rPr>
          <w:rFonts w:asciiTheme="majorBidi" w:hAnsiTheme="majorBidi" w:cstheme="majorBidi"/>
          <w:lang w:val="fr-FR"/>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 </w:t>
      </w:r>
      <w:r w:rsidRPr="00AE3663">
        <w:rPr>
          <w:rFonts w:asciiTheme="majorBidi" w:hAnsiTheme="majorBidi" w:cstheme="majorBidi"/>
          <w:lang w:val="fr-FR"/>
        </w:rPr>
        <w:t>».</w:t>
      </w:r>
    </w:p>
    <w:p w14:paraId="30328D57" w14:textId="506E2BC1" w:rsidR="00531CF8" w:rsidRDefault="00246D13" w:rsidP="00775023">
      <w:pPr>
        <w:pStyle w:val="H23G"/>
        <w:rPr>
          <w:lang w:val="fr-FR"/>
        </w:rPr>
      </w:pPr>
      <w:r w:rsidRPr="00AE3663">
        <w:rPr>
          <w:lang w:val="fr-FR"/>
        </w:rPr>
        <w:lastRenderedPageBreak/>
        <w:tab/>
      </w:r>
      <w:r w:rsidRPr="00AE3663">
        <w:rPr>
          <w:lang w:val="fr-FR"/>
        </w:rPr>
        <w:tab/>
        <w:t>Tableau</w:t>
      </w:r>
      <w:r w:rsidRPr="002A4572">
        <w:rPr>
          <w:lang w:val="fr-FR"/>
        </w:rPr>
        <w:t xml:space="preserve"> </w:t>
      </w:r>
      <w:r w:rsidRPr="00AE3663">
        <w:rPr>
          <w:lang w:val="fr-FR"/>
        </w:rPr>
        <w:t>« Toxicité aiguë, voie orale (chap</w:t>
      </w:r>
      <w:r>
        <w:rPr>
          <w:lang w:val="fr-FR"/>
        </w:rPr>
        <w:t>itre </w:t>
      </w:r>
      <w:r w:rsidRPr="00AE3663">
        <w:rPr>
          <w:lang w:val="fr-FR"/>
        </w:rPr>
        <w:t>3.1) », catégorie de danger</w:t>
      </w:r>
      <w:r>
        <w:rPr>
          <w:lang w:val="fr-FR"/>
        </w:rPr>
        <w:t> </w:t>
      </w:r>
      <w:r w:rsidRPr="00AE3663">
        <w:rPr>
          <w:lang w:val="fr-FR"/>
        </w:rPr>
        <w:t>4</w:t>
      </w:r>
      <w:r w:rsidR="00531CF8">
        <w:rPr>
          <w:lang w:val="fr-FR"/>
        </w:rPr>
        <w:t xml:space="preserve">, </w:t>
      </w:r>
      <w:r w:rsidR="00CD69C0">
        <w:rPr>
          <w:lang w:val="fr-FR"/>
        </w:rPr>
        <w:t>c</w:t>
      </w:r>
      <w:r w:rsidRPr="00AE3663">
        <w:rPr>
          <w:lang w:val="fr-FR"/>
        </w:rPr>
        <w:t xml:space="preserve">olonne « Intervention » </w:t>
      </w:r>
    </w:p>
    <w:p w14:paraId="06F71128" w14:textId="56E45A10" w:rsidR="00246D13" w:rsidRPr="00AE3663" w:rsidRDefault="00531CF8" w:rsidP="00CD69C0">
      <w:pPr>
        <w:pStyle w:val="SingleTxtG"/>
        <w:rPr>
          <w:lang w:val="fr-FR"/>
        </w:rPr>
      </w:pPr>
      <w:r>
        <w:rPr>
          <w:lang w:val="fr-FR"/>
        </w:rPr>
        <w:t>A</w:t>
      </w:r>
      <w:r w:rsidRPr="00AE3663">
        <w:rPr>
          <w:lang w:val="fr-FR"/>
        </w:rPr>
        <w:t xml:space="preserve">jouter </w:t>
      </w:r>
      <w:r w:rsidR="00246D13" w:rsidRPr="00AE3663">
        <w:rPr>
          <w:lang w:val="fr-FR"/>
        </w:rPr>
        <w:t>les rubriques P321 et P323</w:t>
      </w:r>
      <w:r w:rsidR="009F2A30">
        <w:rPr>
          <w:lang w:val="fr-FR"/>
        </w:rPr>
        <w:t xml:space="preserve"> suivantes </w:t>
      </w:r>
      <w:r w:rsidR="00246D13">
        <w:rPr>
          <w:lang w:val="fr-FR"/>
        </w:rPr>
        <w:t xml:space="preserve"> </w:t>
      </w:r>
      <w:r w:rsidR="00246D13" w:rsidRPr="00AE3663">
        <w:rPr>
          <w:lang w:val="fr-FR"/>
        </w:rPr>
        <w:t>(les rubriques actuelles P301+P317 et P330 demeurent inchangées) :</w:t>
      </w:r>
    </w:p>
    <w:p w14:paraId="44E742BD" w14:textId="157C749B" w:rsidR="00246D13" w:rsidRPr="00AE3663" w:rsidRDefault="00246D13" w:rsidP="009F2A30">
      <w:pPr>
        <w:pStyle w:val="SingleTxtG"/>
        <w:ind w:left="1701"/>
        <w:rPr>
          <w:rFonts w:asciiTheme="majorBidi" w:hAnsiTheme="majorBidi" w:cstheme="majorBidi"/>
          <w:bCs/>
          <w:lang w:val="fr-FR"/>
        </w:rPr>
      </w:pPr>
      <w:r w:rsidRPr="00AE3663">
        <w:rPr>
          <w:rFonts w:asciiTheme="majorBidi" w:hAnsiTheme="majorBidi" w:cstheme="majorBidi"/>
          <w:lang w:val="fr-FR"/>
        </w:rPr>
        <w:t>« P321</w:t>
      </w:r>
      <w:r w:rsidR="009F2A30">
        <w:rPr>
          <w:rFonts w:asciiTheme="majorBidi" w:hAnsiTheme="majorBidi" w:cstheme="majorBidi"/>
          <w:b/>
          <w:bCs/>
          <w:lang w:val="fr-FR"/>
        </w:rPr>
        <w:br/>
      </w:r>
      <w:r w:rsidRPr="00AE3663">
        <w:rPr>
          <w:rFonts w:asciiTheme="majorBidi" w:hAnsiTheme="majorBidi" w:cstheme="majorBidi"/>
          <w:b/>
          <w:bCs/>
          <w:lang w:val="fr-FR"/>
        </w:rPr>
        <w:t>Traitement spécifique (voir les informations figurant sur cette étiquette et sur la fiche de données de sécurité).</w:t>
      </w:r>
    </w:p>
    <w:p w14:paraId="76F82479"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spécifiées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devant figurer sur la fiche de données de sécurité, le cas échéant.</w:t>
      </w:r>
    </w:p>
    <w:p w14:paraId="289C31AA" w14:textId="77777777" w:rsidR="00246D13" w:rsidRPr="00AE3663" w:rsidRDefault="00246D13" w:rsidP="00246D13">
      <w:pPr>
        <w:pStyle w:val="SingleTxtG"/>
        <w:ind w:left="1701"/>
        <w:rPr>
          <w:rFonts w:asciiTheme="majorBidi" w:hAnsiTheme="majorBidi" w:cstheme="majorBidi"/>
          <w:lang w:val="fr-FR"/>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w:t>
      </w:r>
    </w:p>
    <w:p w14:paraId="6990667E" w14:textId="2067F6B0" w:rsidR="00246D13" w:rsidRPr="00AE3663" w:rsidRDefault="00246D13" w:rsidP="009F2A30">
      <w:pPr>
        <w:pStyle w:val="SingleTxtG"/>
        <w:ind w:left="1701"/>
        <w:rPr>
          <w:rFonts w:asciiTheme="majorBidi" w:hAnsiTheme="majorBidi" w:cstheme="majorBidi"/>
          <w:b/>
          <w:bCs/>
          <w:lang w:val="fr-FR"/>
        </w:rPr>
      </w:pPr>
      <w:r w:rsidRPr="00AE3663">
        <w:rPr>
          <w:rFonts w:asciiTheme="majorBidi" w:hAnsiTheme="majorBidi" w:cstheme="majorBidi"/>
          <w:lang w:val="fr-FR"/>
        </w:rPr>
        <w:t>P323</w:t>
      </w:r>
      <w:r w:rsidR="009F2A30">
        <w:rPr>
          <w:rFonts w:asciiTheme="majorBidi" w:hAnsiTheme="majorBidi" w:cstheme="majorBidi"/>
          <w:b/>
          <w:bCs/>
          <w:lang w:val="fr-FR"/>
        </w:rPr>
        <w:br/>
      </w:r>
      <w:r w:rsidRPr="00AE3663">
        <w:rPr>
          <w:rFonts w:asciiTheme="majorBidi" w:hAnsiTheme="majorBidi" w:cstheme="majorBidi"/>
          <w:b/>
          <w:bCs/>
          <w:lang w:val="fr-FR"/>
        </w:rPr>
        <w:t>Traitement spécifique (voir les informations figurant la fiche de données de sécurité).</w:t>
      </w:r>
    </w:p>
    <w:p w14:paraId="63B8F020" w14:textId="77777777" w:rsidR="00246D13" w:rsidRDefault="00246D13" w:rsidP="00246D13">
      <w:pPr>
        <w:pStyle w:val="SingleTxtG"/>
        <w:ind w:left="1701"/>
        <w:rPr>
          <w:rFonts w:asciiTheme="majorBidi" w:hAnsiTheme="majorBidi" w:cstheme="majorBidi"/>
          <w:lang w:val="fr-FR"/>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un autre traitement spécifique.</w:t>
      </w:r>
    </w:p>
    <w:p w14:paraId="48E0DB3C" w14:textId="77777777" w:rsidR="00246D13" w:rsidRDefault="00246D13" w:rsidP="00246D13">
      <w:pPr>
        <w:pStyle w:val="SingleTxtG"/>
        <w:ind w:left="1701"/>
        <w:rPr>
          <w:rFonts w:asciiTheme="majorBidi" w:hAnsiTheme="majorBidi" w:cstheme="majorBidi"/>
          <w:lang w:val="fr-FR"/>
        </w:rPr>
      </w:pPr>
      <w:r w:rsidRPr="00AE3663">
        <w:rPr>
          <w:rFonts w:asciiTheme="majorBidi" w:hAnsiTheme="majorBidi" w:cstheme="majorBidi"/>
          <w:i/>
          <w:iCs/>
          <w:lang w:val="fr-FR"/>
        </w:rPr>
        <w:t>- Peut être omis si le conseil P321 ou P322 figure sur l</w:t>
      </w:r>
      <w:r>
        <w:rPr>
          <w:rFonts w:asciiTheme="majorBidi" w:hAnsiTheme="majorBidi" w:cstheme="majorBidi"/>
          <w:i/>
          <w:iCs/>
          <w:lang w:val="fr-FR"/>
        </w:rPr>
        <w:t>’</w:t>
      </w:r>
      <w:r w:rsidRPr="00AE3663">
        <w:rPr>
          <w:rFonts w:asciiTheme="majorBidi" w:hAnsiTheme="majorBidi" w:cstheme="majorBidi"/>
          <w:i/>
          <w:iCs/>
          <w:lang w:val="fr-FR"/>
        </w:rPr>
        <w:t>étiquette. </w:t>
      </w:r>
      <w:r w:rsidRPr="00AE3663">
        <w:rPr>
          <w:rFonts w:asciiTheme="majorBidi" w:hAnsiTheme="majorBidi" w:cstheme="majorBidi"/>
          <w:lang w:val="fr-FR"/>
        </w:rPr>
        <w:t>».</w:t>
      </w:r>
    </w:p>
    <w:p w14:paraId="4DEBDBE3" w14:textId="4F6F8292" w:rsidR="00246D13" w:rsidRPr="00AE3663" w:rsidRDefault="00246D13" w:rsidP="00246D13">
      <w:pPr>
        <w:pStyle w:val="H23G"/>
        <w:rPr>
          <w:lang w:val="fr-FR"/>
        </w:rPr>
      </w:pPr>
      <w:r>
        <w:rPr>
          <w:lang w:val="fr-FR"/>
        </w:rPr>
        <w:tab/>
      </w:r>
      <w:r>
        <w:rPr>
          <w:lang w:val="fr-FR"/>
        </w:rPr>
        <w:tab/>
      </w:r>
      <w:r w:rsidRPr="00AE3663">
        <w:rPr>
          <w:lang w:val="fr-FR"/>
        </w:rPr>
        <w:t>Tableaux relatifs à la «</w:t>
      </w:r>
      <w:r>
        <w:rPr>
          <w:lang w:val="fr-FR"/>
        </w:rPr>
        <w:t> </w:t>
      </w:r>
      <w:r w:rsidRPr="00AE3663">
        <w:rPr>
          <w:lang w:val="fr-FR"/>
        </w:rPr>
        <w:t>Toxicité aiguë − par contact cutané (chap</w:t>
      </w:r>
      <w:r>
        <w:rPr>
          <w:lang w:val="fr-FR"/>
        </w:rPr>
        <w:t>itre </w:t>
      </w:r>
      <w:r w:rsidRPr="00AE3663">
        <w:rPr>
          <w:lang w:val="fr-FR"/>
        </w:rPr>
        <w:t>3.1)</w:t>
      </w:r>
      <w:r>
        <w:rPr>
          <w:lang w:val="fr-FR"/>
        </w:rPr>
        <w:t> </w:t>
      </w:r>
      <w:r w:rsidRPr="00AE3663">
        <w:rPr>
          <w:lang w:val="fr-FR"/>
        </w:rPr>
        <w:t>», catégorie</w:t>
      </w:r>
      <w:r w:rsidR="00290887">
        <w:rPr>
          <w:lang w:val="fr-FR"/>
        </w:rPr>
        <w:t>s</w:t>
      </w:r>
      <w:r w:rsidRPr="00AE3663">
        <w:rPr>
          <w:lang w:val="fr-FR"/>
        </w:rPr>
        <w:t xml:space="preserve"> </w:t>
      </w:r>
      <w:r>
        <w:rPr>
          <w:lang w:val="fr-FR"/>
        </w:rPr>
        <w:br/>
      </w:r>
      <w:r w:rsidRPr="00AE3663">
        <w:rPr>
          <w:lang w:val="fr-FR"/>
        </w:rPr>
        <w:t>de danger</w:t>
      </w:r>
      <w:r>
        <w:rPr>
          <w:lang w:val="fr-FR"/>
        </w:rPr>
        <w:t> </w:t>
      </w:r>
      <w:r w:rsidRPr="00AE3663">
        <w:rPr>
          <w:lang w:val="fr-FR"/>
        </w:rPr>
        <w:t>1, 2 et 3</w:t>
      </w:r>
    </w:p>
    <w:p w14:paraId="0312C464" w14:textId="03F10391" w:rsidR="00E514DC" w:rsidRDefault="00246D13" w:rsidP="00246D13">
      <w:pPr>
        <w:pStyle w:val="SingleTxtG"/>
        <w:keepNext/>
        <w:rPr>
          <w:rFonts w:asciiTheme="majorBidi" w:hAnsiTheme="majorBidi" w:cstheme="majorBidi"/>
          <w:lang w:val="fr-FR"/>
        </w:rPr>
      </w:pPr>
      <w:r w:rsidRPr="00AE3663" w:rsidDel="00D2407B">
        <w:rPr>
          <w:rFonts w:asciiTheme="majorBidi" w:hAnsiTheme="majorBidi" w:cstheme="majorBidi"/>
          <w:lang w:val="fr-FR"/>
        </w:rPr>
        <w:t>Supprimer le tableau actuel relatif à la catégorie</w:t>
      </w:r>
      <w:r w:rsidDel="00D2407B">
        <w:rPr>
          <w:rFonts w:asciiTheme="majorBidi" w:hAnsiTheme="majorBidi" w:cstheme="majorBidi"/>
          <w:lang w:val="fr-FR"/>
        </w:rPr>
        <w:t> </w:t>
      </w:r>
      <w:r w:rsidRPr="00AE3663" w:rsidDel="00D2407B">
        <w:rPr>
          <w:rFonts w:asciiTheme="majorBidi" w:hAnsiTheme="majorBidi" w:cstheme="majorBidi"/>
          <w:lang w:val="fr-FR"/>
        </w:rPr>
        <w:t xml:space="preserve">3. </w:t>
      </w:r>
    </w:p>
    <w:p w14:paraId="6C5F7EAF" w14:textId="6374634F" w:rsidR="00246D13" w:rsidRPr="00AE3663" w:rsidRDefault="00246D13" w:rsidP="00246D13">
      <w:pPr>
        <w:pStyle w:val="SingleTxtG"/>
        <w:keepNext/>
        <w:rPr>
          <w:rFonts w:asciiTheme="majorBidi" w:hAnsiTheme="majorBidi" w:cstheme="majorBidi"/>
          <w:lang w:val="fr-FR"/>
        </w:rPr>
      </w:pPr>
      <w:r w:rsidRPr="00AE3663">
        <w:rPr>
          <w:rFonts w:asciiTheme="majorBidi" w:hAnsiTheme="majorBidi" w:cstheme="majorBidi"/>
          <w:lang w:val="fr-FR"/>
        </w:rPr>
        <w:t>Dans le tableau actuel relatif aux catégories</w:t>
      </w:r>
      <w:r>
        <w:rPr>
          <w:rFonts w:asciiTheme="majorBidi" w:hAnsiTheme="majorBidi" w:cstheme="majorBidi"/>
          <w:lang w:val="fr-FR"/>
        </w:rPr>
        <w:t> </w:t>
      </w:r>
      <w:r w:rsidRPr="00AE3663">
        <w:rPr>
          <w:rFonts w:asciiTheme="majorBidi" w:hAnsiTheme="majorBidi" w:cstheme="majorBidi"/>
          <w:lang w:val="fr-FR"/>
        </w:rPr>
        <w:t>1 et 2, insérer une ligne pour la catégorie 3 sous la ligne de la catégorie</w:t>
      </w:r>
      <w:r>
        <w:rPr>
          <w:rFonts w:asciiTheme="majorBidi" w:hAnsiTheme="majorBidi" w:cstheme="majorBidi"/>
          <w:lang w:val="fr-FR"/>
        </w:rPr>
        <w:t> </w:t>
      </w:r>
      <w:r w:rsidRPr="00AE3663">
        <w:rPr>
          <w:rFonts w:asciiTheme="majorBidi" w:hAnsiTheme="majorBidi" w:cstheme="majorBidi"/>
          <w:lang w:val="fr-FR"/>
        </w:rPr>
        <w:t>2, comme suit :</w:t>
      </w:r>
    </w:p>
    <w:tbl>
      <w:tblPr>
        <w:tblW w:w="7371" w:type="dxa"/>
        <w:tblInd w:w="1134" w:type="dxa"/>
        <w:tblLayout w:type="fixed"/>
        <w:tblLook w:val="0000" w:firstRow="0" w:lastRow="0" w:firstColumn="0" w:lastColumn="0" w:noHBand="0" w:noVBand="0"/>
      </w:tblPr>
      <w:tblGrid>
        <w:gridCol w:w="957"/>
        <w:gridCol w:w="1595"/>
        <w:gridCol w:w="1134"/>
        <w:gridCol w:w="1276"/>
        <w:gridCol w:w="708"/>
        <w:gridCol w:w="1701"/>
      </w:tblGrid>
      <w:tr w:rsidR="00246D13" w:rsidRPr="00AE3663" w14:paraId="5389E76F" w14:textId="77777777" w:rsidTr="00775023">
        <w:tc>
          <w:tcPr>
            <w:tcW w:w="957" w:type="dxa"/>
          </w:tcPr>
          <w:p w14:paraId="268BFD02" w14:textId="77777777" w:rsidR="00246D13" w:rsidRPr="00AE3663" w:rsidRDefault="00246D13" w:rsidP="00DD4091">
            <w:pPr>
              <w:keepNext/>
              <w:spacing w:before="80" w:after="80" w:line="200" w:lineRule="exact"/>
              <w:jc w:val="center"/>
              <w:rPr>
                <w:rFonts w:asciiTheme="majorBidi" w:hAnsiTheme="majorBidi" w:cstheme="majorBidi"/>
                <w:b/>
                <w:bCs/>
                <w:sz w:val="16"/>
                <w:szCs w:val="16"/>
                <w:lang w:val="fr-FR"/>
              </w:rPr>
            </w:pPr>
            <w:r w:rsidRPr="00AE3663">
              <w:rPr>
                <w:rFonts w:asciiTheme="majorBidi" w:hAnsiTheme="majorBidi" w:cstheme="majorBidi"/>
                <w:b/>
                <w:bCs/>
                <w:sz w:val="16"/>
                <w:szCs w:val="16"/>
                <w:lang w:val="fr-FR"/>
              </w:rPr>
              <w:t>Catégorie de danger</w:t>
            </w:r>
          </w:p>
        </w:tc>
        <w:tc>
          <w:tcPr>
            <w:tcW w:w="1595" w:type="dxa"/>
          </w:tcPr>
          <w:p w14:paraId="6375EBE6" w14:textId="77777777" w:rsidR="00246D13" w:rsidRPr="00AE3663" w:rsidRDefault="00246D13" w:rsidP="00775023">
            <w:pPr>
              <w:spacing w:before="80" w:after="80" w:line="200" w:lineRule="exact"/>
              <w:rPr>
                <w:rFonts w:asciiTheme="majorBidi" w:hAnsiTheme="majorBidi" w:cstheme="majorBidi"/>
                <w:b/>
                <w:bCs/>
                <w:sz w:val="16"/>
                <w:szCs w:val="16"/>
                <w:lang w:val="fr-FR"/>
              </w:rPr>
            </w:pPr>
            <w:r w:rsidRPr="00AE3663">
              <w:rPr>
                <w:rFonts w:asciiTheme="majorBidi" w:hAnsiTheme="majorBidi" w:cstheme="majorBidi"/>
                <w:b/>
                <w:bCs/>
                <w:sz w:val="16"/>
                <w:szCs w:val="16"/>
                <w:lang w:val="fr-FR"/>
              </w:rPr>
              <w:t>Symbole</w:t>
            </w:r>
          </w:p>
        </w:tc>
        <w:tc>
          <w:tcPr>
            <w:tcW w:w="1134" w:type="dxa"/>
            <w:vMerge w:val="restart"/>
          </w:tcPr>
          <w:p w14:paraId="3DE7BCE8" w14:textId="77777777" w:rsidR="00246D13" w:rsidRPr="00AE3663" w:rsidRDefault="00246D13" w:rsidP="00775023">
            <w:pPr>
              <w:spacing w:before="40" w:after="40"/>
              <w:jc w:val="center"/>
              <w:rPr>
                <w:rFonts w:asciiTheme="majorBidi" w:hAnsiTheme="majorBidi" w:cstheme="majorBidi"/>
                <w:b/>
                <w:bCs/>
                <w:sz w:val="16"/>
                <w:szCs w:val="16"/>
                <w:lang w:val="fr-FR"/>
              </w:rPr>
            </w:pPr>
            <w:r w:rsidRPr="00AE3663">
              <w:rPr>
                <w:rFonts w:asciiTheme="majorBidi" w:hAnsiTheme="majorBidi" w:cstheme="majorBidi"/>
                <w:noProof/>
                <w:sz w:val="16"/>
                <w:szCs w:val="16"/>
                <w:lang w:val="fr-FR"/>
              </w:rPr>
              <w:drawing>
                <wp:anchor distT="0" distB="0" distL="114300" distR="114300" simplePos="0" relativeHeight="251658256" behindDoc="0" locked="0" layoutInCell="1" allowOverlap="1" wp14:anchorId="66FD4138" wp14:editId="1CBBE753">
                  <wp:simplePos x="0" y="0"/>
                  <wp:positionH relativeFrom="column">
                    <wp:posOffset>20481</wp:posOffset>
                  </wp:positionH>
                  <wp:positionV relativeFrom="paragraph">
                    <wp:posOffset>56515</wp:posOffset>
                  </wp:positionV>
                  <wp:extent cx="559435" cy="614045"/>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435" cy="614045"/>
                          </a:xfrm>
                          <a:prstGeom prst="rect">
                            <a:avLst/>
                          </a:prstGeom>
                          <a:noFill/>
                          <a:ln>
                            <a:noFill/>
                          </a:ln>
                        </pic:spPr>
                      </pic:pic>
                    </a:graphicData>
                  </a:graphic>
                </wp:anchor>
              </w:drawing>
            </w:r>
          </w:p>
        </w:tc>
        <w:tc>
          <w:tcPr>
            <w:tcW w:w="1276" w:type="dxa"/>
          </w:tcPr>
          <w:p w14:paraId="7E46EEC3" w14:textId="77777777" w:rsidR="00246D13" w:rsidRPr="00A269CB" w:rsidRDefault="00246D13" w:rsidP="00775023">
            <w:pPr>
              <w:spacing w:before="80" w:after="80" w:line="200" w:lineRule="exact"/>
              <w:rPr>
                <w:rFonts w:asciiTheme="majorBidi" w:hAnsiTheme="majorBidi" w:cstheme="majorBidi"/>
                <w:b/>
                <w:bCs/>
                <w:spacing w:val="-2"/>
                <w:sz w:val="16"/>
                <w:szCs w:val="16"/>
                <w:lang w:val="fr-FR"/>
              </w:rPr>
            </w:pPr>
            <w:r w:rsidRPr="00A269CB">
              <w:rPr>
                <w:rFonts w:asciiTheme="majorBidi" w:hAnsiTheme="majorBidi" w:cstheme="majorBidi"/>
                <w:b/>
                <w:bCs/>
                <w:spacing w:val="-2"/>
                <w:sz w:val="16"/>
                <w:szCs w:val="16"/>
                <w:lang w:val="fr-FR"/>
              </w:rPr>
              <w:t>Mention d’avertissement</w:t>
            </w:r>
          </w:p>
        </w:tc>
        <w:tc>
          <w:tcPr>
            <w:tcW w:w="2409" w:type="dxa"/>
            <w:gridSpan w:val="2"/>
          </w:tcPr>
          <w:p w14:paraId="0242B0EB" w14:textId="77777777" w:rsidR="00246D13" w:rsidRPr="00AE3663" w:rsidRDefault="00246D13" w:rsidP="00775023">
            <w:pPr>
              <w:spacing w:before="80" w:after="80" w:line="200" w:lineRule="exact"/>
              <w:rPr>
                <w:rFonts w:asciiTheme="majorBidi" w:hAnsiTheme="majorBidi" w:cstheme="majorBidi"/>
                <w:b/>
                <w:bCs/>
                <w:sz w:val="16"/>
                <w:szCs w:val="16"/>
                <w:lang w:val="fr-FR"/>
              </w:rPr>
            </w:pPr>
            <w:r w:rsidRPr="00AE3663">
              <w:rPr>
                <w:rFonts w:asciiTheme="majorBidi" w:hAnsiTheme="majorBidi" w:cstheme="majorBidi"/>
                <w:b/>
                <w:bCs/>
                <w:sz w:val="16"/>
                <w:szCs w:val="16"/>
                <w:lang w:val="fr-FR"/>
              </w:rPr>
              <w:t>Mention de danger</w:t>
            </w:r>
          </w:p>
        </w:tc>
      </w:tr>
      <w:tr w:rsidR="00246D13" w:rsidRPr="00AE3663" w14:paraId="0133E693" w14:textId="77777777" w:rsidTr="00775023">
        <w:tc>
          <w:tcPr>
            <w:tcW w:w="957" w:type="dxa"/>
          </w:tcPr>
          <w:p w14:paraId="6C8072C7" w14:textId="77777777" w:rsidR="00246D13" w:rsidRPr="003B1A48" w:rsidRDefault="00246D13" w:rsidP="004D33AF">
            <w:pPr>
              <w:spacing w:before="40" w:after="40"/>
              <w:rPr>
                <w:rFonts w:asciiTheme="majorBidi" w:hAnsiTheme="majorBidi" w:cstheme="majorBidi"/>
                <w:sz w:val="18"/>
                <w:szCs w:val="18"/>
                <w:lang w:val="fr-FR"/>
              </w:rPr>
            </w:pPr>
            <w:r w:rsidRPr="003B1A48">
              <w:rPr>
                <w:rFonts w:asciiTheme="majorBidi" w:hAnsiTheme="majorBidi" w:cstheme="majorBidi"/>
                <w:sz w:val="18"/>
                <w:szCs w:val="18"/>
                <w:lang w:val="fr-FR"/>
              </w:rPr>
              <w:t>3</w:t>
            </w:r>
          </w:p>
        </w:tc>
        <w:tc>
          <w:tcPr>
            <w:tcW w:w="1595" w:type="dxa"/>
          </w:tcPr>
          <w:p w14:paraId="16C02AE4" w14:textId="77777777" w:rsidR="00246D13" w:rsidRPr="003B1A48" w:rsidRDefault="00246D13" w:rsidP="004D33AF">
            <w:pPr>
              <w:spacing w:before="40" w:after="40"/>
              <w:rPr>
                <w:rFonts w:asciiTheme="majorBidi" w:hAnsiTheme="majorBidi" w:cstheme="majorBidi"/>
                <w:sz w:val="18"/>
                <w:szCs w:val="18"/>
                <w:lang w:val="fr-FR"/>
              </w:rPr>
            </w:pPr>
            <w:r w:rsidRPr="003B1A48">
              <w:rPr>
                <w:rFonts w:asciiTheme="majorBidi" w:hAnsiTheme="majorBidi" w:cstheme="majorBidi"/>
                <w:sz w:val="18"/>
                <w:szCs w:val="18"/>
                <w:lang w:val="fr-FR"/>
              </w:rPr>
              <w:t>Tête de mort sur deux tibias</w:t>
            </w:r>
          </w:p>
        </w:tc>
        <w:tc>
          <w:tcPr>
            <w:tcW w:w="1134" w:type="dxa"/>
            <w:vMerge/>
            <w:vAlign w:val="center"/>
          </w:tcPr>
          <w:p w14:paraId="653A2433" w14:textId="77777777" w:rsidR="00246D13" w:rsidRPr="00AE3663" w:rsidRDefault="00246D13" w:rsidP="004D33AF">
            <w:pPr>
              <w:spacing w:before="40" w:after="40"/>
              <w:jc w:val="center"/>
              <w:rPr>
                <w:rFonts w:asciiTheme="majorBidi" w:hAnsiTheme="majorBidi" w:cstheme="majorBidi"/>
                <w:sz w:val="16"/>
                <w:szCs w:val="16"/>
                <w:lang w:val="fr-FR"/>
              </w:rPr>
            </w:pPr>
          </w:p>
        </w:tc>
        <w:tc>
          <w:tcPr>
            <w:tcW w:w="1276" w:type="dxa"/>
          </w:tcPr>
          <w:p w14:paraId="028B9B49" w14:textId="77777777" w:rsidR="00246D13" w:rsidRPr="003B1A48" w:rsidRDefault="00246D13" w:rsidP="004D33AF">
            <w:pPr>
              <w:spacing w:before="40" w:after="40"/>
              <w:rPr>
                <w:rFonts w:asciiTheme="majorBidi" w:hAnsiTheme="majorBidi" w:cstheme="majorBidi"/>
                <w:sz w:val="18"/>
                <w:szCs w:val="18"/>
                <w:lang w:val="fr-FR"/>
              </w:rPr>
            </w:pPr>
            <w:r w:rsidRPr="003B1A48">
              <w:rPr>
                <w:rFonts w:asciiTheme="majorBidi" w:hAnsiTheme="majorBidi" w:cstheme="majorBidi"/>
                <w:sz w:val="18"/>
                <w:szCs w:val="18"/>
                <w:lang w:val="fr-FR"/>
              </w:rPr>
              <w:t>Danger</w:t>
            </w:r>
          </w:p>
        </w:tc>
        <w:tc>
          <w:tcPr>
            <w:tcW w:w="708" w:type="dxa"/>
          </w:tcPr>
          <w:p w14:paraId="40D1026E" w14:textId="77777777" w:rsidR="00246D13" w:rsidRPr="003B1A48" w:rsidRDefault="00246D13" w:rsidP="004D33AF">
            <w:pPr>
              <w:spacing w:before="30" w:after="30"/>
              <w:rPr>
                <w:rFonts w:asciiTheme="majorBidi" w:hAnsiTheme="majorBidi" w:cstheme="majorBidi"/>
                <w:sz w:val="18"/>
                <w:szCs w:val="18"/>
                <w:lang w:val="fr-FR"/>
              </w:rPr>
            </w:pPr>
            <w:r w:rsidRPr="003B1A48">
              <w:rPr>
                <w:rFonts w:asciiTheme="majorBidi" w:hAnsiTheme="majorBidi" w:cstheme="majorBidi"/>
                <w:sz w:val="18"/>
                <w:szCs w:val="18"/>
                <w:lang w:val="fr-FR"/>
              </w:rPr>
              <w:t>H331</w:t>
            </w:r>
          </w:p>
        </w:tc>
        <w:tc>
          <w:tcPr>
            <w:tcW w:w="1701" w:type="dxa"/>
          </w:tcPr>
          <w:p w14:paraId="2D5717AC" w14:textId="77777777" w:rsidR="00246D13" w:rsidRPr="003B1A48" w:rsidRDefault="00246D13" w:rsidP="004D33AF">
            <w:pPr>
              <w:spacing w:before="40" w:after="40"/>
              <w:rPr>
                <w:rFonts w:asciiTheme="majorBidi" w:hAnsiTheme="majorBidi" w:cstheme="majorBidi"/>
                <w:sz w:val="18"/>
                <w:szCs w:val="18"/>
                <w:lang w:val="fr-FR"/>
              </w:rPr>
            </w:pPr>
            <w:r w:rsidRPr="003B1A48">
              <w:rPr>
                <w:rFonts w:asciiTheme="majorBidi" w:hAnsiTheme="majorBidi" w:cstheme="majorBidi"/>
                <w:sz w:val="18"/>
                <w:szCs w:val="18"/>
                <w:lang w:val="fr-FR"/>
              </w:rPr>
              <w:t>Toxique par contact cutané</w:t>
            </w:r>
          </w:p>
        </w:tc>
      </w:tr>
    </w:tbl>
    <w:p w14:paraId="3F2134A6" w14:textId="777D1EF7" w:rsidR="00246D13" w:rsidRPr="00AE3663" w:rsidRDefault="00246D13" w:rsidP="00246D13">
      <w:pPr>
        <w:pStyle w:val="SingleTxtG"/>
        <w:spacing w:before="240"/>
        <w:rPr>
          <w:lang w:val="fr-FR"/>
        </w:rPr>
      </w:pPr>
      <w:r w:rsidRPr="00AE3663">
        <w:rPr>
          <w:lang w:val="fr-FR"/>
        </w:rPr>
        <w:t>Colonne « Intervention », supprimer la rubrique P321 et ajouter les rubriques P320 et P322</w:t>
      </w:r>
      <w:r>
        <w:rPr>
          <w:lang w:val="fr-FR"/>
        </w:rPr>
        <w:t xml:space="preserve">, </w:t>
      </w:r>
      <w:r w:rsidR="00561AD7">
        <w:rPr>
          <w:lang w:val="fr-FR"/>
        </w:rPr>
        <w:t>suivantes</w:t>
      </w:r>
      <w:r>
        <w:rPr>
          <w:lang w:val="fr-FR"/>
        </w:rPr>
        <w:t xml:space="preserve"> </w:t>
      </w:r>
      <w:r w:rsidRPr="00AE3663">
        <w:rPr>
          <w:lang w:val="fr-FR"/>
        </w:rPr>
        <w:t>(les rubriques actuelles P302+P352, P316 et P361+P364 demeurent inchangées) :</w:t>
      </w:r>
    </w:p>
    <w:p w14:paraId="70603F84" w14:textId="42FE069A" w:rsidR="00246D13" w:rsidRPr="00354081" w:rsidRDefault="00246D13" w:rsidP="00561AD7">
      <w:pPr>
        <w:pStyle w:val="SingleTxtG"/>
        <w:ind w:left="1701"/>
        <w:rPr>
          <w:b/>
          <w:bCs/>
          <w:lang w:val="fr-FR"/>
        </w:rPr>
      </w:pPr>
      <w:r w:rsidRPr="00A41AB9">
        <w:rPr>
          <w:rFonts w:asciiTheme="majorBidi" w:hAnsiTheme="majorBidi" w:cstheme="majorBidi"/>
          <w:lang w:val="fr-FR"/>
        </w:rPr>
        <w:t>« P320</w:t>
      </w:r>
      <w:r w:rsidR="00561AD7">
        <w:rPr>
          <w:b/>
          <w:bCs/>
          <w:lang w:val="fr-FR"/>
        </w:rPr>
        <w:br/>
      </w:r>
      <w:r w:rsidRPr="00A41AB9">
        <w:rPr>
          <w:b/>
          <w:bCs/>
          <w:lang w:val="fr-FR"/>
        </w:rPr>
        <w:t>Un traitement spécifique est urgent (voir les informations figurant sur cette étiquette et sur la fiche de données de sécurité).</w:t>
      </w:r>
    </w:p>
    <w:p w14:paraId="3771A576"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précisées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devant figurer sur la fiche de données de sécurité, le cas échéant.</w:t>
      </w:r>
    </w:p>
    <w:p w14:paraId="0763E777" w14:textId="37B1371E" w:rsidR="00246D13" w:rsidRPr="00AE3663" w:rsidRDefault="00246D13" w:rsidP="00561AD7">
      <w:pPr>
        <w:pStyle w:val="SingleTxtG"/>
        <w:ind w:left="1701"/>
        <w:rPr>
          <w:rFonts w:asciiTheme="majorBidi" w:hAnsiTheme="majorBidi" w:cstheme="majorBidi"/>
          <w:snapToGrid w:val="0"/>
          <w:lang w:val="fr-FR"/>
        </w:rPr>
      </w:pPr>
      <w:r w:rsidRPr="00AE3663">
        <w:rPr>
          <w:rFonts w:asciiTheme="majorBidi" w:hAnsiTheme="majorBidi" w:cstheme="majorBidi"/>
          <w:lang w:val="fr-FR"/>
        </w:rPr>
        <w:t>P322</w:t>
      </w:r>
      <w:r w:rsidR="00561AD7">
        <w:rPr>
          <w:rFonts w:asciiTheme="majorBidi" w:hAnsiTheme="majorBidi" w:cstheme="majorBidi"/>
          <w:b/>
          <w:bCs/>
          <w:lang w:val="fr-FR"/>
        </w:rPr>
        <w:br/>
      </w:r>
      <w:r w:rsidRPr="00AE3663">
        <w:rPr>
          <w:rFonts w:asciiTheme="majorBidi" w:hAnsiTheme="majorBidi" w:cstheme="majorBidi"/>
          <w:b/>
          <w:bCs/>
          <w:lang w:val="fr-FR"/>
        </w:rPr>
        <w:t>Un traitement spécifique est urgent (voir les informations figurant sur la fiche de données de sécurité).</w:t>
      </w:r>
    </w:p>
    <w:p w14:paraId="1EB36DDD" w14:textId="77777777" w:rsidR="00246D13" w:rsidRPr="00AE3663" w:rsidRDefault="00246D13" w:rsidP="00246D13">
      <w:pPr>
        <w:pStyle w:val="SingleTxtG"/>
        <w:ind w:left="1701"/>
        <w:rPr>
          <w:rStyle w:val="StyleItalic"/>
          <w:rFonts w:asciiTheme="majorBidi" w:hAnsiTheme="majorBidi" w:cstheme="majorBidi"/>
          <w:i w:val="0"/>
          <w:iCs w:val="0"/>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un autre traitement spécifique.</w:t>
      </w:r>
    </w:p>
    <w:p w14:paraId="648A8283" w14:textId="77777777" w:rsidR="00246D13" w:rsidRDefault="00246D13" w:rsidP="00246D13">
      <w:pPr>
        <w:pStyle w:val="SingleTxtG"/>
        <w:ind w:left="1701"/>
        <w:rPr>
          <w:rFonts w:asciiTheme="majorBidi" w:hAnsiTheme="majorBidi" w:cstheme="majorBidi"/>
          <w:lang w:val="fr-FR"/>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 </w:t>
      </w:r>
      <w:r w:rsidRPr="00AE3663">
        <w:rPr>
          <w:rFonts w:asciiTheme="majorBidi" w:hAnsiTheme="majorBidi" w:cstheme="majorBidi"/>
          <w:lang w:val="fr-FR"/>
        </w:rPr>
        <w:t>».</w:t>
      </w:r>
    </w:p>
    <w:p w14:paraId="1D549CF2" w14:textId="1D2E20DC" w:rsidR="00246D13" w:rsidRPr="00AE3663" w:rsidRDefault="00246D13" w:rsidP="00246D13">
      <w:pPr>
        <w:pStyle w:val="H23G"/>
        <w:rPr>
          <w:rFonts w:asciiTheme="majorBidi" w:hAnsiTheme="majorBidi" w:cstheme="majorBidi"/>
          <w:lang w:val="fr-FR"/>
        </w:rPr>
      </w:pPr>
      <w:r w:rsidRPr="00AE3663">
        <w:rPr>
          <w:rFonts w:asciiTheme="majorBidi" w:hAnsiTheme="majorBidi" w:cstheme="majorBidi"/>
          <w:lang w:val="fr-FR"/>
        </w:rPr>
        <w:lastRenderedPageBreak/>
        <w:tab/>
      </w:r>
      <w:r w:rsidRPr="00AE3663">
        <w:rPr>
          <w:rFonts w:asciiTheme="majorBidi" w:hAnsiTheme="majorBidi" w:cstheme="majorBidi"/>
          <w:lang w:val="fr-FR"/>
        </w:rPr>
        <w:tab/>
      </w:r>
      <w:r w:rsidRPr="00AE3663">
        <w:rPr>
          <w:rFonts w:asciiTheme="majorBidi" w:hAnsiTheme="majorBidi" w:cstheme="majorBidi"/>
          <w:bCs/>
          <w:lang w:val="fr-FR"/>
        </w:rPr>
        <w:t xml:space="preserve">Tableau </w:t>
      </w:r>
      <w:r w:rsidR="0049589D">
        <w:rPr>
          <w:rFonts w:asciiTheme="majorBidi" w:hAnsiTheme="majorBidi" w:cstheme="majorBidi"/>
          <w:bCs/>
          <w:lang w:val="fr-FR"/>
        </w:rPr>
        <w:t xml:space="preserve">relatif à la </w:t>
      </w:r>
      <w:r w:rsidRPr="00AE3663">
        <w:rPr>
          <w:rFonts w:asciiTheme="majorBidi" w:hAnsiTheme="majorBidi" w:cstheme="majorBidi"/>
          <w:bCs/>
          <w:lang w:val="fr-FR"/>
        </w:rPr>
        <w:t>«</w:t>
      </w:r>
      <w:r>
        <w:rPr>
          <w:rFonts w:asciiTheme="majorBidi" w:hAnsiTheme="majorBidi" w:cstheme="majorBidi"/>
          <w:bCs/>
          <w:lang w:val="fr-FR"/>
        </w:rPr>
        <w:t> </w:t>
      </w:r>
      <w:r w:rsidRPr="00AE3663">
        <w:rPr>
          <w:rFonts w:asciiTheme="majorBidi" w:hAnsiTheme="majorBidi" w:cstheme="majorBidi"/>
          <w:bCs/>
          <w:lang w:val="fr-FR"/>
        </w:rPr>
        <w:t>Toxicité aiguë −</w:t>
      </w:r>
      <w:r>
        <w:rPr>
          <w:rFonts w:asciiTheme="majorBidi" w:hAnsiTheme="majorBidi" w:cstheme="majorBidi"/>
          <w:bCs/>
          <w:lang w:val="fr-FR"/>
        </w:rPr>
        <w:t> </w:t>
      </w:r>
      <w:r w:rsidRPr="00AE3663">
        <w:rPr>
          <w:rFonts w:asciiTheme="majorBidi" w:hAnsiTheme="majorBidi" w:cstheme="majorBidi"/>
          <w:bCs/>
          <w:lang w:val="fr-FR"/>
        </w:rPr>
        <w:t>par contact cutané (chap</w:t>
      </w:r>
      <w:r>
        <w:rPr>
          <w:rFonts w:asciiTheme="majorBidi" w:hAnsiTheme="majorBidi" w:cstheme="majorBidi"/>
          <w:bCs/>
          <w:lang w:val="fr-FR"/>
        </w:rPr>
        <w:t>itre </w:t>
      </w:r>
      <w:r w:rsidRPr="00AE3663">
        <w:rPr>
          <w:rFonts w:asciiTheme="majorBidi" w:hAnsiTheme="majorBidi" w:cstheme="majorBidi"/>
          <w:bCs/>
          <w:lang w:val="fr-FR"/>
        </w:rPr>
        <w:t>3.1)</w:t>
      </w:r>
      <w:r>
        <w:rPr>
          <w:rFonts w:asciiTheme="majorBidi" w:hAnsiTheme="majorBidi" w:cstheme="majorBidi"/>
          <w:bCs/>
          <w:lang w:val="fr-FR"/>
        </w:rPr>
        <w:t> </w:t>
      </w:r>
      <w:r w:rsidRPr="00AE3663">
        <w:rPr>
          <w:rFonts w:asciiTheme="majorBidi" w:hAnsiTheme="majorBidi" w:cstheme="majorBidi"/>
          <w:bCs/>
          <w:lang w:val="fr-FR"/>
        </w:rPr>
        <w:t>», catégorie de danger</w:t>
      </w:r>
      <w:r>
        <w:rPr>
          <w:rFonts w:asciiTheme="majorBidi" w:hAnsiTheme="majorBidi" w:cstheme="majorBidi"/>
          <w:bCs/>
          <w:lang w:val="fr-FR"/>
        </w:rPr>
        <w:t> </w:t>
      </w:r>
      <w:r w:rsidRPr="00AE3663">
        <w:rPr>
          <w:rFonts w:asciiTheme="majorBidi" w:hAnsiTheme="majorBidi" w:cstheme="majorBidi"/>
          <w:bCs/>
          <w:lang w:val="fr-FR"/>
        </w:rPr>
        <w:t>4</w:t>
      </w:r>
      <w:r w:rsidR="00F87B99">
        <w:rPr>
          <w:rFonts w:asciiTheme="majorBidi" w:hAnsiTheme="majorBidi" w:cstheme="majorBidi"/>
          <w:bCs/>
          <w:lang w:val="fr-FR"/>
        </w:rPr>
        <w:t>, colonne « Intervention »</w:t>
      </w:r>
    </w:p>
    <w:p w14:paraId="5215B8BE" w14:textId="34962278" w:rsidR="00246D13" w:rsidRPr="00AE3663" w:rsidRDefault="00F87B99" w:rsidP="00246D13">
      <w:pPr>
        <w:pStyle w:val="SingleTxtG"/>
        <w:rPr>
          <w:rFonts w:asciiTheme="majorBidi" w:hAnsiTheme="majorBidi" w:cstheme="majorBidi"/>
          <w:lang w:val="fr-FR"/>
        </w:rPr>
      </w:pPr>
      <w:r>
        <w:rPr>
          <w:rFonts w:asciiTheme="majorBidi" w:hAnsiTheme="majorBidi" w:cstheme="majorBidi"/>
          <w:lang w:val="fr-FR"/>
        </w:rPr>
        <w:t>M</w:t>
      </w:r>
      <w:r w:rsidR="00246D13">
        <w:rPr>
          <w:rFonts w:asciiTheme="majorBidi" w:hAnsiTheme="majorBidi" w:cstheme="majorBidi"/>
          <w:lang w:val="fr-FR"/>
        </w:rPr>
        <w:t>odifier</w:t>
      </w:r>
      <w:r w:rsidR="00246D13" w:rsidRPr="00AE3663">
        <w:rPr>
          <w:rFonts w:asciiTheme="majorBidi" w:hAnsiTheme="majorBidi" w:cstheme="majorBidi"/>
          <w:lang w:val="fr-FR"/>
        </w:rPr>
        <w:t xml:space="preserve"> la rubrique P321 et ajouter </w:t>
      </w:r>
      <w:r>
        <w:rPr>
          <w:rFonts w:asciiTheme="majorBidi" w:hAnsiTheme="majorBidi" w:cstheme="majorBidi"/>
          <w:lang w:val="fr-FR"/>
        </w:rPr>
        <w:t xml:space="preserve">une </w:t>
      </w:r>
      <w:r w:rsidR="00246D13" w:rsidRPr="00AE3663">
        <w:rPr>
          <w:rFonts w:asciiTheme="majorBidi" w:hAnsiTheme="majorBidi" w:cstheme="majorBidi"/>
          <w:lang w:val="fr-FR"/>
        </w:rPr>
        <w:t>nouvelle rubrique P323, comme suit (les rubriques P302+P352, P317 et P362+P364 actuelles demeurent inchangées) :</w:t>
      </w:r>
    </w:p>
    <w:p w14:paraId="62728D3A" w14:textId="0F2725A7" w:rsidR="00246D13" w:rsidRPr="00AE3663" w:rsidRDefault="00246D13" w:rsidP="00FE79D3">
      <w:pPr>
        <w:pStyle w:val="SingleTxtG"/>
        <w:ind w:left="1701"/>
        <w:rPr>
          <w:rStyle w:val="StyleBold"/>
          <w:rFonts w:asciiTheme="majorBidi" w:hAnsiTheme="majorBidi" w:cstheme="majorBidi"/>
          <w:lang w:val="fr-FR"/>
        </w:rPr>
      </w:pPr>
      <w:r w:rsidRPr="00AE3663">
        <w:rPr>
          <w:rFonts w:asciiTheme="majorBidi" w:hAnsiTheme="majorBidi" w:cstheme="majorBidi"/>
          <w:lang w:val="fr-FR"/>
        </w:rPr>
        <w:t>« P321</w:t>
      </w:r>
      <w:r w:rsidR="00FE79D3">
        <w:rPr>
          <w:rFonts w:asciiTheme="majorBidi" w:hAnsiTheme="majorBidi" w:cstheme="majorBidi"/>
          <w:b/>
          <w:bCs/>
          <w:lang w:val="fr-FR"/>
        </w:rPr>
        <w:br/>
      </w:r>
      <w:r w:rsidRPr="00AE3663">
        <w:rPr>
          <w:rFonts w:asciiTheme="majorBidi" w:hAnsiTheme="majorBidi" w:cstheme="majorBidi"/>
          <w:b/>
          <w:bCs/>
          <w:lang w:val="fr-FR"/>
        </w:rPr>
        <w:t>Traitement spécifique (voir les informations figurant sur cette étiquette et sur la fiche de données de sécurité).</w:t>
      </w:r>
    </w:p>
    <w:p w14:paraId="5FA0D657"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précisées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devant figurer sur la fiche de données de sécurité, le cas échéant.</w:t>
      </w:r>
    </w:p>
    <w:p w14:paraId="384BB381"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w:t>
      </w:r>
    </w:p>
    <w:p w14:paraId="5DBF2908" w14:textId="593E1E86" w:rsidR="00246D13" w:rsidRPr="00AE3663" w:rsidRDefault="00246D13" w:rsidP="00FE79D3">
      <w:pPr>
        <w:pStyle w:val="SingleTxtG"/>
        <w:ind w:left="1701"/>
        <w:rPr>
          <w:rFonts w:asciiTheme="majorBidi" w:hAnsiTheme="majorBidi" w:cstheme="majorBidi"/>
          <w:b/>
          <w:bCs/>
          <w:lang w:val="fr-FR"/>
        </w:rPr>
      </w:pPr>
      <w:r w:rsidRPr="00AE3663">
        <w:rPr>
          <w:rFonts w:asciiTheme="majorBidi" w:hAnsiTheme="majorBidi" w:cstheme="majorBidi"/>
          <w:lang w:val="fr-FR"/>
        </w:rPr>
        <w:t>P323</w:t>
      </w:r>
      <w:r w:rsidR="00FE79D3">
        <w:rPr>
          <w:rFonts w:asciiTheme="majorBidi" w:hAnsiTheme="majorBidi" w:cstheme="majorBidi"/>
          <w:b/>
          <w:bCs/>
          <w:lang w:val="fr-FR"/>
        </w:rPr>
        <w:br/>
      </w:r>
      <w:r w:rsidRPr="00AE3663">
        <w:rPr>
          <w:rFonts w:asciiTheme="majorBidi" w:hAnsiTheme="majorBidi" w:cstheme="majorBidi"/>
          <w:b/>
          <w:bCs/>
          <w:lang w:val="fr-FR"/>
        </w:rPr>
        <w:t>Traitement spécifique (voir les informations figurant la fiche de données de sécurité).</w:t>
      </w:r>
    </w:p>
    <w:p w14:paraId="0995F3B2" w14:textId="77777777" w:rsidR="00246D13" w:rsidRPr="00AE3663" w:rsidRDefault="00246D13" w:rsidP="00246D13">
      <w:pPr>
        <w:pStyle w:val="SingleTxtG"/>
        <w:ind w:left="1701"/>
        <w:rPr>
          <w:rStyle w:val="StyleItalic"/>
          <w:rFonts w:asciiTheme="majorBidi" w:hAnsiTheme="majorBidi" w:cstheme="majorBidi"/>
          <w:i w:val="0"/>
          <w:iCs w:val="0"/>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un autre traitement spécifique.</w:t>
      </w:r>
    </w:p>
    <w:p w14:paraId="58B2BAB2" w14:textId="77777777" w:rsidR="00246D13" w:rsidRDefault="00246D13" w:rsidP="00246D13">
      <w:pPr>
        <w:pStyle w:val="SingleTxtG"/>
        <w:ind w:left="1701"/>
        <w:rPr>
          <w:rFonts w:asciiTheme="majorBidi" w:hAnsiTheme="majorBidi" w:cstheme="majorBidi"/>
          <w:i/>
          <w:iCs/>
          <w:lang w:val="fr-FR"/>
        </w:rPr>
      </w:pPr>
      <w:r w:rsidRPr="00AE3663">
        <w:rPr>
          <w:rFonts w:asciiTheme="majorBidi" w:hAnsiTheme="majorBidi" w:cstheme="majorBidi"/>
          <w:i/>
          <w:iCs/>
          <w:lang w:val="fr-FR"/>
        </w:rPr>
        <w:t>- Peut être omis si le conseil P321 ou P322 figure sur l</w:t>
      </w:r>
      <w:r>
        <w:rPr>
          <w:rFonts w:asciiTheme="majorBidi" w:hAnsiTheme="majorBidi" w:cstheme="majorBidi"/>
          <w:i/>
          <w:iCs/>
          <w:lang w:val="fr-FR"/>
        </w:rPr>
        <w:t>’</w:t>
      </w:r>
      <w:r w:rsidRPr="00AE3663">
        <w:rPr>
          <w:rFonts w:asciiTheme="majorBidi" w:hAnsiTheme="majorBidi" w:cstheme="majorBidi"/>
          <w:i/>
          <w:iCs/>
          <w:lang w:val="fr-FR"/>
        </w:rPr>
        <w:t>étiquette. ».</w:t>
      </w:r>
    </w:p>
    <w:p w14:paraId="6350B1E6" w14:textId="6EC5E596" w:rsidR="000A7244" w:rsidRDefault="00246D13" w:rsidP="000A7244">
      <w:pPr>
        <w:pStyle w:val="H23G"/>
        <w:rPr>
          <w:rFonts w:asciiTheme="majorBidi" w:hAnsiTheme="majorBidi" w:cstheme="majorBidi"/>
          <w:lang w:val="fr-FR"/>
        </w:rPr>
      </w:pPr>
      <w:r w:rsidRPr="00AE3663">
        <w:rPr>
          <w:rFonts w:asciiTheme="majorBidi" w:hAnsiTheme="majorBidi" w:cstheme="majorBidi"/>
          <w:lang w:val="fr-FR"/>
        </w:rPr>
        <w:tab/>
      </w:r>
      <w:r w:rsidRPr="00AE3663">
        <w:rPr>
          <w:rFonts w:asciiTheme="majorBidi" w:hAnsiTheme="majorBidi" w:cstheme="majorBidi"/>
          <w:lang w:val="fr-FR"/>
        </w:rPr>
        <w:tab/>
      </w:r>
      <w:r w:rsidRPr="00AE3663">
        <w:rPr>
          <w:rFonts w:asciiTheme="majorBidi" w:hAnsiTheme="majorBidi" w:cstheme="majorBidi"/>
          <w:bCs/>
          <w:lang w:val="fr-FR"/>
        </w:rPr>
        <w:t xml:space="preserve">Tableau </w:t>
      </w:r>
      <w:r w:rsidR="0049589D">
        <w:rPr>
          <w:rFonts w:asciiTheme="majorBidi" w:hAnsiTheme="majorBidi" w:cstheme="majorBidi"/>
          <w:bCs/>
          <w:lang w:val="fr-FR"/>
        </w:rPr>
        <w:t xml:space="preserve">relatif à la </w:t>
      </w:r>
      <w:r w:rsidRPr="00AE3663">
        <w:rPr>
          <w:rFonts w:asciiTheme="majorBidi" w:hAnsiTheme="majorBidi" w:cstheme="majorBidi"/>
          <w:bCs/>
          <w:lang w:val="fr-FR"/>
        </w:rPr>
        <w:t>«</w:t>
      </w:r>
      <w:r>
        <w:rPr>
          <w:rFonts w:asciiTheme="majorBidi" w:hAnsiTheme="majorBidi" w:cstheme="majorBidi"/>
          <w:bCs/>
          <w:lang w:val="fr-FR"/>
        </w:rPr>
        <w:t> </w:t>
      </w:r>
      <w:r w:rsidRPr="00AE3663">
        <w:rPr>
          <w:rFonts w:asciiTheme="majorBidi" w:hAnsiTheme="majorBidi" w:cstheme="majorBidi"/>
          <w:bCs/>
          <w:lang w:val="fr-FR"/>
        </w:rPr>
        <w:t>Toxicité aiguë −</w:t>
      </w:r>
      <w:r>
        <w:rPr>
          <w:rFonts w:asciiTheme="majorBidi" w:hAnsiTheme="majorBidi" w:cstheme="majorBidi"/>
          <w:bCs/>
          <w:lang w:val="fr-FR"/>
        </w:rPr>
        <w:t> </w:t>
      </w:r>
      <w:r w:rsidRPr="00AE3663">
        <w:rPr>
          <w:rFonts w:asciiTheme="majorBidi" w:hAnsiTheme="majorBidi" w:cstheme="majorBidi"/>
          <w:bCs/>
          <w:lang w:val="fr-FR"/>
        </w:rPr>
        <w:t>par contact cutané (chap</w:t>
      </w:r>
      <w:r>
        <w:rPr>
          <w:rFonts w:asciiTheme="majorBidi" w:hAnsiTheme="majorBidi" w:cstheme="majorBidi"/>
          <w:bCs/>
          <w:lang w:val="fr-FR"/>
        </w:rPr>
        <w:t>itre </w:t>
      </w:r>
      <w:r w:rsidRPr="00AE3663">
        <w:rPr>
          <w:rFonts w:asciiTheme="majorBidi" w:hAnsiTheme="majorBidi" w:cstheme="majorBidi"/>
          <w:bCs/>
          <w:lang w:val="fr-FR"/>
        </w:rPr>
        <w:t>3.1)</w:t>
      </w:r>
      <w:r>
        <w:rPr>
          <w:rFonts w:asciiTheme="majorBidi" w:hAnsiTheme="majorBidi" w:cstheme="majorBidi"/>
          <w:bCs/>
          <w:lang w:val="fr-FR"/>
        </w:rPr>
        <w:t> </w:t>
      </w:r>
      <w:r w:rsidRPr="00AE3663">
        <w:rPr>
          <w:rFonts w:asciiTheme="majorBidi" w:hAnsiTheme="majorBidi" w:cstheme="majorBidi"/>
          <w:bCs/>
          <w:lang w:val="fr-FR"/>
        </w:rPr>
        <w:t>», catégorie de danger</w:t>
      </w:r>
      <w:r>
        <w:rPr>
          <w:rFonts w:asciiTheme="majorBidi" w:hAnsiTheme="majorBidi" w:cstheme="majorBidi"/>
          <w:bCs/>
          <w:lang w:val="fr-FR"/>
        </w:rPr>
        <w:t> </w:t>
      </w:r>
      <w:r w:rsidRPr="00AE3663">
        <w:rPr>
          <w:rFonts w:asciiTheme="majorBidi" w:hAnsiTheme="majorBidi" w:cstheme="majorBidi"/>
          <w:bCs/>
          <w:lang w:val="fr-FR"/>
        </w:rPr>
        <w:t>5</w:t>
      </w:r>
      <w:r w:rsidR="000A7244">
        <w:rPr>
          <w:rFonts w:asciiTheme="majorBidi" w:hAnsiTheme="majorBidi" w:cstheme="majorBidi"/>
          <w:bCs/>
          <w:lang w:val="fr-FR"/>
        </w:rPr>
        <w:t xml:space="preserve">, </w:t>
      </w:r>
      <w:r w:rsidR="000A7244">
        <w:rPr>
          <w:rFonts w:asciiTheme="majorBidi" w:hAnsiTheme="majorBidi" w:cstheme="majorBidi"/>
          <w:lang w:val="fr-FR"/>
        </w:rPr>
        <w:t>c</w:t>
      </w:r>
      <w:r w:rsidRPr="00AE3663">
        <w:rPr>
          <w:rFonts w:asciiTheme="majorBidi" w:hAnsiTheme="majorBidi" w:cstheme="majorBidi"/>
          <w:lang w:val="fr-FR"/>
        </w:rPr>
        <w:t>olonne « Intervention »</w:t>
      </w:r>
    </w:p>
    <w:p w14:paraId="73B86439" w14:textId="2A6D53D8" w:rsidR="00246D13" w:rsidRPr="00775023" w:rsidRDefault="000A7244" w:rsidP="00775023">
      <w:pPr>
        <w:pStyle w:val="H23G"/>
        <w:rPr>
          <w:rFonts w:asciiTheme="majorBidi" w:hAnsiTheme="majorBidi" w:cstheme="majorBidi"/>
          <w:bCs/>
          <w:lang w:val="fr-FR"/>
        </w:rPr>
      </w:pPr>
      <w:r>
        <w:rPr>
          <w:rFonts w:asciiTheme="majorBidi" w:hAnsiTheme="majorBidi" w:cstheme="majorBidi"/>
          <w:lang w:val="fr-FR"/>
        </w:rPr>
        <w:tab/>
      </w:r>
      <w:r>
        <w:rPr>
          <w:rFonts w:asciiTheme="majorBidi" w:hAnsiTheme="majorBidi" w:cstheme="majorBidi"/>
          <w:lang w:val="fr-FR"/>
        </w:rPr>
        <w:tab/>
      </w:r>
      <w:r w:rsidRPr="00775023">
        <w:rPr>
          <w:rFonts w:asciiTheme="majorBidi" w:hAnsiTheme="majorBidi" w:cstheme="majorBidi"/>
          <w:b w:val="0"/>
          <w:bCs/>
          <w:lang w:val="fr-FR"/>
        </w:rPr>
        <w:t>M</w:t>
      </w:r>
      <w:r w:rsidR="00246D13" w:rsidRPr="00775023">
        <w:rPr>
          <w:rFonts w:asciiTheme="majorBidi" w:hAnsiTheme="majorBidi" w:cstheme="majorBidi"/>
          <w:b w:val="0"/>
          <w:bCs/>
          <w:lang w:val="fr-FR"/>
        </w:rPr>
        <w:t>odifier comme suit :</w:t>
      </w:r>
    </w:p>
    <w:p w14:paraId="03E9D266" w14:textId="77777777" w:rsidR="00246D13" w:rsidRPr="00AE3663" w:rsidRDefault="00246D13" w:rsidP="00246D13">
      <w:pPr>
        <w:pStyle w:val="SingleTxtG"/>
        <w:ind w:left="1701"/>
        <w:rPr>
          <w:rFonts w:asciiTheme="majorBidi" w:hAnsiTheme="majorBidi" w:cstheme="majorBidi"/>
          <w:b/>
          <w:lang w:val="fr-FR"/>
        </w:rPr>
      </w:pPr>
      <w:r w:rsidRPr="00AE3663">
        <w:rPr>
          <w:rFonts w:asciiTheme="majorBidi" w:hAnsiTheme="majorBidi" w:cstheme="majorBidi"/>
          <w:lang w:val="fr-FR"/>
        </w:rPr>
        <w:t>« P317</w:t>
      </w:r>
      <w:r>
        <w:rPr>
          <w:rFonts w:asciiTheme="majorBidi" w:hAnsiTheme="majorBidi" w:cstheme="majorBidi"/>
          <w:lang w:val="fr-FR"/>
        </w:rPr>
        <w:br/>
      </w:r>
      <w:r w:rsidRPr="00AE3663">
        <w:rPr>
          <w:rFonts w:asciiTheme="majorBidi" w:hAnsiTheme="majorBidi" w:cstheme="majorBidi"/>
          <w:b/>
          <w:bCs/>
          <w:lang w:val="fr-FR"/>
        </w:rPr>
        <w:t>Demander une aide médicale.</w:t>
      </w:r>
    </w:p>
    <w:p w14:paraId="3C3957EA" w14:textId="1F783EF9" w:rsidR="00246D13" w:rsidRPr="00AE3663" w:rsidRDefault="00246D13" w:rsidP="00246D13">
      <w:pPr>
        <w:pStyle w:val="SingleTxtG"/>
        <w:ind w:left="1701"/>
        <w:jc w:val="left"/>
        <w:rPr>
          <w:rFonts w:asciiTheme="majorBidi" w:hAnsiTheme="majorBidi" w:cstheme="majorBidi"/>
          <w:b/>
          <w:lang w:val="fr-FR"/>
        </w:rPr>
      </w:pPr>
      <w:r w:rsidRPr="00AE3663">
        <w:rPr>
          <w:rFonts w:asciiTheme="majorBidi" w:hAnsiTheme="majorBidi" w:cstheme="majorBidi"/>
          <w:lang w:val="fr-FR"/>
        </w:rPr>
        <w:t xml:space="preserve">P302+P352 </w:t>
      </w:r>
      <w:r>
        <w:rPr>
          <w:rFonts w:asciiTheme="majorBidi" w:hAnsiTheme="majorBidi" w:cstheme="majorBidi"/>
          <w:lang w:val="fr-FR"/>
        </w:rPr>
        <w:br/>
      </w:r>
      <w:r w:rsidRPr="00AE3663">
        <w:rPr>
          <w:rFonts w:asciiTheme="majorBidi" w:hAnsiTheme="majorBidi" w:cstheme="majorBidi"/>
          <w:b/>
          <w:bCs/>
          <w:lang w:val="fr-FR"/>
        </w:rPr>
        <w:t>EN CAS DE CONTACT AVEC LA PEAU : Laver abondamment à l</w:t>
      </w:r>
      <w:r>
        <w:rPr>
          <w:rFonts w:asciiTheme="majorBidi" w:hAnsiTheme="majorBidi" w:cstheme="majorBidi"/>
          <w:b/>
          <w:bCs/>
          <w:lang w:val="fr-FR"/>
        </w:rPr>
        <w:t>’</w:t>
      </w:r>
      <w:r w:rsidRPr="00AE3663">
        <w:rPr>
          <w:rFonts w:asciiTheme="majorBidi" w:hAnsiTheme="majorBidi" w:cstheme="majorBidi"/>
          <w:b/>
          <w:bCs/>
          <w:lang w:val="fr-FR"/>
        </w:rPr>
        <w:t>eau/…</w:t>
      </w:r>
    </w:p>
    <w:p w14:paraId="7EEE8312" w14:textId="164ED1AD" w:rsidR="00246D13" w:rsidRDefault="00351E77" w:rsidP="00246D13">
      <w:pPr>
        <w:pStyle w:val="SingleTxtG"/>
        <w:ind w:left="1701"/>
        <w:rPr>
          <w:rFonts w:asciiTheme="majorBidi" w:hAnsiTheme="majorBidi" w:cstheme="majorBidi"/>
          <w:lang w:val="fr-FR"/>
        </w:rPr>
      </w:pPr>
      <w:r>
        <w:rPr>
          <w:rFonts w:asciiTheme="majorBidi" w:hAnsiTheme="majorBidi" w:cstheme="majorBidi"/>
          <w:lang w:val="fr-FR"/>
        </w:rPr>
        <w:t>…</w:t>
      </w:r>
      <w:r w:rsidR="00246D13" w:rsidRPr="00AE3663">
        <w:rPr>
          <w:rFonts w:asciiTheme="majorBidi" w:hAnsiTheme="majorBidi" w:cstheme="majorBidi"/>
          <w:lang w:val="fr-FR"/>
        </w:rPr>
        <w:t>Il revient au fabricant/fournisseur ou à l</w:t>
      </w:r>
      <w:r w:rsidR="00246D13">
        <w:rPr>
          <w:rFonts w:asciiTheme="majorBidi" w:hAnsiTheme="majorBidi" w:cstheme="majorBidi"/>
          <w:lang w:val="fr-FR"/>
        </w:rPr>
        <w:t>’</w:t>
      </w:r>
      <w:r w:rsidR="00246D13" w:rsidRPr="00AE3663">
        <w:rPr>
          <w:rFonts w:asciiTheme="majorBidi" w:hAnsiTheme="majorBidi" w:cstheme="majorBidi"/>
          <w:lang w:val="fr-FR"/>
        </w:rPr>
        <w:t>autorité compétente de préciser un produit de nettoyage le cas échéant ou de recommander un autre produit dans les cas exceptionnels où l</w:t>
      </w:r>
      <w:r w:rsidR="00246D13">
        <w:rPr>
          <w:rFonts w:asciiTheme="majorBidi" w:hAnsiTheme="majorBidi" w:cstheme="majorBidi"/>
          <w:lang w:val="fr-FR"/>
        </w:rPr>
        <w:t>’</w:t>
      </w:r>
      <w:r w:rsidR="00246D13" w:rsidRPr="00AE3663">
        <w:rPr>
          <w:rFonts w:asciiTheme="majorBidi" w:hAnsiTheme="majorBidi" w:cstheme="majorBidi"/>
          <w:lang w:val="fr-FR"/>
        </w:rPr>
        <w:t>eau à l</w:t>
      </w:r>
      <w:r w:rsidR="00246D13">
        <w:rPr>
          <w:rFonts w:asciiTheme="majorBidi" w:hAnsiTheme="majorBidi" w:cstheme="majorBidi"/>
          <w:lang w:val="fr-FR"/>
        </w:rPr>
        <w:t>’</w:t>
      </w:r>
      <w:r w:rsidR="00246D13" w:rsidRPr="00AE3663">
        <w:rPr>
          <w:rFonts w:asciiTheme="majorBidi" w:hAnsiTheme="majorBidi" w:cstheme="majorBidi"/>
          <w:lang w:val="fr-FR"/>
        </w:rPr>
        <w:t>évidence ne convient pas. ».</w:t>
      </w:r>
    </w:p>
    <w:p w14:paraId="41A68B60" w14:textId="2ADECF3E" w:rsidR="00246D13" w:rsidRPr="00AE3663" w:rsidRDefault="00246D13" w:rsidP="00775023">
      <w:pPr>
        <w:pStyle w:val="H23G"/>
        <w:jc w:val="both"/>
        <w:rPr>
          <w:rFonts w:asciiTheme="majorBidi" w:hAnsiTheme="majorBidi" w:cstheme="majorBidi"/>
          <w:lang w:val="fr-FR"/>
        </w:rPr>
      </w:pPr>
      <w:r>
        <w:rPr>
          <w:rFonts w:asciiTheme="majorBidi" w:hAnsiTheme="majorBidi" w:cstheme="majorBidi"/>
          <w:bCs/>
          <w:lang w:val="fr-FR"/>
        </w:rPr>
        <w:tab/>
      </w:r>
      <w:r>
        <w:rPr>
          <w:rFonts w:asciiTheme="majorBidi" w:hAnsiTheme="majorBidi" w:cstheme="majorBidi"/>
          <w:bCs/>
          <w:lang w:val="fr-FR"/>
        </w:rPr>
        <w:tab/>
      </w:r>
      <w:r w:rsidRPr="00AE3663">
        <w:rPr>
          <w:rFonts w:asciiTheme="majorBidi" w:hAnsiTheme="majorBidi" w:cstheme="majorBidi"/>
          <w:bCs/>
          <w:lang w:val="fr-FR"/>
        </w:rPr>
        <w:t xml:space="preserve">Tableaux </w:t>
      </w:r>
      <w:r w:rsidR="0049589D">
        <w:rPr>
          <w:rFonts w:asciiTheme="majorBidi" w:hAnsiTheme="majorBidi" w:cstheme="majorBidi"/>
          <w:bCs/>
          <w:lang w:val="fr-FR"/>
        </w:rPr>
        <w:t xml:space="preserve">relatifs à la </w:t>
      </w:r>
      <w:r w:rsidRPr="00AE3663">
        <w:rPr>
          <w:rFonts w:asciiTheme="majorBidi" w:hAnsiTheme="majorBidi" w:cstheme="majorBidi"/>
          <w:bCs/>
          <w:lang w:val="fr-FR"/>
        </w:rPr>
        <w:t>«</w:t>
      </w:r>
      <w:r>
        <w:rPr>
          <w:rFonts w:asciiTheme="majorBidi" w:hAnsiTheme="majorBidi" w:cstheme="majorBidi"/>
          <w:bCs/>
          <w:lang w:val="fr-FR"/>
        </w:rPr>
        <w:t> </w:t>
      </w:r>
      <w:r w:rsidRPr="00AE3663">
        <w:rPr>
          <w:rFonts w:asciiTheme="majorBidi" w:hAnsiTheme="majorBidi" w:cstheme="majorBidi"/>
          <w:bCs/>
          <w:lang w:val="fr-FR"/>
        </w:rPr>
        <w:t>Toxicité aiguë − par inhalation (chap</w:t>
      </w:r>
      <w:r>
        <w:rPr>
          <w:rFonts w:asciiTheme="majorBidi" w:hAnsiTheme="majorBidi" w:cstheme="majorBidi"/>
          <w:bCs/>
          <w:lang w:val="fr-FR"/>
        </w:rPr>
        <w:t>itre </w:t>
      </w:r>
      <w:r w:rsidRPr="00AE3663">
        <w:rPr>
          <w:rFonts w:asciiTheme="majorBidi" w:hAnsiTheme="majorBidi" w:cstheme="majorBidi"/>
          <w:bCs/>
          <w:lang w:val="fr-FR"/>
        </w:rPr>
        <w:t>3.1)</w:t>
      </w:r>
      <w:r>
        <w:rPr>
          <w:rFonts w:asciiTheme="majorBidi" w:hAnsiTheme="majorBidi" w:cstheme="majorBidi"/>
          <w:bCs/>
          <w:lang w:val="fr-FR"/>
        </w:rPr>
        <w:t> </w:t>
      </w:r>
      <w:r w:rsidRPr="00AE3663">
        <w:rPr>
          <w:rFonts w:asciiTheme="majorBidi" w:hAnsiTheme="majorBidi" w:cstheme="majorBidi"/>
          <w:bCs/>
          <w:lang w:val="fr-FR"/>
        </w:rPr>
        <w:t>», catégorie</w:t>
      </w:r>
      <w:r>
        <w:rPr>
          <w:rFonts w:asciiTheme="majorBidi" w:hAnsiTheme="majorBidi" w:cstheme="majorBidi"/>
          <w:bCs/>
          <w:lang w:val="fr-FR"/>
        </w:rPr>
        <w:t>s</w:t>
      </w:r>
      <w:r w:rsidRPr="00AE3663">
        <w:rPr>
          <w:rFonts w:asciiTheme="majorBidi" w:hAnsiTheme="majorBidi" w:cstheme="majorBidi"/>
          <w:bCs/>
          <w:lang w:val="fr-FR"/>
        </w:rPr>
        <w:t xml:space="preserve"> </w:t>
      </w:r>
      <w:r>
        <w:rPr>
          <w:rFonts w:asciiTheme="majorBidi" w:hAnsiTheme="majorBidi" w:cstheme="majorBidi"/>
          <w:bCs/>
          <w:lang w:val="fr-FR"/>
        </w:rPr>
        <w:br/>
      </w:r>
      <w:r w:rsidRPr="00AE3663">
        <w:rPr>
          <w:rFonts w:asciiTheme="majorBidi" w:hAnsiTheme="majorBidi" w:cstheme="majorBidi"/>
          <w:bCs/>
          <w:lang w:val="fr-FR"/>
        </w:rPr>
        <w:t>de danger</w:t>
      </w:r>
      <w:r>
        <w:rPr>
          <w:rFonts w:asciiTheme="majorBidi" w:hAnsiTheme="majorBidi" w:cstheme="majorBidi"/>
          <w:bCs/>
          <w:lang w:val="fr-FR"/>
        </w:rPr>
        <w:t> </w:t>
      </w:r>
      <w:r w:rsidRPr="00AE3663">
        <w:rPr>
          <w:rFonts w:asciiTheme="majorBidi" w:hAnsiTheme="majorBidi" w:cstheme="majorBidi"/>
          <w:bCs/>
          <w:lang w:val="fr-FR"/>
        </w:rPr>
        <w:t>1, 2 et 3</w:t>
      </w:r>
    </w:p>
    <w:p w14:paraId="70E241A9" w14:textId="40C13AF7" w:rsidR="00855AB1" w:rsidRDefault="00246D13" w:rsidP="00246D13">
      <w:pPr>
        <w:pStyle w:val="SingleTxtG"/>
        <w:rPr>
          <w:rFonts w:asciiTheme="majorBidi" w:hAnsiTheme="majorBidi" w:cstheme="majorBidi"/>
          <w:lang w:val="fr-FR"/>
        </w:rPr>
      </w:pPr>
      <w:r w:rsidRPr="00AE3663">
        <w:rPr>
          <w:rFonts w:asciiTheme="majorBidi" w:hAnsiTheme="majorBidi" w:cstheme="majorBidi"/>
          <w:lang w:val="fr-FR"/>
        </w:rPr>
        <w:t>Supprimer le tableau actuel relatif à la catégorie</w:t>
      </w:r>
      <w:r>
        <w:rPr>
          <w:rFonts w:asciiTheme="majorBidi" w:hAnsiTheme="majorBidi" w:cstheme="majorBidi"/>
          <w:lang w:val="fr-FR"/>
        </w:rPr>
        <w:t> </w:t>
      </w:r>
      <w:r w:rsidRPr="00AE3663">
        <w:rPr>
          <w:rFonts w:asciiTheme="majorBidi" w:hAnsiTheme="majorBidi" w:cstheme="majorBidi"/>
          <w:lang w:val="fr-FR"/>
        </w:rPr>
        <w:t xml:space="preserve">3. </w:t>
      </w:r>
    </w:p>
    <w:p w14:paraId="2D3DA935" w14:textId="525A6505" w:rsidR="00246D13" w:rsidRDefault="00246D13" w:rsidP="00246D13">
      <w:pPr>
        <w:pStyle w:val="SingleTxtG"/>
        <w:rPr>
          <w:rFonts w:asciiTheme="majorBidi" w:hAnsiTheme="majorBidi" w:cstheme="majorBidi"/>
          <w:lang w:val="fr-FR"/>
        </w:rPr>
      </w:pPr>
      <w:r w:rsidRPr="00AE3663">
        <w:rPr>
          <w:rFonts w:asciiTheme="majorBidi" w:hAnsiTheme="majorBidi" w:cstheme="majorBidi"/>
          <w:lang w:val="fr-FR"/>
        </w:rPr>
        <w:t>Dans le tableau actuel relatif aux catégories</w:t>
      </w:r>
      <w:r>
        <w:rPr>
          <w:rFonts w:asciiTheme="majorBidi" w:hAnsiTheme="majorBidi" w:cstheme="majorBidi"/>
          <w:lang w:val="fr-FR"/>
        </w:rPr>
        <w:t> </w:t>
      </w:r>
      <w:r w:rsidRPr="00AE3663">
        <w:rPr>
          <w:rFonts w:asciiTheme="majorBidi" w:hAnsiTheme="majorBidi" w:cstheme="majorBidi"/>
          <w:lang w:val="fr-FR"/>
        </w:rPr>
        <w:t>1 et 2, sous la ligne de la catégorie</w:t>
      </w:r>
      <w:r>
        <w:rPr>
          <w:rFonts w:asciiTheme="majorBidi" w:hAnsiTheme="majorBidi" w:cstheme="majorBidi"/>
          <w:lang w:val="fr-FR"/>
        </w:rPr>
        <w:t> </w:t>
      </w:r>
      <w:r w:rsidRPr="00AE3663">
        <w:rPr>
          <w:rFonts w:asciiTheme="majorBidi" w:hAnsiTheme="majorBidi" w:cstheme="majorBidi"/>
          <w:lang w:val="fr-FR"/>
        </w:rPr>
        <w:t>2, insérer une ligne pour la catégorie</w:t>
      </w:r>
      <w:r>
        <w:rPr>
          <w:rFonts w:asciiTheme="majorBidi" w:hAnsiTheme="majorBidi" w:cstheme="majorBidi"/>
          <w:lang w:val="fr-FR"/>
        </w:rPr>
        <w:t> </w:t>
      </w:r>
      <w:r w:rsidRPr="00AE3663">
        <w:rPr>
          <w:rFonts w:asciiTheme="majorBidi" w:hAnsiTheme="majorBidi" w:cstheme="majorBidi"/>
          <w:lang w:val="fr-FR"/>
        </w:rPr>
        <w:t>3, comme suit :</w:t>
      </w:r>
    </w:p>
    <w:tbl>
      <w:tblPr>
        <w:tblW w:w="7371" w:type="dxa"/>
        <w:tblInd w:w="1134" w:type="dxa"/>
        <w:tblLayout w:type="fixed"/>
        <w:tblLook w:val="0000" w:firstRow="0" w:lastRow="0" w:firstColumn="0" w:lastColumn="0" w:noHBand="0" w:noVBand="0"/>
      </w:tblPr>
      <w:tblGrid>
        <w:gridCol w:w="957"/>
        <w:gridCol w:w="1595"/>
        <w:gridCol w:w="1134"/>
        <w:gridCol w:w="1276"/>
        <w:gridCol w:w="708"/>
        <w:gridCol w:w="1701"/>
      </w:tblGrid>
      <w:tr w:rsidR="00246D13" w:rsidRPr="00AE3663" w14:paraId="586CA70A" w14:textId="77777777" w:rsidTr="00775023">
        <w:tc>
          <w:tcPr>
            <w:tcW w:w="957" w:type="dxa"/>
          </w:tcPr>
          <w:p w14:paraId="31912D19" w14:textId="77777777" w:rsidR="00246D13" w:rsidRPr="00AE3663" w:rsidRDefault="00246D13" w:rsidP="004D33AF">
            <w:pPr>
              <w:keepNext/>
              <w:spacing w:before="80" w:after="80" w:line="200" w:lineRule="exact"/>
              <w:jc w:val="center"/>
              <w:rPr>
                <w:rFonts w:asciiTheme="majorBidi" w:hAnsiTheme="majorBidi" w:cstheme="majorBidi"/>
                <w:b/>
                <w:bCs/>
                <w:sz w:val="16"/>
                <w:szCs w:val="16"/>
                <w:lang w:val="fr-FR"/>
              </w:rPr>
            </w:pPr>
            <w:r w:rsidRPr="00AE3663">
              <w:rPr>
                <w:rFonts w:asciiTheme="majorBidi" w:hAnsiTheme="majorBidi" w:cstheme="majorBidi"/>
                <w:b/>
                <w:bCs/>
                <w:sz w:val="16"/>
                <w:szCs w:val="16"/>
                <w:lang w:val="fr-FR"/>
              </w:rPr>
              <w:t>Catégorie de danger</w:t>
            </w:r>
          </w:p>
        </w:tc>
        <w:tc>
          <w:tcPr>
            <w:tcW w:w="1595" w:type="dxa"/>
          </w:tcPr>
          <w:p w14:paraId="297BDF91" w14:textId="77777777" w:rsidR="00246D13" w:rsidRPr="00AE3663" w:rsidRDefault="00246D13" w:rsidP="00775023">
            <w:pPr>
              <w:spacing w:before="80" w:after="80" w:line="200" w:lineRule="exact"/>
              <w:rPr>
                <w:rFonts w:asciiTheme="majorBidi" w:hAnsiTheme="majorBidi" w:cstheme="majorBidi"/>
                <w:b/>
                <w:bCs/>
                <w:sz w:val="16"/>
                <w:szCs w:val="16"/>
                <w:lang w:val="fr-FR"/>
              </w:rPr>
            </w:pPr>
            <w:r w:rsidRPr="00AE3663">
              <w:rPr>
                <w:rFonts w:asciiTheme="majorBidi" w:hAnsiTheme="majorBidi" w:cstheme="majorBidi"/>
                <w:b/>
                <w:bCs/>
                <w:sz w:val="16"/>
                <w:szCs w:val="16"/>
                <w:lang w:val="fr-FR"/>
              </w:rPr>
              <w:t>Symbole</w:t>
            </w:r>
          </w:p>
        </w:tc>
        <w:tc>
          <w:tcPr>
            <w:tcW w:w="1134" w:type="dxa"/>
            <w:vMerge w:val="restart"/>
          </w:tcPr>
          <w:p w14:paraId="103C7C18" w14:textId="77777777" w:rsidR="00246D13" w:rsidRPr="00AE3663" w:rsidRDefault="00246D13" w:rsidP="004D33AF">
            <w:pPr>
              <w:spacing w:before="40" w:after="40"/>
              <w:rPr>
                <w:rFonts w:asciiTheme="majorBidi" w:hAnsiTheme="majorBidi" w:cstheme="majorBidi"/>
                <w:b/>
                <w:bCs/>
                <w:sz w:val="16"/>
                <w:szCs w:val="16"/>
                <w:lang w:val="fr-FR"/>
              </w:rPr>
            </w:pPr>
            <w:r w:rsidRPr="00AE3663">
              <w:rPr>
                <w:rFonts w:asciiTheme="majorBidi" w:hAnsiTheme="majorBidi" w:cstheme="majorBidi"/>
                <w:noProof/>
                <w:sz w:val="16"/>
                <w:szCs w:val="16"/>
                <w:lang w:val="fr-FR"/>
              </w:rPr>
              <w:drawing>
                <wp:anchor distT="0" distB="0" distL="114300" distR="114300" simplePos="0" relativeHeight="251658257" behindDoc="0" locked="0" layoutInCell="1" allowOverlap="1" wp14:anchorId="6FA616CB" wp14:editId="51C55A10">
                  <wp:simplePos x="0" y="0"/>
                  <wp:positionH relativeFrom="column">
                    <wp:posOffset>6511</wp:posOffset>
                  </wp:positionH>
                  <wp:positionV relativeFrom="paragraph">
                    <wp:posOffset>56515</wp:posOffset>
                  </wp:positionV>
                  <wp:extent cx="559435" cy="614045"/>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435" cy="614045"/>
                          </a:xfrm>
                          <a:prstGeom prst="rect">
                            <a:avLst/>
                          </a:prstGeom>
                          <a:noFill/>
                          <a:ln>
                            <a:noFill/>
                          </a:ln>
                        </pic:spPr>
                      </pic:pic>
                    </a:graphicData>
                  </a:graphic>
                </wp:anchor>
              </w:drawing>
            </w:r>
          </w:p>
        </w:tc>
        <w:tc>
          <w:tcPr>
            <w:tcW w:w="1276" w:type="dxa"/>
          </w:tcPr>
          <w:p w14:paraId="7B7163F4" w14:textId="77777777" w:rsidR="00246D13" w:rsidRPr="00A269CB" w:rsidRDefault="00246D13" w:rsidP="00775023">
            <w:pPr>
              <w:spacing w:before="80" w:after="80" w:line="200" w:lineRule="exact"/>
              <w:rPr>
                <w:rFonts w:asciiTheme="majorBidi" w:hAnsiTheme="majorBidi" w:cstheme="majorBidi"/>
                <w:b/>
                <w:bCs/>
                <w:spacing w:val="-2"/>
                <w:sz w:val="16"/>
                <w:szCs w:val="16"/>
                <w:lang w:val="fr-FR"/>
              </w:rPr>
            </w:pPr>
            <w:r w:rsidRPr="00A269CB">
              <w:rPr>
                <w:rFonts w:asciiTheme="majorBidi" w:hAnsiTheme="majorBidi" w:cstheme="majorBidi"/>
                <w:b/>
                <w:bCs/>
                <w:spacing w:val="-2"/>
                <w:sz w:val="16"/>
                <w:szCs w:val="16"/>
                <w:lang w:val="fr-FR"/>
              </w:rPr>
              <w:t>Mention d’avertissement</w:t>
            </w:r>
          </w:p>
        </w:tc>
        <w:tc>
          <w:tcPr>
            <w:tcW w:w="2409" w:type="dxa"/>
            <w:gridSpan w:val="2"/>
          </w:tcPr>
          <w:p w14:paraId="48149388" w14:textId="77777777" w:rsidR="00246D13" w:rsidRPr="00AE3663" w:rsidRDefault="00246D13" w:rsidP="00775023">
            <w:pPr>
              <w:spacing w:before="80" w:after="80" w:line="200" w:lineRule="exact"/>
              <w:rPr>
                <w:rFonts w:asciiTheme="majorBidi" w:hAnsiTheme="majorBidi" w:cstheme="majorBidi"/>
                <w:b/>
                <w:bCs/>
                <w:sz w:val="16"/>
                <w:szCs w:val="16"/>
                <w:lang w:val="fr-FR"/>
              </w:rPr>
            </w:pPr>
            <w:r w:rsidRPr="00AE3663">
              <w:rPr>
                <w:rFonts w:asciiTheme="majorBidi" w:hAnsiTheme="majorBidi" w:cstheme="majorBidi"/>
                <w:b/>
                <w:bCs/>
                <w:sz w:val="16"/>
                <w:szCs w:val="16"/>
                <w:lang w:val="fr-FR"/>
              </w:rPr>
              <w:t>Mention de danger</w:t>
            </w:r>
          </w:p>
        </w:tc>
      </w:tr>
      <w:tr w:rsidR="00246D13" w:rsidRPr="00AE3663" w14:paraId="099F726B" w14:textId="77777777" w:rsidTr="00775023">
        <w:tc>
          <w:tcPr>
            <w:tcW w:w="957" w:type="dxa"/>
          </w:tcPr>
          <w:p w14:paraId="5B511448" w14:textId="77777777" w:rsidR="00246D13" w:rsidRPr="003B1A48" w:rsidRDefault="00246D13" w:rsidP="004D33AF">
            <w:pPr>
              <w:spacing w:before="40" w:after="40"/>
              <w:rPr>
                <w:rFonts w:asciiTheme="majorBidi" w:hAnsiTheme="majorBidi" w:cstheme="majorBidi"/>
                <w:sz w:val="18"/>
                <w:szCs w:val="18"/>
                <w:lang w:val="fr-FR"/>
              </w:rPr>
            </w:pPr>
            <w:r w:rsidRPr="003B1A48">
              <w:rPr>
                <w:rFonts w:asciiTheme="majorBidi" w:hAnsiTheme="majorBidi" w:cstheme="majorBidi"/>
                <w:sz w:val="18"/>
                <w:szCs w:val="18"/>
                <w:lang w:val="fr-FR"/>
              </w:rPr>
              <w:t>3</w:t>
            </w:r>
          </w:p>
        </w:tc>
        <w:tc>
          <w:tcPr>
            <w:tcW w:w="1595" w:type="dxa"/>
          </w:tcPr>
          <w:p w14:paraId="5083EC57" w14:textId="77777777" w:rsidR="00246D13" w:rsidRPr="003B1A48" w:rsidRDefault="00246D13" w:rsidP="004D33AF">
            <w:pPr>
              <w:spacing w:before="40" w:after="40"/>
              <w:rPr>
                <w:rFonts w:asciiTheme="majorBidi" w:hAnsiTheme="majorBidi" w:cstheme="majorBidi"/>
                <w:sz w:val="18"/>
                <w:szCs w:val="18"/>
                <w:lang w:val="fr-FR"/>
              </w:rPr>
            </w:pPr>
            <w:r w:rsidRPr="003B1A48">
              <w:rPr>
                <w:rFonts w:asciiTheme="majorBidi" w:hAnsiTheme="majorBidi" w:cstheme="majorBidi"/>
                <w:sz w:val="18"/>
                <w:szCs w:val="18"/>
                <w:lang w:val="fr-FR"/>
              </w:rPr>
              <w:t>Tête de mort sur deux tibias</w:t>
            </w:r>
          </w:p>
        </w:tc>
        <w:tc>
          <w:tcPr>
            <w:tcW w:w="1134" w:type="dxa"/>
            <w:vMerge/>
            <w:vAlign w:val="center"/>
          </w:tcPr>
          <w:p w14:paraId="700EABCE" w14:textId="77777777" w:rsidR="00246D13" w:rsidRPr="00AE3663" w:rsidRDefault="00246D13" w:rsidP="004D33AF">
            <w:pPr>
              <w:spacing w:before="40" w:after="40"/>
              <w:jc w:val="center"/>
              <w:rPr>
                <w:rFonts w:asciiTheme="majorBidi" w:hAnsiTheme="majorBidi" w:cstheme="majorBidi"/>
                <w:sz w:val="16"/>
                <w:szCs w:val="16"/>
                <w:lang w:val="fr-FR"/>
              </w:rPr>
            </w:pPr>
          </w:p>
        </w:tc>
        <w:tc>
          <w:tcPr>
            <w:tcW w:w="1276" w:type="dxa"/>
          </w:tcPr>
          <w:p w14:paraId="7DE1F4BE" w14:textId="77777777" w:rsidR="00246D13" w:rsidRPr="003B1A48" w:rsidRDefault="00246D13" w:rsidP="004D33AF">
            <w:pPr>
              <w:spacing w:before="40" w:after="40"/>
              <w:rPr>
                <w:rFonts w:asciiTheme="majorBidi" w:hAnsiTheme="majorBidi" w:cstheme="majorBidi"/>
                <w:sz w:val="18"/>
                <w:szCs w:val="18"/>
                <w:lang w:val="fr-FR"/>
              </w:rPr>
            </w:pPr>
            <w:r w:rsidRPr="003B1A48">
              <w:rPr>
                <w:rFonts w:asciiTheme="majorBidi" w:hAnsiTheme="majorBidi" w:cstheme="majorBidi"/>
                <w:sz w:val="18"/>
                <w:szCs w:val="18"/>
                <w:lang w:val="fr-FR"/>
              </w:rPr>
              <w:t>Danger</w:t>
            </w:r>
          </w:p>
        </w:tc>
        <w:tc>
          <w:tcPr>
            <w:tcW w:w="708" w:type="dxa"/>
          </w:tcPr>
          <w:p w14:paraId="6077276A" w14:textId="77777777" w:rsidR="00246D13" w:rsidRPr="003B1A48" w:rsidRDefault="00246D13" w:rsidP="004D33AF">
            <w:pPr>
              <w:spacing w:before="30" w:after="30"/>
              <w:rPr>
                <w:rFonts w:asciiTheme="majorBidi" w:hAnsiTheme="majorBidi" w:cstheme="majorBidi"/>
                <w:sz w:val="18"/>
                <w:szCs w:val="18"/>
                <w:lang w:val="fr-FR"/>
              </w:rPr>
            </w:pPr>
            <w:r w:rsidRPr="003B1A48">
              <w:rPr>
                <w:rFonts w:asciiTheme="majorBidi" w:hAnsiTheme="majorBidi" w:cstheme="majorBidi"/>
                <w:sz w:val="18"/>
                <w:szCs w:val="18"/>
                <w:lang w:val="fr-FR"/>
              </w:rPr>
              <w:t>H331</w:t>
            </w:r>
          </w:p>
        </w:tc>
        <w:tc>
          <w:tcPr>
            <w:tcW w:w="1701" w:type="dxa"/>
          </w:tcPr>
          <w:p w14:paraId="562FFA3A" w14:textId="77777777" w:rsidR="00246D13" w:rsidRPr="003B1A48" w:rsidRDefault="00246D13" w:rsidP="004D33AF">
            <w:pPr>
              <w:spacing w:before="40" w:after="40"/>
              <w:rPr>
                <w:rFonts w:asciiTheme="majorBidi" w:hAnsiTheme="majorBidi" w:cstheme="majorBidi"/>
                <w:sz w:val="18"/>
                <w:szCs w:val="18"/>
                <w:lang w:val="fr-FR"/>
              </w:rPr>
            </w:pPr>
            <w:r w:rsidRPr="00A41AB9">
              <w:rPr>
                <w:rFonts w:asciiTheme="majorBidi" w:hAnsiTheme="majorBidi" w:cstheme="majorBidi"/>
                <w:sz w:val="18"/>
                <w:szCs w:val="18"/>
                <w:lang w:val="fr-FR"/>
              </w:rPr>
              <w:t>Toxique par inhalation</w:t>
            </w:r>
          </w:p>
        </w:tc>
      </w:tr>
    </w:tbl>
    <w:p w14:paraId="44F52333" w14:textId="4FFFED79" w:rsidR="00246D13" w:rsidRPr="00AE3663" w:rsidRDefault="00246D13" w:rsidP="00246D13">
      <w:pPr>
        <w:pStyle w:val="SingleTxtG"/>
        <w:spacing w:before="240"/>
        <w:rPr>
          <w:lang w:val="fr-FR"/>
        </w:rPr>
      </w:pPr>
      <w:r w:rsidRPr="00AE3663">
        <w:rPr>
          <w:lang w:val="fr-FR"/>
        </w:rPr>
        <w:t>Colonne « Intervention », modifier la rubrique P320 et ajouter la nouvelle rubrique P322</w:t>
      </w:r>
      <w:r>
        <w:rPr>
          <w:lang w:val="fr-FR"/>
        </w:rPr>
        <w:t>,</w:t>
      </w:r>
      <w:r w:rsidRPr="00AE3663">
        <w:rPr>
          <w:lang w:val="fr-FR"/>
        </w:rPr>
        <w:t xml:space="preserve"> comme suit (les rubriques actuelles P304 + P340 et P316 demeurent inchangées) :</w:t>
      </w:r>
    </w:p>
    <w:p w14:paraId="3978FE58" w14:textId="4A5433C6" w:rsidR="00246D13" w:rsidRPr="00AE3663" w:rsidRDefault="00246D13" w:rsidP="00F4086F">
      <w:pPr>
        <w:pStyle w:val="SingleTxtG"/>
        <w:ind w:left="1701"/>
        <w:rPr>
          <w:rFonts w:asciiTheme="majorBidi" w:hAnsiTheme="majorBidi" w:cstheme="majorBidi"/>
          <w:b/>
          <w:bCs/>
          <w:lang w:val="fr-FR"/>
        </w:rPr>
      </w:pPr>
      <w:r w:rsidRPr="00AE3663">
        <w:rPr>
          <w:rFonts w:asciiTheme="majorBidi" w:hAnsiTheme="majorBidi" w:cstheme="majorBidi"/>
          <w:lang w:val="fr-FR"/>
        </w:rPr>
        <w:t>« P320</w:t>
      </w:r>
      <w:r w:rsidR="00F4086F">
        <w:rPr>
          <w:rFonts w:asciiTheme="majorBidi" w:hAnsiTheme="majorBidi" w:cstheme="majorBidi"/>
          <w:b/>
          <w:bCs/>
          <w:lang w:val="fr-FR"/>
        </w:rPr>
        <w:br/>
      </w:r>
      <w:r w:rsidRPr="00AE3663">
        <w:rPr>
          <w:rFonts w:asciiTheme="majorBidi" w:hAnsiTheme="majorBidi" w:cstheme="majorBidi"/>
          <w:b/>
          <w:bCs/>
          <w:lang w:val="fr-FR"/>
        </w:rPr>
        <w:t>Un traitement spécifique est urgent (voir les informations figurant sur cette étiquette et sur la fiche de données de sécurité).</w:t>
      </w:r>
    </w:p>
    <w:p w14:paraId="71C25AD2" w14:textId="77777777" w:rsidR="00246D13" w:rsidRPr="00AE3663" w:rsidRDefault="00246D13" w:rsidP="00246D13">
      <w:pPr>
        <w:pStyle w:val="SingleTxtG"/>
        <w:ind w:left="1701"/>
        <w:rPr>
          <w:rFonts w:asciiTheme="majorBidi" w:hAnsiTheme="majorBidi" w:cstheme="majorBidi"/>
          <w:i/>
          <w:iCs/>
          <w:lang w:val="fr-FR"/>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précisées sur l</w:t>
      </w:r>
      <w:r>
        <w:rPr>
          <w:rFonts w:asciiTheme="majorBidi" w:hAnsiTheme="majorBidi" w:cstheme="majorBidi"/>
          <w:i/>
          <w:iCs/>
          <w:lang w:val="fr-FR"/>
        </w:rPr>
        <w:t>’</w:t>
      </w:r>
      <w:r w:rsidRPr="00AE3663">
        <w:rPr>
          <w:rFonts w:asciiTheme="majorBidi" w:hAnsiTheme="majorBidi" w:cstheme="majorBidi"/>
          <w:i/>
          <w:iCs/>
          <w:lang w:val="fr-FR"/>
        </w:rPr>
        <w:t xml:space="preserve">étiquette et la fiche de données de sécurité, des instructions </w:t>
      </w:r>
      <w:r w:rsidRPr="00AE3663">
        <w:rPr>
          <w:rFonts w:asciiTheme="majorBidi" w:hAnsiTheme="majorBidi" w:cstheme="majorBidi"/>
          <w:i/>
          <w:iCs/>
          <w:lang w:val="fr-FR"/>
        </w:rPr>
        <w:lastRenderedPageBreak/>
        <w:t>détaillées supplémentaires, y compris les exigences en matière de formation, devant figurer sur la fiche de données de sécurité, le cas échéant.</w:t>
      </w:r>
    </w:p>
    <w:p w14:paraId="0530D768" w14:textId="470D092E" w:rsidR="00246D13" w:rsidRPr="00AE3663" w:rsidRDefault="00246D13" w:rsidP="00F4086F">
      <w:pPr>
        <w:pStyle w:val="SingleTxtG"/>
        <w:ind w:left="1701"/>
        <w:rPr>
          <w:rFonts w:asciiTheme="majorBidi" w:hAnsiTheme="majorBidi" w:cstheme="majorBidi"/>
          <w:b/>
          <w:bCs/>
          <w:lang w:val="fr-FR"/>
        </w:rPr>
      </w:pPr>
      <w:r w:rsidRPr="00AE3663">
        <w:rPr>
          <w:rFonts w:asciiTheme="majorBidi" w:hAnsiTheme="majorBidi" w:cstheme="majorBidi"/>
          <w:lang w:val="fr-FR"/>
        </w:rPr>
        <w:t>P322</w:t>
      </w:r>
      <w:r w:rsidR="00F4086F">
        <w:rPr>
          <w:rFonts w:asciiTheme="majorBidi" w:hAnsiTheme="majorBidi" w:cstheme="majorBidi"/>
          <w:b/>
          <w:bCs/>
          <w:lang w:val="fr-FR"/>
        </w:rPr>
        <w:br/>
      </w:r>
      <w:r w:rsidRPr="00AE3663">
        <w:rPr>
          <w:rFonts w:asciiTheme="majorBidi" w:hAnsiTheme="majorBidi" w:cstheme="majorBidi"/>
          <w:b/>
          <w:bCs/>
          <w:lang w:val="fr-FR"/>
        </w:rPr>
        <w:t>Un traitement spécifique est urgent (voir les informations figurant sur la fiche de données de sécurité).</w:t>
      </w:r>
    </w:p>
    <w:p w14:paraId="3DC47052" w14:textId="77777777" w:rsidR="00246D13" w:rsidRPr="00AE3663" w:rsidRDefault="00246D13" w:rsidP="00246D13">
      <w:pPr>
        <w:pStyle w:val="SingleTxtG"/>
        <w:ind w:left="1701"/>
        <w:rPr>
          <w:rFonts w:asciiTheme="majorBidi" w:hAnsiTheme="majorBidi" w:cstheme="majorBidi"/>
          <w:lang w:val="fr-FR"/>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un autre traitement spécifique.</w:t>
      </w:r>
    </w:p>
    <w:p w14:paraId="3415D4D4" w14:textId="77777777" w:rsidR="00246D13" w:rsidRDefault="00246D13" w:rsidP="00246D13">
      <w:pPr>
        <w:pStyle w:val="SingleTxtG"/>
        <w:ind w:left="1701"/>
        <w:rPr>
          <w:rFonts w:asciiTheme="majorBidi" w:hAnsiTheme="majorBidi" w:cstheme="majorBidi"/>
          <w:lang w:val="fr-FR"/>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 </w:t>
      </w:r>
      <w:r w:rsidRPr="00AE3663">
        <w:rPr>
          <w:rFonts w:asciiTheme="majorBidi" w:hAnsiTheme="majorBidi" w:cstheme="majorBidi"/>
          <w:lang w:val="fr-FR"/>
        </w:rPr>
        <w:t>».</w:t>
      </w:r>
    </w:p>
    <w:p w14:paraId="34F9520B" w14:textId="3DD3333A" w:rsidR="00246D13" w:rsidRPr="00AE3663" w:rsidRDefault="00246D13" w:rsidP="00936850">
      <w:pPr>
        <w:pStyle w:val="H23G"/>
        <w:rPr>
          <w:lang w:val="fr-FR"/>
        </w:rPr>
      </w:pPr>
      <w:r>
        <w:rPr>
          <w:rFonts w:asciiTheme="majorBidi" w:hAnsiTheme="majorBidi" w:cstheme="majorBidi"/>
          <w:bCs/>
          <w:lang w:val="fr-FR"/>
        </w:rPr>
        <w:tab/>
      </w:r>
      <w:r w:rsidRPr="00AE3663">
        <w:rPr>
          <w:lang w:val="fr-FR"/>
        </w:rPr>
        <w:tab/>
      </w:r>
      <w:r w:rsidRPr="00AE3663">
        <w:rPr>
          <w:lang w:val="fr-FR"/>
        </w:rPr>
        <w:tab/>
        <w:t xml:space="preserve">Tableau </w:t>
      </w:r>
      <w:r w:rsidR="00936850">
        <w:rPr>
          <w:lang w:val="fr-FR"/>
        </w:rPr>
        <w:t xml:space="preserve">relatif à la </w:t>
      </w:r>
      <w:r w:rsidRPr="00AE3663">
        <w:rPr>
          <w:lang w:val="fr-FR"/>
        </w:rPr>
        <w:t>«</w:t>
      </w:r>
      <w:r>
        <w:rPr>
          <w:lang w:val="fr-FR"/>
        </w:rPr>
        <w:t> </w:t>
      </w:r>
      <w:r w:rsidRPr="00AE3663">
        <w:rPr>
          <w:lang w:val="fr-FR"/>
        </w:rPr>
        <w:t xml:space="preserve">Toxicité aiguë </w:t>
      </w:r>
      <w:r>
        <w:rPr>
          <w:lang w:val="fr-FR"/>
        </w:rPr>
        <w:t>−</w:t>
      </w:r>
      <w:r w:rsidRPr="00AE3663">
        <w:rPr>
          <w:lang w:val="fr-FR"/>
        </w:rPr>
        <w:t xml:space="preserve"> par inhalation (chap</w:t>
      </w:r>
      <w:r>
        <w:rPr>
          <w:lang w:val="fr-FR"/>
        </w:rPr>
        <w:t>itre </w:t>
      </w:r>
      <w:r w:rsidRPr="00AE3663">
        <w:rPr>
          <w:lang w:val="fr-FR"/>
        </w:rPr>
        <w:t>3.1)</w:t>
      </w:r>
      <w:r>
        <w:rPr>
          <w:lang w:val="fr-FR"/>
        </w:rPr>
        <w:t> </w:t>
      </w:r>
      <w:r w:rsidRPr="00AE3663">
        <w:rPr>
          <w:lang w:val="fr-FR"/>
        </w:rPr>
        <w:t>», catégorie de danger</w:t>
      </w:r>
      <w:r>
        <w:rPr>
          <w:lang w:val="fr-FR"/>
        </w:rPr>
        <w:t> </w:t>
      </w:r>
      <w:r w:rsidRPr="00AE3663">
        <w:rPr>
          <w:lang w:val="fr-FR"/>
        </w:rPr>
        <w:t xml:space="preserve">4 </w:t>
      </w:r>
    </w:p>
    <w:p w14:paraId="5BCD4B8F" w14:textId="6A60FA74" w:rsidR="00246D13" w:rsidRPr="00AE3663" w:rsidRDefault="00246D13" w:rsidP="00246D13">
      <w:pPr>
        <w:pStyle w:val="SingleTxtG"/>
        <w:rPr>
          <w:lang w:val="fr-FR"/>
        </w:rPr>
      </w:pPr>
      <w:r w:rsidRPr="00AE3663">
        <w:rPr>
          <w:lang w:val="fr-FR"/>
        </w:rPr>
        <w:t>Colonne « Prévention », à la rubrique P261, remplacer « .... de préciser les conditions applicables. » par « ... de préciser l</w:t>
      </w:r>
      <w:r>
        <w:rPr>
          <w:lang w:val="fr-FR"/>
        </w:rPr>
        <w:t>’</w:t>
      </w:r>
      <w:r w:rsidRPr="00AE3663">
        <w:rPr>
          <w:lang w:val="fr-FR"/>
        </w:rPr>
        <w:t>état physique ou les états physiques applicable(s). » (la rubrique actuelle P271 demeure inchangée).</w:t>
      </w:r>
    </w:p>
    <w:p w14:paraId="6DD88570" w14:textId="66CD8DAF" w:rsidR="00246D13" w:rsidRPr="00AE3663" w:rsidRDefault="00246D13" w:rsidP="00246D13">
      <w:pPr>
        <w:pStyle w:val="SingleTxtG"/>
        <w:rPr>
          <w:lang w:val="fr-FR"/>
        </w:rPr>
      </w:pPr>
      <w:r w:rsidRPr="00AE3663">
        <w:rPr>
          <w:lang w:val="fr-FR"/>
        </w:rPr>
        <w:t>Colonne « Intervention », ajouter les nouvelles rubriques P321 et P323</w:t>
      </w:r>
      <w:r w:rsidR="00C05736">
        <w:rPr>
          <w:lang w:val="fr-FR"/>
        </w:rPr>
        <w:t xml:space="preserve"> suivantes </w:t>
      </w:r>
      <w:r w:rsidRPr="00AE3663">
        <w:rPr>
          <w:lang w:val="fr-FR"/>
        </w:rPr>
        <w:t>(les rubriques actuelles P304+P340 et P317 demeurent inchangées) :</w:t>
      </w:r>
    </w:p>
    <w:p w14:paraId="26840762" w14:textId="77777777" w:rsidR="00246D13" w:rsidRPr="00AE3663" w:rsidRDefault="00246D13" w:rsidP="00775023">
      <w:pPr>
        <w:pStyle w:val="SingleTxtG"/>
        <w:keepNext/>
        <w:ind w:left="1701"/>
        <w:rPr>
          <w:rFonts w:asciiTheme="majorBidi" w:hAnsiTheme="majorBidi" w:cstheme="majorBidi"/>
          <w:bCs/>
          <w:lang w:val="fr-FR"/>
        </w:rPr>
      </w:pPr>
      <w:r w:rsidRPr="00AE3663">
        <w:rPr>
          <w:rFonts w:asciiTheme="majorBidi" w:hAnsiTheme="majorBidi" w:cstheme="majorBidi"/>
          <w:lang w:val="fr-FR"/>
        </w:rPr>
        <w:t>« P321</w:t>
      </w:r>
      <w:r>
        <w:rPr>
          <w:rFonts w:asciiTheme="majorBidi" w:hAnsiTheme="majorBidi" w:cstheme="majorBidi"/>
          <w:bCs/>
          <w:lang w:val="fr-FR"/>
        </w:rPr>
        <w:br/>
      </w:r>
      <w:r w:rsidRPr="00AE3663">
        <w:rPr>
          <w:rFonts w:asciiTheme="majorBidi" w:hAnsiTheme="majorBidi" w:cstheme="majorBidi"/>
          <w:b/>
          <w:bCs/>
          <w:lang w:val="fr-FR"/>
        </w:rPr>
        <w:t>Traitement spécifique (voir les informations figurant sur cette étiquette et sur la fiche de données de sécurité).</w:t>
      </w:r>
    </w:p>
    <w:p w14:paraId="321C1172"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précisées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devant figurer sur la fiche de données de sécurité, le cas échéant.</w:t>
      </w:r>
    </w:p>
    <w:p w14:paraId="79D609E4"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w:t>
      </w:r>
    </w:p>
    <w:p w14:paraId="23467AF9" w14:textId="77777777" w:rsidR="00246D13" w:rsidRPr="00AE3663" w:rsidRDefault="00246D13" w:rsidP="00246D13">
      <w:pPr>
        <w:pStyle w:val="SingleTxtG"/>
        <w:ind w:left="1701"/>
        <w:rPr>
          <w:rFonts w:asciiTheme="majorBidi" w:hAnsiTheme="majorBidi" w:cstheme="majorBidi"/>
          <w:b/>
          <w:lang w:val="fr-FR"/>
        </w:rPr>
      </w:pPr>
      <w:r w:rsidRPr="00AE3663">
        <w:rPr>
          <w:rFonts w:asciiTheme="majorBidi" w:hAnsiTheme="majorBidi" w:cstheme="majorBidi"/>
          <w:lang w:val="fr-FR"/>
        </w:rPr>
        <w:t>P323</w:t>
      </w:r>
      <w:r>
        <w:rPr>
          <w:rFonts w:asciiTheme="majorBidi" w:hAnsiTheme="majorBidi" w:cstheme="majorBidi"/>
          <w:lang w:val="fr-FR"/>
        </w:rPr>
        <w:br/>
      </w:r>
      <w:r w:rsidRPr="00AE3663">
        <w:rPr>
          <w:rFonts w:asciiTheme="majorBidi" w:hAnsiTheme="majorBidi" w:cstheme="majorBidi"/>
          <w:b/>
          <w:bCs/>
          <w:lang w:val="fr-FR"/>
        </w:rPr>
        <w:t>Traitement spécifique (voir les informations figurant la fiche de données de sécurité).</w:t>
      </w:r>
    </w:p>
    <w:p w14:paraId="61E861C5" w14:textId="77777777" w:rsidR="00246D13" w:rsidRPr="00AE3663" w:rsidRDefault="00246D13" w:rsidP="00246D13">
      <w:pPr>
        <w:pStyle w:val="SingleTxtG"/>
        <w:ind w:left="1701"/>
        <w:rPr>
          <w:rStyle w:val="StyleItalic"/>
          <w:rFonts w:asciiTheme="majorBidi" w:hAnsiTheme="majorBidi" w:cstheme="majorBidi"/>
          <w:i w:val="0"/>
          <w:iCs w:val="0"/>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 xml:space="preserve">un autre traitement spécifique.   </w:t>
      </w:r>
    </w:p>
    <w:p w14:paraId="2AFBAF10" w14:textId="77777777" w:rsidR="00246D13" w:rsidRPr="00AE3663" w:rsidRDefault="00246D13" w:rsidP="00246D13">
      <w:pPr>
        <w:pStyle w:val="SingleTxtG"/>
        <w:ind w:left="1701"/>
        <w:rPr>
          <w:rFonts w:asciiTheme="majorBidi" w:hAnsiTheme="majorBidi" w:cstheme="majorBidi"/>
          <w:iCs/>
          <w:lang w:val="fr-FR"/>
        </w:rPr>
      </w:pPr>
      <w:r w:rsidRPr="00AE3663">
        <w:rPr>
          <w:rFonts w:asciiTheme="majorBidi" w:hAnsiTheme="majorBidi" w:cstheme="majorBidi"/>
          <w:i/>
          <w:iCs/>
          <w:lang w:val="fr-FR"/>
        </w:rPr>
        <w:t>- Peut être omis si le conseil P321 ou P322 figure sur l</w:t>
      </w:r>
      <w:r>
        <w:rPr>
          <w:rFonts w:asciiTheme="majorBidi" w:hAnsiTheme="majorBidi" w:cstheme="majorBidi"/>
          <w:i/>
          <w:iCs/>
          <w:lang w:val="fr-FR"/>
        </w:rPr>
        <w:t>’</w:t>
      </w:r>
      <w:r w:rsidRPr="00AE3663">
        <w:rPr>
          <w:rFonts w:asciiTheme="majorBidi" w:hAnsiTheme="majorBidi" w:cstheme="majorBidi"/>
          <w:i/>
          <w:iCs/>
          <w:lang w:val="fr-FR"/>
        </w:rPr>
        <w:t>étiquette. </w:t>
      </w:r>
      <w:r w:rsidRPr="00AE3663">
        <w:rPr>
          <w:rFonts w:asciiTheme="majorBidi" w:hAnsiTheme="majorBidi" w:cstheme="majorBidi"/>
          <w:lang w:val="fr-FR"/>
        </w:rPr>
        <w:t>».</w:t>
      </w:r>
    </w:p>
    <w:p w14:paraId="1477D341" w14:textId="72B6D7FE" w:rsidR="00246D13" w:rsidRPr="00AE3663" w:rsidRDefault="00246D13" w:rsidP="00246D13">
      <w:pPr>
        <w:pStyle w:val="SingleTxtG"/>
        <w:keepNext/>
        <w:keepLines/>
        <w:tabs>
          <w:tab w:val="left" w:pos="1276"/>
        </w:tabs>
        <w:ind w:left="1701" w:hanging="567"/>
        <w:rPr>
          <w:rFonts w:asciiTheme="majorBidi" w:hAnsiTheme="majorBidi" w:cstheme="majorBidi"/>
          <w:lang w:val="fr-FR"/>
        </w:rPr>
      </w:pPr>
      <w:r w:rsidRPr="00AE3663">
        <w:rPr>
          <w:rFonts w:asciiTheme="majorBidi" w:hAnsiTheme="majorBidi" w:cstheme="majorBidi"/>
          <w:lang w:val="fr-FR"/>
        </w:rPr>
        <w:t>Colonne « Élimination », ajouter la nouvelle rubrique P501</w:t>
      </w:r>
      <w:r w:rsidR="00E43D88">
        <w:rPr>
          <w:rFonts w:asciiTheme="majorBidi" w:hAnsiTheme="majorBidi" w:cstheme="majorBidi"/>
          <w:lang w:val="fr-FR"/>
        </w:rPr>
        <w:t xml:space="preserve"> suivante</w:t>
      </w:r>
      <w:r w:rsidRPr="00AE3663">
        <w:rPr>
          <w:rFonts w:asciiTheme="majorBidi" w:hAnsiTheme="majorBidi" w:cstheme="majorBidi"/>
          <w:lang w:val="fr-FR"/>
        </w:rPr>
        <w:t>:</w:t>
      </w:r>
    </w:p>
    <w:p w14:paraId="53F0214E" w14:textId="77777777" w:rsidR="00246D13" w:rsidRPr="00AE3663" w:rsidRDefault="00246D13" w:rsidP="00775023">
      <w:pPr>
        <w:pStyle w:val="SingleTxtG"/>
        <w:ind w:left="1701"/>
        <w:jc w:val="left"/>
        <w:rPr>
          <w:rFonts w:asciiTheme="majorBidi" w:hAnsiTheme="majorBidi" w:cstheme="majorBidi"/>
          <w:lang w:val="fr-FR"/>
        </w:rPr>
      </w:pPr>
      <w:r w:rsidRPr="00AE3663">
        <w:rPr>
          <w:rFonts w:asciiTheme="majorBidi" w:hAnsiTheme="majorBidi" w:cstheme="majorBidi"/>
          <w:lang w:val="fr-FR"/>
        </w:rPr>
        <w:t>« P501</w:t>
      </w:r>
      <w:r>
        <w:rPr>
          <w:rFonts w:asciiTheme="majorBidi" w:hAnsiTheme="majorBidi" w:cstheme="majorBidi"/>
          <w:b/>
          <w:bCs/>
          <w:lang w:val="fr-FR"/>
        </w:rPr>
        <w:br/>
      </w:r>
      <w:r w:rsidRPr="00AE3663">
        <w:rPr>
          <w:rFonts w:asciiTheme="majorBidi" w:hAnsiTheme="majorBidi" w:cstheme="majorBidi"/>
          <w:b/>
          <w:bCs/>
          <w:lang w:val="fr-FR"/>
        </w:rPr>
        <w:t>Éliminer le contenu/récipient dans…</w:t>
      </w:r>
      <w:r w:rsidRPr="00AE3663">
        <w:rPr>
          <w:rFonts w:asciiTheme="majorBidi" w:hAnsiTheme="majorBidi" w:cstheme="majorBidi"/>
          <w:lang w:val="fr-FR"/>
        </w:rPr>
        <w:t xml:space="preserve"> </w:t>
      </w:r>
      <w:r>
        <w:rPr>
          <w:rFonts w:asciiTheme="majorBidi" w:hAnsiTheme="majorBidi" w:cstheme="majorBidi"/>
          <w:lang w:val="fr-FR"/>
        </w:rPr>
        <w:br/>
      </w:r>
      <w:r w:rsidRPr="00AE3663">
        <w:rPr>
          <w:rFonts w:asciiTheme="majorBidi" w:hAnsiTheme="majorBidi" w:cstheme="majorBidi"/>
          <w:lang w:val="fr-FR"/>
        </w:rPr>
        <w:t>... conformément à la réglementation locale/régionale/nationale/internationale (préciser).</w:t>
      </w:r>
    </w:p>
    <w:p w14:paraId="3E3A8C1F" w14:textId="77777777" w:rsidR="00246D13" w:rsidRDefault="00246D13" w:rsidP="00246D13">
      <w:pPr>
        <w:pStyle w:val="SingleTxtG"/>
        <w:ind w:left="1701"/>
        <w:rPr>
          <w:rFonts w:asciiTheme="majorBidi" w:hAnsiTheme="majorBidi" w:cstheme="majorBidi"/>
          <w:lang w:val="fr-FR"/>
        </w:rPr>
      </w:pPr>
      <w:r w:rsidRPr="00AE3663">
        <w:rPr>
          <w:rFonts w:asciiTheme="majorBidi" w:hAnsiTheme="majorBidi" w:cstheme="majorBidi"/>
          <w:lang w:val="fr-FR"/>
        </w:rPr>
        <w:t>Il revient au fabricant/fournisseur ou à l</w:t>
      </w:r>
      <w:r>
        <w:rPr>
          <w:rFonts w:asciiTheme="majorBidi" w:hAnsiTheme="majorBidi" w:cstheme="majorBidi"/>
          <w:lang w:val="fr-FR"/>
        </w:rPr>
        <w:t>’</w:t>
      </w:r>
      <w:r w:rsidRPr="00AE3663">
        <w:rPr>
          <w:rFonts w:asciiTheme="majorBidi" w:hAnsiTheme="majorBidi" w:cstheme="majorBidi"/>
          <w:lang w:val="fr-FR"/>
        </w:rPr>
        <w:t>autorité compétente de préciser si les prescriptions d</w:t>
      </w:r>
      <w:r>
        <w:rPr>
          <w:rFonts w:asciiTheme="majorBidi" w:hAnsiTheme="majorBidi" w:cstheme="majorBidi"/>
          <w:lang w:val="fr-FR"/>
        </w:rPr>
        <w:t>’</w:t>
      </w:r>
      <w:r w:rsidRPr="00AE3663">
        <w:rPr>
          <w:rFonts w:asciiTheme="majorBidi" w:hAnsiTheme="majorBidi" w:cstheme="majorBidi"/>
          <w:lang w:val="fr-FR"/>
        </w:rPr>
        <w:t>élimination s</w:t>
      </w:r>
      <w:r>
        <w:rPr>
          <w:rFonts w:asciiTheme="majorBidi" w:hAnsiTheme="majorBidi" w:cstheme="majorBidi"/>
          <w:lang w:val="fr-FR"/>
        </w:rPr>
        <w:t>’</w:t>
      </w:r>
      <w:r w:rsidRPr="00AE3663">
        <w:rPr>
          <w:rFonts w:asciiTheme="majorBidi" w:hAnsiTheme="majorBidi" w:cstheme="majorBidi"/>
          <w:lang w:val="fr-FR"/>
        </w:rPr>
        <w:t>appliquent au contenu, au récipient ou aux deux. ».</w:t>
      </w:r>
    </w:p>
    <w:p w14:paraId="5125865A" w14:textId="36B3E78A" w:rsidR="005D5C65" w:rsidRDefault="00246D13" w:rsidP="00775023">
      <w:pPr>
        <w:pStyle w:val="H23G"/>
        <w:jc w:val="both"/>
        <w:rPr>
          <w:rFonts w:asciiTheme="majorBidi" w:hAnsiTheme="majorBidi" w:cstheme="majorBidi"/>
          <w:lang w:val="fr-FR"/>
        </w:rPr>
      </w:pPr>
      <w:r w:rsidRPr="00AE3663">
        <w:rPr>
          <w:lang w:val="fr-FR"/>
        </w:rPr>
        <w:tab/>
      </w:r>
      <w:r w:rsidRPr="00AE3663">
        <w:rPr>
          <w:lang w:val="fr-FR"/>
        </w:rPr>
        <w:tab/>
        <w:t xml:space="preserve">Tableau </w:t>
      </w:r>
      <w:r w:rsidR="000030F9">
        <w:rPr>
          <w:lang w:val="fr-FR"/>
        </w:rPr>
        <w:t xml:space="preserve">relatif à la </w:t>
      </w:r>
      <w:r w:rsidRPr="00AE3663">
        <w:rPr>
          <w:lang w:val="fr-FR"/>
        </w:rPr>
        <w:t>«</w:t>
      </w:r>
      <w:r>
        <w:rPr>
          <w:lang w:val="fr-FR"/>
        </w:rPr>
        <w:t> </w:t>
      </w:r>
      <w:r w:rsidRPr="00AE3663">
        <w:rPr>
          <w:lang w:val="fr-FR"/>
        </w:rPr>
        <w:t>Toxicité aiguë −</w:t>
      </w:r>
      <w:r>
        <w:rPr>
          <w:lang w:val="fr-FR"/>
        </w:rPr>
        <w:t> </w:t>
      </w:r>
      <w:r w:rsidRPr="00AE3663">
        <w:rPr>
          <w:lang w:val="fr-FR"/>
        </w:rPr>
        <w:t>par inhalation (chap</w:t>
      </w:r>
      <w:r>
        <w:rPr>
          <w:lang w:val="fr-FR"/>
        </w:rPr>
        <w:t>itre </w:t>
      </w:r>
      <w:r w:rsidRPr="00AE3663">
        <w:rPr>
          <w:lang w:val="fr-FR"/>
        </w:rPr>
        <w:t>3.1)</w:t>
      </w:r>
      <w:r>
        <w:rPr>
          <w:lang w:val="fr-FR"/>
        </w:rPr>
        <w:t> </w:t>
      </w:r>
      <w:r w:rsidRPr="00AE3663">
        <w:rPr>
          <w:lang w:val="fr-FR"/>
        </w:rPr>
        <w:t>», catégorie de danger</w:t>
      </w:r>
      <w:r>
        <w:rPr>
          <w:lang w:val="fr-FR"/>
        </w:rPr>
        <w:t> </w:t>
      </w:r>
      <w:r w:rsidRPr="00AE3663">
        <w:rPr>
          <w:lang w:val="fr-FR"/>
        </w:rPr>
        <w:t>5</w:t>
      </w:r>
      <w:r w:rsidR="005D5C65">
        <w:rPr>
          <w:lang w:val="fr-FR"/>
        </w:rPr>
        <w:t xml:space="preserve">, </w:t>
      </w:r>
      <w:r w:rsidR="00A142A8">
        <w:rPr>
          <w:rFonts w:asciiTheme="majorBidi" w:hAnsiTheme="majorBidi" w:cstheme="majorBidi"/>
          <w:lang w:val="fr-FR"/>
        </w:rPr>
        <w:t>co</w:t>
      </w:r>
      <w:r w:rsidRPr="00AE3663">
        <w:rPr>
          <w:rFonts w:asciiTheme="majorBidi" w:hAnsiTheme="majorBidi" w:cstheme="majorBidi"/>
          <w:lang w:val="fr-FR"/>
        </w:rPr>
        <w:t xml:space="preserve">lonne « Intervention » </w:t>
      </w:r>
    </w:p>
    <w:p w14:paraId="26B0B4DD" w14:textId="2EC67991" w:rsidR="00246D13" w:rsidRPr="00AE3663" w:rsidRDefault="005D5C65" w:rsidP="00246D13">
      <w:pPr>
        <w:pStyle w:val="SingleTxtG"/>
        <w:ind w:left="1701" w:hanging="567"/>
        <w:rPr>
          <w:rFonts w:asciiTheme="majorBidi" w:hAnsiTheme="majorBidi" w:cstheme="majorBidi"/>
          <w:lang w:val="fr-FR"/>
        </w:rPr>
      </w:pPr>
      <w:r>
        <w:rPr>
          <w:rFonts w:asciiTheme="majorBidi" w:hAnsiTheme="majorBidi" w:cstheme="majorBidi"/>
          <w:lang w:val="fr-FR"/>
        </w:rPr>
        <w:t>M</w:t>
      </w:r>
      <w:r w:rsidR="00246D13" w:rsidRPr="00AE3663">
        <w:rPr>
          <w:rFonts w:asciiTheme="majorBidi" w:hAnsiTheme="majorBidi" w:cstheme="majorBidi"/>
          <w:lang w:val="fr-FR"/>
        </w:rPr>
        <w:t xml:space="preserve">odifier </w:t>
      </w:r>
      <w:r>
        <w:rPr>
          <w:rFonts w:asciiTheme="majorBidi" w:hAnsiTheme="majorBidi" w:cstheme="majorBidi"/>
          <w:lang w:val="fr-FR"/>
        </w:rPr>
        <w:t xml:space="preserve">pour lire </w:t>
      </w:r>
      <w:r w:rsidR="00246D13" w:rsidRPr="00AE3663">
        <w:rPr>
          <w:rFonts w:asciiTheme="majorBidi" w:hAnsiTheme="majorBidi" w:cstheme="majorBidi"/>
          <w:lang w:val="fr-FR"/>
        </w:rPr>
        <w:t>comme suit :</w:t>
      </w:r>
    </w:p>
    <w:p w14:paraId="64174BCA" w14:textId="77777777" w:rsidR="00246D13" w:rsidRPr="00AE3663" w:rsidRDefault="00246D13" w:rsidP="00246D13">
      <w:pPr>
        <w:pStyle w:val="SingleTxtG"/>
        <w:ind w:left="1701"/>
        <w:rPr>
          <w:rFonts w:asciiTheme="majorBidi" w:hAnsiTheme="majorBidi" w:cstheme="majorBidi"/>
          <w:b/>
          <w:lang w:val="fr-FR"/>
        </w:rPr>
      </w:pPr>
      <w:r w:rsidRPr="00AE3663">
        <w:rPr>
          <w:rFonts w:asciiTheme="majorBidi" w:hAnsiTheme="majorBidi" w:cstheme="majorBidi"/>
          <w:lang w:val="fr-FR"/>
        </w:rPr>
        <w:t>« P317</w:t>
      </w:r>
      <w:r>
        <w:rPr>
          <w:rFonts w:asciiTheme="majorBidi" w:hAnsiTheme="majorBidi" w:cstheme="majorBidi"/>
          <w:lang w:val="fr-FR"/>
        </w:rPr>
        <w:br/>
      </w:r>
      <w:r w:rsidRPr="00AE3663">
        <w:rPr>
          <w:rFonts w:asciiTheme="majorBidi" w:hAnsiTheme="majorBidi" w:cstheme="majorBidi"/>
          <w:b/>
          <w:bCs/>
          <w:lang w:val="fr-FR"/>
        </w:rPr>
        <w:t>Demander une aide médicale.</w:t>
      </w:r>
    </w:p>
    <w:p w14:paraId="6CC3657D" w14:textId="1F820DC2" w:rsidR="00246D13" w:rsidRDefault="00246D13" w:rsidP="00775023">
      <w:pPr>
        <w:pStyle w:val="SingleTxtG"/>
        <w:ind w:left="1701"/>
        <w:jc w:val="left"/>
        <w:rPr>
          <w:rFonts w:asciiTheme="majorBidi" w:hAnsiTheme="majorBidi" w:cstheme="majorBidi"/>
          <w:lang w:val="fr-FR"/>
        </w:rPr>
      </w:pPr>
      <w:r w:rsidRPr="00AE3663">
        <w:rPr>
          <w:rFonts w:asciiTheme="majorBidi" w:hAnsiTheme="majorBidi" w:cstheme="majorBidi"/>
          <w:lang w:val="fr-FR"/>
        </w:rPr>
        <w:t>P304+P340</w:t>
      </w:r>
      <w:r>
        <w:rPr>
          <w:rFonts w:asciiTheme="majorBidi" w:hAnsiTheme="majorBidi" w:cstheme="majorBidi"/>
          <w:b/>
          <w:bCs/>
          <w:lang w:val="fr-FR"/>
        </w:rPr>
        <w:br/>
      </w:r>
      <w:r w:rsidRPr="00AE3663">
        <w:rPr>
          <w:rFonts w:asciiTheme="majorBidi" w:hAnsiTheme="majorBidi" w:cstheme="majorBidi"/>
          <w:b/>
          <w:bCs/>
          <w:lang w:val="fr-FR"/>
        </w:rPr>
        <w:t>EN CAS D</w:t>
      </w:r>
      <w:r>
        <w:rPr>
          <w:rFonts w:asciiTheme="majorBidi" w:hAnsiTheme="majorBidi" w:cstheme="majorBidi"/>
          <w:b/>
          <w:bCs/>
          <w:lang w:val="fr-FR"/>
        </w:rPr>
        <w:t>’</w:t>
      </w:r>
      <w:r w:rsidRPr="00AE3663">
        <w:rPr>
          <w:rFonts w:asciiTheme="majorBidi" w:hAnsiTheme="majorBidi" w:cstheme="majorBidi"/>
          <w:b/>
          <w:bCs/>
          <w:lang w:val="fr-FR"/>
        </w:rPr>
        <w:t>INHALATION</w:t>
      </w:r>
      <w:r>
        <w:rPr>
          <w:rFonts w:asciiTheme="majorBidi" w:hAnsiTheme="majorBidi" w:cstheme="majorBidi"/>
          <w:b/>
          <w:bCs/>
          <w:lang w:val="fr-FR"/>
        </w:rPr>
        <w:t> </w:t>
      </w:r>
      <w:r w:rsidRPr="00AE3663">
        <w:rPr>
          <w:rFonts w:asciiTheme="majorBidi" w:hAnsiTheme="majorBidi" w:cstheme="majorBidi"/>
          <w:b/>
          <w:bCs/>
          <w:lang w:val="fr-FR"/>
        </w:rPr>
        <w:t>: Transporter la personne à l</w:t>
      </w:r>
      <w:r>
        <w:rPr>
          <w:rFonts w:asciiTheme="majorBidi" w:hAnsiTheme="majorBidi" w:cstheme="majorBidi"/>
          <w:b/>
          <w:bCs/>
          <w:lang w:val="fr-FR"/>
        </w:rPr>
        <w:t>’</w:t>
      </w:r>
      <w:r w:rsidRPr="00AE3663">
        <w:rPr>
          <w:rFonts w:asciiTheme="majorBidi" w:hAnsiTheme="majorBidi" w:cstheme="majorBidi"/>
          <w:b/>
          <w:bCs/>
          <w:lang w:val="fr-FR"/>
        </w:rPr>
        <w:t>extérieur et la maintenir dans une position où elle peut confortablement respirer.</w:t>
      </w:r>
      <w:r w:rsidRPr="00155A4C">
        <w:rPr>
          <w:rFonts w:asciiTheme="majorBidi" w:hAnsiTheme="majorBidi" w:cstheme="majorBidi"/>
          <w:lang w:val="fr-FR"/>
        </w:rPr>
        <w:t> ».</w:t>
      </w:r>
    </w:p>
    <w:p w14:paraId="57B0C738" w14:textId="27A96682" w:rsidR="003474ED" w:rsidRDefault="00246D13" w:rsidP="00775023">
      <w:pPr>
        <w:pStyle w:val="H23G"/>
        <w:rPr>
          <w:rFonts w:asciiTheme="majorBidi" w:hAnsiTheme="majorBidi" w:cstheme="majorBidi"/>
          <w:lang w:val="fr-FR"/>
        </w:rPr>
      </w:pPr>
      <w:r w:rsidRPr="00AE3663">
        <w:rPr>
          <w:lang w:val="fr-FR"/>
        </w:rPr>
        <w:lastRenderedPageBreak/>
        <w:tab/>
      </w:r>
      <w:r w:rsidRPr="00AE3663">
        <w:rPr>
          <w:lang w:val="fr-FR"/>
        </w:rPr>
        <w:tab/>
        <w:t xml:space="preserve">Tableau </w:t>
      </w:r>
      <w:r w:rsidR="00CC5D57">
        <w:rPr>
          <w:lang w:val="fr-FR"/>
        </w:rPr>
        <w:t xml:space="preserve">relatif à la  </w:t>
      </w:r>
      <w:r w:rsidRPr="00AE3663">
        <w:rPr>
          <w:lang w:val="fr-FR"/>
        </w:rPr>
        <w:t>« Corrosion cutanée/irritation cutanée (chap</w:t>
      </w:r>
      <w:r>
        <w:rPr>
          <w:lang w:val="fr-FR"/>
        </w:rPr>
        <w:t>itre </w:t>
      </w:r>
      <w:r w:rsidRPr="00AE3663">
        <w:rPr>
          <w:lang w:val="fr-FR"/>
        </w:rPr>
        <w:t>3.2) », catégories de danger</w:t>
      </w:r>
      <w:r>
        <w:rPr>
          <w:lang w:val="fr-FR"/>
        </w:rPr>
        <w:t> </w:t>
      </w:r>
      <w:r w:rsidRPr="00AE3663">
        <w:rPr>
          <w:lang w:val="fr-FR"/>
        </w:rPr>
        <w:t>1, 1A, 1B, 1C</w:t>
      </w:r>
      <w:r w:rsidR="003474ED">
        <w:rPr>
          <w:lang w:val="fr-FR"/>
        </w:rPr>
        <w:t xml:space="preserve">, </w:t>
      </w:r>
      <w:r w:rsidR="003474ED">
        <w:rPr>
          <w:rFonts w:asciiTheme="majorBidi" w:hAnsiTheme="majorBidi" w:cstheme="majorBidi"/>
          <w:lang w:val="fr-FR"/>
        </w:rPr>
        <w:t>c</w:t>
      </w:r>
      <w:r w:rsidRPr="00AE3663">
        <w:rPr>
          <w:rFonts w:asciiTheme="majorBidi" w:hAnsiTheme="majorBidi" w:cstheme="majorBidi"/>
          <w:lang w:val="fr-FR"/>
        </w:rPr>
        <w:t xml:space="preserve">olonne « Intervention » </w:t>
      </w:r>
    </w:p>
    <w:p w14:paraId="2C82DE41" w14:textId="1633FD55" w:rsidR="00246D13" w:rsidRPr="00AE3663" w:rsidRDefault="003474ED" w:rsidP="00246D13">
      <w:pPr>
        <w:pStyle w:val="SingleTxtG"/>
        <w:rPr>
          <w:rFonts w:asciiTheme="majorBidi" w:hAnsiTheme="majorBidi" w:cstheme="majorBidi"/>
          <w:lang w:val="fr-FR"/>
        </w:rPr>
      </w:pPr>
      <w:r>
        <w:rPr>
          <w:rFonts w:asciiTheme="majorBidi" w:hAnsiTheme="majorBidi" w:cstheme="majorBidi"/>
          <w:lang w:val="fr-FR"/>
        </w:rPr>
        <w:t>M</w:t>
      </w:r>
      <w:r w:rsidR="00246D13" w:rsidRPr="00AE3663">
        <w:rPr>
          <w:rFonts w:asciiTheme="majorBidi" w:hAnsiTheme="majorBidi" w:cstheme="majorBidi"/>
          <w:lang w:val="fr-FR"/>
        </w:rPr>
        <w:t xml:space="preserve">odifier la rubrique P321 et ajouter </w:t>
      </w:r>
      <w:r w:rsidR="00AC1801">
        <w:rPr>
          <w:rFonts w:asciiTheme="majorBidi" w:hAnsiTheme="majorBidi" w:cstheme="majorBidi"/>
          <w:lang w:val="fr-FR"/>
        </w:rPr>
        <w:t>une</w:t>
      </w:r>
      <w:r w:rsidR="00AC1801" w:rsidRPr="00AE3663">
        <w:rPr>
          <w:rFonts w:asciiTheme="majorBidi" w:hAnsiTheme="majorBidi" w:cstheme="majorBidi"/>
          <w:lang w:val="fr-FR"/>
        </w:rPr>
        <w:t xml:space="preserve"> </w:t>
      </w:r>
      <w:r w:rsidR="00246D13" w:rsidRPr="00AE3663">
        <w:rPr>
          <w:rFonts w:asciiTheme="majorBidi" w:hAnsiTheme="majorBidi" w:cstheme="majorBidi"/>
          <w:lang w:val="fr-FR"/>
        </w:rPr>
        <w:t>nouvelle rubrique P323</w:t>
      </w:r>
      <w:r w:rsidR="004B150D">
        <w:rPr>
          <w:rFonts w:asciiTheme="majorBidi" w:hAnsiTheme="majorBidi" w:cstheme="majorBidi"/>
          <w:lang w:val="fr-FR"/>
        </w:rPr>
        <w:t xml:space="preserve"> </w:t>
      </w:r>
      <w:r w:rsidR="00AC1801">
        <w:rPr>
          <w:rFonts w:asciiTheme="majorBidi" w:hAnsiTheme="majorBidi" w:cstheme="majorBidi"/>
          <w:lang w:val="fr-FR"/>
        </w:rPr>
        <w:t>comme suit</w:t>
      </w:r>
      <w:r w:rsidR="00246D13" w:rsidRPr="00AE3663">
        <w:rPr>
          <w:rFonts w:asciiTheme="majorBidi" w:hAnsiTheme="majorBidi" w:cstheme="majorBidi"/>
          <w:lang w:val="fr-FR"/>
        </w:rPr>
        <w:t xml:space="preserve"> (les rubriques actuelles P301+P330+P331, P302+P361+P354, P363, P304+P340, P316 et P305+P354+P338 demeurent inchangées) :</w:t>
      </w:r>
    </w:p>
    <w:p w14:paraId="33952EEB" w14:textId="77777777" w:rsidR="00246D13" w:rsidRPr="00AE3663" w:rsidRDefault="00246D13" w:rsidP="00246D13">
      <w:pPr>
        <w:pStyle w:val="SingleTxtG"/>
        <w:ind w:left="1701"/>
        <w:rPr>
          <w:rFonts w:asciiTheme="majorBidi" w:hAnsiTheme="majorBidi" w:cstheme="majorBidi"/>
          <w:bCs/>
          <w:lang w:val="fr-FR"/>
        </w:rPr>
      </w:pPr>
      <w:r w:rsidRPr="00AE3663">
        <w:rPr>
          <w:rFonts w:asciiTheme="majorBidi" w:hAnsiTheme="majorBidi" w:cstheme="majorBidi"/>
          <w:lang w:val="fr-FR"/>
        </w:rPr>
        <w:t>« P321</w:t>
      </w:r>
      <w:r>
        <w:rPr>
          <w:rFonts w:asciiTheme="majorBidi" w:hAnsiTheme="majorBidi" w:cstheme="majorBidi"/>
          <w:b/>
          <w:bCs/>
          <w:lang w:val="fr-FR"/>
        </w:rPr>
        <w:br/>
      </w:r>
      <w:r w:rsidRPr="00AE3663">
        <w:rPr>
          <w:rFonts w:asciiTheme="majorBidi" w:hAnsiTheme="majorBidi" w:cstheme="majorBidi"/>
          <w:b/>
          <w:bCs/>
          <w:lang w:val="fr-FR"/>
        </w:rPr>
        <w:t>Traitement spécifique (voir les informations figurant sur cette étiquette et sur la fiche de données de sécurité).</w:t>
      </w:r>
    </w:p>
    <w:p w14:paraId="7D35B5E6"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précisées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devant figurer sur la fiche de données de sécurité, le cas échéant.</w:t>
      </w:r>
    </w:p>
    <w:p w14:paraId="1090322B"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w:t>
      </w:r>
    </w:p>
    <w:p w14:paraId="06E1479C" w14:textId="77777777" w:rsidR="00246D13" w:rsidRPr="00AE3663" w:rsidRDefault="00246D13" w:rsidP="00775023">
      <w:pPr>
        <w:pStyle w:val="SingleTxtG"/>
        <w:keepNext/>
        <w:ind w:left="1701"/>
        <w:rPr>
          <w:rFonts w:asciiTheme="majorBidi" w:hAnsiTheme="majorBidi" w:cstheme="majorBidi"/>
          <w:b/>
          <w:lang w:val="fr-FR"/>
        </w:rPr>
      </w:pPr>
      <w:r w:rsidRPr="00AE3663">
        <w:rPr>
          <w:rFonts w:asciiTheme="majorBidi" w:hAnsiTheme="majorBidi" w:cstheme="majorBidi"/>
          <w:lang w:val="fr-FR"/>
        </w:rPr>
        <w:t>P323</w:t>
      </w:r>
      <w:r>
        <w:rPr>
          <w:rFonts w:asciiTheme="majorBidi" w:hAnsiTheme="majorBidi" w:cstheme="majorBidi"/>
          <w:lang w:val="fr-FR"/>
        </w:rPr>
        <w:br/>
      </w:r>
      <w:r w:rsidRPr="00AE3663">
        <w:rPr>
          <w:rFonts w:asciiTheme="majorBidi" w:hAnsiTheme="majorBidi" w:cstheme="majorBidi"/>
          <w:b/>
          <w:bCs/>
          <w:lang w:val="fr-FR"/>
        </w:rPr>
        <w:t>Traitement spécifique (voir les informations figurant la fiche de données de sécurité).</w:t>
      </w:r>
    </w:p>
    <w:p w14:paraId="0B84D0B1" w14:textId="77777777" w:rsidR="00246D13" w:rsidRPr="00AE3663" w:rsidRDefault="00246D13" w:rsidP="00246D13">
      <w:pPr>
        <w:pStyle w:val="SingleTxtG"/>
        <w:ind w:left="1701"/>
        <w:rPr>
          <w:rStyle w:val="StyleItalic"/>
          <w:rFonts w:asciiTheme="majorBidi" w:hAnsiTheme="majorBidi" w:cstheme="majorBidi"/>
          <w:i w:val="0"/>
          <w:iCs w:val="0"/>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 xml:space="preserve">un autre traitement spécifique.   </w:t>
      </w:r>
    </w:p>
    <w:p w14:paraId="0146BF71" w14:textId="77777777" w:rsidR="00246D13" w:rsidRDefault="00246D13" w:rsidP="00246D13">
      <w:pPr>
        <w:pStyle w:val="SingleTxtG"/>
        <w:ind w:left="1701"/>
        <w:rPr>
          <w:rFonts w:asciiTheme="majorBidi" w:hAnsiTheme="majorBidi" w:cstheme="majorBidi"/>
          <w:i/>
          <w:iCs/>
          <w:lang w:val="fr-FR"/>
        </w:rPr>
      </w:pPr>
      <w:r w:rsidRPr="00AE3663">
        <w:rPr>
          <w:rFonts w:asciiTheme="majorBidi" w:hAnsiTheme="majorBidi" w:cstheme="majorBidi"/>
          <w:i/>
          <w:iCs/>
          <w:lang w:val="fr-FR"/>
        </w:rPr>
        <w:t>- Peut être omis si le conseil P321 ou P322 figure sur l</w:t>
      </w:r>
      <w:r>
        <w:rPr>
          <w:rFonts w:asciiTheme="majorBidi" w:hAnsiTheme="majorBidi" w:cstheme="majorBidi"/>
          <w:i/>
          <w:iCs/>
          <w:lang w:val="fr-FR"/>
        </w:rPr>
        <w:t>’</w:t>
      </w:r>
      <w:r w:rsidRPr="00AE3663">
        <w:rPr>
          <w:rFonts w:asciiTheme="majorBidi" w:hAnsiTheme="majorBidi" w:cstheme="majorBidi"/>
          <w:i/>
          <w:iCs/>
          <w:lang w:val="fr-FR"/>
        </w:rPr>
        <w:t>étiquette. ».</w:t>
      </w:r>
    </w:p>
    <w:p w14:paraId="23101507" w14:textId="33D5646B" w:rsidR="002B4A8E" w:rsidRDefault="00246D13" w:rsidP="00775023">
      <w:pPr>
        <w:pStyle w:val="H23G"/>
        <w:rPr>
          <w:rFonts w:asciiTheme="majorBidi" w:hAnsiTheme="majorBidi" w:cstheme="majorBidi"/>
          <w:lang w:val="fr-FR"/>
        </w:rPr>
      </w:pPr>
      <w:r w:rsidRPr="00AE3663">
        <w:rPr>
          <w:lang w:val="fr-FR"/>
        </w:rPr>
        <w:tab/>
      </w:r>
      <w:r w:rsidRPr="00AE3663">
        <w:rPr>
          <w:lang w:val="fr-FR"/>
        </w:rPr>
        <w:tab/>
        <w:t xml:space="preserve">Tableau </w:t>
      </w:r>
      <w:r w:rsidR="00CC5D57">
        <w:rPr>
          <w:lang w:val="fr-FR"/>
        </w:rPr>
        <w:t xml:space="preserve">relatif à la </w:t>
      </w:r>
      <w:r w:rsidRPr="00AE3663">
        <w:rPr>
          <w:lang w:val="fr-FR"/>
        </w:rPr>
        <w:t>« Corrosion cutanée/irritation cutanée (chap</w:t>
      </w:r>
      <w:r>
        <w:rPr>
          <w:lang w:val="fr-FR"/>
        </w:rPr>
        <w:t>itre </w:t>
      </w:r>
      <w:r w:rsidRPr="00AE3663">
        <w:rPr>
          <w:lang w:val="fr-FR"/>
        </w:rPr>
        <w:t>3.2) », catégorie de danger</w:t>
      </w:r>
      <w:r>
        <w:rPr>
          <w:lang w:val="fr-FR"/>
        </w:rPr>
        <w:t> </w:t>
      </w:r>
      <w:r w:rsidRPr="00AE3663">
        <w:rPr>
          <w:lang w:val="fr-FR"/>
        </w:rPr>
        <w:t>2</w:t>
      </w:r>
      <w:r w:rsidR="002B4A8E">
        <w:rPr>
          <w:lang w:val="fr-FR"/>
        </w:rPr>
        <w:t xml:space="preserve">, </w:t>
      </w:r>
      <w:r w:rsidR="002B4A8E">
        <w:rPr>
          <w:rFonts w:asciiTheme="majorBidi" w:hAnsiTheme="majorBidi" w:cstheme="majorBidi"/>
          <w:lang w:val="fr-FR"/>
        </w:rPr>
        <w:t>c</w:t>
      </w:r>
      <w:r w:rsidRPr="00AE3663">
        <w:rPr>
          <w:rFonts w:asciiTheme="majorBidi" w:hAnsiTheme="majorBidi" w:cstheme="majorBidi"/>
          <w:lang w:val="fr-FR"/>
        </w:rPr>
        <w:t xml:space="preserve">olonne « Intervention » </w:t>
      </w:r>
    </w:p>
    <w:p w14:paraId="06147403" w14:textId="32629E0C" w:rsidR="00246D13" w:rsidRPr="00AE3663" w:rsidRDefault="002B4A8E" w:rsidP="00FD13A8">
      <w:pPr>
        <w:pStyle w:val="SingleTxtG"/>
        <w:rPr>
          <w:rFonts w:asciiTheme="majorBidi" w:hAnsiTheme="majorBidi" w:cstheme="majorBidi"/>
          <w:lang w:val="fr-FR"/>
        </w:rPr>
      </w:pPr>
      <w:r>
        <w:rPr>
          <w:rFonts w:asciiTheme="majorBidi" w:hAnsiTheme="majorBidi" w:cstheme="majorBidi"/>
          <w:lang w:val="fr-FR"/>
        </w:rPr>
        <w:t>M</w:t>
      </w:r>
      <w:r w:rsidR="00246D13" w:rsidRPr="00AE3663">
        <w:rPr>
          <w:rFonts w:asciiTheme="majorBidi" w:hAnsiTheme="majorBidi" w:cstheme="majorBidi"/>
          <w:lang w:val="fr-FR"/>
        </w:rPr>
        <w:t xml:space="preserve">odifier la rubrique P321 et ajouter </w:t>
      </w:r>
      <w:r w:rsidR="00FD13A8">
        <w:rPr>
          <w:rFonts w:asciiTheme="majorBidi" w:hAnsiTheme="majorBidi" w:cstheme="majorBidi"/>
          <w:lang w:val="fr-FR"/>
        </w:rPr>
        <w:t>une</w:t>
      </w:r>
      <w:r w:rsidR="00FD13A8" w:rsidRPr="00AE3663">
        <w:rPr>
          <w:rFonts w:asciiTheme="majorBidi" w:hAnsiTheme="majorBidi" w:cstheme="majorBidi"/>
          <w:lang w:val="fr-FR"/>
        </w:rPr>
        <w:t xml:space="preserve"> </w:t>
      </w:r>
      <w:r w:rsidR="00246D13" w:rsidRPr="00AE3663">
        <w:rPr>
          <w:rFonts w:asciiTheme="majorBidi" w:hAnsiTheme="majorBidi" w:cstheme="majorBidi"/>
          <w:lang w:val="fr-FR"/>
        </w:rPr>
        <w:t>nouvelle rubrique P323</w:t>
      </w:r>
      <w:r w:rsidR="00E83567">
        <w:rPr>
          <w:rFonts w:asciiTheme="majorBidi" w:hAnsiTheme="majorBidi" w:cstheme="majorBidi"/>
          <w:lang w:val="fr-FR"/>
        </w:rPr>
        <w:t xml:space="preserve"> </w:t>
      </w:r>
      <w:r w:rsidR="00FD13A8">
        <w:rPr>
          <w:rFonts w:asciiTheme="majorBidi" w:hAnsiTheme="majorBidi" w:cstheme="majorBidi"/>
          <w:lang w:val="fr-FR"/>
        </w:rPr>
        <w:t>comme suit</w:t>
      </w:r>
      <w:r w:rsidR="00246D13" w:rsidRPr="00AE3663">
        <w:rPr>
          <w:rFonts w:asciiTheme="majorBidi" w:hAnsiTheme="majorBidi" w:cstheme="majorBidi"/>
          <w:lang w:val="fr-FR"/>
        </w:rPr>
        <w:t xml:space="preserve"> (les rubriques P302+P352, P332+</w:t>
      </w:r>
      <w:r w:rsidR="00246D13">
        <w:rPr>
          <w:rFonts w:asciiTheme="majorBidi" w:hAnsiTheme="majorBidi" w:cstheme="majorBidi"/>
          <w:lang w:val="fr-FR"/>
        </w:rPr>
        <w:t>P</w:t>
      </w:r>
      <w:r w:rsidR="00246D13" w:rsidRPr="00AE3663">
        <w:rPr>
          <w:rFonts w:asciiTheme="majorBidi" w:hAnsiTheme="majorBidi" w:cstheme="majorBidi"/>
          <w:lang w:val="fr-FR"/>
        </w:rPr>
        <w:t>317 et P362+P364 actuelles demeurent inchangées) :</w:t>
      </w:r>
    </w:p>
    <w:p w14:paraId="59B33E63" w14:textId="77777777" w:rsidR="00246D13" w:rsidRPr="00AE3663" w:rsidRDefault="00246D13" w:rsidP="00246D13">
      <w:pPr>
        <w:pStyle w:val="SingleTxtG"/>
        <w:ind w:left="1701"/>
        <w:rPr>
          <w:rFonts w:asciiTheme="majorBidi" w:hAnsiTheme="majorBidi" w:cstheme="majorBidi"/>
          <w:bCs/>
          <w:lang w:val="fr-FR"/>
        </w:rPr>
      </w:pPr>
      <w:r w:rsidRPr="00AE3663">
        <w:rPr>
          <w:rFonts w:asciiTheme="majorBidi" w:hAnsiTheme="majorBidi" w:cstheme="majorBidi"/>
          <w:lang w:val="fr-FR"/>
        </w:rPr>
        <w:t>« P321</w:t>
      </w:r>
      <w:r>
        <w:rPr>
          <w:rFonts w:asciiTheme="majorBidi" w:hAnsiTheme="majorBidi" w:cstheme="majorBidi"/>
          <w:b/>
          <w:bCs/>
          <w:lang w:val="fr-FR"/>
        </w:rPr>
        <w:br/>
      </w:r>
      <w:r w:rsidRPr="00AE3663">
        <w:rPr>
          <w:rFonts w:asciiTheme="majorBidi" w:hAnsiTheme="majorBidi" w:cstheme="majorBidi"/>
          <w:b/>
          <w:bCs/>
          <w:lang w:val="fr-FR"/>
        </w:rPr>
        <w:t>Traitement spécifique (voir les informations figurant sur cette étiquette et sur la fiche de données de sécurité).</w:t>
      </w:r>
    </w:p>
    <w:p w14:paraId="4C6D535D"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précisées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devant figurer sur la fiche de données de sécurité, le cas échéant.</w:t>
      </w:r>
    </w:p>
    <w:p w14:paraId="1923EE74"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w:t>
      </w:r>
    </w:p>
    <w:p w14:paraId="127F9F8D" w14:textId="77777777" w:rsidR="00246D13" w:rsidRPr="00AE3663" w:rsidRDefault="00246D13" w:rsidP="00246D13">
      <w:pPr>
        <w:pStyle w:val="SingleTxtG"/>
        <w:ind w:left="1701"/>
        <w:rPr>
          <w:rFonts w:asciiTheme="majorBidi" w:hAnsiTheme="majorBidi" w:cstheme="majorBidi"/>
          <w:b/>
          <w:lang w:val="fr-FR"/>
        </w:rPr>
      </w:pPr>
      <w:r w:rsidRPr="00AE3663">
        <w:rPr>
          <w:rFonts w:asciiTheme="majorBidi" w:hAnsiTheme="majorBidi" w:cstheme="majorBidi"/>
          <w:lang w:val="fr-FR"/>
        </w:rPr>
        <w:t>P323</w:t>
      </w:r>
      <w:r>
        <w:rPr>
          <w:rFonts w:asciiTheme="majorBidi" w:hAnsiTheme="majorBidi" w:cstheme="majorBidi"/>
          <w:lang w:val="fr-FR"/>
        </w:rPr>
        <w:br/>
      </w:r>
      <w:r w:rsidRPr="00AE3663">
        <w:rPr>
          <w:rFonts w:asciiTheme="majorBidi" w:hAnsiTheme="majorBidi" w:cstheme="majorBidi"/>
          <w:b/>
          <w:bCs/>
          <w:lang w:val="fr-FR"/>
        </w:rPr>
        <w:t>Traitement spécifique (voir les informations figurant la fiche de données de sécurité).</w:t>
      </w:r>
    </w:p>
    <w:p w14:paraId="45189BAB" w14:textId="40065165" w:rsidR="00246D13" w:rsidRPr="00AE3663" w:rsidRDefault="00246D13" w:rsidP="00246D13">
      <w:pPr>
        <w:pStyle w:val="SingleTxtG"/>
        <w:ind w:left="1701"/>
        <w:rPr>
          <w:rStyle w:val="StyleItalic"/>
          <w:rFonts w:asciiTheme="majorBidi" w:hAnsiTheme="majorBidi" w:cstheme="majorBidi"/>
          <w:i w:val="0"/>
          <w:iCs w:val="0"/>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un autre traitement spécifique.</w:t>
      </w:r>
    </w:p>
    <w:p w14:paraId="5C18D8D8" w14:textId="77777777" w:rsidR="00246D13" w:rsidRDefault="00246D13" w:rsidP="00246D13">
      <w:pPr>
        <w:pStyle w:val="SingleTxtG"/>
        <w:ind w:left="1701"/>
        <w:rPr>
          <w:rFonts w:asciiTheme="majorBidi" w:hAnsiTheme="majorBidi" w:cstheme="majorBidi"/>
          <w:i/>
          <w:iCs/>
          <w:lang w:val="fr-FR"/>
        </w:rPr>
      </w:pPr>
      <w:r w:rsidRPr="00AE3663">
        <w:rPr>
          <w:rFonts w:asciiTheme="majorBidi" w:hAnsiTheme="majorBidi" w:cstheme="majorBidi"/>
          <w:i/>
          <w:iCs/>
          <w:lang w:val="fr-FR"/>
        </w:rPr>
        <w:t>- Peut être omis si le conseil P321 ou P322 figure sur l</w:t>
      </w:r>
      <w:r>
        <w:rPr>
          <w:rFonts w:asciiTheme="majorBidi" w:hAnsiTheme="majorBidi" w:cstheme="majorBidi"/>
          <w:i/>
          <w:iCs/>
          <w:lang w:val="fr-FR"/>
        </w:rPr>
        <w:t>’</w:t>
      </w:r>
      <w:r w:rsidRPr="00AE3663">
        <w:rPr>
          <w:rFonts w:asciiTheme="majorBidi" w:hAnsiTheme="majorBidi" w:cstheme="majorBidi"/>
          <w:i/>
          <w:iCs/>
          <w:lang w:val="fr-FR"/>
        </w:rPr>
        <w:t>étiquette. ».</w:t>
      </w:r>
    </w:p>
    <w:p w14:paraId="0181A4D9" w14:textId="79371AEC" w:rsidR="00246D13" w:rsidRPr="00AE3663" w:rsidRDefault="00246D13" w:rsidP="00246D13">
      <w:pPr>
        <w:pStyle w:val="H23G"/>
        <w:rPr>
          <w:lang w:val="fr-FR"/>
        </w:rPr>
      </w:pPr>
      <w:r w:rsidRPr="00AE3663">
        <w:rPr>
          <w:lang w:val="fr-FR"/>
        </w:rPr>
        <w:tab/>
      </w:r>
      <w:r w:rsidRPr="00AE3663">
        <w:rPr>
          <w:lang w:val="fr-FR"/>
        </w:rPr>
        <w:tab/>
        <w:t xml:space="preserve">Tableau </w:t>
      </w:r>
      <w:r w:rsidR="00AC1801">
        <w:rPr>
          <w:lang w:val="fr-FR"/>
        </w:rPr>
        <w:t xml:space="preserve">relatif à la </w:t>
      </w:r>
      <w:r w:rsidRPr="00AE3663">
        <w:rPr>
          <w:lang w:val="fr-FR"/>
        </w:rPr>
        <w:t>« Sensibilisation cutanée (chap</w:t>
      </w:r>
      <w:r>
        <w:rPr>
          <w:lang w:val="fr-FR"/>
        </w:rPr>
        <w:t>itre </w:t>
      </w:r>
      <w:r w:rsidRPr="00AE3663">
        <w:rPr>
          <w:lang w:val="fr-FR"/>
        </w:rPr>
        <w:t>3.4) », catégories de danger</w:t>
      </w:r>
      <w:r>
        <w:rPr>
          <w:lang w:val="fr-FR"/>
        </w:rPr>
        <w:t> </w:t>
      </w:r>
      <w:r w:rsidRPr="00AE3663">
        <w:rPr>
          <w:lang w:val="fr-FR"/>
        </w:rPr>
        <w:t>1, 1A, 1B</w:t>
      </w:r>
    </w:p>
    <w:p w14:paraId="39429497" w14:textId="5210B70F" w:rsidR="00E21BB9" w:rsidRDefault="00246D13" w:rsidP="00246D13">
      <w:pPr>
        <w:pStyle w:val="SingleTxtG"/>
        <w:rPr>
          <w:lang w:val="fr-FR"/>
        </w:rPr>
      </w:pPr>
      <w:r w:rsidRPr="00AE3663">
        <w:rPr>
          <w:lang w:val="fr-FR"/>
        </w:rPr>
        <w:t>Colonne « Prévention »</w:t>
      </w:r>
      <w:r w:rsidR="00867899">
        <w:rPr>
          <w:lang w:val="fr-FR"/>
        </w:rPr>
        <w:t> :</w:t>
      </w:r>
    </w:p>
    <w:p w14:paraId="659DC364" w14:textId="6882A570" w:rsidR="00246D13" w:rsidRPr="00AE3663" w:rsidRDefault="00867899" w:rsidP="00775023">
      <w:pPr>
        <w:pStyle w:val="SingleTxtG"/>
        <w:ind w:left="1701"/>
        <w:rPr>
          <w:lang w:val="fr-FR"/>
        </w:rPr>
      </w:pPr>
      <w:r>
        <w:rPr>
          <w:lang w:val="fr-FR"/>
        </w:rPr>
        <w:t>À</w:t>
      </w:r>
      <w:r w:rsidR="00246D13" w:rsidRPr="00AE3663">
        <w:rPr>
          <w:lang w:val="fr-FR"/>
        </w:rPr>
        <w:t xml:space="preserve"> la rubrique P261, remplacer « .... de préciser les conditions applicables. » par</w:t>
      </w:r>
      <w:r w:rsidR="007C55DB">
        <w:rPr>
          <w:lang w:val="fr-FR"/>
        </w:rPr>
        <w:t> </w:t>
      </w:r>
      <w:r w:rsidR="00246D13" w:rsidRPr="00AE3663">
        <w:rPr>
          <w:lang w:val="fr-FR"/>
        </w:rPr>
        <w:t>«</w:t>
      </w:r>
      <w:r w:rsidR="007C55DB">
        <w:rPr>
          <w:lang w:val="fr-FR"/>
        </w:rPr>
        <w:t> </w:t>
      </w:r>
      <w:r w:rsidR="00246D13" w:rsidRPr="00AE3663">
        <w:rPr>
          <w:lang w:val="fr-FR"/>
        </w:rPr>
        <w:t>...</w:t>
      </w:r>
      <w:r w:rsidR="007C55DB">
        <w:rPr>
          <w:lang w:val="fr-FR"/>
        </w:rPr>
        <w:t> </w:t>
      </w:r>
      <w:r w:rsidR="00246D13" w:rsidRPr="00AE3663">
        <w:rPr>
          <w:lang w:val="fr-FR"/>
        </w:rPr>
        <w:t>de préciser l</w:t>
      </w:r>
      <w:r w:rsidR="00246D13">
        <w:rPr>
          <w:lang w:val="fr-FR"/>
        </w:rPr>
        <w:t>’</w:t>
      </w:r>
      <w:r w:rsidR="00246D13" w:rsidRPr="00AE3663">
        <w:rPr>
          <w:lang w:val="fr-FR"/>
        </w:rPr>
        <w:t>état physique ou les états physiques applicable(s). » (les rubriques P272 et P280 actuelles demeurent inchangées).</w:t>
      </w:r>
    </w:p>
    <w:p w14:paraId="74E85467" w14:textId="5D1331DC" w:rsidR="00867899" w:rsidRDefault="00246D13" w:rsidP="00530234">
      <w:pPr>
        <w:pStyle w:val="SingleTxtG"/>
        <w:keepNext/>
        <w:keepLines/>
        <w:rPr>
          <w:lang w:val="fr-FR"/>
        </w:rPr>
      </w:pPr>
      <w:r w:rsidRPr="00AE3663">
        <w:rPr>
          <w:lang w:val="fr-FR"/>
        </w:rPr>
        <w:lastRenderedPageBreak/>
        <w:t>Colonne « Intervention »</w:t>
      </w:r>
      <w:r w:rsidR="00867899">
        <w:rPr>
          <w:lang w:val="fr-FR"/>
        </w:rPr>
        <w:t> :</w:t>
      </w:r>
    </w:p>
    <w:p w14:paraId="705DB3C2" w14:textId="519CAC65" w:rsidR="00246D13" w:rsidRPr="00AE3663" w:rsidRDefault="00867899" w:rsidP="00775023">
      <w:pPr>
        <w:pStyle w:val="SingleTxtG"/>
        <w:ind w:left="1701"/>
        <w:rPr>
          <w:lang w:val="fr-FR"/>
        </w:rPr>
      </w:pPr>
      <w:r>
        <w:rPr>
          <w:lang w:val="fr-FR"/>
        </w:rPr>
        <w:t>M</w:t>
      </w:r>
      <w:r w:rsidR="00246D13" w:rsidRPr="00AE3663">
        <w:rPr>
          <w:lang w:val="fr-FR"/>
        </w:rPr>
        <w:t xml:space="preserve">odifier la rubrique P321 et ajouter </w:t>
      </w:r>
      <w:r w:rsidR="007D48A2">
        <w:rPr>
          <w:lang w:val="fr-FR"/>
        </w:rPr>
        <w:t>une</w:t>
      </w:r>
      <w:r w:rsidR="007D48A2" w:rsidRPr="00AE3663">
        <w:rPr>
          <w:lang w:val="fr-FR"/>
        </w:rPr>
        <w:t xml:space="preserve"> </w:t>
      </w:r>
      <w:r w:rsidR="00246D13" w:rsidRPr="00AE3663">
        <w:rPr>
          <w:lang w:val="fr-FR"/>
        </w:rPr>
        <w:t>nouvelle rubrique P323</w:t>
      </w:r>
      <w:r w:rsidR="003A357A">
        <w:rPr>
          <w:lang w:val="fr-FR"/>
        </w:rPr>
        <w:t xml:space="preserve"> </w:t>
      </w:r>
      <w:r w:rsidR="007D48A2">
        <w:rPr>
          <w:lang w:val="fr-FR"/>
        </w:rPr>
        <w:t>comme suit</w:t>
      </w:r>
      <w:r w:rsidR="00246D13" w:rsidRPr="00AE3663">
        <w:rPr>
          <w:lang w:val="fr-FR"/>
        </w:rPr>
        <w:t xml:space="preserve"> (les rubriques P302+P352, P333+P317 et P362+P364 actuelles demeurent inchangées) :</w:t>
      </w:r>
    </w:p>
    <w:p w14:paraId="55C61C60" w14:textId="77777777" w:rsidR="00246D13" w:rsidRPr="00AE3663" w:rsidRDefault="00246D13" w:rsidP="00246D13">
      <w:pPr>
        <w:pStyle w:val="SingleTxtG"/>
        <w:ind w:left="1701"/>
        <w:rPr>
          <w:rFonts w:asciiTheme="majorBidi" w:hAnsiTheme="majorBidi" w:cstheme="majorBidi"/>
          <w:bCs/>
          <w:lang w:val="fr-FR"/>
        </w:rPr>
      </w:pPr>
      <w:r w:rsidRPr="00AE3663">
        <w:rPr>
          <w:rFonts w:asciiTheme="majorBidi" w:hAnsiTheme="majorBidi" w:cstheme="majorBidi"/>
          <w:lang w:val="fr-FR"/>
        </w:rPr>
        <w:t>« P321</w:t>
      </w:r>
      <w:r>
        <w:rPr>
          <w:rFonts w:asciiTheme="majorBidi" w:hAnsiTheme="majorBidi" w:cstheme="majorBidi"/>
          <w:lang w:val="fr-FR"/>
        </w:rPr>
        <w:br/>
      </w:r>
      <w:r w:rsidRPr="00AE3663">
        <w:rPr>
          <w:rFonts w:asciiTheme="majorBidi" w:hAnsiTheme="majorBidi" w:cstheme="majorBidi"/>
          <w:b/>
          <w:bCs/>
          <w:lang w:val="fr-FR"/>
        </w:rPr>
        <w:t>Traitement spécifique (voir les informations figurant sur cette étiquette et sur la fiche de données de sécurité).</w:t>
      </w:r>
    </w:p>
    <w:p w14:paraId="2C3B754E"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précisées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devant figurer sur la fiche de données de sécurité, le cas échéant.</w:t>
      </w:r>
    </w:p>
    <w:p w14:paraId="000FF06E"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w:t>
      </w:r>
    </w:p>
    <w:p w14:paraId="7E875D2F" w14:textId="77777777" w:rsidR="00246D13" w:rsidRPr="00AE3663" w:rsidRDefault="00246D13" w:rsidP="00775023">
      <w:pPr>
        <w:pStyle w:val="SingleTxtG"/>
        <w:keepNext/>
        <w:ind w:left="1701"/>
        <w:rPr>
          <w:rFonts w:asciiTheme="majorBidi" w:hAnsiTheme="majorBidi" w:cstheme="majorBidi"/>
          <w:b/>
          <w:lang w:val="fr-FR"/>
        </w:rPr>
      </w:pPr>
      <w:r w:rsidRPr="00AE3663">
        <w:rPr>
          <w:rFonts w:asciiTheme="majorBidi" w:hAnsiTheme="majorBidi" w:cstheme="majorBidi"/>
          <w:lang w:val="fr-FR"/>
        </w:rPr>
        <w:t>P323</w:t>
      </w:r>
      <w:r>
        <w:rPr>
          <w:rFonts w:asciiTheme="majorBidi" w:hAnsiTheme="majorBidi" w:cstheme="majorBidi"/>
          <w:lang w:val="fr-FR"/>
        </w:rPr>
        <w:br/>
      </w:r>
      <w:r w:rsidRPr="00AE3663">
        <w:rPr>
          <w:rFonts w:asciiTheme="majorBidi" w:hAnsiTheme="majorBidi" w:cstheme="majorBidi"/>
          <w:b/>
          <w:bCs/>
          <w:lang w:val="fr-FR"/>
        </w:rPr>
        <w:t>Traitement spécifique (voir les informations figurant la fiche de données de sécurité).</w:t>
      </w:r>
    </w:p>
    <w:p w14:paraId="2A0EE13E" w14:textId="77777777" w:rsidR="00246D13" w:rsidRPr="00AE3663" w:rsidRDefault="00246D13" w:rsidP="00246D13">
      <w:pPr>
        <w:pStyle w:val="SingleTxtG"/>
        <w:ind w:left="1701"/>
        <w:rPr>
          <w:rStyle w:val="StyleItalic"/>
          <w:rFonts w:asciiTheme="majorBidi" w:hAnsiTheme="majorBidi" w:cstheme="majorBidi"/>
          <w:i w:val="0"/>
          <w:iCs w:val="0"/>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 xml:space="preserve">un autre traitement spécifique.   </w:t>
      </w:r>
    </w:p>
    <w:p w14:paraId="17E3D0E2" w14:textId="77777777" w:rsidR="00246D13" w:rsidRDefault="00246D13" w:rsidP="00246D13">
      <w:pPr>
        <w:pStyle w:val="SingleTxtG"/>
        <w:ind w:left="1701"/>
        <w:rPr>
          <w:rFonts w:asciiTheme="majorBidi" w:hAnsiTheme="majorBidi" w:cstheme="majorBidi"/>
          <w:i/>
          <w:iCs/>
          <w:lang w:val="fr-FR"/>
        </w:rPr>
      </w:pPr>
      <w:r w:rsidRPr="00AE3663">
        <w:rPr>
          <w:rFonts w:asciiTheme="majorBidi" w:hAnsiTheme="majorBidi" w:cstheme="majorBidi"/>
          <w:i/>
          <w:iCs/>
          <w:lang w:val="fr-FR"/>
        </w:rPr>
        <w:t>- Peut être omis si le conseil P321 ou P322 figure sur l</w:t>
      </w:r>
      <w:r>
        <w:rPr>
          <w:rFonts w:asciiTheme="majorBidi" w:hAnsiTheme="majorBidi" w:cstheme="majorBidi"/>
          <w:i/>
          <w:iCs/>
          <w:lang w:val="fr-FR"/>
        </w:rPr>
        <w:t>’</w:t>
      </w:r>
      <w:r w:rsidRPr="00AE3663">
        <w:rPr>
          <w:rFonts w:asciiTheme="majorBidi" w:hAnsiTheme="majorBidi" w:cstheme="majorBidi"/>
          <w:i/>
          <w:iCs/>
          <w:lang w:val="fr-FR"/>
        </w:rPr>
        <w:t>étiquette. ».</w:t>
      </w:r>
    </w:p>
    <w:p w14:paraId="5443F04E" w14:textId="47E93778" w:rsidR="00997064" w:rsidRDefault="00246D13" w:rsidP="00775023">
      <w:pPr>
        <w:pStyle w:val="H23G"/>
        <w:jc w:val="both"/>
        <w:rPr>
          <w:rFonts w:asciiTheme="majorBidi" w:hAnsiTheme="majorBidi" w:cstheme="majorBidi"/>
          <w:lang w:val="fr-FR"/>
        </w:rPr>
      </w:pPr>
      <w:r w:rsidRPr="00AE3663">
        <w:rPr>
          <w:lang w:val="fr-FR"/>
        </w:rPr>
        <w:tab/>
      </w:r>
      <w:r w:rsidRPr="00AE3663">
        <w:rPr>
          <w:lang w:val="fr-FR"/>
        </w:rPr>
        <w:tab/>
        <w:t xml:space="preserve">Tableau </w:t>
      </w:r>
      <w:r w:rsidR="00DF10B7">
        <w:rPr>
          <w:lang w:val="fr-FR"/>
        </w:rPr>
        <w:t xml:space="preserve">relatif à la </w:t>
      </w:r>
      <w:r w:rsidRPr="00AE3663">
        <w:rPr>
          <w:lang w:val="fr-FR"/>
        </w:rPr>
        <w:t>«</w:t>
      </w:r>
      <w:r>
        <w:rPr>
          <w:lang w:val="fr-FR"/>
        </w:rPr>
        <w:t> </w:t>
      </w:r>
      <w:r w:rsidRPr="00AE3663">
        <w:rPr>
          <w:lang w:val="fr-FR"/>
        </w:rPr>
        <w:t>Toxicité pour certains organes cibles (exposition unique) (chap</w:t>
      </w:r>
      <w:r>
        <w:rPr>
          <w:lang w:val="fr-FR"/>
        </w:rPr>
        <w:t>itre </w:t>
      </w:r>
      <w:r w:rsidRPr="00AE3663">
        <w:rPr>
          <w:lang w:val="fr-FR"/>
        </w:rPr>
        <w:t>3.8)</w:t>
      </w:r>
      <w:r>
        <w:rPr>
          <w:lang w:val="fr-FR"/>
        </w:rPr>
        <w:t> </w:t>
      </w:r>
      <w:r w:rsidRPr="00AE3663">
        <w:rPr>
          <w:lang w:val="fr-FR"/>
        </w:rPr>
        <w:t>», catégorie de danger</w:t>
      </w:r>
      <w:r>
        <w:rPr>
          <w:lang w:val="fr-FR"/>
        </w:rPr>
        <w:t> </w:t>
      </w:r>
      <w:r w:rsidRPr="00AE3663">
        <w:rPr>
          <w:lang w:val="fr-FR"/>
        </w:rPr>
        <w:t>1</w:t>
      </w:r>
      <w:r w:rsidR="00997064">
        <w:rPr>
          <w:lang w:val="fr-FR"/>
        </w:rPr>
        <w:t xml:space="preserve">, </w:t>
      </w:r>
      <w:r w:rsidR="00997064">
        <w:rPr>
          <w:rFonts w:asciiTheme="majorBidi" w:hAnsiTheme="majorBidi" w:cstheme="majorBidi"/>
          <w:lang w:val="fr-FR"/>
        </w:rPr>
        <w:t>c</w:t>
      </w:r>
      <w:r w:rsidRPr="00AE3663">
        <w:rPr>
          <w:rFonts w:asciiTheme="majorBidi" w:hAnsiTheme="majorBidi" w:cstheme="majorBidi"/>
          <w:lang w:val="fr-FR"/>
        </w:rPr>
        <w:t xml:space="preserve">olonne « Intervention » </w:t>
      </w:r>
    </w:p>
    <w:p w14:paraId="1BC35DCF" w14:textId="1E48057C" w:rsidR="00246D13" w:rsidRPr="00AE3663" w:rsidRDefault="00C610F6" w:rsidP="00246D13">
      <w:pPr>
        <w:pStyle w:val="SingleTxtG"/>
        <w:rPr>
          <w:rFonts w:asciiTheme="majorBidi" w:hAnsiTheme="majorBidi" w:cstheme="majorBidi"/>
          <w:lang w:val="fr-FR"/>
        </w:rPr>
      </w:pPr>
      <w:r>
        <w:rPr>
          <w:rFonts w:asciiTheme="majorBidi" w:hAnsiTheme="majorBidi" w:cstheme="majorBidi"/>
          <w:lang w:val="fr-FR"/>
        </w:rPr>
        <w:t>M</w:t>
      </w:r>
      <w:r w:rsidRPr="00AE3663">
        <w:rPr>
          <w:rFonts w:asciiTheme="majorBidi" w:hAnsiTheme="majorBidi" w:cstheme="majorBidi"/>
          <w:lang w:val="fr-FR"/>
        </w:rPr>
        <w:t xml:space="preserve">odifier </w:t>
      </w:r>
      <w:r w:rsidR="00246D13" w:rsidRPr="00AE3663">
        <w:rPr>
          <w:rFonts w:asciiTheme="majorBidi" w:hAnsiTheme="majorBidi" w:cstheme="majorBidi"/>
          <w:lang w:val="fr-FR"/>
        </w:rPr>
        <w:t xml:space="preserve">la rubrique P321 et ajouter </w:t>
      </w:r>
      <w:r>
        <w:rPr>
          <w:rFonts w:asciiTheme="majorBidi" w:hAnsiTheme="majorBidi" w:cstheme="majorBidi"/>
          <w:lang w:val="fr-FR"/>
        </w:rPr>
        <w:t>une</w:t>
      </w:r>
      <w:r w:rsidR="00246D13" w:rsidRPr="00AE3663">
        <w:rPr>
          <w:rFonts w:asciiTheme="majorBidi" w:hAnsiTheme="majorBidi" w:cstheme="majorBidi"/>
          <w:lang w:val="fr-FR"/>
        </w:rPr>
        <w:t xml:space="preserve"> nouvelle rubrique P323</w:t>
      </w:r>
      <w:r w:rsidR="00513755">
        <w:rPr>
          <w:rFonts w:asciiTheme="majorBidi" w:hAnsiTheme="majorBidi" w:cstheme="majorBidi"/>
          <w:lang w:val="fr-FR"/>
        </w:rPr>
        <w:t xml:space="preserve"> </w:t>
      </w:r>
      <w:r>
        <w:rPr>
          <w:rFonts w:asciiTheme="majorBidi" w:hAnsiTheme="majorBidi" w:cstheme="majorBidi"/>
          <w:lang w:val="fr-FR"/>
        </w:rPr>
        <w:t>comme suit</w:t>
      </w:r>
      <w:r w:rsidR="00246D13" w:rsidRPr="00AE3663">
        <w:rPr>
          <w:rFonts w:asciiTheme="majorBidi" w:hAnsiTheme="majorBidi" w:cstheme="majorBidi"/>
          <w:lang w:val="fr-FR"/>
        </w:rPr>
        <w:t xml:space="preserve"> (la rubrique P308+P316 actuelle demeure inchangée) :</w:t>
      </w:r>
    </w:p>
    <w:p w14:paraId="30F2A172" w14:textId="77777777" w:rsidR="00246D13" w:rsidRPr="00AE3663" w:rsidRDefault="00246D13" w:rsidP="00246D13">
      <w:pPr>
        <w:pStyle w:val="SingleTxtG"/>
        <w:ind w:left="1701"/>
        <w:rPr>
          <w:rFonts w:asciiTheme="majorBidi" w:hAnsiTheme="majorBidi" w:cstheme="majorBidi"/>
          <w:bCs/>
          <w:lang w:val="fr-FR"/>
        </w:rPr>
      </w:pPr>
      <w:r w:rsidRPr="00AE3663">
        <w:rPr>
          <w:rFonts w:asciiTheme="majorBidi" w:hAnsiTheme="majorBidi" w:cstheme="majorBidi"/>
          <w:lang w:val="fr-FR"/>
        </w:rPr>
        <w:t>« P321</w:t>
      </w:r>
      <w:r>
        <w:rPr>
          <w:rFonts w:asciiTheme="majorBidi" w:hAnsiTheme="majorBidi" w:cstheme="majorBidi"/>
          <w:lang w:val="fr-FR"/>
        </w:rPr>
        <w:br/>
      </w:r>
      <w:r w:rsidRPr="00AE3663">
        <w:rPr>
          <w:rFonts w:asciiTheme="majorBidi" w:hAnsiTheme="majorBidi" w:cstheme="majorBidi"/>
          <w:b/>
          <w:bCs/>
          <w:lang w:val="fr-FR"/>
        </w:rPr>
        <w:t>Traitement spécifique (voir les informations figurant sur cette étiquette et sur la fiche de données de sécurité).</w:t>
      </w:r>
    </w:p>
    <w:p w14:paraId="672864AF" w14:textId="77777777" w:rsidR="00246D13" w:rsidRPr="00AE3663" w:rsidRDefault="00246D13" w:rsidP="00775023">
      <w:pPr>
        <w:pStyle w:val="SingleTxtG"/>
        <w:spacing w:line="240" w:lineRule="auto"/>
        <w:ind w:left="1701"/>
        <w:rPr>
          <w:rStyle w:val="StyleItalic"/>
          <w:rFonts w:asciiTheme="majorBidi" w:hAnsiTheme="majorBidi" w:cstheme="majorBidi"/>
        </w:rPr>
      </w:pPr>
      <w:r w:rsidRPr="00AE3663">
        <w:rPr>
          <w:rFonts w:asciiTheme="majorBidi" w:hAnsiTheme="majorBidi" w:cstheme="majorBidi"/>
          <w:i/>
          <w:iCs/>
          <w:lang w:val="fr-FR"/>
        </w:rPr>
        <w:t>- Si des mesures immédiates et facilement applicables, telles que l</w:t>
      </w:r>
      <w:r>
        <w:rPr>
          <w:rFonts w:asciiTheme="majorBidi" w:hAnsiTheme="majorBidi" w:cstheme="majorBidi"/>
          <w:i/>
          <w:iCs/>
          <w:lang w:val="fr-FR"/>
        </w:rPr>
        <w:t>’</w:t>
      </w:r>
      <w:r w:rsidRPr="00AE3663">
        <w:rPr>
          <w:rFonts w:asciiTheme="majorBidi" w:hAnsiTheme="majorBidi" w:cstheme="majorBidi"/>
          <w:i/>
          <w:iCs/>
          <w:lang w:val="fr-FR"/>
        </w:rPr>
        <w:t>administration d</w:t>
      </w:r>
      <w:r>
        <w:rPr>
          <w:rFonts w:asciiTheme="majorBidi" w:hAnsiTheme="majorBidi" w:cstheme="majorBidi"/>
          <w:i/>
          <w:iCs/>
          <w:lang w:val="fr-FR"/>
        </w:rPr>
        <w:t>’</w:t>
      </w:r>
      <w:r w:rsidRPr="00AE3663">
        <w:rPr>
          <w:rFonts w:asciiTheme="majorBidi" w:hAnsiTheme="majorBidi" w:cstheme="majorBidi"/>
          <w:i/>
          <w:iCs/>
          <w:lang w:val="fr-FR"/>
        </w:rPr>
        <w:t>un antidote ou d</w:t>
      </w:r>
      <w:r>
        <w:rPr>
          <w:rFonts w:asciiTheme="majorBidi" w:hAnsiTheme="majorBidi" w:cstheme="majorBidi"/>
          <w:i/>
          <w:iCs/>
          <w:lang w:val="fr-FR"/>
        </w:rPr>
        <w:t>’</w:t>
      </w:r>
      <w:r w:rsidRPr="00AE3663">
        <w:rPr>
          <w:rFonts w:asciiTheme="majorBidi" w:hAnsiTheme="majorBidi" w:cstheme="majorBidi"/>
          <w:i/>
          <w:iCs/>
          <w:lang w:val="fr-FR"/>
        </w:rPr>
        <w:t>un autre traitement spécifique, sont nécessaires.</w:t>
      </w:r>
      <w:r w:rsidRPr="00AE3663">
        <w:rPr>
          <w:rFonts w:asciiTheme="majorBidi" w:hAnsiTheme="majorBidi" w:cstheme="majorBidi"/>
          <w:lang w:val="fr-FR"/>
        </w:rPr>
        <w:t xml:space="preserve"> </w:t>
      </w:r>
      <w:r w:rsidRPr="00AE3663">
        <w:rPr>
          <w:rFonts w:asciiTheme="majorBidi" w:hAnsiTheme="majorBidi" w:cstheme="majorBidi"/>
          <w:i/>
          <w:iCs/>
          <w:lang w:val="fr-FR"/>
        </w:rPr>
        <w:t>Ces mesures doivent être précisées sur l</w:t>
      </w:r>
      <w:r>
        <w:rPr>
          <w:rFonts w:asciiTheme="majorBidi" w:hAnsiTheme="majorBidi" w:cstheme="majorBidi"/>
          <w:i/>
          <w:iCs/>
          <w:lang w:val="fr-FR"/>
        </w:rPr>
        <w:t>’</w:t>
      </w:r>
      <w:r w:rsidRPr="00AE3663">
        <w:rPr>
          <w:rFonts w:asciiTheme="majorBidi" w:hAnsiTheme="majorBidi" w:cstheme="majorBidi"/>
          <w:i/>
          <w:iCs/>
          <w:lang w:val="fr-FR"/>
        </w:rPr>
        <w:t>étiquette et la fiche de données de sécurité, des instructions détaillées supplémentaires, y compris les exigences en matière de formation, devant figurer sur la fiche de données de sécurité, le cas échéant.</w:t>
      </w:r>
    </w:p>
    <w:p w14:paraId="13AB785A" w14:textId="77777777" w:rsidR="00246D13" w:rsidRPr="00AE3663" w:rsidRDefault="00246D13" w:rsidP="00246D13">
      <w:pPr>
        <w:pStyle w:val="SingleTxtG"/>
        <w:ind w:left="1701"/>
        <w:rPr>
          <w:rStyle w:val="StyleItalic"/>
          <w:rFonts w:asciiTheme="majorBidi" w:hAnsiTheme="majorBidi" w:cstheme="majorBidi"/>
        </w:rPr>
      </w:pPr>
      <w:r w:rsidRPr="00AE3663">
        <w:rPr>
          <w:rFonts w:asciiTheme="majorBidi" w:hAnsiTheme="majorBidi" w:cstheme="majorBidi"/>
          <w:i/>
          <w:iCs/>
          <w:lang w:val="fr-FR"/>
        </w:rPr>
        <w:t>- Peut être omis si le conseil P320 figure sur l</w:t>
      </w:r>
      <w:r>
        <w:rPr>
          <w:rFonts w:asciiTheme="majorBidi" w:hAnsiTheme="majorBidi" w:cstheme="majorBidi"/>
          <w:i/>
          <w:iCs/>
          <w:lang w:val="fr-FR"/>
        </w:rPr>
        <w:t>’</w:t>
      </w:r>
      <w:r w:rsidRPr="00AE3663">
        <w:rPr>
          <w:rFonts w:asciiTheme="majorBidi" w:hAnsiTheme="majorBidi" w:cstheme="majorBidi"/>
          <w:i/>
          <w:iCs/>
          <w:lang w:val="fr-FR"/>
        </w:rPr>
        <w:t>étiquette.</w:t>
      </w:r>
    </w:p>
    <w:p w14:paraId="3434C1F4" w14:textId="77777777" w:rsidR="00246D13" w:rsidRPr="00AE3663" w:rsidRDefault="00246D13" w:rsidP="00246D13">
      <w:pPr>
        <w:pStyle w:val="SingleTxtG"/>
        <w:ind w:left="1701"/>
        <w:rPr>
          <w:rFonts w:asciiTheme="majorBidi" w:hAnsiTheme="majorBidi" w:cstheme="majorBidi"/>
          <w:b/>
          <w:lang w:val="fr-FR"/>
        </w:rPr>
      </w:pPr>
      <w:r w:rsidRPr="00AE3663">
        <w:rPr>
          <w:rFonts w:asciiTheme="majorBidi" w:hAnsiTheme="majorBidi" w:cstheme="majorBidi"/>
          <w:lang w:val="fr-FR"/>
        </w:rPr>
        <w:t>P323</w:t>
      </w:r>
      <w:r>
        <w:rPr>
          <w:rFonts w:asciiTheme="majorBidi" w:hAnsiTheme="majorBidi" w:cstheme="majorBidi"/>
          <w:b/>
          <w:bCs/>
          <w:lang w:val="fr-FR"/>
        </w:rPr>
        <w:br/>
      </w:r>
      <w:r w:rsidRPr="00AE3663">
        <w:rPr>
          <w:rFonts w:asciiTheme="majorBidi" w:hAnsiTheme="majorBidi" w:cstheme="majorBidi"/>
          <w:b/>
          <w:bCs/>
          <w:lang w:val="fr-FR"/>
        </w:rPr>
        <w:t>Traitement spécifique (voir les informations figurant la fiche de données de sécurité).</w:t>
      </w:r>
    </w:p>
    <w:p w14:paraId="67017C63" w14:textId="77777777" w:rsidR="00246D13" w:rsidRPr="00AE3663" w:rsidRDefault="00246D13" w:rsidP="00246D13">
      <w:pPr>
        <w:pStyle w:val="SingleTxtG"/>
        <w:ind w:left="1701"/>
        <w:rPr>
          <w:rStyle w:val="StyleItalic"/>
          <w:rFonts w:asciiTheme="majorBidi" w:hAnsiTheme="majorBidi" w:cstheme="majorBidi"/>
          <w:i w:val="0"/>
          <w:iCs w:val="0"/>
        </w:rPr>
      </w:pPr>
      <w:r w:rsidRPr="00AE3663">
        <w:rPr>
          <w:rFonts w:asciiTheme="majorBidi" w:hAnsiTheme="majorBidi" w:cstheme="majorBidi"/>
          <w:lang w:val="fr-FR"/>
        </w:rPr>
        <w:t>Le fabricant/fournisseur doit mentionner sur la fiche de données de sécurité des instructions détaillées, y compris les exigences en matière de formation, pour l</w:t>
      </w:r>
      <w:r>
        <w:rPr>
          <w:rFonts w:asciiTheme="majorBidi" w:hAnsiTheme="majorBidi" w:cstheme="majorBidi"/>
          <w:lang w:val="fr-FR"/>
        </w:rPr>
        <w:t>’</w:t>
      </w:r>
      <w:r w:rsidRPr="00AE3663">
        <w:rPr>
          <w:rFonts w:asciiTheme="majorBidi" w:hAnsiTheme="majorBidi" w:cstheme="majorBidi"/>
          <w:lang w:val="fr-FR"/>
        </w:rPr>
        <w:t>administration d</w:t>
      </w:r>
      <w:r>
        <w:rPr>
          <w:rFonts w:asciiTheme="majorBidi" w:hAnsiTheme="majorBidi" w:cstheme="majorBidi"/>
          <w:lang w:val="fr-FR"/>
        </w:rPr>
        <w:t>’</w:t>
      </w:r>
      <w:r w:rsidRPr="00AE3663">
        <w:rPr>
          <w:rFonts w:asciiTheme="majorBidi" w:hAnsiTheme="majorBidi" w:cstheme="majorBidi"/>
          <w:lang w:val="fr-FR"/>
        </w:rPr>
        <w:t>un antidote ou d</w:t>
      </w:r>
      <w:r>
        <w:rPr>
          <w:rFonts w:asciiTheme="majorBidi" w:hAnsiTheme="majorBidi" w:cstheme="majorBidi"/>
          <w:lang w:val="fr-FR"/>
        </w:rPr>
        <w:t>’</w:t>
      </w:r>
      <w:r w:rsidRPr="00AE3663">
        <w:rPr>
          <w:rFonts w:asciiTheme="majorBidi" w:hAnsiTheme="majorBidi" w:cstheme="majorBidi"/>
          <w:lang w:val="fr-FR"/>
        </w:rPr>
        <w:t xml:space="preserve">un autre traitement spécifique.   </w:t>
      </w:r>
    </w:p>
    <w:p w14:paraId="3F0DDE7F" w14:textId="77777777" w:rsidR="00246D13" w:rsidRDefault="00246D13" w:rsidP="00246D13">
      <w:pPr>
        <w:pStyle w:val="SingleTxtG"/>
        <w:ind w:left="1701"/>
        <w:rPr>
          <w:rFonts w:asciiTheme="majorBidi" w:hAnsiTheme="majorBidi" w:cstheme="majorBidi"/>
          <w:i/>
          <w:iCs/>
          <w:lang w:val="fr-FR"/>
        </w:rPr>
      </w:pPr>
      <w:r w:rsidRPr="00AE3663">
        <w:rPr>
          <w:rFonts w:asciiTheme="majorBidi" w:hAnsiTheme="majorBidi" w:cstheme="majorBidi"/>
          <w:i/>
          <w:iCs/>
          <w:lang w:val="fr-FR"/>
        </w:rPr>
        <w:t>- Peut être omis si le conseil P321 ou P322 figure sur l</w:t>
      </w:r>
      <w:r>
        <w:rPr>
          <w:rFonts w:asciiTheme="majorBidi" w:hAnsiTheme="majorBidi" w:cstheme="majorBidi"/>
          <w:i/>
          <w:iCs/>
          <w:lang w:val="fr-FR"/>
        </w:rPr>
        <w:t>’</w:t>
      </w:r>
      <w:r w:rsidRPr="00AE3663">
        <w:rPr>
          <w:rFonts w:asciiTheme="majorBidi" w:hAnsiTheme="majorBidi" w:cstheme="majorBidi"/>
          <w:i/>
          <w:iCs/>
          <w:lang w:val="fr-FR"/>
        </w:rPr>
        <w:t>étiquette. ».</w:t>
      </w:r>
    </w:p>
    <w:p w14:paraId="31D7CA50" w14:textId="1C28611F" w:rsidR="00EC5CAA" w:rsidRDefault="00246D13" w:rsidP="00775023">
      <w:pPr>
        <w:pStyle w:val="H23G"/>
        <w:rPr>
          <w:rFonts w:asciiTheme="majorBidi" w:hAnsiTheme="majorBidi" w:cstheme="majorBidi"/>
          <w:lang w:val="fr-FR"/>
        </w:rPr>
      </w:pPr>
      <w:r>
        <w:rPr>
          <w:lang w:val="fr-FR"/>
        </w:rPr>
        <w:tab/>
      </w:r>
      <w:r>
        <w:rPr>
          <w:lang w:val="fr-FR"/>
        </w:rPr>
        <w:tab/>
      </w:r>
      <w:r w:rsidRPr="00AE3663">
        <w:rPr>
          <w:lang w:val="fr-FR"/>
        </w:rPr>
        <w:t xml:space="preserve">Tableau </w:t>
      </w:r>
      <w:r w:rsidR="00EC5CAA">
        <w:rPr>
          <w:lang w:val="fr-FR"/>
        </w:rPr>
        <w:t>relatif à</w:t>
      </w:r>
      <w:r w:rsidRPr="00AE3663">
        <w:rPr>
          <w:lang w:val="fr-FR"/>
        </w:rPr>
        <w:t xml:space="preserve"> la « Toxicité pour certains organes cibles (exposition unique) (chap</w:t>
      </w:r>
      <w:r>
        <w:rPr>
          <w:lang w:val="fr-FR"/>
        </w:rPr>
        <w:t>itre </w:t>
      </w:r>
      <w:r w:rsidRPr="00AE3663">
        <w:rPr>
          <w:lang w:val="fr-FR"/>
        </w:rPr>
        <w:t>3.8)</w:t>
      </w:r>
      <w:r>
        <w:rPr>
          <w:lang w:val="fr-FR"/>
        </w:rPr>
        <w:t> </w:t>
      </w:r>
      <w:r w:rsidRPr="00AE3663">
        <w:rPr>
          <w:lang w:val="fr-FR"/>
        </w:rPr>
        <w:t>», catégorie de danger</w:t>
      </w:r>
      <w:r>
        <w:rPr>
          <w:lang w:val="fr-FR"/>
        </w:rPr>
        <w:t> </w:t>
      </w:r>
      <w:r w:rsidRPr="00AE3663">
        <w:rPr>
          <w:lang w:val="fr-FR"/>
        </w:rPr>
        <w:t>2</w:t>
      </w:r>
      <w:r w:rsidR="00EC5CAA">
        <w:rPr>
          <w:lang w:val="fr-FR"/>
        </w:rPr>
        <w:t xml:space="preserve">, </w:t>
      </w:r>
      <w:r w:rsidR="00EC5CAA">
        <w:rPr>
          <w:rFonts w:asciiTheme="majorBidi" w:hAnsiTheme="majorBidi" w:cstheme="majorBidi"/>
          <w:lang w:val="fr-FR"/>
        </w:rPr>
        <w:t>c</w:t>
      </w:r>
      <w:r w:rsidRPr="00AE3663">
        <w:rPr>
          <w:rFonts w:asciiTheme="majorBidi" w:hAnsiTheme="majorBidi" w:cstheme="majorBidi"/>
          <w:lang w:val="fr-FR"/>
        </w:rPr>
        <w:t xml:space="preserve">olonne « Prévention » </w:t>
      </w:r>
    </w:p>
    <w:p w14:paraId="35F9E481" w14:textId="4A488323" w:rsidR="00246D13" w:rsidRPr="00AE3663" w:rsidRDefault="00EC5CAA" w:rsidP="00246D13">
      <w:pPr>
        <w:pStyle w:val="SingleTxtG"/>
        <w:rPr>
          <w:rFonts w:asciiTheme="majorBidi" w:hAnsiTheme="majorBidi" w:cstheme="majorBidi"/>
          <w:lang w:val="fr-FR"/>
        </w:rPr>
      </w:pPr>
      <w:r>
        <w:rPr>
          <w:rFonts w:asciiTheme="majorBidi" w:hAnsiTheme="majorBidi" w:cstheme="majorBidi"/>
          <w:lang w:val="fr-FR"/>
        </w:rPr>
        <w:t>S</w:t>
      </w:r>
      <w:r w:rsidRPr="00AE3663">
        <w:rPr>
          <w:rFonts w:asciiTheme="majorBidi" w:hAnsiTheme="majorBidi" w:cstheme="majorBidi"/>
          <w:lang w:val="fr-FR"/>
        </w:rPr>
        <w:t xml:space="preserve">upprimer </w:t>
      </w:r>
      <w:r w:rsidR="00246D13" w:rsidRPr="00AE3663">
        <w:rPr>
          <w:rFonts w:asciiTheme="majorBidi" w:hAnsiTheme="majorBidi" w:cstheme="majorBidi"/>
          <w:lang w:val="fr-FR"/>
        </w:rPr>
        <w:t>la rubrique P260 et ajouter la rubrique P261</w:t>
      </w:r>
      <w:r w:rsidR="00405551">
        <w:rPr>
          <w:rFonts w:asciiTheme="majorBidi" w:hAnsiTheme="majorBidi" w:cstheme="majorBidi"/>
          <w:lang w:val="fr-FR"/>
        </w:rPr>
        <w:t xml:space="preserve"> suivante</w:t>
      </w:r>
      <w:r w:rsidR="00246D13" w:rsidRPr="00AE3663">
        <w:rPr>
          <w:rFonts w:asciiTheme="majorBidi" w:hAnsiTheme="majorBidi" w:cstheme="majorBidi"/>
          <w:lang w:val="fr-FR"/>
        </w:rPr>
        <w:t xml:space="preserve"> (les rubriques actuelles P264 et P270 demeurent inchangées) :</w:t>
      </w:r>
    </w:p>
    <w:p w14:paraId="4EC007B9" w14:textId="77777777" w:rsidR="00246D13" w:rsidRPr="00AE3663" w:rsidRDefault="00246D13" w:rsidP="00246D13">
      <w:pPr>
        <w:pStyle w:val="SingleTxtG"/>
        <w:ind w:left="1701"/>
        <w:rPr>
          <w:rFonts w:asciiTheme="majorBidi" w:hAnsiTheme="majorBidi" w:cstheme="majorBidi"/>
          <w:b/>
          <w:lang w:val="fr-FR"/>
        </w:rPr>
      </w:pPr>
      <w:r w:rsidRPr="00AE3663">
        <w:rPr>
          <w:rFonts w:asciiTheme="majorBidi" w:hAnsiTheme="majorBidi" w:cstheme="majorBidi"/>
          <w:lang w:val="fr-FR"/>
        </w:rPr>
        <w:t>« P261</w:t>
      </w:r>
      <w:r>
        <w:rPr>
          <w:rFonts w:asciiTheme="majorBidi" w:hAnsiTheme="majorBidi" w:cstheme="majorBidi"/>
          <w:b/>
          <w:bCs/>
          <w:lang w:val="fr-FR"/>
        </w:rPr>
        <w:br/>
      </w:r>
      <w:r w:rsidRPr="00AE3663">
        <w:rPr>
          <w:rFonts w:asciiTheme="majorBidi" w:hAnsiTheme="majorBidi" w:cstheme="majorBidi"/>
          <w:b/>
          <w:bCs/>
          <w:lang w:val="fr-FR"/>
        </w:rPr>
        <w:t>Éviter de respirer les poussières/fumées/gaz/brouillards/vapeurs/aérosols.</w:t>
      </w:r>
      <w:r w:rsidRPr="00AE3663">
        <w:rPr>
          <w:rFonts w:asciiTheme="majorBidi" w:hAnsiTheme="majorBidi" w:cstheme="majorBidi"/>
          <w:lang w:val="fr-FR"/>
        </w:rPr>
        <w:t xml:space="preserve"> </w:t>
      </w:r>
    </w:p>
    <w:p w14:paraId="37F51C66" w14:textId="77777777" w:rsidR="00246D13" w:rsidRPr="00AE3663" w:rsidRDefault="00246D13" w:rsidP="00246D13">
      <w:pPr>
        <w:pStyle w:val="SingleTxtG"/>
        <w:ind w:left="1701"/>
        <w:rPr>
          <w:rFonts w:asciiTheme="majorBidi" w:hAnsiTheme="majorBidi" w:cstheme="majorBidi"/>
          <w:bCs/>
          <w:i/>
          <w:iCs/>
          <w:lang w:val="fr-FR"/>
        </w:rPr>
      </w:pPr>
      <w:r w:rsidRPr="00AE3663">
        <w:rPr>
          <w:rFonts w:asciiTheme="majorBidi" w:hAnsiTheme="majorBidi" w:cstheme="majorBidi"/>
          <w:i/>
          <w:iCs/>
          <w:lang w:val="fr-FR"/>
        </w:rPr>
        <w:t>- Peut être omis si le conseil P260 figure sur l</w:t>
      </w:r>
      <w:r>
        <w:rPr>
          <w:rFonts w:asciiTheme="majorBidi" w:hAnsiTheme="majorBidi" w:cstheme="majorBidi"/>
          <w:i/>
          <w:iCs/>
          <w:lang w:val="fr-FR"/>
        </w:rPr>
        <w:t>’</w:t>
      </w:r>
      <w:r w:rsidRPr="00AE3663">
        <w:rPr>
          <w:rFonts w:asciiTheme="majorBidi" w:hAnsiTheme="majorBidi" w:cstheme="majorBidi"/>
          <w:i/>
          <w:iCs/>
          <w:lang w:val="fr-FR"/>
        </w:rPr>
        <w:t>étiquette.</w:t>
      </w:r>
    </w:p>
    <w:p w14:paraId="514F46E0" w14:textId="77777777" w:rsidR="00246D13" w:rsidRDefault="00246D13" w:rsidP="00246D13">
      <w:pPr>
        <w:pStyle w:val="SingleTxtG"/>
        <w:ind w:left="1701"/>
        <w:rPr>
          <w:rFonts w:asciiTheme="majorBidi" w:hAnsiTheme="majorBidi" w:cstheme="majorBidi"/>
          <w:lang w:val="fr-FR"/>
        </w:rPr>
      </w:pPr>
      <w:r w:rsidRPr="00AE3663">
        <w:rPr>
          <w:rFonts w:asciiTheme="majorBidi" w:hAnsiTheme="majorBidi" w:cstheme="majorBidi"/>
          <w:lang w:val="fr-FR"/>
        </w:rPr>
        <w:t>Il revient au fabricant/fournisseur ou à l</w:t>
      </w:r>
      <w:r>
        <w:rPr>
          <w:rFonts w:asciiTheme="majorBidi" w:hAnsiTheme="majorBidi" w:cstheme="majorBidi"/>
          <w:lang w:val="fr-FR"/>
        </w:rPr>
        <w:t>’</w:t>
      </w:r>
      <w:r w:rsidRPr="00AE3663">
        <w:rPr>
          <w:rFonts w:asciiTheme="majorBidi" w:hAnsiTheme="majorBidi" w:cstheme="majorBidi"/>
          <w:lang w:val="fr-FR"/>
        </w:rPr>
        <w:t>autorité compétente de préciser l</w:t>
      </w:r>
      <w:r>
        <w:rPr>
          <w:rFonts w:asciiTheme="majorBidi" w:hAnsiTheme="majorBidi" w:cstheme="majorBidi"/>
          <w:lang w:val="fr-FR"/>
        </w:rPr>
        <w:t>’</w:t>
      </w:r>
      <w:r w:rsidRPr="00AE3663">
        <w:rPr>
          <w:rFonts w:asciiTheme="majorBidi" w:hAnsiTheme="majorBidi" w:cstheme="majorBidi"/>
          <w:lang w:val="fr-FR"/>
        </w:rPr>
        <w:t>état physique ou les états physiques applicable(s). ».</w:t>
      </w:r>
    </w:p>
    <w:p w14:paraId="56E74B5E" w14:textId="1E1C5930" w:rsidR="00FF79D2" w:rsidRDefault="00DE74BD" w:rsidP="00775023">
      <w:pPr>
        <w:pStyle w:val="H23G"/>
        <w:rPr>
          <w:rFonts w:asciiTheme="majorBidi" w:hAnsiTheme="majorBidi" w:cstheme="majorBidi"/>
          <w:lang w:val="fr-FR"/>
        </w:rPr>
      </w:pPr>
      <w:r>
        <w:rPr>
          <w:lang w:val="fr-FR"/>
        </w:rPr>
        <w:lastRenderedPageBreak/>
        <w:tab/>
      </w:r>
      <w:r>
        <w:rPr>
          <w:lang w:val="fr-FR"/>
        </w:rPr>
        <w:tab/>
      </w:r>
      <w:r w:rsidRPr="00AE3663">
        <w:rPr>
          <w:lang w:val="fr-FR"/>
        </w:rPr>
        <w:t xml:space="preserve">Tableau </w:t>
      </w:r>
      <w:r w:rsidR="004172F6">
        <w:rPr>
          <w:lang w:val="fr-FR"/>
        </w:rPr>
        <w:t>relatif à</w:t>
      </w:r>
      <w:r w:rsidRPr="00AE3663">
        <w:rPr>
          <w:lang w:val="fr-FR"/>
        </w:rPr>
        <w:t xml:space="preserve"> la «</w:t>
      </w:r>
      <w:r>
        <w:rPr>
          <w:lang w:val="fr-FR"/>
        </w:rPr>
        <w:t> </w:t>
      </w:r>
      <w:r w:rsidRPr="00AE3663">
        <w:rPr>
          <w:lang w:val="fr-FR"/>
        </w:rPr>
        <w:t>Toxicité pour certains organes cibles (exposition unique) (chap</w:t>
      </w:r>
      <w:r>
        <w:rPr>
          <w:lang w:val="fr-FR"/>
        </w:rPr>
        <w:t>itre </w:t>
      </w:r>
      <w:r w:rsidRPr="00AE3663">
        <w:rPr>
          <w:lang w:val="fr-FR"/>
        </w:rPr>
        <w:t>3.8)</w:t>
      </w:r>
      <w:r>
        <w:rPr>
          <w:lang w:val="fr-FR"/>
        </w:rPr>
        <w:t> </w:t>
      </w:r>
      <w:r w:rsidRPr="00AE3663">
        <w:rPr>
          <w:lang w:val="fr-FR"/>
        </w:rPr>
        <w:t>», catégorie de danger</w:t>
      </w:r>
      <w:r>
        <w:rPr>
          <w:lang w:val="fr-FR"/>
        </w:rPr>
        <w:t> </w:t>
      </w:r>
      <w:r w:rsidRPr="00AE3663">
        <w:rPr>
          <w:lang w:val="fr-FR"/>
        </w:rPr>
        <w:t>3</w:t>
      </w:r>
      <w:r w:rsidR="00FF79D2">
        <w:rPr>
          <w:lang w:val="fr-FR"/>
        </w:rPr>
        <w:t>, c</w:t>
      </w:r>
      <w:r w:rsidRPr="00AE3663">
        <w:rPr>
          <w:rFonts w:asciiTheme="majorBidi" w:hAnsiTheme="majorBidi" w:cstheme="majorBidi"/>
          <w:lang w:val="fr-FR"/>
        </w:rPr>
        <w:t xml:space="preserve">olonne « Prévention » </w:t>
      </w:r>
    </w:p>
    <w:p w14:paraId="54168511" w14:textId="461DD05C" w:rsidR="00DE74BD" w:rsidRDefault="00FF79D2" w:rsidP="00DE74BD">
      <w:pPr>
        <w:pStyle w:val="SingleTxtG"/>
        <w:rPr>
          <w:rFonts w:asciiTheme="majorBidi" w:hAnsiTheme="majorBidi" w:cstheme="majorBidi"/>
          <w:lang w:val="fr-FR"/>
        </w:rPr>
      </w:pPr>
      <w:r>
        <w:rPr>
          <w:rFonts w:asciiTheme="majorBidi" w:hAnsiTheme="majorBidi" w:cstheme="majorBidi"/>
          <w:lang w:val="fr-FR"/>
        </w:rPr>
        <w:t>À</w:t>
      </w:r>
      <w:r w:rsidR="00DE74BD" w:rsidRPr="00AE3663">
        <w:rPr>
          <w:rFonts w:asciiTheme="majorBidi" w:hAnsiTheme="majorBidi" w:cstheme="majorBidi"/>
          <w:lang w:val="fr-FR"/>
        </w:rPr>
        <w:t xml:space="preserve"> la rubrique P261, remplacer « .... de préciser les conditions applicables. » par « ... de préciser l</w:t>
      </w:r>
      <w:r w:rsidR="00DE74BD">
        <w:rPr>
          <w:rFonts w:asciiTheme="majorBidi" w:hAnsiTheme="majorBidi" w:cstheme="majorBidi"/>
          <w:lang w:val="fr-FR"/>
        </w:rPr>
        <w:t>’</w:t>
      </w:r>
      <w:r w:rsidR="00DE74BD" w:rsidRPr="00AE3663">
        <w:rPr>
          <w:rFonts w:asciiTheme="majorBidi" w:hAnsiTheme="majorBidi" w:cstheme="majorBidi"/>
          <w:lang w:val="fr-FR"/>
        </w:rPr>
        <w:t>état physique ou les états physiques applicable(s). ». (la rubrique actuelle P271 demeure inchangée).</w:t>
      </w:r>
    </w:p>
    <w:p w14:paraId="1F086CFA" w14:textId="0D8E3143" w:rsidR="00416F5E" w:rsidRDefault="00246D13" w:rsidP="00775023">
      <w:pPr>
        <w:pStyle w:val="H23G"/>
        <w:rPr>
          <w:rFonts w:asciiTheme="majorBidi" w:hAnsiTheme="majorBidi" w:cstheme="majorBidi"/>
          <w:lang w:val="fr-FR"/>
        </w:rPr>
      </w:pPr>
      <w:r>
        <w:rPr>
          <w:lang w:val="fr-FR"/>
        </w:rPr>
        <w:tab/>
      </w:r>
      <w:r>
        <w:rPr>
          <w:lang w:val="fr-FR"/>
        </w:rPr>
        <w:tab/>
      </w:r>
      <w:r w:rsidRPr="00AE3663">
        <w:rPr>
          <w:lang w:val="fr-FR"/>
        </w:rPr>
        <w:t xml:space="preserve">Tableau </w:t>
      </w:r>
      <w:r w:rsidR="00144DC1">
        <w:rPr>
          <w:lang w:val="fr-FR"/>
        </w:rPr>
        <w:t>relatif à la</w:t>
      </w:r>
      <w:r w:rsidRPr="00AE3663">
        <w:rPr>
          <w:lang w:val="fr-FR"/>
        </w:rPr>
        <w:t xml:space="preserve"> « Toxicité pour certains organes cibles (expositions répétées) (chap</w:t>
      </w:r>
      <w:r>
        <w:rPr>
          <w:lang w:val="fr-FR"/>
        </w:rPr>
        <w:t>itre </w:t>
      </w:r>
      <w:r w:rsidRPr="00AE3663">
        <w:rPr>
          <w:lang w:val="fr-FR"/>
        </w:rPr>
        <w:t>3.9)</w:t>
      </w:r>
      <w:r>
        <w:rPr>
          <w:lang w:val="fr-FR"/>
        </w:rPr>
        <w:t> </w:t>
      </w:r>
      <w:r w:rsidRPr="00AE3663">
        <w:rPr>
          <w:lang w:val="fr-FR"/>
        </w:rPr>
        <w:t>», catégorie de danger</w:t>
      </w:r>
      <w:r>
        <w:rPr>
          <w:lang w:val="fr-FR"/>
        </w:rPr>
        <w:t> </w:t>
      </w:r>
      <w:r w:rsidRPr="00AE3663">
        <w:rPr>
          <w:lang w:val="fr-FR"/>
        </w:rPr>
        <w:t>2</w:t>
      </w:r>
      <w:r w:rsidR="00416F5E">
        <w:rPr>
          <w:lang w:val="fr-FR"/>
        </w:rPr>
        <w:t xml:space="preserve">, </w:t>
      </w:r>
      <w:r w:rsidR="00416F5E">
        <w:rPr>
          <w:rFonts w:asciiTheme="majorBidi" w:hAnsiTheme="majorBidi" w:cstheme="majorBidi"/>
          <w:lang w:val="fr-FR"/>
        </w:rPr>
        <w:t>c</w:t>
      </w:r>
      <w:r w:rsidRPr="00AE3663">
        <w:rPr>
          <w:rFonts w:asciiTheme="majorBidi" w:hAnsiTheme="majorBidi" w:cstheme="majorBidi"/>
          <w:lang w:val="fr-FR"/>
        </w:rPr>
        <w:t xml:space="preserve">olonne « Prévention » </w:t>
      </w:r>
    </w:p>
    <w:p w14:paraId="44362860" w14:textId="40C1615E" w:rsidR="00246D13" w:rsidRPr="00AE3663" w:rsidRDefault="00416F5E" w:rsidP="00246D13">
      <w:pPr>
        <w:pStyle w:val="SingleTxtG"/>
        <w:rPr>
          <w:rFonts w:asciiTheme="majorBidi" w:hAnsiTheme="majorBidi" w:cstheme="majorBidi"/>
          <w:lang w:val="fr-FR"/>
        </w:rPr>
      </w:pPr>
      <w:r>
        <w:rPr>
          <w:rFonts w:asciiTheme="majorBidi" w:hAnsiTheme="majorBidi" w:cstheme="majorBidi"/>
          <w:lang w:val="fr-FR"/>
        </w:rPr>
        <w:t>S</w:t>
      </w:r>
      <w:r w:rsidR="00246D13" w:rsidRPr="00AE3663">
        <w:rPr>
          <w:rFonts w:asciiTheme="majorBidi" w:hAnsiTheme="majorBidi" w:cstheme="majorBidi"/>
          <w:lang w:val="fr-FR"/>
        </w:rPr>
        <w:t xml:space="preserve">upprimer la rubrique P260 et ajouter </w:t>
      </w:r>
      <w:r w:rsidR="002622C3">
        <w:rPr>
          <w:rFonts w:asciiTheme="majorBidi" w:hAnsiTheme="majorBidi" w:cstheme="majorBidi"/>
          <w:lang w:val="fr-FR"/>
        </w:rPr>
        <w:t>une</w:t>
      </w:r>
      <w:r w:rsidR="00246D13" w:rsidRPr="00AE3663">
        <w:rPr>
          <w:rFonts w:asciiTheme="majorBidi" w:hAnsiTheme="majorBidi" w:cstheme="majorBidi"/>
          <w:lang w:val="fr-FR"/>
        </w:rPr>
        <w:t xml:space="preserve"> nouvelle rubrique P261</w:t>
      </w:r>
      <w:r w:rsidR="00775E29">
        <w:rPr>
          <w:rFonts w:asciiTheme="majorBidi" w:hAnsiTheme="majorBidi" w:cstheme="majorBidi"/>
          <w:lang w:val="fr-FR"/>
        </w:rPr>
        <w:t xml:space="preserve"> </w:t>
      </w:r>
      <w:r w:rsidR="002622C3">
        <w:rPr>
          <w:rFonts w:asciiTheme="majorBidi" w:hAnsiTheme="majorBidi" w:cstheme="majorBidi"/>
          <w:lang w:val="fr-FR"/>
        </w:rPr>
        <w:t>comme suit</w:t>
      </w:r>
      <w:r w:rsidR="00246D13" w:rsidRPr="00AE3663">
        <w:rPr>
          <w:rFonts w:asciiTheme="majorBidi" w:hAnsiTheme="majorBidi" w:cstheme="majorBidi"/>
          <w:lang w:val="fr-FR"/>
        </w:rPr>
        <w:t> :</w:t>
      </w:r>
    </w:p>
    <w:p w14:paraId="6CB7D63F" w14:textId="77777777" w:rsidR="00246D13" w:rsidRPr="00AE3663" w:rsidRDefault="00246D13" w:rsidP="00246D13">
      <w:pPr>
        <w:pStyle w:val="SingleTxtG"/>
        <w:ind w:left="1701"/>
        <w:rPr>
          <w:rFonts w:asciiTheme="majorBidi" w:hAnsiTheme="majorBidi" w:cstheme="majorBidi"/>
          <w:bCs/>
          <w:i/>
          <w:iCs/>
          <w:lang w:val="fr-FR"/>
        </w:rPr>
      </w:pPr>
      <w:r w:rsidRPr="00AE3663">
        <w:rPr>
          <w:rFonts w:asciiTheme="majorBidi" w:hAnsiTheme="majorBidi" w:cstheme="majorBidi"/>
          <w:lang w:val="fr-FR"/>
        </w:rPr>
        <w:t>« P261</w:t>
      </w:r>
      <w:r>
        <w:rPr>
          <w:rFonts w:asciiTheme="majorBidi" w:hAnsiTheme="majorBidi" w:cstheme="majorBidi"/>
          <w:lang w:val="fr-FR"/>
        </w:rPr>
        <w:br/>
      </w:r>
      <w:r w:rsidRPr="00AE3663">
        <w:rPr>
          <w:rFonts w:asciiTheme="majorBidi" w:hAnsiTheme="majorBidi" w:cstheme="majorBidi"/>
          <w:b/>
          <w:bCs/>
          <w:lang w:val="fr-FR"/>
        </w:rPr>
        <w:t>Éviter de respirer les poussières/fumées/gaz/brouillards/vapeurs/aérosols.</w:t>
      </w:r>
      <w:r w:rsidRPr="00AE3663">
        <w:rPr>
          <w:rFonts w:asciiTheme="majorBidi" w:hAnsiTheme="majorBidi" w:cstheme="majorBidi"/>
          <w:lang w:val="fr-FR"/>
        </w:rPr>
        <w:t xml:space="preserve"> </w:t>
      </w:r>
      <w:r>
        <w:rPr>
          <w:rFonts w:asciiTheme="majorBidi" w:hAnsiTheme="majorBidi" w:cstheme="majorBidi"/>
          <w:i/>
          <w:iCs/>
          <w:lang w:val="fr-FR"/>
        </w:rPr>
        <w:br/>
      </w:r>
      <w:r w:rsidRPr="00AE3663">
        <w:rPr>
          <w:rFonts w:asciiTheme="majorBidi" w:hAnsiTheme="majorBidi" w:cstheme="majorBidi"/>
          <w:i/>
          <w:iCs/>
          <w:lang w:val="fr-FR"/>
        </w:rPr>
        <w:t>- Peut être omis si le conseil P260 figure sur l</w:t>
      </w:r>
      <w:r>
        <w:rPr>
          <w:rFonts w:asciiTheme="majorBidi" w:hAnsiTheme="majorBidi" w:cstheme="majorBidi"/>
          <w:i/>
          <w:iCs/>
          <w:lang w:val="fr-FR"/>
        </w:rPr>
        <w:t>’</w:t>
      </w:r>
      <w:r w:rsidRPr="00AE3663">
        <w:rPr>
          <w:rFonts w:asciiTheme="majorBidi" w:hAnsiTheme="majorBidi" w:cstheme="majorBidi"/>
          <w:i/>
          <w:iCs/>
          <w:lang w:val="fr-FR"/>
        </w:rPr>
        <w:t>étiquette.</w:t>
      </w:r>
    </w:p>
    <w:p w14:paraId="63A313E3" w14:textId="77777777" w:rsidR="00246D13" w:rsidRDefault="00246D13" w:rsidP="00246D13">
      <w:pPr>
        <w:pStyle w:val="SingleTxtG"/>
        <w:ind w:left="1701"/>
        <w:rPr>
          <w:rFonts w:asciiTheme="majorBidi" w:hAnsiTheme="majorBidi" w:cstheme="majorBidi"/>
          <w:lang w:val="fr-FR"/>
        </w:rPr>
      </w:pPr>
      <w:r w:rsidRPr="00AE3663">
        <w:rPr>
          <w:rFonts w:asciiTheme="majorBidi" w:hAnsiTheme="majorBidi" w:cstheme="majorBidi"/>
          <w:lang w:val="fr-FR"/>
        </w:rPr>
        <w:t>Il revient au fabricant/fournisseur ou à l</w:t>
      </w:r>
      <w:r>
        <w:rPr>
          <w:rFonts w:asciiTheme="majorBidi" w:hAnsiTheme="majorBidi" w:cstheme="majorBidi"/>
          <w:lang w:val="fr-FR"/>
        </w:rPr>
        <w:t>’</w:t>
      </w:r>
      <w:r w:rsidRPr="00AE3663">
        <w:rPr>
          <w:rFonts w:asciiTheme="majorBidi" w:hAnsiTheme="majorBidi" w:cstheme="majorBidi"/>
          <w:lang w:val="fr-FR"/>
        </w:rPr>
        <w:t>autorité compétente de préciser l</w:t>
      </w:r>
      <w:r>
        <w:rPr>
          <w:rFonts w:asciiTheme="majorBidi" w:hAnsiTheme="majorBidi" w:cstheme="majorBidi"/>
          <w:lang w:val="fr-FR"/>
        </w:rPr>
        <w:t>’</w:t>
      </w:r>
      <w:r w:rsidRPr="00AE3663">
        <w:rPr>
          <w:rFonts w:asciiTheme="majorBidi" w:hAnsiTheme="majorBidi" w:cstheme="majorBidi"/>
          <w:lang w:val="fr-FR"/>
        </w:rPr>
        <w:t>état physique ou les états physiques applicable(s). ».</w:t>
      </w:r>
    </w:p>
    <w:p w14:paraId="32CDD73B" w14:textId="57525166" w:rsidR="0008116A" w:rsidRPr="00906169" w:rsidRDefault="00106F39" w:rsidP="00BD4643">
      <w:pPr>
        <w:pStyle w:val="H1G"/>
        <w:rPr>
          <w:rFonts w:eastAsia="SimSun"/>
        </w:rPr>
      </w:pPr>
      <w:r w:rsidRPr="00906169">
        <w:rPr>
          <w:rFonts w:eastAsia="SimSun"/>
        </w:rPr>
        <w:tab/>
      </w:r>
      <w:r w:rsidRPr="00906169">
        <w:rPr>
          <w:rFonts w:eastAsia="SimSun"/>
        </w:rPr>
        <w:tab/>
      </w:r>
      <w:r w:rsidR="0008116A" w:rsidRPr="00906169">
        <w:rPr>
          <w:rFonts w:eastAsia="SimSun"/>
        </w:rPr>
        <w:t>Annexe 3, section 3</w:t>
      </w:r>
    </w:p>
    <w:p w14:paraId="59DA87D6" w14:textId="0891BAE2" w:rsidR="00246D13" w:rsidRPr="00676FB6" w:rsidRDefault="00246D13" w:rsidP="00DF4F02">
      <w:pPr>
        <w:keepNext/>
        <w:keepLines/>
        <w:spacing w:after="120" w:line="240" w:lineRule="auto"/>
        <w:ind w:left="1134"/>
        <w:rPr>
          <w:b/>
          <w:bCs/>
          <w:lang w:val="fr-FR"/>
        </w:rPr>
      </w:pPr>
      <w:r>
        <w:rPr>
          <w:lang w:val="fr-FR"/>
        </w:rPr>
        <w:t>Dans le tableau des conseils de prudence « Dangers pour la couche d’ozone </w:t>
      </w:r>
      <w:r w:rsidR="00D94C10">
        <w:rPr>
          <w:lang w:val="fr-FR"/>
        </w:rPr>
        <w:t>(chapitre 4.2)</w:t>
      </w:r>
      <w:r>
        <w:rPr>
          <w:lang w:val="fr-FR"/>
        </w:rPr>
        <w:t>», modifier l’en-tête de sorte qu’il se lise comme suit :</w:t>
      </w:r>
      <w:r w:rsidR="00DF4F02">
        <w:rPr>
          <w:lang w:val="fr-FR"/>
        </w:rPr>
        <w:t xml:space="preserve"> </w:t>
      </w:r>
      <w:r>
        <w:rPr>
          <w:lang w:val="fr-FR"/>
        </w:rPr>
        <w:t xml:space="preserve">« </w:t>
      </w:r>
      <w:r>
        <w:rPr>
          <w:b/>
          <w:bCs/>
          <w:lang w:val="fr-FR"/>
        </w:rPr>
        <w:t>DANGERS POUR LE SYSTÈME ATMOSPHÉRIQUE</w:t>
      </w:r>
      <w:r w:rsidR="00DF4F02">
        <w:rPr>
          <w:b/>
          <w:bCs/>
          <w:lang w:val="fr-FR"/>
        </w:rPr>
        <w:t xml:space="preserve"> </w:t>
      </w:r>
      <w:r>
        <w:rPr>
          <w:b/>
          <w:bCs/>
          <w:lang w:val="fr-FR"/>
        </w:rPr>
        <w:t>(CHAPITRE 4</w:t>
      </w:r>
      <w:r w:rsidRPr="0083022B">
        <w:rPr>
          <w:b/>
          <w:bCs/>
          <w:lang w:val="fr-FR"/>
        </w:rPr>
        <w:t>.</w:t>
      </w:r>
      <w:r>
        <w:rPr>
          <w:b/>
          <w:bCs/>
          <w:lang w:val="fr-FR"/>
        </w:rPr>
        <w:t>2)</w:t>
      </w:r>
      <w:r w:rsidR="00DF4F02">
        <w:rPr>
          <w:b/>
          <w:bCs/>
          <w:lang w:val="fr-FR"/>
        </w:rPr>
        <w:t xml:space="preserve"> </w:t>
      </w:r>
      <w:r>
        <w:rPr>
          <w:b/>
          <w:bCs/>
          <w:lang w:val="fr-FR"/>
        </w:rPr>
        <w:t>(Dangers pour la couche d’ozone)</w:t>
      </w:r>
      <w:r>
        <w:rPr>
          <w:lang w:val="fr-FR"/>
        </w:rPr>
        <w:t> »</w:t>
      </w:r>
      <w:r w:rsidRPr="0083022B">
        <w:rPr>
          <w:lang w:val="fr-FR"/>
        </w:rPr>
        <w:t>.</w:t>
      </w:r>
    </w:p>
    <w:p w14:paraId="2F99FDDA" w14:textId="066EFD92" w:rsidR="00246D13" w:rsidRPr="00676FB6" w:rsidRDefault="00246D13" w:rsidP="00246D13">
      <w:pPr>
        <w:keepNext/>
        <w:keepLines/>
        <w:spacing w:after="120" w:line="240" w:lineRule="auto"/>
        <w:ind w:left="1134"/>
        <w:jc w:val="both"/>
        <w:rPr>
          <w:noProof/>
          <w:lang w:val="fr-FR"/>
        </w:rPr>
      </w:pPr>
      <w:r>
        <w:rPr>
          <w:lang w:val="fr-FR"/>
        </w:rPr>
        <w:t>Sous le tableau renommé « DANGERS POUR LE SYSTÈME ATMOSPHÉRIQUE (CHAPITRE 4</w:t>
      </w:r>
      <w:r w:rsidRPr="0083022B">
        <w:rPr>
          <w:lang w:val="fr-FR"/>
        </w:rPr>
        <w:t>.</w:t>
      </w:r>
      <w:r>
        <w:rPr>
          <w:lang w:val="fr-FR"/>
        </w:rPr>
        <w:t xml:space="preserve">2) </w:t>
      </w:r>
      <w:r>
        <w:rPr>
          <w:lang w:val="fr-FR"/>
        </w:rPr>
        <w:br/>
        <w:t>(Dangers pour la couche d’ozone) », ajouter un nouveau tableau des conseils de prudence pour la nouvelle classe de danger « Dangers du point de vue du réchauffement de la planète », libellé comme suit :</w:t>
      </w:r>
    </w:p>
    <w:tbl>
      <w:tblPr>
        <w:tblW w:w="916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026"/>
        <w:gridCol w:w="958"/>
        <w:gridCol w:w="671"/>
        <w:gridCol w:w="1350"/>
        <w:gridCol w:w="570"/>
        <w:gridCol w:w="313"/>
        <w:gridCol w:w="2638"/>
      </w:tblGrid>
      <w:tr w:rsidR="00246D13" w:rsidRPr="005D36D3" w14:paraId="5D0002DF" w14:textId="77777777" w:rsidTr="004D33AF">
        <w:tc>
          <w:tcPr>
            <w:tcW w:w="9167" w:type="dxa"/>
            <w:gridSpan w:val="8"/>
            <w:tcBorders>
              <w:top w:val="nil"/>
              <w:left w:val="nil"/>
              <w:bottom w:val="nil"/>
              <w:right w:val="nil"/>
            </w:tcBorders>
          </w:tcPr>
          <w:p w14:paraId="41AC5742" w14:textId="77777777" w:rsidR="00246D13" w:rsidRPr="00676FB6" w:rsidRDefault="00246D13" w:rsidP="004D33AF">
            <w:pPr>
              <w:keepNext/>
              <w:keepLines/>
              <w:spacing w:after="40" w:line="240" w:lineRule="auto"/>
              <w:ind w:left="578"/>
              <w:jc w:val="center"/>
              <w:rPr>
                <w:b/>
                <w:bCs/>
                <w:lang w:val="fr-FR"/>
              </w:rPr>
            </w:pPr>
            <w:bookmarkStart w:id="15" w:name="_Hlk132623747"/>
            <w:r>
              <w:rPr>
                <w:lang w:val="fr-FR"/>
              </w:rPr>
              <w:t>« </w:t>
            </w:r>
            <w:r>
              <w:rPr>
                <w:b/>
                <w:bCs/>
                <w:lang w:val="fr-FR"/>
              </w:rPr>
              <w:t>DANGERS POUR LE SYSTÈME ATMOSPHÉRIQUE</w:t>
            </w:r>
          </w:p>
          <w:p w14:paraId="0B9C4843" w14:textId="6B0270ED" w:rsidR="00246D13" w:rsidRPr="00676FB6" w:rsidRDefault="00246D13" w:rsidP="004D33AF">
            <w:pPr>
              <w:keepNext/>
              <w:keepLines/>
              <w:spacing w:after="40" w:line="240" w:lineRule="auto"/>
              <w:ind w:left="578"/>
              <w:jc w:val="center"/>
              <w:rPr>
                <w:b/>
                <w:bCs/>
                <w:lang w:val="fr-FR"/>
              </w:rPr>
            </w:pPr>
            <w:r>
              <w:rPr>
                <w:b/>
                <w:bCs/>
                <w:lang w:val="fr-FR"/>
              </w:rPr>
              <w:t>(CHAPITRE 4</w:t>
            </w:r>
            <w:r w:rsidRPr="0083022B">
              <w:rPr>
                <w:b/>
                <w:bCs/>
                <w:lang w:val="fr-FR"/>
              </w:rPr>
              <w:t>.</w:t>
            </w:r>
            <w:r>
              <w:rPr>
                <w:b/>
                <w:bCs/>
                <w:lang w:val="fr-FR"/>
              </w:rPr>
              <w:t>2)</w:t>
            </w:r>
          </w:p>
          <w:p w14:paraId="058CD82F" w14:textId="77777777" w:rsidR="00246D13" w:rsidRPr="00676FB6" w:rsidRDefault="00246D13" w:rsidP="004D33AF">
            <w:pPr>
              <w:keepNext/>
              <w:keepLines/>
              <w:spacing w:after="120" w:line="240" w:lineRule="auto"/>
              <w:ind w:left="577"/>
              <w:jc w:val="center"/>
              <w:rPr>
                <w:b/>
                <w:bCs/>
                <w:lang w:val="fr-FR"/>
              </w:rPr>
            </w:pPr>
            <w:r>
              <w:rPr>
                <w:b/>
                <w:bCs/>
                <w:lang w:val="fr-FR"/>
              </w:rPr>
              <w:t>(Dangers du point de vue du réchauffement de la planète)</w:t>
            </w:r>
          </w:p>
          <w:p w14:paraId="074E2C24" w14:textId="77777777" w:rsidR="00246D13" w:rsidRPr="00676FB6" w:rsidRDefault="00246D13" w:rsidP="004D33AF">
            <w:pPr>
              <w:pStyle w:val="Titre2"/>
              <w:keepNext/>
              <w:keepLines/>
              <w:spacing w:before="60"/>
              <w:ind w:firstLine="34"/>
              <w:jc w:val="center"/>
              <w:rPr>
                <w:i/>
                <w:sz w:val="16"/>
                <w:szCs w:val="16"/>
                <w:lang w:val="fr-FR"/>
              </w:rPr>
            </w:pPr>
          </w:p>
        </w:tc>
      </w:tr>
      <w:tr w:rsidR="00246D13" w:rsidRPr="00B3631B" w14:paraId="302D45AA" w14:textId="77777777" w:rsidTr="004D33AF">
        <w:tc>
          <w:tcPr>
            <w:tcW w:w="1641" w:type="dxa"/>
            <w:tcBorders>
              <w:top w:val="nil"/>
              <w:left w:val="nil"/>
              <w:bottom w:val="nil"/>
              <w:right w:val="nil"/>
            </w:tcBorders>
          </w:tcPr>
          <w:p w14:paraId="647AFBC7" w14:textId="77777777" w:rsidR="00246D13" w:rsidRPr="00B3631B" w:rsidRDefault="00246D13" w:rsidP="004D33AF">
            <w:pPr>
              <w:keepNext/>
              <w:keepLines/>
              <w:spacing w:before="40" w:after="40"/>
              <w:rPr>
                <w:b/>
                <w:bCs/>
                <w:sz w:val="16"/>
                <w:szCs w:val="16"/>
              </w:rPr>
            </w:pPr>
            <w:r w:rsidRPr="00B3631B">
              <w:rPr>
                <w:b/>
                <w:bCs/>
                <w:sz w:val="16"/>
                <w:szCs w:val="16"/>
                <w:lang w:val="fr-FR"/>
              </w:rPr>
              <w:t>Catégorie de danger</w:t>
            </w:r>
          </w:p>
        </w:tc>
        <w:tc>
          <w:tcPr>
            <w:tcW w:w="1984" w:type="dxa"/>
            <w:gridSpan w:val="2"/>
            <w:tcBorders>
              <w:top w:val="nil"/>
              <w:left w:val="nil"/>
              <w:bottom w:val="nil"/>
              <w:right w:val="nil"/>
            </w:tcBorders>
          </w:tcPr>
          <w:p w14:paraId="5D19E82B" w14:textId="77777777" w:rsidR="00246D13" w:rsidRPr="00B3631B" w:rsidRDefault="00246D13" w:rsidP="004D33AF">
            <w:pPr>
              <w:keepNext/>
              <w:keepLines/>
              <w:spacing w:before="40" w:after="40"/>
              <w:rPr>
                <w:b/>
                <w:bCs/>
                <w:sz w:val="16"/>
                <w:szCs w:val="16"/>
              </w:rPr>
            </w:pPr>
            <w:r w:rsidRPr="00B3631B">
              <w:rPr>
                <w:b/>
                <w:bCs/>
                <w:sz w:val="16"/>
                <w:szCs w:val="16"/>
                <w:lang w:val="fr-FR"/>
              </w:rPr>
              <w:t>Symbole</w:t>
            </w:r>
          </w:p>
        </w:tc>
        <w:tc>
          <w:tcPr>
            <w:tcW w:w="671" w:type="dxa"/>
            <w:vMerge w:val="restart"/>
            <w:tcBorders>
              <w:top w:val="nil"/>
              <w:left w:val="nil"/>
              <w:right w:val="nil"/>
            </w:tcBorders>
          </w:tcPr>
          <w:p w14:paraId="45ECA285" w14:textId="77777777" w:rsidR="00246D13" w:rsidRPr="00B3631B" w:rsidRDefault="00246D13" w:rsidP="004D33AF">
            <w:pPr>
              <w:keepNext/>
              <w:keepLines/>
              <w:spacing w:before="40" w:after="40"/>
              <w:ind w:right="317"/>
              <w:rPr>
                <w:b/>
                <w:bCs/>
                <w:sz w:val="16"/>
                <w:szCs w:val="16"/>
              </w:rPr>
            </w:pPr>
            <w:r w:rsidRPr="00B3631B">
              <w:rPr>
                <w:noProof/>
                <w:sz w:val="16"/>
                <w:szCs w:val="16"/>
              </w:rPr>
              <w:drawing>
                <wp:inline distT="0" distB="0" distL="0" distR="0" wp14:anchorId="1B1CFC72" wp14:editId="420D52B8">
                  <wp:extent cx="215661" cy="301925"/>
                  <wp:effectExtent l="0" t="0" r="0" b="317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661" cy="301925"/>
                          </a:xfrm>
                          <a:prstGeom prst="rect">
                            <a:avLst/>
                          </a:prstGeom>
                          <a:noFill/>
                          <a:ln>
                            <a:noFill/>
                          </a:ln>
                        </pic:spPr>
                      </pic:pic>
                    </a:graphicData>
                  </a:graphic>
                </wp:inline>
              </w:drawing>
            </w:r>
          </w:p>
        </w:tc>
        <w:tc>
          <w:tcPr>
            <w:tcW w:w="1350" w:type="dxa"/>
            <w:tcBorders>
              <w:top w:val="nil"/>
              <w:left w:val="nil"/>
              <w:bottom w:val="nil"/>
              <w:right w:val="nil"/>
            </w:tcBorders>
          </w:tcPr>
          <w:p w14:paraId="2223AD8C" w14:textId="77777777" w:rsidR="00246D13" w:rsidRPr="00B3631B" w:rsidRDefault="00246D13" w:rsidP="004D33AF">
            <w:pPr>
              <w:keepNext/>
              <w:keepLines/>
              <w:spacing w:before="40" w:after="40"/>
              <w:rPr>
                <w:b/>
                <w:bCs/>
                <w:sz w:val="16"/>
                <w:szCs w:val="16"/>
              </w:rPr>
            </w:pPr>
            <w:r w:rsidRPr="00B3631B">
              <w:rPr>
                <w:b/>
                <w:bCs/>
                <w:sz w:val="16"/>
                <w:szCs w:val="16"/>
                <w:lang w:val="fr-FR"/>
              </w:rPr>
              <w:t>Mention d</w:t>
            </w:r>
            <w:r>
              <w:rPr>
                <w:b/>
                <w:bCs/>
                <w:sz w:val="16"/>
                <w:szCs w:val="16"/>
                <w:lang w:val="fr-FR"/>
              </w:rPr>
              <w:t>’</w:t>
            </w:r>
            <w:r w:rsidRPr="00B3631B">
              <w:rPr>
                <w:b/>
                <w:bCs/>
                <w:sz w:val="16"/>
                <w:szCs w:val="16"/>
                <w:lang w:val="fr-FR"/>
              </w:rPr>
              <w:t>avertissement</w:t>
            </w:r>
          </w:p>
        </w:tc>
        <w:tc>
          <w:tcPr>
            <w:tcW w:w="3521" w:type="dxa"/>
            <w:gridSpan w:val="3"/>
            <w:tcBorders>
              <w:top w:val="nil"/>
              <w:left w:val="nil"/>
              <w:bottom w:val="nil"/>
              <w:right w:val="nil"/>
            </w:tcBorders>
          </w:tcPr>
          <w:p w14:paraId="4DC5968C" w14:textId="77777777" w:rsidR="00246D13" w:rsidRPr="00B3631B" w:rsidRDefault="00246D13" w:rsidP="004D33AF">
            <w:pPr>
              <w:keepNext/>
              <w:keepLines/>
              <w:spacing w:before="40" w:after="40"/>
              <w:ind w:right="252"/>
              <w:rPr>
                <w:b/>
                <w:bCs/>
                <w:sz w:val="16"/>
                <w:szCs w:val="16"/>
              </w:rPr>
            </w:pPr>
            <w:r w:rsidRPr="00B3631B">
              <w:rPr>
                <w:b/>
                <w:bCs/>
                <w:sz w:val="16"/>
                <w:szCs w:val="16"/>
                <w:lang w:val="fr-FR"/>
              </w:rPr>
              <w:t>Mention de danger</w:t>
            </w:r>
          </w:p>
        </w:tc>
      </w:tr>
      <w:tr w:rsidR="00246D13" w:rsidRPr="005D36D3" w14:paraId="384C145C" w14:textId="77777777" w:rsidTr="004D33AF">
        <w:tc>
          <w:tcPr>
            <w:tcW w:w="1641" w:type="dxa"/>
            <w:tcBorders>
              <w:top w:val="nil"/>
              <w:left w:val="nil"/>
              <w:bottom w:val="nil"/>
              <w:right w:val="nil"/>
            </w:tcBorders>
          </w:tcPr>
          <w:p w14:paraId="53D64533" w14:textId="77777777" w:rsidR="00246D13" w:rsidRPr="00B3631B" w:rsidRDefault="00246D13" w:rsidP="004D33AF">
            <w:pPr>
              <w:spacing w:before="40" w:after="40"/>
              <w:rPr>
                <w:sz w:val="16"/>
                <w:szCs w:val="16"/>
              </w:rPr>
            </w:pPr>
            <w:r w:rsidRPr="00B3631B">
              <w:rPr>
                <w:sz w:val="16"/>
                <w:szCs w:val="16"/>
                <w:lang w:val="fr-FR"/>
              </w:rPr>
              <w:t>1</w:t>
            </w:r>
          </w:p>
        </w:tc>
        <w:tc>
          <w:tcPr>
            <w:tcW w:w="1984" w:type="dxa"/>
            <w:gridSpan w:val="2"/>
            <w:tcBorders>
              <w:top w:val="nil"/>
              <w:left w:val="nil"/>
              <w:bottom w:val="nil"/>
              <w:right w:val="nil"/>
            </w:tcBorders>
          </w:tcPr>
          <w:p w14:paraId="5E29A971" w14:textId="77777777" w:rsidR="00246D13" w:rsidRPr="000B6844" w:rsidRDefault="00246D13" w:rsidP="004D33AF">
            <w:pPr>
              <w:spacing w:before="40" w:after="40"/>
              <w:rPr>
                <w:sz w:val="18"/>
                <w:szCs w:val="18"/>
              </w:rPr>
            </w:pPr>
            <w:r w:rsidRPr="000B6844">
              <w:rPr>
                <w:sz w:val="18"/>
                <w:szCs w:val="18"/>
                <w:lang w:val="fr-FR"/>
              </w:rPr>
              <w:t>Point d</w:t>
            </w:r>
            <w:r>
              <w:rPr>
                <w:sz w:val="18"/>
                <w:szCs w:val="18"/>
                <w:lang w:val="fr-FR"/>
              </w:rPr>
              <w:t>’</w:t>
            </w:r>
            <w:r w:rsidRPr="000B6844">
              <w:rPr>
                <w:sz w:val="18"/>
                <w:szCs w:val="18"/>
                <w:lang w:val="fr-FR"/>
              </w:rPr>
              <w:t>exclamation</w:t>
            </w:r>
          </w:p>
        </w:tc>
        <w:tc>
          <w:tcPr>
            <w:tcW w:w="671" w:type="dxa"/>
            <w:vMerge/>
            <w:tcBorders>
              <w:left w:val="nil"/>
              <w:right w:val="nil"/>
            </w:tcBorders>
            <w:vAlign w:val="center"/>
          </w:tcPr>
          <w:p w14:paraId="7F562DD0" w14:textId="77777777" w:rsidR="00246D13" w:rsidRPr="00B3631B" w:rsidRDefault="00246D13" w:rsidP="004D33AF">
            <w:pPr>
              <w:spacing w:before="40" w:after="40"/>
              <w:rPr>
                <w:sz w:val="16"/>
                <w:szCs w:val="16"/>
              </w:rPr>
            </w:pPr>
          </w:p>
        </w:tc>
        <w:tc>
          <w:tcPr>
            <w:tcW w:w="1350" w:type="dxa"/>
            <w:tcBorders>
              <w:top w:val="nil"/>
              <w:left w:val="nil"/>
              <w:bottom w:val="nil"/>
              <w:right w:val="nil"/>
            </w:tcBorders>
          </w:tcPr>
          <w:p w14:paraId="282875A2" w14:textId="77777777" w:rsidR="00246D13" w:rsidRPr="00B3631B" w:rsidRDefault="00246D13" w:rsidP="004D33AF">
            <w:pPr>
              <w:spacing w:before="40" w:after="40"/>
              <w:rPr>
                <w:sz w:val="16"/>
                <w:szCs w:val="16"/>
              </w:rPr>
            </w:pPr>
            <w:r w:rsidRPr="00B3631B">
              <w:rPr>
                <w:sz w:val="16"/>
                <w:szCs w:val="16"/>
                <w:lang w:val="fr-FR"/>
              </w:rPr>
              <w:t>Attention</w:t>
            </w:r>
          </w:p>
        </w:tc>
        <w:tc>
          <w:tcPr>
            <w:tcW w:w="570" w:type="dxa"/>
            <w:tcBorders>
              <w:top w:val="nil"/>
              <w:left w:val="nil"/>
              <w:bottom w:val="nil"/>
              <w:right w:val="nil"/>
            </w:tcBorders>
          </w:tcPr>
          <w:p w14:paraId="33357F13" w14:textId="77777777" w:rsidR="00246D13" w:rsidRPr="00B3631B" w:rsidRDefault="00246D13" w:rsidP="004D33AF">
            <w:pPr>
              <w:spacing w:before="40" w:after="40"/>
              <w:ind w:right="-112"/>
              <w:rPr>
                <w:sz w:val="16"/>
                <w:szCs w:val="16"/>
              </w:rPr>
            </w:pPr>
            <w:r w:rsidRPr="00B3631B">
              <w:rPr>
                <w:sz w:val="16"/>
                <w:szCs w:val="16"/>
                <w:lang w:val="fr-FR"/>
              </w:rPr>
              <w:t>H421</w:t>
            </w:r>
          </w:p>
        </w:tc>
        <w:tc>
          <w:tcPr>
            <w:tcW w:w="2951" w:type="dxa"/>
            <w:gridSpan w:val="2"/>
            <w:tcBorders>
              <w:top w:val="nil"/>
              <w:left w:val="nil"/>
              <w:bottom w:val="nil"/>
              <w:right w:val="nil"/>
            </w:tcBorders>
          </w:tcPr>
          <w:p w14:paraId="2658D0B9" w14:textId="77777777" w:rsidR="00246D13" w:rsidRPr="00B3631B" w:rsidRDefault="00246D13" w:rsidP="00775023">
            <w:pPr>
              <w:spacing w:before="40" w:after="40" w:line="240" w:lineRule="auto"/>
              <w:ind w:left="176"/>
              <w:rPr>
                <w:sz w:val="16"/>
                <w:szCs w:val="16"/>
                <w:lang w:val="fr-FR"/>
              </w:rPr>
            </w:pPr>
            <w:r w:rsidRPr="000B6844">
              <w:rPr>
                <w:sz w:val="18"/>
                <w:szCs w:val="18"/>
                <w:lang w:val="fr-FR"/>
              </w:rPr>
              <w:t>Nuit à la santé publique et à l</w:t>
            </w:r>
            <w:r>
              <w:rPr>
                <w:sz w:val="18"/>
                <w:szCs w:val="18"/>
                <w:lang w:val="fr-FR"/>
              </w:rPr>
              <w:t>’</w:t>
            </w:r>
            <w:r w:rsidRPr="000B6844">
              <w:rPr>
                <w:sz w:val="18"/>
                <w:szCs w:val="18"/>
                <w:lang w:val="fr-FR"/>
              </w:rPr>
              <w:t xml:space="preserve">environnement en contribuant </w:t>
            </w:r>
            <w:r>
              <w:rPr>
                <w:sz w:val="18"/>
                <w:szCs w:val="18"/>
                <w:lang w:val="fr-FR"/>
              </w:rPr>
              <w:br/>
            </w:r>
            <w:r w:rsidRPr="000B6844">
              <w:rPr>
                <w:sz w:val="18"/>
                <w:szCs w:val="18"/>
                <w:lang w:val="fr-FR"/>
              </w:rPr>
              <w:t>au réchauffement de la planète</w:t>
            </w:r>
          </w:p>
        </w:tc>
      </w:tr>
      <w:tr w:rsidR="00246D13" w:rsidRPr="00B3631B" w14:paraId="3386DABA" w14:textId="77777777" w:rsidTr="004D33AF">
        <w:tc>
          <w:tcPr>
            <w:tcW w:w="9167" w:type="dxa"/>
            <w:gridSpan w:val="8"/>
          </w:tcPr>
          <w:p w14:paraId="59B5EE61" w14:textId="77777777" w:rsidR="00246D13" w:rsidRPr="00B3631B" w:rsidRDefault="00246D13" w:rsidP="004D33AF">
            <w:pPr>
              <w:pStyle w:val="Titre7"/>
              <w:shd w:val="solid" w:color="FFFFFF" w:fill="FFFFFF"/>
              <w:spacing w:before="60"/>
              <w:ind w:left="-102"/>
              <w:jc w:val="center"/>
              <w:rPr>
                <w:b/>
                <w:bCs/>
                <w:sz w:val="16"/>
                <w:szCs w:val="16"/>
              </w:rPr>
            </w:pPr>
            <w:r w:rsidRPr="00B3631B">
              <w:rPr>
                <w:b/>
                <w:bCs/>
                <w:sz w:val="16"/>
                <w:szCs w:val="16"/>
                <w:lang w:val="fr-FR"/>
              </w:rPr>
              <w:t>Conseils de prudence</w:t>
            </w:r>
          </w:p>
        </w:tc>
      </w:tr>
      <w:tr w:rsidR="00246D13" w:rsidRPr="00B3631B" w14:paraId="70FF5C76" w14:textId="77777777" w:rsidTr="004D33AF">
        <w:tc>
          <w:tcPr>
            <w:tcW w:w="2667" w:type="dxa"/>
            <w:gridSpan w:val="2"/>
          </w:tcPr>
          <w:p w14:paraId="5781E317" w14:textId="77777777" w:rsidR="00246D13" w:rsidRPr="00B3631B" w:rsidRDefault="00246D13" w:rsidP="004D33AF">
            <w:pPr>
              <w:spacing w:before="60" w:after="60"/>
              <w:jc w:val="center"/>
              <w:rPr>
                <w:b/>
                <w:bCs/>
                <w:sz w:val="16"/>
                <w:szCs w:val="16"/>
              </w:rPr>
            </w:pPr>
            <w:r w:rsidRPr="00B3631B">
              <w:rPr>
                <w:b/>
                <w:bCs/>
                <w:sz w:val="16"/>
                <w:szCs w:val="16"/>
                <w:lang w:val="fr-FR"/>
              </w:rPr>
              <w:t>Prévention</w:t>
            </w:r>
          </w:p>
        </w:tc>
        <w:tc>
          <w:tcPr>
            <w:tcW w:w="2979" w:type="dxa"/>
            <w:gridSpan w:val="3"/>
          </w:tcPr>
          <w:p w14:paraId="2CF1DB2C" w14:textId="77777777" w:rsidR="00246D13" w:rsidRPr="00B3631B" w:rsidRDefault="00246D13" w:rsidP="004D33AF">
            <w:pPr>
              <w:spacing w:before="60" w:after="60"/>
              <w:jc w:val="center"/>
              <w:rPr>
                <w:b/>
                <w:bCs/>
                <w:sz w:val="16"/>
                <w:szCs w:val="16"/>
              </w:rPr>
            </w:pPr>
            <w:r w:rsidRPr="00B3631B">
              <w:rPr>
                <w:b/>
                <w:bCs/>
                <w:sz w:val="16"/>
                <w:szCs w:val="16"/>
                <w:lang w:val="fr-FR"/>
              </w:rPr>
              <w:t>Intervention</w:t>
            </w:r>
          </w:p>
        </w:tc>
        <w:tc>
          <w:tcPr>
            <w:tcW w:w="883" w:type="dxa"/>
            <w:gridSpan w:val="2"/>
          </w:tcPr>
          <w:p w14:paraId="5571FD73" w14:textId="77777777" w:rsidR="00246D13" w:rsidRPr="00B3631B" w:rsidRDefault="00246D13" w:rsidP="004D33AF">
            <w:pPr>
              <w:spacing w:before="60" w:after="60"/>
              <w:jc w:val="center"/>
              <w:rPr>
                <w:b/>
                <w:bCs/>
                <w:sz w:val="16"/>
                <w:szCs w:val="16"/>
              </w:rPr>
            </w:pPr>
            <w:r w:rsidRPr="00B3631B">
              <w:rPr>
                <w:b/>
                <w:bCs/>
                <w:sz w:val="16"/>
                <w:szCs w:val="16"/>
                <w:lang w:val="fr-FR"/>
              </w:rPr>
              <w:t>Stockage</w:t>
            </w:r>
          </w:p>
        </w:tc>
        <w:tc>
          <w:tcPr>
            <w:tcW w:w="2638" w:type="dxa"/>
          </w:tcPr>
          <w:p w14:paraId="11151626" w14:textId="77777777" w:rsidR="00246D13" w:rsidRPr="00B3631B" w:rsidRDefault="00246D13" w:rsidP="004D33AF">
            <w:pPr>
              <w:spacing w:before="60" w:after="60"/>
              <w:jc w:val="center"/>
              <w:rPr>
                <w:b/>
                <w:bCs/>
                <w:sz w:val="16"/>
                <w:szCs w:val="16"/>
              </w:rPr>
            </w:pPr>
            <w:r w:rsidRPr="00B3631B">
              <w:rPr>
                <w:b/>
                <w:bCs/>
                <w:sz w:val="16"/>
                <w:szCs w:val="16"/>
                <w:lang w:val="fr-FR"/>
              </w:rPr>
              <w:t>Élimination</w:t>
            </w:r>
          </w:p>
        </w:tc>
      </w:tr>
      <w:tr w:rsidR="00246D13" w:rsidRPr="005D36D3" w14:paraId="10964661" w14:textId="77777777" w:rsidTr="004D33AF">
        <w:tc>
          <w:tcPr>
            <w:tcW w:w="2667" w:type="dxa"/>
            <w:gridSpan w:val="2"/>
          </w:tcPr>
          <w:p w14:paraId="0F8AFE9A" w14:textId="77777777" w:rsidR="00246D13" w:rsidRPr="00B3631B" w:rsidRDefault="00246D13" w:rsidP="004D33AF">
            <w:pPr>
              <w:tabs>
                <w:tab w:val="left" w:pos="459"/>
              </w:tabs>
              <w:spacing w:before="20" w:after="160"/>
              <w:rPr>
                <w:sz w:val="16"/>
                <w:szCs w:val="16"/>
              </w:rPr>
            </w:pPr>
          </w:p>
        </w:tc>
        <w:tc>
          <w:tcPr>
            <w:tcW w:w="2979" w:type="dxa"/>
            <w:gridSpan w:val="3"/>
          </w:tcPr>
          <w:p w14:paraId="6256046E" w14:textId="77777777" w:rsidR="00246D13" w:rsidRPr="00B3631B" w:rsidRDefault="00246D13" w:rsidP="004D33AF">
            <w:pPr>
              <w:pStyle w:val="Textedebulles"/>
              <w:spacing w:before="20" w:after="160"/>
              <w:rPr>
                <w:rFonts w:ascii="Times New Roman" w:hAnsi="Times New Roman" w:cs="Times New Roman"/>
                <w:b/>
              </w:rPr>
            </w:pPr>
          </w:p>
        </w:tc>
        <w:tc>
          <w:tcPr>
            <w:tcW w:w="883" w:type="dxa"/>
            <w:gridSpan w:val="2"/>
          </w:tcPr>
          <w:p w14:paraId="18F4C96E" w14:textId="77777777" w:rsidR="00246D13" w:rsidRPr="00B3631B" w:rsidRDefault="00246D13" w:rsidP="004D33AF">
            <w:pPr>
              <w:spacing w:before="20" w:after="160"/>
              <w:rPr>
                <w:sz w:val="16"/>
                <w:szCs w:val="16"/>
              </w:rPr>
            </w:pPr>
          </w:p>
        </w:tc>
        <w:tc>
          <w:tcPr>
            <w:tcW w:w="2638" w:type="dxa"/>
          </w:tcPr>
          <w:p w14:paraId="01E02FCC" w14:textId="77777777" w:rsidR="00246D13" w:rsidRPr="000B6844" w:rsidRDefault="00246D13" w:rsidP="00775023">
            <w:pPr>
              <w:spacing w:before="20" w:after="80" w:line="240" w:lineRule="auto"/>
              <w:rPr>
                <w:sz w:val="18"/>
                <w:szCs w:val="18"/>
                <w:lang w:val="fr-FR"/>
              </w:rPr>
            </w:pPr>
            <w:r w:rsidRPr="000B6844">
              <w:rPr>
                <w:sz w:val="18"/>
                <w:szCs w:val="18"/>
                <w:lang w:val="fr-FR"/>
              </w:rPr>
              <w:t xml:space="preserve">P502 </w:t>
            </w:r>
            <w:r w:rsidRPr="000B6844">
              <w:rPr>
                <w:sz w:val="18"/>
                <w:szCs w:val="18"/>
                <w:lang w:val="fr-FR"/>
              </w:rPr>
              <w:br/>
            </w:r>
            <w:r w:rsidRPr="000B6844">
              <w:rPr>
                <w:b/>
                <w:bCs/>
                <w:sz w:val="18"/>
                <w:szCs w:val="18"/>
                <w:lang w:val="fr-FR"/>
              </w:rPr>
              <w:t>Se reporter au fabricant ou au fournisseur pour les informations concernant la récupération ou le recyclage</w:t>
            </w:r>
          </w:p>
        </w:tc>
      </w:tr>
    </w:tbl>
    <w:bookmarkEnd w:id="15"/>
    <w:p w14:paraId="7016C397" w14:textId="77777777" w:rsidR="00246D13" w:rsidRDefault="00246D13" w:rsidP="00246D13">
      <w:pPr>
        <w:pStyle w:val="SingleTxtG"/>
        <w:ind w:right="0"/>
        <w:jc w:val="right"/>
      </w:pPr>
      <w:r>
        <w:rPr>
          <w:lang w:val="fr-FR"/>
        </w:rPr>
        <w:t>»</w:t>
      </w:r>
      <w:r w:rsidRPr="0083022B">
        <w:rPr>
          <w:lang w:val="fr-FR"/>
        </w:rPr>
        <w:t>.</w:t>
      </w:r>
    </w:p>
    <w:p w14:paraId="3CE0EA2E" w14:textId="77777777" w:rsidR="00636DC1" w:rsidRDefault="00246D13" w:rsidP="00636DC1">
      <w:pPr>
        <w:pStyle w:val="HChG"/>
        <w:rPr>
          <w:lang w:val="fr-FR"/>
        </w:rPr>
      </w:pPr>
      <w:r w:rsidRPr="00B307B2">
        <w:rPr>
          <w:lang w:val="fr-FR"/>
        </w:rPr>
        <w:tab/>
      </w:r>
      <w:r w:rsidRPr="00B307B2">
        <w:rPr>
          <w:lang w:val="fr-FR"/>
        </w:rPr>
        <w:tab/>
      </w:r>
      <w:r w:rsidRPr="00B307B2">
        <w:rPr>
          <w:lang w:val="fr-FR"/>
        </w:rPr>
        <w:tab/>
      </w:r>
      <w:r>
        <w:rPr>
          <w:lang w:val="fr-FR"/>
        </w:rPr>
        <w:t>A</w:t>
      </w:r>
      <w:r w:rsidRPr="00B307B2">
        <w:rPr>
          <w:lang w:val="fr-FR"/>
        </w:rPr>
        <w:t>nnexe 7</w:t>
      </w:r>
    </w:p>
    <w:p w14:paraId="0A3E68CD" w14:textId="187E35C1" w:rsidR="00246D13" w:rsidRPr="00636DC1" w:rsidRDefault="00246D13" w:rsidP="00636DC1">
      <w:pPr>
        <w:pStyle w:val="SingleTxtG"/>
      </w:pPr>
      <w:r w:rsidRPr="00636DC1">
        <w:t>Modifier la phrase d’introduction pour lire comme suit :</w:t>
      </w:r>
    </w:p>
    <w:p w14:paraId="174735C0" w14:textId="03C94E38" w:rsidR="00246D13" w:rsidRDefault="00246D13" w:rsidP="00246D13">
      <w:pPr>
        <w:pStyle w:val="SingleTxtG"/>
        <w:ind w:left="1701"/>
        <w:rPr>
          <w:lang w:val="fr-FR"/>
        </w:rPr>
      </w:pPr>
      <w:r>
        <w:rPr>
          <w:lang w:val="fr-FR"/>
        </w:rPr>
        <w:t>« </w:t>
      </w:r>
      <w:r w:rsidRPr="00B307B2">
        <w:rPr>
          <w:lang w:val="fr-FR"/>
        </w:rPr>
        <w:t xml:space="preserve">Les exemples suivants de </w:t>
      </w:r>
      <w:r w:rsidRPr="00321BAA">
        <w:rPr>
          <w:lang w:val="fr-FR"/>
        </w:rPr>
        <w:t xml:space="preserve">disposition des éléments </w:t>
      </w:r>
      <w:r w:rsidR="0031295B">
        <w:rPr>
          <w:lang w:val="fr-FR"/>
        </w:rPr>
        <w:t xml:space="preserve">d’étiquetage </w:t>
      </w:r>
      <w:r w:rsidRPr="00321BAA">
        <w:rPr>
          <w:lang w:val="fr-FR"/>
        </w:rPr>
        <w:t xml:space="preserve">du SGH </w:t>
      </w:r>
      <w:r w:rsidRPr="00B307B2">
        <w:rPr>
          <w:lang w:val="fr-FR"/>
        </w:rPr>
        <w:t>conformément aux sections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sidRPr="00B307B2">
        <w:rPr>
          <w:lang w:val="fr-FR"/>
        </w:rPr>
        <w:t>4 et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sidRPr="00B307B2">
        <w:rPr>
          <w:lang w:val="fr-FR"/>
        </w:rPr>
        <w:t>5 sont fournis ici à titre d</w:t>
      </w:r>
      <w:r>
        <w:rPr>
          <w:lang w:val="fr-FR"/>
        </w:rPr>
        <w:t>’</w:t>
      </w:r>
      <w:r w:rsidRPr="00B307B2">
        <w:rPr>
          <w:lang w:val="fr-FR"/>
        </w:rPr>
        <w:t xml:space="preserve">illustration et </w:t>
      </w:r>
      <w:r>
        <w:rPr>
          <w:lang w:val="fr-FR"/>
        </w:rPr>
        <w:t>sont susceptibles d’être réexaminés</w:t>
      </w:r>
      <w:r w:rsidRPr="00B307B2">
        <w:rPr>
          <w:lang w:val="fr-FR"/>
        </w:rPr>
        <w:t xml:space="preserve"> par le Sous-</w:t>
      </w:r>
      <w:r>
        <w:rPr>
          <w:lang w:val="fr-FR"/>
        </w:rPr>
        <w:t>C</w:t>
      </w:r>
      <w:r w:rsidRPr="00B307B2">
        <w:rPr>
          <w:lang w:val="fr-FR"/>
        </w:rPr>
        <w:t>omité d</w:t>
      </w:r>
      <w:r>
        <w:rPr>
          <w:lang w:val="fr-FR"/>
        </w:rPr>
        <w:t>’</w:t>
      </w:r>
      <w:r w:rsidRPr="00B307B2">
        <w:rPr>
          <w:lang w:val="fr-FR"/>
        </w:rPr>
        <w:t>experts du SGH dans le futur</w:t>
      </w:r>
      <w:r w:rsidRPr="00C04ED8">
        <w:rPr>
          <w:lang w:val="fr-FR"/>
        </w:rPr>
        <w:t>.</w:t>
      </w:r>
      <w:r>
        <w:rPr>
          <w:lang w:val="fr-FR"/>
        </w:rPr>
        <w:t> »</w:t>
      </w:r>
      <w:r w:rsidRPr="00C04ED8">
        <w:rPr>
          <w:lang w:val="fr-FR"/>
        </w:rPr>
        <w:t>.</w:t>
      </w:r>
    </w:p>
    <w:p w14:paraId="05FDAB0C" w14:textId="77777777" w:rsidR="00246D13" w:rsidRPr="00636DC1" w:rsidRDefault="00246D13" w:rsidP="00636DC1">
      <w:pPr>
        <w:pStyle w:val="H23G"/>
      </w:pPr>
      <w:r w:rsidRPr="00636DC1">
        <w:lastRenderedPageBreak/>
        <w:tab/>
      </w:r>
      <w:r w:rsidRPr="00636DC1">
        <w:tab/>
        <w:t>Exemple 1</w:t>
      </w:r>
    </w:p>
    <w:p w14:paraId="6F979C36" w14:textId="1371126D" w:rsidR="00246D13" w:rsidRPr="00B307B2" w:rsidRDefault="00246D13" w:rsidP="00246D13">
      <w:pPr>
        <w:pStyle w:val="SingleTxtG"/>
        <w:keepNext/>
        <w:keepLines/>
        <w:rPr>
          <w:lang w:val="fr-FR"/>
        </w:rPr>
      </w:pPr>
      <w:r>
        <w:rPr>
          <w:lang w:val="fr-FR"/>
        </w:rPr>
        <w:t>Remplacer par le texte suivant</w:t>
      </w:r>
      <w:r w:rsidRPr="00893B0D">
        <w:rPr>
          <w:lang w:val="fr-FR"/>
        </w:rPr>
        <w:t>:</w:t>
      </w:r>
    </w:p>
    <w:p w14:paraId="2650ADF1" w14:textId="76540D41" w:rsidR="00246D13" w:rsidRPr="006E06CA" w:rsidRDefault="00246D13" w:rsidP="00246D13">
      <w:pPr>
        <w:pStyle w:val="Corpsdetexte"/>
        <w:keepNext/>
        <w:keepLines/>
        <w:spacing w:after="240"/>
        <w:ind w:left="1418" w:right="1134"/>
        <w:jc w:val="both"/>
        <w:rPr>
          <w:color w:val="000000" w:themeColor="text1"/>
          <w:sz w:val="20"/>
        </w:rPr>
      </w:pPr>
      <w:r w:rsidRPr="006E06CA">
        <w:rPr>
          <w:b/>
          <w:bCs/>
          <w:sz w:val="20"/>
        </w:rPr>
        <w:t>« Exemple 1 :</w:t>
      </w:r>
      <w:r w:rsidRPr="006E06CA">
        <w:rPr>
          <w:sz w:val="20"/>
        </w:rPr>
        <w:tab/>
      </w:r>
      <w:r w:rsidRPr="006E06CA">
        <w:rPr>
          <w:b/>
          <w:bCs/>
          <w:sz w:val="20"/>
        </w:rPr>
        <w:t>Emballage combiné pour</w:t>
      </w:r>
      <w:r w:rsidRPr="006E06CA">
        <w:rPr>
          <w:b/>
          <w:bCs/>
          <w:i/>
          <w:iCs/>
          <w:sz w:val="20"/>
        </w:rPr>
        <w:t xml:space="preserve"> </w:t>
      </w:r>
      <w:r w:rsidRPr="006E06CA">
        <w:rPr>
          <w:b/>
          <w:bCs/>
          <w:sz w:val="20"/>
        </w:rPr>
        <w:t>les produits chimiques</w:t>
      </w:r>
      <w:r w:rsidRPr="006E06CA">
        <w:rPr>
          <w:b/>
          <w:bCs/>
          <w:i/>
          <w:iCs/>
          <w:sz w:val="20"/>
        </w:rPr>
        <w:t xml:space="preserve"> </w:t>
      </w:r>
      <w:r>
        <w:rPr>
          <w:b/>
          <w:bCs/>
          <w:sz w:val="20"/>
        </w:rPr>
        <w:t>de la classe l</w:t>
      </w:r>
      <w:r w:rsidRPr="006E06CA">
        <w:rPr>
          <w:b/>
          <w:bCs/>
          <w:sz w:val="20"/>
        </w:rPr>
        <w:t>iquide</w:t>
      </w:r>
      <w:r>
        <w:rPr>
          <w:b/>
          <w:bCs/>
          <w:sz w:val="20"/>
        </w:rPr>
        <w:t>s</w:t>
      </w:r>
      <w:r w:rsidRPr="006E06CA">
        <w:rPr>
          <w:b/>
          <w:bCs/>
          <w:sz w:val="20"/>
        </w:rPr>
        <w:t xml:space="preserve"> inflammable</w:t>
      </w:r>
      <w:r>
        <w:rPr>
          <w:b/>
          <w:bCs/>
          <w:sz w:val="20"/>
        </w:rPr>
        <w:t>s</w:t>
      </w:r>
      <w:r w:rsidRPr="006E06CA">
        <w:rPr>
          <w:b/>
          <w:bCs/>
          <w:sz w:val="20"/>
        </w:rPr>
        <w:t xml:space="preserve"> </w:t>
      </w:r>
      <w:r>
        <w:rPr>
          <w:b/>
          <w:bCs/>
          <w:sz w:val="20"/>
        </w:rPr>
        <w:t>(</w:t>
      </w:r>
      <w:r w:rsidRPr="006E06CA">
        <w:rPr>
          <w:b/>
          <w:bCs/>
          <w:sz w:val="20"/>
        </w:rPr>
        <w:t>catégorie 2</w:t>
      </w:r>
      <w:r>
        <w:rPr>
          <w:b/>
          <w:bCs/>
          <w:sz w:val="20"/>
        </w:rPr>
        <w:t>)</w:t>
      </w:r>
      <w:r w:rsidRPr="006E06CA">
        <w:rPr>
          <w:sz w:val="20"/>
        </w:rPr>
        <w:t xml:space="preserve"> </w:t>
      </w:r>
    </w:p>
    <w:p w14:paraId="002DC6CE" w14:textId="77777777" w:rsidR="00246D13" w:rsidRPr="006E06CA" w:rsidRDefault="00246D13" w:rsidP="00775023">
      <w:pPr>
        <w:pStyle w:val="Corpsdetexte"/>
        <w:keepNext/>
        <w:keepLines/>
        <w:spacing w:after="0"/>
        <w:ind w:left="1418" w:right="1133" w:hanging="1418"/>
        <w:jc w:val="both"/>
        <w:rPr>
          <w:sz w:val="20"/>
        </w:rPr>
      </w:pPr>
      <w:r w:rsidRPr="006E06CA">
        <w:rPr>
          <w:sz w:val="20"/>
        </w:rPr>
        <w:tab/>
        <w:t>Emballage extérieur : Boîte comportant une étiquette de transport pour</w:t>
      </w:r>
      <w:r>
        <w:rPr>
          <w:sz w:val="20"/>
        </w:rPr>
        <w:t xml:space="preserve"> la clase 3 :</w:t>
      </w:r>
      <w:r w:rsidRPr="006E06CA">
        <w:rPr>
          <w:sz w:val="20"/>
        </w:rPr>
        <w:t xml:space="preserve"> liquides inflammables*</w:t>
      </w:r>
    </w:p>
    <w:p w14:paraId="77306E8D" w14:textId="77777777" w:rsidR="00246D13" w:rsidRPr="00B307B2" w:rsidRDefault="00246D13" w:rsidP="00246D13">
      <w:pPr>
        <w:keepNext/>
        <w:keepLines/>
        <w:spacing w:after="240"/>
        <w:ind w:left="1418"/>
        <w:rPr>
          <w:lang w:val="fr-FR"/>
        </w:rPr>
      </w:pPr>
      <w:r w:rsidRPr="00B307B2">
        <w:rPr>
          <w:lang w:val="fr-FR"/>
        </w:rPr>
        <w:t>Emballage intérieur : Bouteille en plastique munie d</w:t>
      </w:r>
      <w:r>
        <w:rPr>
          <w:lang w:val="fr-FR"/>
        </w:rPr>
        <w:t>’</w:t>
      </w:r>
      <w:r w:rsidRPr="00B307B2">
        <w:rPr>
          <w:lang w:val="fr-FR"/>
        </w:rPr>
        <w:t>une étiquette SGH</w:t>
      </w:r>
    </w:p>
    <w:p w14:paraId="180E0D64" w14:textId="77777777" w:rsidR="00246D13" w:rsidRPr="00B307B2" w:rsidRDefault="00246D13" w:rsidP="00246D13">
      <w:pPr>
        <w:keepNext/>
        <w:keepLines/>
        <w:rPr>
          <w:lang w:val="fr-FR"/>
        </w:rPr>
      </w:pPr>
      <w:r w:rsidRPr="00B307B2">
        <w:rPr>
          <w:noProof/>
          <w:lang w:val="fr-FR"/>
        </w:rPr>
        <mc:AlternateContent>
          <mc:Choice Requires="wps">
            <w:drawing>
              <wp:anchor distT="0" distB="0" distL="114300" distR="114300" simplePos="0" relativeHeight="251658245" behindDoc="0" locked="0" layoutInCell="1" allowOverlap="1" wp14:anchorId="142B2441" wp14:editId="561A890F">
                <wp:simplePos x="0" y="0"/>
                <wp:positionH relativeFrom="column">
                  <wp:posOffset>911888</wp:posOffset>
                </wp:positionH>
                <wp:positionV relativeFrom="paragraph">
                  <wp:posOffset>1987550</wp:posOffset>
                </wp:positionV>
                <wp:extent cx="1104900" cy="476250"/>
                <wp:effectExtent l="0" t="0" r="0" b="0"/>
                <wp:wrapNone/>
                <wp:docPr id="315"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3B4A" w14:textId="77777777" w:rsidR="00246D13" w:rsidRPr="00662EB6" w:rsidRDefault="00246D13" w:rsidP="00246D13">
                            <w:pPr>
                              <w:spacing w:line="240" w:lineRule="auto"/>
                              <w:rPr>
                                <w:sz w:val="12"/>
                                <w:szCs w:val="12"/>
                                <w:lang w:val="fr-FR"/>
                              </w:rPr>
                            </w:pPr>
                            <w:r w:rsidRPr="00662EB6">
                              <w:rPr>
                                <w:sz w:val="12"/>
                                <w:szCs w:val="12"/>
                                <w:lang w:val="fr-FR"/>
                              </w:rPr>
                              <w:t xml:space="preserve">Désignation officielle </w:t>
                            </w:r>
                          </w:p>
                          <w:p w14:paraId="79636C9B" w14:textId="77777777" w:rsidR="00246D13" w:rsidRPr="00662EB6" w:rsidRDefault="00246D13" w:rsidP="00246D13">
                            <w:pPr>
                              <w:spacing w:line="240" w:lineRule="auto"/>
                              <w:rPr>
                                <w:sz w:val="12"/>
                                <w:szCs w:val="12"/>
                                <w:lang w:val="fr-FR"/>
                              </w:rPr>
                            </w:pPr>
                            <w:r w:rsidRPr="00662EB6">
                              <w:rPr>
                                <w:sz w:val="12"/>
                                <w:szCs w:val="12"/>
                                <w:lang w:val="fr-FR"/>
                              </w:rPr>
                              <w:t xml:space="preserve">de transport </w:t>
                            </w:r>
                          </w:p>
                          <w:p w14:paraId="764A77B5" w14:textId="77777777" w:rsidR="00246D13" w:rsidRPr="00662EB6" w:rsidRDefault="00246D13" w:rsidP="00246D13">
                            <w:pPr>
                              <w:spacing w:line="240" w:lineRule="auto"/>
                              <w:rPr>
                                <w:color w:val="000000" w:themeColor="text1"/>
                                <w:sz w:val="12"/>
                                <w:szCs w:val="12"/>
                              </w:rPr>
                            </w:pPr>
                            <w:r w:rsidRPr="00662EB6">
                              <w:rPr>
                                <w:sz w:val="12"/>
                                <w:szCs w:val="12"/>
                                <w:lang w:val="fr-FR"/>
                              </w:rPr>
                              <w:t>Numéro ONU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2B2441" id="_x0000_t202" coordsize="21600,21600" o:spt="202" path="m,l,21600r21600,l21600,xe">
                <v:stroke joinstyle="miter"/>
                <v:path gradientshapeok="t" o:connecttype="rect"/>
              </v:shapetype>
              <v:shape id="Text Box 1367" o:spid="_x0000_s1026" type="#_x0000_t202" style="position:absolute;margin-left:71.8pt;margin-top:156.5pt;width:87pt;height:3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" filled="f" stroked="f">
                <v:textbox inset="0,0,0,0">
                  <w:txbxContent>
                    <w:p w14:paraId="6C043B4A" w14:textId="77777777" w:rsidR="00246D13" w:rsidRPr="00662EB6" w:rsidRDefault="00246D13" w:rsidP="00246D13">
                      <w:pPr>
                        <w:spacing w:line="240" w:lineRule="auto"/>
                        <w:rPr>
                          <w:sz w:val="12"/>
                          <w:szCs w:val="12"/>
                          <w:lang w:val="fr-FR"/>
                        </w:rPr>
                      </w:pPr>
                      <w:r w:rsidRPr="00662EB6">
                        <w:rPr>
                          <w:sz w:val="12"/>
                          <w:szCs w:val="12"/>
                          <w:lang w:val="fr-FR"/>
                        </w:rPr>
                        <w:t xml:space="preserve">Désignation officielle </w:t>
                      </w:r>
                    </w:p>
                    <w:p w14:paraId="79636C9B" w14:textId="77777777" w:rsidR="00246D13" w:rsidRPr="00662EB6" w:rsidRDefault="00246D13" w:rsidP="00246D13">
                      <w:pPr>
                        <w:spacing w:line="240" w:lineRule="auto"/>
                        <w:rPr>
                          <w:sz w:val="12"/>
                          <w:szCs w:val="12"/>
                          <w:lang w:val="fr-FR"/>
                        </w:rPr>
                      </w:pPr>
                      <w:r w:rsidRPr="00662EB6">
                        <w:rPr>
                          <w:sz w:val="12"/>
                          <w:szCs w:val="12"/>
                          <w:lang w:val="fr-FR"/>
                        </w:rPr>
                        <w:t xml:space="preserve">de transport </w:t>
                      </w:r>
                    </w:p>
                    <w:p w14:paraId="764A77B5" w14:textId="77777777" w:rsidR="00246D13" w:rsidRPr="00662EB6" w:rsidRDefault="00246D13" w:rsidP="00246D13">
                      <w:pPr>
                        <w:spacing w:line="240" w:lineRule="auto"/>
                        <w:rPr>
                          <w:color w:val="000000" w:themeColor="text1"/>
                          <w:sz w:val="12"/>
                          <w:szCs w:val="12"/>
                        </w:rPr>
                      </w:pPr>
                      <w:r w:rsidRPr="00662EB6">
                        <w:rPr>
                          <w:sz w:val="12"/>
                          <w:szCs w:val="12"/>
                          <w:lang w:val="fr-FR"/>
                        </w:rPr>
                        <w:t>Numéro ONU</w:t>
                      </w:r>
                    </w:p>
                  </w:txbxContent>
                </v:textbox>
              </v:shape>
            </w:pict>
          </mc:Fallback>
        </mc:AlternateContent>
      </w:r>
      <w:r w:rsidRPr="00B307B2">
        <w:rPr>
          <w:noProof/>
          <w:lang w:val="fr-FR"/>
        </w:rPr>
        <mc:AlternateContent>
          <mc:Choice Requires="wps">
            <w:drawing>
              <wp:anchor distT="0" distB="0" distL="114300" distR="114300" simplePos="0" relativeHeight="251658242" behindDoc="0" locked="0" layoutInCell="1" allowOverlap="1" wp14:anchorId="5308EE2C" wp14:editId="18A5F324">
                <wp:simplePos x="0" y="0"/>
                <wp:positionH relativeFrom="column">
                  <wp:posOffset>2200091</wp:posOffset>
                </wp:positionH>
                <wp:positionV relativeFrom="paragraph">
                  <wp:posOffset>2635516</wp:posOffset>
                </wp:positionV>
                <wp:extent cx="884903" cy="457200"/>
                <wp:effectExtent l="0" t="0" r="29845" b="19050"/>
                <wp:wrapNone/>
                <wp:docPr id="1355" name="Line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4903"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4495B" id="Line 13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207.5pt" to="242.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"/>
            </w:pict>
          </mc:Fallback>
        </mc:AlternateContent>
      </w:r>
      <w:r w:rsidRPr="00B307B2">
        <w:rPr>
          <w:noProof/>
          <w:lang w:val="fr-FR"/>
        </w:rPr>
        <w:drawing>
          <wp:inline distT="0" distB="0" distL="0" distR="0" wp14:anchorId="316D67CC" wp14:editId="4D33CE08">
            <wp:extent cx="3548380" cy="293433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8380" cy="2934335"/>
                    </a:xfrm>
                    <a:prstGeom prst="rect">
                      <a:avLst/>
                    </a:prstGeom>
                    <a:noFill/>
                    <a:ln>
                      <a:noFill/>
                    </a:ln>
                  </pic:spPr>
                </pic:pic>
              </a:graphicData>
            </a:graphic>
          </wp:inline>
        </w:drawing>
      </w:r>
    </w:p>
    <w:p w14:paraId="6E24620F" w14:textId="77777777" w:rsidR="00246D13" w:rsidRPr="00B307B2" w:rsidRDefault="00246D13" w:rsidP="00246D13">
      <w:pPr>
        <w:rPr>
          <w:lang w:val="fr-FR"/>
        </w:rPr>
      </w:pPr>
    </w:p>
    <w:tbl>
      <w:tblPr>
        <w:tblW w:w="756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4500"/>
      </w:tblGrid>
      <w:tr w:rsidR="00246D13" w:rsidRPr="00CA3DB2" w14:paraId="4FBA0560" w14:textId="77777777" w:rsidTr="004D33AF">
        <w:tc>
          <w:tcPr>
            <w:tcW w:w="7560" w:type="dxa"/>
            <w:gridSpan w:val="2"/>
            <w:tcBorders>
              <w:top w:val="single" w:sz="24" w:space="0" w:color="auto"/>
              <w:left w:val="single" w:sz="24" w:space="0" w:color="auto"/>
              <w:bottom w:val="nil"/>
              <w:right w:val="single" w:sz="24" w:space="0" w:color="auto"/>
            </w:tcBorders>
          </w:tcPr>
          <w:p w14:paraId="04D2C427" w14:textId="77777777" w:rsidR="00246D13" w:rsidRPr="00B307B2" w:rsidRDefault="00246D13" w:rsidP="004D33AF">
            <w:pPr>
              <w:ind w:right="172"/>
              <w:rPr>
                <w:b/>
                <w:bCs/>
                <w:lang w:val="fr-FR"/>
              </w:rPr>
            </w:pPr>
            <w:r w:rsidRPr="00B307B2">
              <w:rPr>
                <w:b/>
                <w:bCs/>
                <w:lang w:val="fr-FR"/>
              </w:rPr>
              <w:t>Identification du produit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d))</w:t>
            </w:r>
          </w:p>
          <w:p w14:paraId="24BBB275" w14:textId="77777777" w:rsidR="00246D13" w:rsidRPr="00B307B2" w:rsidRDefault="00246D13" w:rsidP="004D33AF">
            <w:pPr>
              <w:rPr>
                <w:lang w:val="fr-FR"/>
              </w:rPr>
            </w:pPr>
          </w:p>
        </w:tc>
      </w:tr>
      <w:tr w:rsidR="00246D13" w:rsidRPr="00CA3DB2" w14:paraId="7233EE79" w14:textId="77777777" w:rsidTr="004D33AF">
        <w:tc>
          <w:tcPr>
            <w:tcW w:w="3060" w:type="dxa"/>
            <w:tcBorders>
              <w:top w:val="nil"/>
              <w:left w:val="single" w:sz="24" w:space="0" w:color="auto"/>
              <w:bottom w:val="nil"/>
              <w:right w:val="nil"/>
            </w:tcBorders>
          </w:tcPr>
          <w:p w14:paraId="2E6D09AB" w14:textId="77777777" w:rsidR="00246D13" w:rsidRPr="00B307B2" w:rsidRDefault="00246D13" w:rsidP="004D33AF">
            <w:pPr>
              <w:rPr>
                <w:lang w:val="fr-FR"/>
              </w:rPr>
            </w:pPr>
          </w:p>
        </w:tc>
        <w:tc>
          <w:tcPr>
            <w:tcW w:w="4500" w:type="dxa"/>
            <w:tcBorders>
              <w:top w:val="nil"/>
              <w:left w:val="nil"/>
              <w:bottom w:val="nil"/>
              <w:right w:val="single" w:sz="24" w:space="0" w:color="auto"/>
            </w:tcBorders>
          </w:tcPr>
          <w:p w14:paraId="2818BE23" w14:textId="77777777" w:rsidR="00246D13" w:rsidRPr="00B307B2" w:rsidRDefault="00246D13" w:rsidP="004D33AF">
            <w:pPr>
              <w:rPr>
                <w:b/>
                <w:bCs/>
                <w:lang w:val="fr-FR"/>
              </w:rPr>
            </w:pPr>
          </w:p>
          <w:p w14:paraId="58431676" w14:textId="77777777" w:rsidR="00246D13" w:rsidRPr="00B307B2" w:rsidRDefault="00246D13" w:rsidP="004D33AF">
            <w:pPr>
              <w:rPr>
                <w:b/>
                <w:bCs/>
                <w:lang w:val="fr-FR"/>
              </w:rPr>
            </w:pPr>
            <w:r w:rsidRPr="00CA3DB2">
              <w:rPr>
                <w:b/>
                <w:bCs/>
                <w:caps/>
                <w:lang w:val="fr-FR"/>
              </w:rPr>
              <w:t>Mention d</w:t>
            </w:r>
            <w:r>
              <w:rPr>
                <w:b/>
                <w:bCs/>
                <w:caps/>
                <w:lang w:val="fr-FR"/>
              </w:rPr>
              <w:t>’</w:t>
            </w:r>
            <w:r w:rsidRPr="00CA3DB2">
              <w:rPr>
                <w:b/>
                <w:bCs/>
                <w:caps/>
                <w:lang w:val="fr-FR"/>
              </w:rPr>
              <w:t>avertissement</w:t>
            </w:r>
            <w:r w:rsidRPr="00B307B2">
              <w:rPr>
                <w:b/>
                <w:bCs/>
                <w:lang w:val="fr-FR"/>
              </w:rPr>
              <w:t xml:space="preserve"> </w:t>
            </w:r>
            <w:r>
              <w:rPr>
                <w:b/>
                <w:bCs/>
                <w:lang w:val="fr-FR"/>
              </w:rPr>
              <w:br/>
            </w:r>
            <w:r w:rsidRPr="00B307B2">
              <w:rPr>
                <w:b/>
                <w:bCs/>
                <w:lang w:val="fr-FR"/>
              </w:rPr>
              <w:t>(voir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a))</w:t>
            </w:r>
          </w:p>
          <w:p w14:paraId="20C18D3A" w14:textId="77777777" w:rsidR="00246D13" w:rsidRPr="00B307B2" w:rsidRDefault="00246D13" w:rsidP="004D33AF">
            <w:pPr>
              <w:rPr>
                <w:b/>
                <w:bCs/>
                <w:lang w:val="fr-FR"/>
              </w:rPr>
            </w:pPr>
          </w:p>
          <w:p w14:paraId="3C53B42D" w14:textId="77777777" w:rsidR="00246D13" w:rsidRPr="00B307B2" w:rsidRDefault="00246D13" w:rsidP="004D33AF">
            <w:pPr>
              <w:rPr>
                <w:b/>
                <w:bCs/>
                <w:lang w:val="fr-FR"/>
              </w:rPr>
            </w:pPr>
            <w:r w:rsidRPr="00B307B2">
              <w:rPr>
                <w:b/>
                <w:bCs/>
                <w:lang w:val="fr-FR"/>
              </w:rPr>
              <w:t>Mention de danger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b))</w:t>
            </w:r>
          </w:p>
        </w:tc>
      </w:tr>
      <w:tr w:rsidR="00246D13" w:rsidRPr="00CA3DB2" w14:paraId="1688F741" w14:textId="77777777" w:rsidTr="004D33AF">
        <w:tc>
          <w:tcPr>
            <w:tcW w:w="7560" w:type="dxa"/>
            <w:gridSpan w:val="2"/>
            <w:tcBorders>
              <w:top w:val="nil"/>
              <w:left w:val="single" w:sz="24" w:space="0" w:color="auto"/>
              <w:bottom w:val="single" w:sz="24" w:space="0" w:color="auto"/>
              <w:right w:val="single" w:sz="24" w:space="0" w:color="auto"/>
            </w:tcBorders>
          </w:tcPr>
          <w:p w14:paraId="4D5086C7" w14:textId="77777777" w:rsidR="00246D13" w:rsidRPr="00B307B2" w:rsidRDefault="00246D13" w:rsidP="004D33AF">
            <w:pPr>
              <w:tabs>
                <w:tab w:val="right" w:pos="7344"/>
              </w:tabs>
              <w:spacing w:before="120" w:line="360" w:lineRule="auto"/>
              <w:rPr>
                <w:b/>
                <w:bCs/>
                <w:lang w:val="fr-FR"/>
              </w:rPr>
            </w:pPr>
            <w:r w:rsidRPr="00B307B2">
              <w:rPr>
                <w:b/>
                <w:bCs/>
                <w:lang w:val="fr-FR"/>
              </w:rPr>
              <w:t>Conseils de prudence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c) et sections 2 et 3 de l</w:t>
            </w:r>
            <w:r>
              <w:rPr>
                <w:b/>
                <w:bCs/>
                <w:lang w:val="fr-FR"/>
              </w:rPr>
              <w:t>’</w:t>
            </w:r>
            <w:r w:rsidRPr="00B307B2">
              <w:rPr>
                <w:b/>
                <w:bCs/>
                <w:lang w:val="fr-FR"/>
              </w:rPr>
              <w:t>annexe 3)</w:t>
            </w:r>
            <w:r w:rsidRPr="00B307B2">
              <w:rPr>
                <w:lang w:val="fr-FR"/>
              </w:rPr>
              <w:tab/>
            </w:r>
          </w:p>
          <w:p w14:paraId="254F4CA6" w14:textId="77777777" w:rsidR="00246D13" w:rsidRPr="00B307B2" w:rsidRDefault="00246D13" w:rsidP="004D33AF">
            <w:pPr>
              <w:tabs>
                <w:tab w:val="left" w:pos="252"/>
              </w:tabs>
              <w:spacing w:after="240" w:line="240" w:lineRule="auto"/>
              <w:ind w:left="249" w:hanging="249"/>
              <w:rPr>
                <w:lang w:val="fr-FR"/>
              </w:rPr>
            </w:pPr>
            <w:r w:rsidRPr="00B307B2">
              <w:rPr>
                <w:lang w:val="fr-FR"/>
              </w:rPr>
              <w:tab/>
              <w:t>Information</w:t>
            </w:r>
            <w:r>
              <w:rPr>
                <w:lang w:val="fr-FR"/>
              </w:rPr>
              <w:t>s</w:t>
            </w:r>
            <w:r w:rsidRPr="00B307B2">
              <w:rPr>
                <w:lang w:val="fr-FR"/>
              </w:rPr>
              <w:t xml:space="preserve"> supplémentaire</w:t>
            </w:r>
            <w:r>
              <w:rPr>
                <w:lang w:val="fr-FR"/>
              </w:rPr>
              <w:t>s</w:t>
            </w:r>
            <w:r w:rsidRPr="00B307B2">
              <w:rPr>
                <w:lang w:val="fr-FR"/>
              </w:rPr>
              <w:t xml:space="preserve"> autorisé</w:t>
            </w:r>
            <w:r>
              <w:rPr>
                <w:lang w:val="fr-FR"/>
              </w:rPr>
              <w:t>es</w:t>
            </w:r>
            <w:r w:rsidRPr="00B307B2">
              <w:rPr>
                <w:lang w:val="fr-FR"/>
              </w:rPr>
              <w:t xml:space="preserve"> ou requis</w:t>
            </w:r>
            <w:r>
              <w:rPr>
                <w:lang w:val="fr-FR"/>
              </w:rPr>
              <w:t>es</w:t>
            </w:r>
            <w:r w:rsidRPr="00B307B2">
              <w:rPr>
                <w:lang w:val="fr-FR"/>
              </w:rPr>
              <w:t xml:space="preserve"> par l</w:t>
            </w:r>
            <w:r>
              <w:rPr>
                <w:lang w:val="fr-FR"/>
              </w:rPr>
              <w:t>’</w:t>
            </w:r>
            <w:r w:rsidRPr="00B307B2">
              <w:rPr>
                <w:lang w:val="fr-FR"/>
              </w:rPr>
              <w:t>autorité compétente</w:t>
            </w:r>
            <w:r>
              <w:rPr>
                <w:lang w:val="fr-FR"/>
              </w:rPr>
              <w:t>, selon qu’il convient</w:t>
            </w:r>
            <w:r w:rsidRPr="00B307B2">
              <w:rPr>
                <w:lang w:val="fr-FR"/>
              </w:rPr>
              <w:t xml:space="preserve"> (voir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sidRPr="00B307B2">
              <w:rPr>
                <w:lang w:val="fr-FR"/>
              </w:rPr>
              <w:t>5</w:t>
            </w:r>
            <w:r w:rsidRPr="00C04ED8">
              <w:rPr>
                <w:lang w:val="fr-FR"/>
              </w:rPr>
              <w:t>.</w:t>
            </w:r>
            <w:r w:rsidRPr="00B307B2">
              <w:rPr>
                <w:lang w:val="fr-FR"/>
              </w:rPr>
              <w:t>4</w:t>
            </w:r>
            <w:r w:rsidRPr="00C04ED8">
              <w:rPr>
                <w:lang w:val="fr-FR"/>
              </w:rPr>
              <w:t>.</w:t>
            </w:r>
            <w:r w:rsidRPr="00B307B2">
              <w:rPr>
                <w:lang w:val="fr-FR"/>
              </w:rPr>
              <w:t>2)</w:t>
            </w:r>
            <w:r w:rsidRPr="00C04ED8">
              <w:rPr>
                <w:lang w:val="fr-FR"/>
              </w:rPr>
              <w:t>.</w:t>
            </w:r>
          </w:p>
          <w:p w14:paraId="6E3C334D" w14:textId="77777777" w:rsidR="00246D13" w:rsidRPr="00B307B2" w:rsidRDefault="00246D13" w:rsidP="004D33AF">
            <w:pPr>
              <w:spacing w:after="80" w:line="360" w:lineRule="auto"/>
              <w:rPr>
                <w:b/>
                <w:bCs/>
                <w:lang w:val="fr-FR"/>
              </w:rPr>
            </w:pPr>
            <w:r w:rsidRPr="00B307B2">
              <w:rPr>
                <w:b/>
                <w:bCs/>
                <w:lang w:val="fr-FR"/>
              </w:rPr>
              <w:t>Identi</w:t>
            </w:r>
            <w:r>
              <w:rPr>
                <w:b/>
                <w:bCs/>
                <w:lang w:val="fr-FR"/>
              </w:rPr>
              <w:t>té</w:t>
            </w:r>
            <w:r w:rsidRPr="00B307B2">
              <w:rPr>
                <w:b/>
                <w:bCs/>
                <w:lang w:val="fr-FR"/>
              </w:rPr>
              <w:t xml:space="preserve"> du fournisseur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e))</w:t>
            </w:r>
          </w:p>
        </w:tc>
      </w:tr>
    </w:tbl>
    <w:p w14:paraId="1F8229D8" w14:textId="77777777" w:rsidR="00246D13" w:rsidRDefault="00246D13" w:rsidP="00246D13">
      <w:pPr>
        <w:pStyle w:val="Corpsdetexte3"/>
        <w:tabs>
          <w:tab w:val="clear" w:pos="1701"/>
          <w:tab w:val="left" w:pos="1418"/>
        </w:tabs>
        <w:spacing w:before="60" w:after="60"/>
        <w:ind w:left="1134" w:right="1134"/>
        <w:rPr>
          <w:i/>
          <w:iCs/>
          <w:sz w:val="20"/>
          <w:lang w:val="fr-FR"/>
        </w:rPr>
      </w:pPr>
      <w:r w:rsidRPr="00AC0317">
        <w:rPr>
          <w:i/>
          <w:iCs/>
          <w:sz w:val="20"/>
          <w:lang w:val="fr-FR"/>
        </w:rPr>
        <w:t>*</w:t>
      </w:r>
      <w:r w:rsidRPr="00AC0317">
        <w:rPr>
          <w:sz w:val="20"/>
          <w:lang w:val="fr-FR"/>
        </w:rPr>
        <w:tab/>
      </w:r>
      <w:r w:rsidRPr="00AC0317">
        <w:rPr>
          <w:i/>
          <w:iCs/>
          <w:sz w:val="20"/>
          <w:lang w:val="fr-FR"/>
        </w:rPr>
        <w:t>Pour les emballages extérieurs, seules les marques et étiquettes pour le transport spécifiées dans le Règlement type de l</w:t>
      </w:r>
      <w:r>
        <w:rPr>
          <w:i/>
          <w:iCs/>
          <w:sz w:val="20"/>
          <w:lang w:val="fr-FR"/>
        </w:rPr>
        <w:t>’</w:t>
      </w:r>
      <w:r w:rsidRPr="00AC0317">
        <w:rPr>
          <w:i/>
          <w:iCs/>
          <w:sz w:val="20"/>
          <w:lang w:val="fr-FR"/>
        </w:rPr>
        <w:t>ONU sont exigées</w:t>
      </w:r>
      <w:r w:rsidRPr="00C04ED8">
        <w:rPr>
          <w:i/>
          <w:iCs/>
          <w:sz w:val="20"/>
          <w:lang w:val="fr-FR"/>
        </w:rPr>
        <w:t>.</w:t>
      </w:r>
      <w:r w:rsidRPr="00AC0317">
        <w:rPr>
          <w:i/>
          <w:iCs/>
          <w:sz w:val="20"/>
          <w:lang w:val="fr-FR"/>
        </w:rPr>
        <w:t> </w:t>
      </w:r>
      <w:r w:rsidRPr="007D4296">
        <w:rPr>
          <w:sz w:val="20"/>
          <w:lang w:val="fr-FR"/>
        </w:rPr>
        <w:t>»</w:t>
      </w:r>
      <w:r w:rsidRPr="00C04ED8">
        <w:rPr>
          <w:i/>
          <w:iCs/>
          <w:sz w:val="20"/>
          <w:lang w:val="fr-FR"/>
        </w:rPr>
        <w:t>.</w:t>
      </w:r>
    </w:p>
    <w:p w14:paraId="197EBD37" w14:textId="77777777" w:rsidR="00246D13" w:rsidRPr="00B307B2" w:rsidRDefault="00246D13" w:rsidP="00246D13">
      <w:pPr>
        <w:pStyle w:val="SingleTxtG"/>
        <w:rPr>
          <w:color w:val="000000" w:themeColor="text1"/>
          <w:lang w:val="fr-FR"/>
        </w:rPr>
      </w:pPr>
      <w:r w:rsidRPr="00B307B2">
        <w:rPr>
          <w:i/>
          <w:iCs/>
          <w:lang w:val="fr-FR"/>
        </w:rPr>
        <w:br w:type="page"/>
      </w:r>
    </w:p>
    <w:p w14:paraId="2E2DA9F8" w14:textId="14316721" w:rsidR="00246D13" w:rsidRPr="00775023" w:rsidRDefault="00F835D8" w:rsidP="00F835D8">
      <w:pPr>
        <w:pStyle w:val="H23G"/>
        <w:rPr>
          <w:lang w:val="fr-FR"/>
        </w:rPr>
      </w:pPr>
      <w:r>
        <w:lastRenderedPageBreak/>
        <w:tab/>
      </w:r>
      <w:r>
        <w:tab/>
        <w:t>E</w:t>
      </w:r>
      <w:r w:rsidR="00246D13" w:rsidRPr="00F835D8">
        <w:t>xemple 2</w:t>
      </w:r>
    </w:p>
    <w:p w14:paraId="28DE5168" w14:textId="043D7173" w:rsidR="00246D13" w:rsidRPr="00B307B2" w:rsidRDefault="00246D13" w:rsidP="00246D13">
      <w:pPr>
        <w:pStyle w:val="SingleTxtG"/>
        <w:rPr>
          <w:lang w:val="fr-FR"/>
        </w:rPr>
      </w:pPr>
      <w:r>
        <w:rPr>
          <w:lang w:val="fr-FR"/>
        </w:rPr>
        <w:t>Remplacer par le texte suivant :</w:t>
      </w:r>
    </w:p>
    <w:p w14:paraId="73E5D31A" w14:textId="1A3172C1" w:rsidR="00246D13" w:rsidRPr="00775023" w:rsidRDefault="00246D13" w:rsidP="00246D13">
      <w:pPr>
        <w:pStyle w:val="Corpsdetexte3"/>
        <w:spacing w:after="240"/>
        <w:ind w:left="1134" w:right="1134" w:hanging="1134"/>
        <w:rPr>
          <w:b/>
          <w:sz w:val="18"/>
          <w:szCs w:val="18"/>
          <w:lang w:val="fr-FR"/>
        </w:rPr>
      </w:pPr>
      <w:r w:rsidRPr="00B307B2">
        <w:rPr>
          <w:lang w:val="fr-FR"/>
        </w:rPr>
        <w:tab/>
      </w:r>
      <w:r w:rsidRPr="00B307B2">
        <w:rPr>
          <w:lang w:val="fr-FR"/>
        </w:rPr>
        <w:tab/>
      </w:r>
      <w:r w:rsidRPr="00775023">
        <w:rPr>
          <w:sz w:val="20"/>
          <w:szCs w:val="18"/>
          <w:lang w:val="fr-FR"/>
        </w:rPr>
        <w:t>« </w:t>
      </w:r>
      <w:r w:rsidRPr="00775023">
        <w:rPr>
          <w:b/>
          <w:bCs/>
          <w:sz w:val="20"/>
          <w:szCs w:val="18"/>
          <w:lang w:val="fr-FR"/>
        </w:rPr>
        <w:t>Exemple 2 :</w:t>
      </w:r>
      <w:r w:rsidRPr="00775023">
        <w:rPr>
          <w:sz w:val="20"/>
          <w:szCs w:val="18"/>
          <w:lang w:val="fr-FR"/>
        </w:rPr>
        <w:t xml:space="preserve"> </w:t>
      </w:r>
      <w:r w:rsidRPr="00775023">
        <w:rPr>
          <w:sz w:val="20"/>
          <w:szCs w:val="18"/>
          <w:lang w:val="fr-FR"/>
        </w:rPr>
        <w:tab/>
      </w:r>
      <w:r w:rsidRPr="00775023">
        <w:rPr>
          <w:b/>
          <w:bCs/>
          <w:sz w:val="20"/>
          <w:szCs w:val="18"/>
          <w:lang w:val="fr-FR"/>
        </w:rPr>
        <w:t>Emballage combiné pour les produits chimiques des classes</w:t>
      </w:r>
      <w:r w:rsidR="00EF2930">
        <w:rPr>
          <w:b/>
          <w:bCs/>
          <w:sz w:val="20"/>
          <w:szCs w:val="18"/>
          <w:lang w:val="fr-FR"/>
        </w:rPr>
        <w:t> :</w:t>
      </w:r>
      <w:r w:rsidRPr="00775023">
        <w:rPr>
          <w:b/>
          <w:bCs/>
          <w:sz w:val="20"/>
          <w:szCs w:val="18"/>
          <w:lang w:val="fr-FR"/>
        </w:rPr>
        <w:t xml:space="preserve"> Liquides inflammables (catégorie 2) et </w:t>
      </w:r>
      <w:r w:rsidR="00EF2930">
        <w:rPr>
          <w:b/>
          <w:bCs/>
          <w:sz w:val="20"/>
          <w:szCs w:val="18"/>
          <w:lang w:val="fr-FR"/>
        </w:rPr>
        <w:t>t</w:t>
      </w:r>
      <w:r w:rsidRPr="00775023">
        <w:rPr>
          <w:b/>
          <w:bCs/>
          <w:sz w:val="20"/>
          <w:szCs w:val="18"/>
          <w:lang w:val="fr-FR"/>
        </w:rPr>
        <w:t>oxicité pour certains organes cibles − exposition unique (catégorie 1)</w:t>
      </w:r>
    </w:p>
    <w:p w14:paraId="52E081DB" w14:textId="77777777" w:rsidR="00246D13" w:rsidRPr="00B307B2" w:rsidRDefault="00246D13" w:rsidP="00775023">
      <w:pPr>
        <w:ind w:left="1134" w:right="1133"/>
        <w:rPr>
          <w:lang w:val="fr-FR"/>
        </w:rPr>
      </w:pPr>
      <w:r w:rsidRPr="00B307B2">
        <w:rPr>
          <w:lang w:val="fr-FR"/>
        </w:rPr>
        <w:t>Emballage extérieur : Boîte comportant une étiquette de transport pour</w:t>
      </w:r>
      <w:r>
        <w:rPr>
          <w:lang w:val="fr-FR"/>
        </w:rPr>
        <w:t xml:space="preserve"> la clase 3 :</w:t>
      </w:r>
      <w:r w:rsidRPr="00B307B2">
        <w:rPr>
          <w:lang w:val="fr-FR"/>
        </w:rPr>
        <w:t xml:space="preserve"> liquides inflammables*</w:t>
      </w:r>
    </w:p>
    <w:p w14:paraId="09E2A0AE" w14:textId="77777777" w:rsidR="00246D13" w:rsidRPr="00B307B2" w:rsidRDefault="00246D13" w:rsidP="00775023">
      <w:pPr>
        <w:ind w:left="1134" w:right="1133"/>
        <w:rPr>
          <w:lang w:val="fr-FR"/>
        </w:rPr>
      </w:pPr>
      <w:r w:rsidRPr="00B307B2">
        <w:rPr>
          <w:lang w:val="fr-FR"/>
        </w:rPr>
        <w:t>Emballage intérieur : Bouteille en plastique munie d</w:t>
      </w:r>
      <w:r>
        <w:rPr>
          <w:lang w:val="fr-FR"/>
        </w:rPr>
        <w:t>’</w:t>
      </w:r>
      <w:r w:rsidRPr="00B307B2">
        <w:rPr>
          <w:lang w:val="fr-FR"/>
        </w:rPr>
        <w:t>une étiquette SGH</w:t>
      </w:r>
    </w:p>
    <w:p w14:paraId="563AD8D3" w14:textId="77777777" w:rsidR="00246D13" w:rsidRPr="00B307B2" w:rsidRDefault="00246D13" w:rsidP="00246D13">
      <w:pPr>
        <w:ind w:left="1134"/>
        <w:rPr>
          <w:lang w:val="fr-FR"/>
        </w:rPr>
      </w:pPr>
    </w:p>
    <w:p w14:paraId="2A9CF789" w14:textId="77777777" w:rsidR="00246D13" w:rsidRPr="00B307B2" w:rsidRDefault="00246D13" w:rsidP="00246D13">
      <w:pPr>
        <w:ind w:left="1134"/>
        <w:rPr>
          <w:lang w:val="fr-FR"/>
        </w:rPr>
      </w:pPr>
      <w:r w:rsidRPr="00B307B2">
        <w:rPr>
          <w:noProof/>
          <w:lang w:val="fr-FR"/>
        </w:rPr>
        <mc:AlternateContent>
          <mc:Choice Requires="wps">
            <w:drawing>
              <wp:anchor distT="0" distB="0" distL="114300" distR="114300" simplePos="0" relativeHeight="251658249" behindDoc="0" locked="0" layoutInCell="1" allowOverlap="1" wp14:anchorId="5773E956" wp14:editId="14CB7FAE">
                <wp:simplePos x="0" y="0"/>
                <wp:positionH relativeFrom="column">
                  <wp:posOffset>1614805</wp:posOffset>
                </wp:positionH>
                <wp:positionV relativeFrom="paragraph">
                  <wp:posOffset>1982153</wp:posOffset>
                </wp:positionV>
                <wp:extent cx="791845" cy="480060"/>
                <wp:effectExtent l="0" t="0" r="8255" b="15240"/>
                <wp:wrapNone/>
                <wp:docPr id="19"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F4F45" w14:textId="77777777" w:rsidR="00246D13" w:rsidRPr="00662EB6" w:rsidRDefault="00246D13" w:rsidP="00246D13">
                            <w:pPr>
                              <w:spacing w:line="240" w:lineRule="auto"/>
                              <w:rPr>
                                <w:sz w:val="12"/>
                                <w:szCs w:val="12"/>
                                <w:lang w:val="fr-FR"/>
                              </w:rPr>
                            </w:pPr>
                            <w:r w:rsidRPr="00662EB6">
                              <w:rPr>
                                <w:sz w:val="12"/>
                                <w:szCs w:val="12"/>
                                <w:lang w:val="fr-FR"/>
                              </w:rPr>
                              <w:t xml:space="preserve">Désignation officielle </w:t>
                            </w:r>
                            <w:r>
                              <w:rPr>
                                <w:sz w:val="12"/>
                                <w:szCs w:val="12"/>
                                <w:lang w:val="fr-FR"/>
                              </w:rPr>
                              <w:br/>
                            </w:r>
                            <w:r w:rsidRPr="00662EB6">
                              <w:rPr>
                                <w:sz w:val="12"/>
                                <w:szCs w:val="12"/>
                                <w:lang w:val="fr-FR"/>
                              </w:rPr>
                              <w:t xml:space="preserve">de transport </w:t>
                            </w:r>
                          </w:p>
                          <w:p w14:paraId="0EF0CEEE" w14:textId="77777777" w:rsidR="00246D13" w:rsidRPr="00662EB6" w:rsidRDefault="00246D13" w:rsidP="00246D13">
                            <w:pPr>
                              <w:spacing w:line="240" w:lineRule="auto"/>
                              <w:rPr>
                                <w:color w:val="000000" w:themeColor="text1"/>
                                <w:sz w:val="12"/>
                                <w:szCs w:val="12"/>
                              </w:rPr>
                            </w:pPr>
                            <w:r w:rsidRPr="00662EB6">
                              <w:rPr>
                                <w:sz w:val="12"/>
                                <w:szCs w:val="12"/>
                                <w:lang w:val="fr-FR"/>
                              </w:rPr>
                              <w:t>Numéro ONU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3E956" id="_x0000_s1027" type="#_x0000_t202" style="position:absolute;left:0;text-align:left;margin-left:127.15pt;margin-top:156.1pt;width:62.35pt;height:37.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" filled="f" stroked="f">
                <v:textbox inset="0,0,0,0">
                  <w:txbxContent>
                    <w:p w14:paraId="21DF4F45" w14:textId="77777777" w:rsidR="00246D13" w:rsidRPr="00662EB6" w:rsidRDefault="00246D13" w:rsidP="00246D13">
                      <w:pPr>
                        <w:spacing w:line="240" w:lineRule="auto"/>
                        <w:rPr>
                          <w:sz w:val="12"/>
                          <w:szCs w:val="12"/>
                          <w:lang w:val="fr-FR"/>
                        </w:rPr>
                      </w:pPr>
                      <w:r w:rsidRPr="00662EB6">
                        <w:rPr>
                          <w:sz w:val="12"/>
                          <w:szCs w:val="12"/>
                          <w:lang w:val="fr-FR"/>
                        </w:rPr>
                        <w:t xml:space="preserve">Désignation officielle </w:t>
                      </w:r>
                      <w:r>
                        <w:rPr>
                          <w:sz w:val="12"/>
                          <w:szCs w:val="12"/>
                          <w:lang w:val="fr-FR"/>
                        </w:rPr>
                        <w:br/>
                      </w:r>
                      <w:r w:rsidRPr="00662EB6">
                        <w:rPr>
                          <w:sz w:val="12"/>
                          <w:szCs w:val="12"/>
                          <w:lang w:val="fr-FR"/>
                        </w:rPr>
                        <w:t xml:space="preserve">de transport </w:t>
                      </w:r>
                    </w:p>
                    <w:p w14:paraId="0EF0CEEE" w14:textId="77777777" w:rsidR="00246D13" w:rsidRPr="00662EB6" w:rsidRDefault="00246D13" w:rsidP="00246D13">
                      <w:pPr>
                        <w:spacing w:line="240" w:lineRule="auto"/>
                        <w:rPr>
                          <w:color w:val="000000" w:themeColor="text1"/>
                          <w:sz w:val="12"/>
                          <w:szCs w:val="12"/>
                        </w:rPr>
                      </w:pPr>
                      <w:r w:rsidRPr="00662EB6">
                        <w:rPr>
                          <w:sz w:val="12"/>
                          <w:szCs w:val="12"/>
                          <w:lang w:val="fr-FR"/>
                        </w:rPr>
                        <w:t>Numéro ONU</w:t>
                      </w:r>
                    </w:p>
                  </w:txbxContent>
                </v:textbox>
              </v:shape>
            </w:pict>
          </mc:Fallback>
        </mc:AlternateContent>
      </w:r>
      <w:r w:rsidRPr="00B307B2">
        <w:rPr>
          <w:noProof/>
          <w:lang w:val="fr-FR"/>
        </w:rPr>
        <mc:AlternateContent>
          <mc:Choice Requires="wps">
            <w:drawing>
              <wp:anchor distT="0" distB="0" distL="114300" distR="114300" simplePos="0" relativeHeight="251658240" behindDoc="0" locked="0" layoutInCell="0" allowOverlap="1" wp14:anchorId="5DEDFE37" wp14:editId="0E3E732D">
                <wp:simplePos x="0" y="0"/>
                <wp:positionH relativeFrom="column">
                  <wp:posOffset>3203575</wp:posOffset>
                </wp:positionH>
                <wp:positionV relativeFrom="paragraph">
                  <wp:posOffset>2558415</wp:posOffset>
                </wp:positionV>
                <wp:extent cx="800100" cy="506028"/>
                <wp:effectExtent l="0" t="0" r="19050" b="27940"/>
                <wp:wrapNone/>
                <wp:docPr id="1353"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06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D037E" id="Line 131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201.45pt" to="315.25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" o:allowincell="f"/>
            </w:pict>
          </mc:Fallback>
        </mc:AlternateContent>
      </w:r>
      <w:r w:rsidRPr="00B307B2">
        <w:rPr>
          <w:noProof/>
          <w:lang w:val="fr-FR"/>
        </w:rPr>
        <w:drawing>
          <wp:inline distT="0" distB="0" distL="0" distR="0" wp14:anchorId="0CD54E1B" wp14:editId="6E222398">
            <wp:extent cx="3548380" cy="29343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8380" cy="2934335"/>
                    </a:xfrm>
                    <a:prstGeom prst="rect">
                      <a:avLst/>
                    </a:prstGeom>
                    <a:noFill/>
                    <a:ln>
                      <a:noFill/>
                    </a:ln>
                  </pic:spPr>
                </pic:pic>
              </a:graphicData>
            </a:graphic>
          </wp:inline>
        </w:drawing>
      </w:r>
    </w:p>
    <w:p w14:paraId="62D11749" w14:textId="77777777" w:rsidR="00246D13" w:rsidRPr="00B307B2" w:rsidRDefault="00246D13" w:rsidP="00246D13">
      <w:pPr>
        <w:ind w:left="1134"/>
        <w:rPr>
          <w:lang w:val="fr-FR"/>
        </w:rPr>
      </w:pPr>
    </w:p>
    <w:tbl>
      <w:tblPr>
        <w:tblW w:w="6923"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4505"/>
      </w:tblGrid>
      <w:tr w:rsidR="00246D13" w:rsidRPr="00CA3DB2" w14:paraId="1D066C41" w14:textId="77777777" w:rsidTr="004D33AF">
        <w:tc>
          <w:tcPr>
            <w:tcW w:w="6923" w:type="dxa"/>
            <w:gridSpan w:val="2"/>
            <w:tcBorders>
              <w:top w:val="single" w:sz="24" w:space="0" w:color="auto"/>
              <w:left w:val="single" w:sz="24" w:space="0" w:color="auto"/>
              <w:bottom w:val="nil"/>
              <w:right w:val="single" w:sz="24" w:space="0" w:color="auto"/>
            </w:tcBorders>
          </w:tcPr>
          <w:p w14:paraId="0A774788" w14:textId="77777777" w:rsidR="00246D13" w:rsidRPr="00B307B2" w:rsidRDefault="00246D13" w:rsidP="004D33AF">
            <w:pPr>
              <w:ind w:right="172"/>
              <w:rPr>
                <w:b/>
                <w:bCs/>
                <w:lang w:val="fr-FR"/>
              </w:rPr>
            </w:pPr>
            <w:r w:rsidRPr="00B307B2">
              <w:rPr>
                <w:b/>
                <w:bCs/>
                <w:lang w:val="fr-FR"/>
              </w:rPr>
              <w:t>Identification du produit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d))</w:t>
            </w:r>
          </w:p>
          <w:p w14:paraId="1CFFD120" w14:textId="77777777" w:rsidR="00246D13" w:rsidRPr="00B307B2" w:rsidRDefault="00246D13" w:rsidP="004D33AF">
            <w:pPr>
              <w:rPr>
                <w:lang w:val="fr-FR"/>
              </w:rPr>
            </w:pPr>
          </w:p>
        </w:tc>
      </w:tr>
      <w:tr w:rsidR="00246D13" w:rsidRPr="00CA3DB2" w14:paraId="060E7C60" w14:textId="77777777" w:rsidTr="004D33AF">
        <w:tc>
          <w:tcPr>
            <w:tcW w:w="2418" w:type="dxa"/>
            <w:tcBorders>
              <w:top w:val="nil"/>
              <w:left w:val="single" w:sz="24" w:space="0" w:color="auto"/>
              <w:bottom w:val="nil"/>
              <w:right w:val="nil"/>
            </w:tcBorders>
          </w:tcPr>
          <w:p w14:paraId="1A73B2DC" w14:textId="77777777" w:rsidR="00246D13" w:rsidRPr="00B307B2" w:rsidRDefault="00246D13" w:rsidP="004D33AF">
            <w:pPr>
              <w:rPr>
                <w:lang w:val="fr-FR"/>
              </w:rPr>
            </w:pPr>
            <w:r w:rsidRPr="00B307B2">
              <w:rPr>
                <w:b/>
                <w:bCs/>
                <w:noProof/>
                <w:lang w:val="fr-FR"/>
              </w:rPr>
              <mc:AlternateContent>
                <mc:Choice Requires="wpg">
                  <w:drawing>
                    <wp:anchor distT="0" distB="0" distL="114300" distR="114300" simplePos="0" relativeHeight="251658255" behindDoc="1" locked="0" layoutInCell="1" allowOverlap="1" wp14:anchorId="2EBC6A7E" wp14:editId="0D4E2963">
                      <wp:simplePos x="0" y="0"/>
                      <wp:positionH relativeFrom="column">
                        <wp:posOffset>245110</wp:posOffset>
                      </wp:positionH>
                      <wp:positionV relativeFrom="paragraph">
                        <wp:posOffset>0</wp:posOffset>
                      </wp:positionV>
                      <wp:extent cx="792000" cy="1580400"/>
                      <wp:effectExtent l="0" t="0" r="8255" b="1270"/>
                      <wp:wrapTight wrapText="bothSides">
                        <wp:wrapPolygon edited="0">
                          <wp:start x="9354" y="0"/>
                          <wp:lineTo x="0" y="5209"/>
                          <wp:lineTo x="0" y="5469"/>
                          <wp:lineTo x="5716" y="8595"/>
                          <wp:lineTo x="5716" y="12762"/>
                          <wp:lineTo x="0" y="15887"/>
                          <wp:lineTo x="0" y="16148"/>
                          <wp:lineTo x="9354" y="21357"/>
                          <wp:lineTo x="11952" y="21357"/>
                          <wp:lineTo x="20266" y="16929"/>
                          <wp:lineTo x="21306" y="15887"/>
                          <wp:lineTo x="15589" y="12762"/>
                          <wp:lineTo x="15589" y="8595"/>
                          <wp:lineTo x="20786" y="5730"/>
                          <wp:lineTo x="21306" y="5209"/>
                          <wp:lineTo x="11952" y="0"/>
                          <wp:lineTo x="9354" y="0"/>
                        </wp:wrapPolygon>
                      </wp:wrapTight>
                      <wp:docPr id="29" name="Group 29"/>
                      <wp:cNvGraphicFramePr/>
                      <a:graphic xmlns:a="http://schemas.openxmlformats.org/drawingml/2006/main">
                        <a:graphicData uri="http://schemas.microsoft.com/office/word/2010/wordprocessingGroup">
                          <wpg:wgp>
                            <wpg:cNvGrpSpPr/>
                            <wpg:grpSpPr>
                              <a:xfrm>
                                <a:off x="0" y="0"/>
                                <a:ext cx="792000" cy="1580400"/>
                                <a:chOff x="0" y="0"/>
                                <a:chExt cx="791845" cy="1581957"/>
                              </a:xfrm>
                            </wpg:grpSpPr>
                            <pic:pic xmlns:pic="http://schemas.openxmlformats.org/drawingml/2006/picture">
                              <pic:nvPicPr>
                                <pic:cNvPr id="27" name="Picture 135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790112"/>
                                  <a:ext cx="791845" cy="791845"/>
                                </a:xfrm>
                                <a:prstGeom prst="rect">
                                  <a:avLst/>
                                </a:prstGeom>
                                <a:noFill/>
                              </pic:spPr>
                            </pic:pic>
                            <pic:pic xmlns:pic="http://schemas.openxmlformats.org/drawingml/2006/picture">
                              <pic:nvPicPr>
                                <pic:cNvPr id="28" name="Picture 1360"/>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8AD51AE" id="Group 29" o:spid="_x0000_s1026" style="position:absolute;margin-left:19.3pt;margin-top:0;width:62.35pt;height:124.45pt;z-index:-251641856;mso-width-relative:margin;mso-height-relative:margin" coordsize="7918,1581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">
                      <v:shape id="Picture 1351" o:spid="_x0000_s1027" type="#_x0000_t75" style="position:absolute;top:7901;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">
                        <v:imagedata r:id="rId30" o:title=""/>
                      </v:shape>
                      <v:shape id="Picture 1360" o:spid="_x0000_s1028" type="#_x0000_t75" style="position:absolute;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">
                        <v:imagedata r:id="rId31" o:title=""/>
                      </v:shape>
                      <w10:wrap type="tight"/>
                    </v:group>
                  </w:pict>
                </mc:Fallback>
              </mc:AlternateContent>
            </w:r>
          </w:p>
        </w:tc>
        <w:tc>
          <w:tcPr>
            <w:tcW w:w="4500" w:type="dxa"/>
            <w:tcBorders>
              <w:top w:val="nil"/>
              <w:left w:val="nil"/>
              <w:bottom w:val="nil"/>
              <w:right w:val="single" w:sz="24" w:space="0" w:color="auto"/>
            </w:tcBorders>
          </w:tcPr>
          <w:p w14:paraId="63A17311" w14:textId="77777777" w:rsidR="00246D13" w:rsidRPr="00B307B2" w:rsidRDefault="00246D13" w:rsidP="004D33AF">
            <w:pPr>
              <w:ind w:left="36"/>
              <w:rPr>
                <w:b/>
                <w:bCs/>
                <w:lang w:val="fr-FR"/>
              </w:rPr>
            </w:pPr>
          </w:p>
          <w:p w14:paraId="43C84883" w14:textId="77777777" w:rsidR="00246D13" w:rsidRPr="00B307B2" w:rsidRDefault="00246D13" w:rsidP="004D33AF">
            <w:pPr>
              <w:ind w:left="36"/>
              <w:rPr>
                <w:b/>
                <w:bCs/>
                <w:lang w:val="fr-FR"/>
              </w:rPr>
            </w:pPr>
          </w:p>
          <w:p w14:paraId="7592B4A9" w14:textId="77777777" w:rsidR="00246D13" w:rsidRPr="00B307B2" w:rsidRDefault="00246D13" w:rsidP="004D33AF">
            <w:pPr>
              <w:ind w:left="36"/>
              <w:rPr>
                <w:b/>
                <w:bCs/>
                <w:lang w:val="fr-FR"/>
              </w:rPr>
            </w:pPr>
          </w:p>
          <w:p w14:paraId="1829A6E4" w14:textId="77777777" w:rsidR="00246D13" w:rsidRPr="00BE2245" w:rsidRDefault="00246D13" w:rsidP="004D33AF">
            <w:pPr>
              <w:rPr>
                <w:b/>
                <w:bCs/>
                <w:lang w:val="fr-FR"/>
              </w:rPr>
            </w:pPr>
            <w:r w:rsidRPr="00BE2245">
              <w:rPr>
                <w:b/>
                <w:bCs/>
                <w:caps/>
                <w:lang w:val="fr-FR"/>
              </w:rPr>
              <w:t>Mention d’avertissement</w:t>
            </w:r>
            <w:r w:rsidRPr="00BE2245">
              <w:rPr>
                <w:b/>
                <w:bCs/>
                <w:lang w:val="fr-FR"/>
              </w:rPr>
              <w:t xml:space="preserve"> </w:t>
            </w:r>
            <w:r w:rsidRPr="00BE2245">
              <w:rPr>
                <w:b/>
                <w:bCs/>
                <w:lang w:val="fr-FR"/>
              </w:rPr>
              <w:br/>
              <w:t>(voir 1</w:t>
            </w:r>
            <w:r w:rsidRPr="00C04ED8">
              <w:rPr>
                <w:b/>
                <w:bCs/>
                <w:lang w:val="fr-FR"/>
              </w:rPr>
              <w:t>.</w:t>
            </w:r>
            <w:r w:rsidRPr="00BE2245">
              <w:rPr>
                <w:b/>
                <w:bCs/>
                <w:lang w:val="fr-FR"/>
              </w:rPr>
              <w:t>4</w:t>
            </w:r>
            <w:r w:rsidRPr="00C04ED8">
              <w:rPr>
                <w:b/>
                <w:bCs/>
                <w:lang w:val="fr-FR"/>
              </w:rPr>
              <w:t>.</w:t>
            </w:r>
            <w:r w:rsidRPr="00BE2245">
              <w:rPr>
                <w:b/>
                <w:bCs/>
                <w:lang w:val="fr-FR"/>
              </w:rPr>
              <w:t>10</w:t>
            </w:r>
            <w:r w:rsidRPr="00C04ED8">
              <w:rPr>
                <w:b/>
                <w:bCs/>
                <w:lang w:val="fr-FR"/>
              </w:rPr>
              <w:t>.</w:t>
            </w:r>
            <w:r w:rsidRPr="00BE2245">
              <w:rPr>
                <w:b/>
                <w:bCs/>
                <w:lang w:val="fr-FR"/>
              </w:rPr>
              <w:t>5</w:t>
            </w:r>
            <w:r w:rsidRPr="00C04ED8">
              <w:rPr>
                <w:b/>
                <w:bCs/>
                <w:lang w:val="fr-FR"/>
              </w:rPr>
              <w:t>.</w:t>
            </w:r>
            <w:r w:rsidRPr="00BE2245">
              <w:rPr>
                <w:b/>
                <w:bCs/>
                <w:lang w:val="fr-FR"/>
              </w:rPr>
              <w:t>2 a))</w:t>
            </w:r>
          </w:p>
          <w:p w14:paraId="10F43719" w14:textId="77777777" w:rsidR="00246D13" w:rsidRPr="00B307B2" w:rsidRDefault="00246D13" w:rsidP="004D33AF">
            <w:pPr>
              <w:rPr>
                <w:b/>
                <w:bCs/>
                <w:lang w:val="fr-FR"/>
              </w:rPr>
            </w:pPr>
          </w:p>
          <w:p w14:paraId="03F26B64" w14:textId="77777777" w:rsidR="00246D13" w:rsidRPr="00B307B2" w:rsidRDefault="00246D13" w:rsidP="004D33AF">
            <w:pPr>
              <w:rPr>
                <w:b/>
                <w:bCs/>
                <w:lang w:val="fr-FR"/>
              </w:rPr>
            </w:pPr>
            <w:r w:rsidRPr="00B307B2">
              <w:rPr>
                <w:b/>
                <w:bCs/>
                <w:lang w:val="fr-FR"/>
              </w:rPr>
              <w:t>Mention de danger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b))</w:t>
            </w:r>
          </w:p>
        </w:tc>
      </w:tr>
      <w:tr w:rsidR="00246D13" w:rsidRPr="00CA3DB2" w14:paraId="1FDFB20D" w14:textId="77777777" w:rsidTr="004D33AF">
        <w:tc>
          <w:tcPr>
            <w:tcW w:w="6923" w:type="dxa"/>
            <w:gridSpan w:val="2"/>
            <w:tcBorders>
              <w:top w:val="nil"/>
              <w:left w:val="single" w:sz="24" w:space="0" w:color="auto"/>
              <w:bottom w:val="single" w:sz="24" w:space="0" w:color="auto"/>
              <w:right w:val="single" w:sz="24" w:space="0" w:color="auto"/>
            </w:tcBorders>
          </w:tcPr>
          <w:p w14:paraId="74C62652" w14:textId="77777777" w:rsidR="00246D13" w:rsidRPr="00B307B2" w:rsidRDefault="00246D13" w:rsidP="004D33AF">
            <w:pPr>
              <w:spacing w:before="120" w:line="360" w:lineRule="auto"/>
              <w:rPr>
                <w:b/>
                <w:bCs/>
                <w:lang w:val="fr-FR"/>
              </w:rPr>
            </w:pPr>
            <w:r w:rsidRPr="00B307B2">
              <w:rPr>
                <w:b/>
                <w:bCs/>
                <w:lang w:val="fr-FR"/>
              </w:rPr>
              <w:t>Conseils de prudence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c) et sections 2 et 3 de l</w:t>
            </w:r>
            <w:r>
              <w:rPr>
                <w:b/>
                <w:bCs/>
                <w:lang w:val="fr-FR"/>
              </w:rPr>
              <w:t>’</w:t>
            </w:r>
            <w:r w:rsidRPr="00B307B2">
              <w:rPr>
                <w:b/>
                <w:bCs/>
                <w:lang w:val="fr-FR"/>
              </w:rPr>
              <w:t>annexe 3)</w:t>
            </w:r>
          </w:p>
          <w:p w14:paraId="70B90183" w14:textId="77777777" w:rsidR="00246D13" w:rsidRPr="00B307B2" w:rsidRDefault="00246D13" w:rsidP="004D33AF">
            <w:pPr>
              <w:spacing w:after="240" w:line="240" w:lineRule="auto"/>
              <w:ind w:left="45" w:hanging="45"/>
              <w:rPr>
                <w:lang w:val="fr-FR"/>
              </w:rPr>
            </w:pPr>
            <w:r w:rsidRPr="00B307B2">
              <w:rPr>
                <w:lang w:val="fr-FR"/>
              </w:rPr>
              <w:tab/>
              <w:t>Information</w:t>
            </w:r>
            <w:r>
              <w:rPr>
                <w:lang w:val="fr-FR"/>
              </w:rPr>
              <w:t>s</w:t>
            </w:r>
            <w:r w:rsidRPr="00B307B2">
              <w:rPr>
                <w:lang w:val="fr-FR"/>
              </w:rPr>
              <w:t xml:space="preserve"> supplémentaire</w:t>
            </w:r>
            <w:r>
              <w:rPr>
                <w:lang w:val="fr-FR"/>
              </w:rPr>
              <w:t>s</w:t>
            </w:r>
            <w:r w:rsidRPr="00B307B2">
              <w:rPr>
                <w:lang w:val="fr-FR"/>
              </w:rPr>
              <w:t xml:space="preserve"> autorisé</w:t>
            </w:r>
            <w:r>
              <w:rPr>
                <w:lang w:val="fr-FR"/>
              </w:rPr>
              <w:t>es</w:t>
            </w:r>
            <w:r w:rsidRPr="00B307B2">
              <w:rPr>
                <w:lang w:val="fr-FR"/>
              </w:rPr>
              <w:t xml:space="preserve"> ou requis</w:t>
            </w:r>
            <w:r>
              <w:rPr>
                <w:lang w:val="fr-FR"/>
              </w:rPr>
              <w:t>es</w:t>
            </w:r>
            <w:r w:rsidRPr="00B307B2">
              <w:rPr>
                <w:lang w:val="fr-FR"/>
              </w:rPr>
              <w:t xml:space="preserve"> par l</w:t>
            </w:r>
            <w:r>
              <w:rPr>
                <w:lang w:val="fr-FR"/>
              </w:rPr>
              <w:t>’</w:t>
            </w:r>
            <w:r w:rsidRPr="00B307B2">
              <w:rPr>
                <w:lang w:val="fr-FR"/>
              </w:rPr>
              <w:t>autorité compétente</w:t>
            </w:r>
            <w:r>
              <w:rPr>
                <w:lang w:val="fr-FR"/>
              </w:rPr>
              <w:t>, selon qu’il convient</w:t>
            </w:r>
            <w:r w:rsidRPr="00B307B2">
              <w:rPr>
                <w:lang w:val="fr-FR"/>
              </w:rPr>
              <w:t xml:space="preserve"> (voir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sidRPr="00B307B2">
              <w:rPr>
                <w:lang w:val="fr-FR"/>
              </w:rPr>
              <w:t>5</w:t>
            </w:r>
            <w:r w:rsidRPr="00C04ED8">
              <w:rPr>
                <w:lang w:val="fr-FR"/>
              </w:rPr>
              <w:t>.</w:t>
            </w:r>
            <w:r w:rsidRPr="00B307B2">
              <w:rPr>
                <w:lang w:val="fr-FR"/>
              </w:rPr>
              <w:t>4</w:t>
            </w:r>
            <w:r w:rsidRPr="00C04ED8">
              <w:rPr>
                <w:lang w:val="fr-FR"/>
              </w:rPr>
              <w:t>.</w:t>
            </w:r>
            <w:r w:rsidRPr="00B307B2">
              <w:rPr>
                <w:lang w:val="fr-FR"/>
              </w:rPr>
              <w:t>2)</w:t>
            </w:r>
            <w:r w:rsidRPr="00C04ED8">
              <w:rPr>
                <w:lang w:val="fr-FR"/>
              </w:rPr>
              <w:t>.</w:t>
            </w:r>
          </w:p>
          <w:p w14:paraId="047BE3D2" w14:textId="77777777" w:rsidR="00246D13" w:rsidRPr="00B307B2" w:rsidRDefault="00246D13" w:rsidP="004D33AF">
            <w:pPr>
              <w:spacing w:after="80" w:line="360" w:lineRule="auto"/>
              <w:rPr>
                <w:b/>
                <w:bCs/>
                <w:lang w:val="fr-FR"/>
              </w:rPr>
            </w:pPr>
            <w:r w:rsidRPr="00B307B2">
              <w:rPr>
                <w:b/>
                <w:bCs/>
                <w:lang w:val="fr-FR"/>
              </w:rPr>
              <w:t>Identi</w:t>
            </w:r>
            <w:r>
              <w:rPr>
                <w:b/>
                <w:bCs/>
                <w:lang w:val="fr-FR"/>
              </w:rPr>
              <w:t>té</w:t>
            </w:r>
            <w:r w:rsidRPr="00B307B2">
              <w:rPr>
                <w:b/>
                <w:bCs/>
                <w:lang w:val="fr-FR"/>
              </w:rPr>
              <w:t xml:space="preserve"> du fournisseur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e))</w:t>
            </w:r>
          </w:p>
        </w:tc>
      </w:tr>
    </w:tbl>
    <w:p w14:paraId="63BE707E" w14:textId="77777777" w:rsidR="00246D13" w:rsidRPr="00B307B2" w:rsidRDefault="00246D13" w:rsidP="00246D13">
      <w:pPr>
        <w:pStyle w:val="Corpsdetexte3"/>
        <w:tabs>
          <w:tab w:val="left" w:pos="720"/>
          <w:tab w:val="left" w:pos="1080"/>
        </w:tabs>
        <w:ind w:left="1080" w:hanging="1080"/>
        <w:rPr>
          <w:i/>
          <w:iCs/>
          <w:lang w:val="fr-FR"/>
        </w:rPr>
      </w:pPr>
    </w:p>
    <w:p w14:paraId="1BEE6E76" w14:textId="77777777" w:rsidR="00246D13" w:rsidRDefault="00246D13" w:rsidP="00775023">
      <w:pPr>
        <w:pStyle w:val="Corpsdetexte3"/>
        <w:tabs>
          <w:tab w:val="left" w:pos="720"/>
          <w:tab w:val="left" w:pos="1080"/>
        </w:tabs>
        <w:ind w:left="1077" w:right="1134" w:hanging="1077"/>
        <w:jc w:val="left"/>
        <w:rPr>
          <w:sz w:val="20"/>
          <w:lang w:val="fr-FR"/>
        </w:rPr>
      </w:pPr>
      <w:r w:rsidRPr="00B307B2">
        <w:rPr>
          <w:lang w:val="fr-FR"/>
        </w:rPr>
        <w:tab/>
      </w:r>
      <w:r w:rsidRPr="00AC0317">
        <w:rPr>
          <w:sz w:val="20"/>
          <w:lang w:val="fr-FR"/>
        </w:rPr>
        <w:tab/>
      </w:r>
      <w:r w:rsidRPr="00AC0317">
        <w:rPr>
          <w:i/>
          <w:iCs/>
          <w:sz w:val="20"/>
          <w:lang w:val="fr-FR"/>
        </w:rPr>
        <w:t>*</w:t>
      </w:r>
      <w:r w:rsidRPr="00AC0317">
        <w:rPr>
          <w:sz w:val="20"/>
          <w:lang w:val="fr-FR"/>
        </w:rPr>
        <w:tab/>
      </w:r>
      <w:r w:rsidRPr="00AC0317">
        <w:rPr>
          <w:i/>
          <w:iCs/>
          <w:sz w:val="20"/>
          <w:lang w:val="fr-FR"/>
        </w:rPr>
        <w:t xml:space="preserve">Pour les emballages extérieurs, seules les marques et étiquettes pour le transport spécifiées </w:t>
      </w:r>
      <w:r>
        <w:rPr>
          <w:i/>
          <w:iCs/>
          <w:sz w:val="20"/>
          <w:lang w:val="fr-FR"/>
        </w:rPr>
        <w:br/>
      </w:r>
      <w:r w:rsidRPr="00AC0317">
        <w:rPr>
          <w:i/>
          <w:iCs/>
          <w:sz w:val="20"/>
          <w:lang w:val="fr-FR"/>
        </w:rPr>
        <w:t>dans le Règlement type de l</w:t>
      </w:r>
      <w:r>
        <w:rPr>
          <w:i/>
          <w:iCs/>
          <w:sz w:val="20"/>
          <w:lang w:val="fr-FR"/>
        </w:rPr>
        <w:t>’</w:t>
      </w:r>
      <w:r w:rsidRPr="00AC0317">
        <w:rPr>
          <w:i/>
          <w:iCs/>
          <w:sz w:val="20"/>
          <w:lang w:val="fr-FR"/>
        </w:rPr>
        <w:t>ONU sont exigées</w:t>
      </w:r>
      <w:r w:rsidRPr="00C04ED8">
        <w:rPr>
          <w:i/>
          <w:iCs/>
          <w:sz w:val="20"/>
          <w:lang w:val="fr-FR"/>
        </w:rPr>
        <w:t>.</w:t>
      </w:r>
      <w:r w:rsidRPr="00AC0317">
        <w:rPr>
          <w:i/>
          <w:iCs/>
          <w:sz w:val="20"/>
          <w:lang w:val="fr-FR"/>
        </w:rPr>
        <w:t> </w:t>
      </w:r>
      <w:r w:rsidRPr="007D4296">
        <w:rPr>
          <w:sz w:val="20"/>
          <w:lang w:val="fr-FR"/>
        </w:rPr>
        <w:t>»</w:t>
      </w:r>
      <w:r w:rsidRPr="00C04ED8">
        <w:rPr>
          <w:sz w:val="20"/>
          <w:lang w:val="fr-FR"/>
        </w:rPr>
        <w:t>.</w:t>
      </w:r>
    </w:p>
    <w:p w14:paraId="0310ABFE" w14:textId="77777777" w:rsidR="00246D13" w:rsidRPr="00B307B2" w:rsidRDefault="00246D13" w:rsidP="00246D13">
      <w:pPr>
        <w:spacing w:after="240"/>
        <w:ind w:left="1418" w:hanging="338"/>
        <w:rPr>
          <w:lang w:val="fr-FR"/>
        </w:rPr>
      </w:pPr>
      <w:r w:rsidRPr="00B307B2">
        <w:rPr>
          <w:lang w:val="fr-FR"/>
        </w:rPr>
        <w:br w:type="page"/>
      </w:r>
    </w:p>
    <w:p w14:paraId="31A2E55F" w14:textId="270B8383" w:rsidR="00246D13" w:rsidRPr="00775023" w:rsidRDefault="00327E5B" w:rsidP="00327E5B">
      <w:pPr>
        <w:pStyle w:val="H23G"/>
        <w:rPr>
          <w:lang w:val="fr-FR"/>
        </w:rPr>
      </w:pPr>
      <w:r>
        <w:lastRenderedPageBreak/>
        <w:tab/>
      </w:r>
      <w:r>
        <w:tab/>
      </w:r>
      <w:r w:rsidR="00246D13" w:rsidRPr="00327E5B">
        <w:t>Exemple 3</w:t>
      </w:r>
    </w:p>
    <w:p w14:paraId="51464CE6" w14:textId="77777777" w:rsidR="00246D13" w:rsidRPr="00B307B2" w:rsidRDefault="00246D13" w:rsidP="00246D13">
      <w:pPr>
        <w:pStyle w:val="SingleTxtG"/>
        <w:rPr>
          <w:lang w:val="fr-FR"/>
        </w:rPr>
      </w:pPr>
      <w:r>
        <w:rPr>
          <w:lang w:val="fr-FR"/>
        </w:rPr>
        <w:t>Remplacer par le texte suivant :</w:t>
      </w:r>
    </w:p>
    <w:p w14:paraId="1100E6CE" w14:textId="566AED63" w:rsidR="00246D13" w:rsidRPr="00B307B2" w:rsidRDefault="00246D13" w:rsidP="00775023">
      <w:pPr>
        <w:spacing w:after="240"/>
        <w:ind w:left="1134" w:right="1134"/>
        <w:jc w:val="both"/>
        <w:rPr>
          <w:b/>
          <w:lang w:val="fr-FR"/>
        </w:rPr>
      </w:pPr>
      <w:r>
        <w:rPr>
          <w:b/>
          <w:bCs/>
          <w:lang w:val="fr-FR"/>
        </w:rPr>
        <w:t>« </w:t>
      </w:r>
      <w:r w:rsidRPr="00B307B2">
        <w:rPr>
          <w:b/>
          <w:bCs/>
          <w:lang w:val="fr-FR"/>
        </w:rPr>
        <w:t>Exemple 3 :</w:t>
      </w:r>
      <w:r w:rsidR="00164C8C">
        <w:rPr>
          <w:b/>
          <w:bCs/>
          <w:lang w:val="fr-FR"/>
        </w:rPr>
        <w:t xml:space="preserve"> </w:t>
      </w:r>
      <w:r w:rsidRPr="00B307B2">
        <w:rPr>
          <w:b/>
          <w:bCs/>
          <w:lang w:val="fr-FR"/>
        </w:rPr>
        <w:t>Emballage combiné pour les produits chimiques</w:t>
      </w:r>
      <w:r>
        <w:rPr>
          <w:b/>
          <w:bCs/>
          <w:lang w:val="fr-FR"/>
        </w:rPr>
        <w:t xml:space="preserve"> des classes</w:t>
      </w:r>
      <w:r w:rsidR="006045E6">
        <w:rPr>
          <w:b/>
          <w:bCs/>
          <w:lang w:val="fr-FR"/>
        </w:rPr>
        <w:t> :</w:t>
      </w:r>
      <w:r w:rsidRPr="00B307B2">
        <w:rPr>
          <w:b/>
          <w:bCs/>
          <w:lang w:val="fr-FR"/>
        </w:rPr>
        <w:t xml:space="preserve"> </w:t>
      </w:r>
      <w:r>
        <w:rPr>
          <w:b/>
          <w:bCs/>
          <w:lang w:val="fr-FR"/>
        </w:rPr>
        <w:t>c</w:t>
      </w:r>
      <w:r w:rsidRPr="009849DD">
        <w:rPr>
          <w:b/>
          <w:bCs/>
          <w:lang w:val="fr-FR"/>
        </w:rPr>
        <w:t>orrosion</w:t>
      </w:r>
      <w:r>
        <w:rPr>
          <w:b/>
          <w:bCs/>
          <w:lang w:val="fr-FR"/>
        </w:rPr>
        <w:t xml:space="preserve"> cutanée</w:t>
      </w:r>
      <w:r w:rsidRPr="009849DD">
        <w:rPr>
          <w:b/>
          <w:bCs/>
          <w:lang w:val="fr-FR"/>
        </w:rPr>
        <w:t xml:space="preserve">/irritation cutanée </w:t>
      </w:r>
      <w:r>
        <w:rPr>
          <w:b/>
          <w:bCs/>
          <w:lang w:val="fr-FR"/>
        </w:rPr>
        <w:t>(</w:t>
      </w:r>
      <w:r w:rsidRPr="009849DD">
        <w:rPr>
          <w:b/>
          <w:bCs/>
          <w:lang w:val="fr-FR"/>
        </w:rPr>
        <w:t>catégorie 2</w:t>
      </w:r>
      <w:r>
        <w:rPr>
          <w:b/>
          <w:bCs/>
          <w:lang w:val="fr-FR"/>
        </w:rPr>
        <w:t>)</w:t>
      </w:r>
      <w:r w:rsidRPr="009849DD">
        <w:rPr>
          <w:b/>
          <w:bCs/>
          <w:lang w:val="fr-FR"/>
        </w:rPr>
        <w:t xml:space="preserve"> et </w:t>
      </w:r>
      <w:r>
        <w:rPr>
          <w:b/>
          <w:bCs/>
          <w:lang w:val="fr-FR"/>
        </w:rPr>
        <w:t>l</w:t>
      </w:r>
      <w:r w:rsidRPr="009849DD">
        <w:rPr>
          <w:b/>
          <w:bCs/>
          <w:lang w:val="fr-FR"/>
        </w:rPr>
        <w:t>ésions oculaires graves/irritation oculaire</w:t>
      </w:r>
      <w:r w:rsidRPr="00B307B2">
        <w:rPr>
          <w:b/>
          <w:bCs/>
          <w:i/>
          <w:iCs/>
          <w:lang w:val="fr-FR"/>
        </w:rPr>
        <w:t xml:space="preserve"> </w:t>
      </w:r>
      <w:r>
        <w:rPr>
          <w:b/>
          <w:bCs/>
          <w:lang w:val="fr-FR"/>
        </w:rPr>
        <w:t>(</w:t>
      </w:r>
      <w:r w:rsidRPr="00B307B2">
        <w:rPr>
          <w:b/>
          <w:bCs/>
          <w:lang w:val="fr-FR"/>
        </w:rPr>
        <w:t>catégorie 2A</w:t>
      </w:r>
      <w:r>
        <w:rPr>
          <w:b/>
          <w:bCs/>
          <w:lang w:val="fr-FR"/>
        </w:rPr>
        <w:t>)</w:t>
      </w:r>
      <w:r w:rsidRPr="00B307B2">
        <w:rPr>
          <w:lang w:val="fr-FR"/>
        </w:rPr>
        <w:t xml:space="preserve"> </w:t>
      </w:r>
    </w:p>
    <w:p w14:paraId="6AA318BE" w14:textId="3A68970F" w:rsidR="00246D13" w:rsidRPr="00B307B2" w:rsidRDefault="00246D13" w:rsidP="00246D13">
      <w:pPr>
        <w:ind w:left="1418"/>
        <w:rPr>
          <w:lang w:val="fr-FR"/>
        </w:rPr>
      </w:pPr>
      <w:r w:rsidRPr="00B307B2">
        <w:rPr>
          <w:lang w:val="fr-FR"/>
        </w:rPr>
        <w:t xml:space="preserve">Emballage extérieur : Boîte </w:t>
      </w:r>
      <w:r>
        <w:rPr>
          <w:lang w:val="fr-FR"/>
        </w:rPr>
        <w:t xml:space="preserve">sans étiquette de transport (non requise) </w:t>
      </w:r>
      <w:r w:rsidRPr="00B307B2">
        <w:rPr>
          <w:lang w:val="fr-FR"/>
        </w:rPr>
        <w:t>*</w:t>
      </w:r>
    </w:p>
    <w:p w14:paraId="0DF91BCD" w14:textId="5977F0C4" w:rsidR="00246D13" w:rsidRPr="00B307B2" w:rsidRDefault="00246D13" w:rsidP="00246D13">
      <w:pPr>
        <w:spacing w:after="240"/>
        <w:ind w:left="1418"/>
        <w:rPr>
          <w:lang w:val="fr-FR"/>
        </w:rPr>
      </w:pPr>
      <w:r w:rsidRPr="00B307B2">
        <w:rPr>
          <w:lang w:val="fr-FR"/>
        </w:rPr>
        <w:t>Emballage intérieur : Bouteille en plastique munie d</w:t>
      </w:r>
      <w:r>
        <w:rPr>
          <w:lang w:val="fr-FR"/>
        </w:rPr>
        <w:t>’</w:t>
      </w:r>
      <w:r w:rsidRPr="00B307B2">
        <w:rPr>
          <w:lang w:val="fr-FR"/>
        </w:rPr>
        <w:t xml:space="preserve">une étiquette SGH </w:t>
      </w:r>
    </w:p>
    <w:p w14:paraId="28AC34BB" w14:textId="77777777" w:rsidR="00246D13" w:rsidRPr="00B307B2" w:rsidRDefault="00246D13" w:rsidP="00246D13">
      <w:pPr>
        <w:rPr>
          <w:lang w:val="fr-FR"/>
        </w:rPr>
      </w:pPr>
    </w:p>
    <w:bookmarkStart w:id="16" w:name="_1093261360"/>
    <w:bookmarkEnd w:id="16"/>
    <w:p w14:paraId="716FB8AE" w14:textId="77777777" w:rsidR="00246D13" w:rsidRPr="00B307B2" w:rsidRDefault="00246D13" w:rsidP="00246D13">
      <w:pPr>
        <w:rPr>
          <w:lang w:val="fr-FR"/>
        </w:rPr>
      </w:pPr>
      <w:r w:rsidRPr="00B307B2">
        <w:rPr>
          <w:noProof/>
          <w:lang w:val="fr-FR"/>
        </w:rPr>
        <mc:AlternateContent>
          <mc:Choice Requires="wps">
            <w:drawing>
              <wp:anchor distT="0" distB="0" distL="114300" distR="114300" simplePos="0" relativeHeight="251658241" behindDoc="0" locked="0" layoutInCell="0" allowOverlap="1" wp14:anchorId="0A9664A1" wp14:editId="469F27AA">
                <wp:simplePos x="0" y="0"/>
                <wp:positionH relativeFrom="column">
                  <wp:posOffset>2910840</wp:posOffset>
                </wp:positionH>
                <wp:positionV relativeFrom="paragraph">
                  <wp:posOffset>2707972</wp:posOffset>
                </wp:positionV>
                <wp:extent cx="289634" cy="639192"/>
                <wp:effectExtent l="0" t="0" r="34290" b="27940"/>
                <wp:wrapNone/>
                <wp:docPr id="1348"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634" cy="639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B54C" id="Line 131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213.25pt" to="252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" o:allowincell="f"/>
            </w:pict>
          </mc:Fallback>
        </mc:AlternateContent>
      </w:r>
      <w:bookmarkStart w:id="17" w:name="_MON_1101024247"/>
      <w:bookmarkEnd w:id="17"/>
      <w:r w:rsidRPr="00B307B2">
        <w:rPr>
          <w:lang w:val="fr-FR"/>
        </w:rPr>
        <w:object w:dxaOrig="5386" w:dyaOrig="4801" w14:anchorId="70D30F70">
          <v:shape id="_x0000_i1027" type="#_x0000_t75" style="width:293.15pt;height:241.3pt" o:ole="" fillcolor="window">
            <v:imagedata r:id="rId32" o:title=""/>
          </v:shape>
          <o:OLEObject Type="Embed" ProgID="Word.Picture.8" ShapeID="_x0000_i1027" DrawAspect="Content" ObjectID="_1788243631" r:id="rId33"/>
        </w:object>
      </w:r>
    </w:p>
    <w:p w14:paraId="660CE7BD" w14:textId="77777777" w:rsidR="00246D13" w:rsidRPr="00B307B2" w:rsidRDefault="00246D13" w:rsidP="00246D13">
      <w:pPr>
        <w:rPr>
          <w:lang w:val="fr-FR"/>
        </w:rPr>
      </w:pPr>
    </w:p>
    <w:p w14:paraId="182339AB" w14:textId="77777777" w:rsidR="00246D13" w:rsidRPr="00B307B2" w:rsidRDefault="00246D13" w:rsidP="00246D13">
      <w:pPr>
        <w:rPr>
          <w:lang w:val="fr-FR"/>
        </w:rPr>
      </w:pP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4680"/>
      </w:tblGrid>
      <w:tr w:rsidR="00246D13" w:rsidRPr="00CA3DB2" w14:paraId="77A78D8F" w14:textId="77777777" w:rsidTr="004D33AF">
        <w:tc>
          <w:tcPr>
            <w:tcW w:w="7740" w:type="dxa"/>
            <w:gridSpan w:val="2"/>
            <w:tcBorders>
              <w:top w:val="single" w:sz="24" w:space="0" w:color="auto"/>
              <w:left w:val="single" w:sz="24" w:space="0" w:color="auto"/>
              <w:bottom w:val="nil"/>
              <w:right w:val="single" w:sz="24" w:space="0" w:color="auto"/>
            </w:tcBorders>
          </w:tcPr>
          <w:p w14:paraId="1A682034" w14:textId="77777777" w:rsidR="00246D13" w:rsidRPr="00B307B2" w:rsidRDefault="00246D13" w:rsidP="004D33AF">
            <w:pPr>
              <w:ind w:right="72"/>
              <w:rPr>
                <w:b/>
                <w:bCs/>
                <w:lang w:val="fr-FR"/>
              </w:rPr>
            </w:pPr>
            <w:r w:rsidRPr="00B307B2">
              <w:rPr>
                <w:b/>
                <w:bCs/>
                <w:lang w:val="fr-FR"/>
              </w:rPr>
              <w:t>Identification du produit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d))</w:t>
            </w:r>
          </w:p>
          <w:p w14:paraId="27A81E85" w14:textId="77777777" w:rsidR="00246D13" w:rsidRPr="00B307B2" w:rsidRDefault="00246D13" w:rsidP="004D33AF">
            <w:pPr>
              <w:rPr>
                <w:lang w:val="fr-FR"/>
              </w:rPr>
            </w:pPr>
          </w:p>
        </w:tc>
      </w:tr>
      <w:tr w:rsidR="00246D13" w:rsidRPr="00CA3DB2" w14:paraId="719234FD" w14:textId="77777777" w:rsidTr="004D33AF">
        <w:tc>
          <w:tcPr>
            <w:tcW w:w="3060" w:type="dxa"/>
            <w:tcBorders>
              <w:top w:val="nil"/>
              <w:left w:val="single" w:sz="24" w:space="0" w:color="auto"/>
              <w:bottom w:val="nil"/>
              <w:right w:val="nil"/>
            </w:tcBorders>
          </w:tcPr>
          <w:p w14:paraId="71EE9E75" w14:textId="77777777" w:rsidR="00246D13" w:rsidRPr="00B307B2" w:rsidRDefault="00246D13" w:rsidP="004D33AF">
            <w:pPr>
              <w:rPr>
                <w:lang w:val="fr-FR"/>
              </w:rPr>
            </w:pPr>
            <w:r w:rsidRPr="00B307B2">
              <w:rPr>
                <w:noProof/>
                <w:lang w:val="fr-FR"/>
              </w:rPr>
              <w:drawing>
                <wp:anchor distT="0" distB="0" distL="114300" distR="114300" simplePos="0" relativeHeight="251658243" behindDoc="0" locked="1" layoutInCell="1" allowOverlap="1" wp14:anchorId="62C180EB" wp14:editId="347BA13F">
                  <wp:simplePos x="0" y="0"/>
                  <wp:positionH relativeFrom="column">
                    <wp:posOffset>99060</wp:posOffset>
                  </wp:positionH>
                  <wp:positionV relativeFrom="paragraph">
                    <wp:posOffset>60325</wp:posOffset>
                  </wp:positionV>
                  <wp:extent cx="795655" cy="795655"/>
                  <wp:effectExtent l="0" t="0" r="0" b="0"/>
                  <wp:wrapTopAndBottom/>
                  <wp:docPr id="1610"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pic:spPr>
                      </pic:pic>
                    </a:graphicData>
                  </a:graphic>
                  <wp14:sizeRelH relativeFrom="page">
                    <wp14:pctWidth>0</wp14:pctWidth>
                  </wp14:sizeRelH>
                  <wp14:sizeRelV relativeFrom="page">
                    <wp14:pctHeight>0</wp14:pctHeight>
                  </wp14:sizeRelV>
                </wp:anchor>
              </w:drawing>
            </w:r>
          </w:p>
        </w:tc>
        <w:tc>
          <w:tcPr>
            <w:tcW w:w="4680" w:type="dxa"/>
            <w:tcBorders>
              <w:top w:val="nil"/>
              <w:left w:val="nil"/>
              <w:bottom w:val="nil"/>
              <w:right w:val="single" w:sz="24" w:space="0" w:color="auto"/>
            </w:tcBorders>
          </w:tcPr>
          <w:p w14:paraId="6A41E3EA" w14:textId="77777777" w:rsidR="00246D13" w:rsidRPr="00B307B2" w:rsidRDefault="00246D13" w:rsidP="004D33AF">
            <w:pPr>
              <w:rPr>
                <w:b/>
                <w:bCs/>
                <w:lang w:val="fr-FR"/>
              </w:rPr>
            </w:pPr>
          </w:p>
          <w:p w14:paraId="7CD17A1F" w14:textId="77777777" w:rsidR="00246D13" w:rsidRPr="00B307B2" w:rsidRDefault="00246D13" w:rsidP="004D33AF">
            <w:pPr>
              <w:rPr>
                <w:b/>
                <w:bCs/>
                <w:lang w:val="fr-FR"/>
              </w:rPr>
            </w:pPr>
          </w:p>
          <w:p w14:paraId="0B46E99B" w14:textId="77777777" w:rsidR="00246D13" w:rsidRPr="00B307B2" w:rsidRDefault="00246D13" w:rsidP="004D33AF">
            <w:pPr>
              <w:rPr>
                <w:b/>
                <w:bCs/>
                <w:lang w:val="fr-FR"/>
              </w:rPr>
            </w:pPr>
            <w:r w:rsidRPr="00CA3DB2">
              <w:rPr>
                <w:b/>
                <w:bCs/>
                <w:caps/>
                <w:lang w:val="fr-FR"/>
              </w:rPr>
              <w:t>Mention d</w:t>
            </w:r>
            <w:r>
              <w:rPr>
                <w:b/>
                <w:bCs/>
                <w:caps/>
                <w:lang w:val="fr-FR"/>
              </w:rPr>
              <w:t>’</w:t>
            </w:r>
            <w:r w:rsidRPr="00CA3DB2">
              <w:rPr>
                <w:b/>
                <w:bCs/>
                <w:caps/>
                <w:lang w:val="fr-FR"/>
              </w:rPr>
              <w:t>avertissement</w:t>
            </w:r>
            <w:r w:rsidRPr="00B307B2">
              <w:rPr>
                <w:b/>
                <w:bCs/>
                <w:lang w:val="fr-FR"/>
              </w:rPr>
              <w:t xml:space="preserve"> </w:t>
            </w:r>
            <w:r>
              <w:rPr>
                <w:b/>
                <w:bCs/>
                <w:lang w:val="fr-FR"/>
              </w:rPr>
              <w:br/>
            </w:r>
            <w:r w:rsidRPr="00B307B2">
              <w:rPr>
                <w:b/>
                <w:bCs/>
                <w:lang w:val="fr-FR"/>
              </w:rPr>
              <w:t>(voir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a))</w:t>
            </w:r>
          </w:p>
          <w:p w14:paraId="3A7C99FA" w14:textId="77777777" w:rsidR="00246D13" w:rsidRPr="00B307B2" w:rsidRDefault="00246D13" w:rsidP="004D33AF">
            <w:pPr>
              <w:rPr>
                <w:b/>
                <w:bCs/>
                <w:lang w:val="fr-FR"/>
              </w:rPr>
            </w:pPr>
          </w:p>
          <w:p w14:paraId="592BEE46" w14:textId="77777777" w:rsidR="00246D13" w:rsidRPr="00B307B2" w:rsidRDefault="00246D13" w:rsidP="004D33AF">
            <w:pPr>
              <w:rPr>
                <w:b/>
                <w:bCs/>
                <w:lang w:val="fr-FR"/>
              </w:rPr>
            </w:pPr>
          </w:p>
          <w:p w14:paraId="0560E733" w14:textId="77777777" w:rsidR="00246D13" w:rsidRPr="00B307B2" w:rsidRDefault="00246D13" w:rsidP="004D33AF">
            <w:pPr>
              <w:rPr>
                <w:b/>
                <w:bCs/>
                <w:lang w:val="fr-FR"/>
              </w:rPr>
            </w:pPr>
            <w:r w:rsidRPr="00B307B2">
              <w:rPr>
                <w:b/>
                <w:bCs/>
                <w:lang w:val="fr-FR"/>
              </w:rPr>
              <w:t>Mention de danger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b))</w:t>
            </w:r>
          </w:p>
        </w:tc>
      </w:tr>
      <w:tr w:rsidR="00246D13" w:rsidRPr="00CA3DB2" w14:paraId="2F789C93" w14:textId="77777777" w:rsidTr="004D33AF">
        <w:tc>
          <w:tcPr>
            <w:tcW w:w="7740" w:type="dxa"/>
            <w:gridSpan w:val="2"/>
            <w:tcBorders>
              <w:top w:val="nil"/>
              <w:left w:val="single" w:sz="24" w:space="0" w:color="auto"/>
              <w:bottom w:val="single" w:sz="24" w:space="0" w:color="auto"/>
              <w:right w:val="single" w:sz="24" w:space="0" w:color="auto"/>
            </w:tcBorders>
          </w:tcPr>
          <w:p w14:paraId="1107C739" w14:textId="1AA68C1E" w:rsidR="00246D13" w:rsidRPr="00B307B2" w:rsidRDefault="00246D13" w:rsidP="004D33AF">
            <w:pPr>
              <w:spacing w:before="120" w:after="240" w:line="240" w:lineRule="auto"/>
              <w:rPr>
                <w:b/>
                <w:bCs/>
                <w:iCs/>
                <w:color w:val="000000" w:themeColor="text1"/>
                <w:lang w:val="fr-FR"/>
              </w:rPr>
            </w:pPr>
            <w:r w:rsidRPr="00B307B2">
              <w:rPr>
                <w:b/>
                <w:bCs/>
                <w:lang w:val="fr-FR"/>
              </w:rPr>
              <w:t>Conseils de prudence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c) et sections 2 et 3 de l</w:t>
            </w:r>
            <w:r>
              <w:rPr>
                <w:b/>
                <w:bCs/>
                <w:lang w:val="fr-FR"/>
              </w:rPr>
              <w:t>’</w:t>
            </w:r>
            <w:r w:rsidRPr="00B307B2">
              <w:rPr>
                <w:b/>
                <w:bCs/>
                <w:lang w:val="fr-FR"/>
              </w:rPr>
              <w:t xml:space="preserve">annexe 3) </w:t>
            </w:r>
            <w:r>
              <w:rPr>
                <w:b/>
                <w:bCs/>
                <w:lang w:val="fr-FR"/>
              </w:rPr>
              <w:br/>
            </w:r>
            <w:r w:rsidRPr="00B307B2">
              <w:rPr>
                <w:lang w:val="fr-FR"/>
              </w:rPr>
              <w:t>Information</w:t>
            </w:r>
            <w:r>
              <w:rPr>
                <w:lang w:val="fr-FR"/>
              </w:rPr>
              <w:t>s</w:t>
            </w:r>
            <w:r w:rsidRPr="00B307B2">
              <w:rPr>
                <w:lang w:val="fr-FR"/>
              </w:rPr>
              <w:t xml:space="preserve"> supplémentaire</w:t>
            </w:r>
            <w:r>
              <w:rPr>
                <w:lang w:val="fr-FR"/>
              </w:rPr>
              <w:t>s</w:t>
            </w:r>
            <w:r w:rsidRPr="00B307B2">
              <w:rPr>
                <w:lang w:val="fr-FR"/>
              </w:rPr>
              <w:t xml:space="preserve"> autorisé</w:t>
            </w:r>
            <w:r>
              <w:rPr>
                <w:lang w:val="fr-FR"/>
              </w:rPr>
              <w:t>es</w:t>
            </w:r>
            <w:r w:rsidRPr="00B307B2">
              <w:rPr>
                <w:lang w:val="fr-FR"/>
              </w:rPr>
              <w:t xml:space="preserve"> ou requis</w:t>
            </w:r>
            <w:r>
              <w:rPr>
                <w:lang w:val="fr-FR"/>
              </w:rPr>
              <w:t>es</w:t>
            </w:r>
            <w:r w:rsidRPr="00B307B2">
              <w:rPr>
                <w:lang w:val="fr-FR"/>
              </w:rPr>
              <w:t xml:space="preserve"> par l</w:t>
            </w:r>
            <w:r>
              <w:rPr>
                <w:lang w:val="fr-FR"/>
              </w:rPr>
              <w:t>’</w:t>
            </w:r>
            <w:r w:rsidRPr="00B307B2">
              <w:rPr>
                <w:lang w:val="fr-FR"/>
              </w:rPr>
              <w:t>autorité compétente</w:t>
            </w:r>
            <w:r>
              <w:rPr>
                <w:lang w:val="fr-FR"/>
              </w:rPr>
              <w:t>, selon qu’il convient</w:t>
            </w:r>
            <w:r w:rsidRPr="00B307B2">
              <w:rPr>
                <w:lang w:val="fr-FR"/>
              </w:rPr>
              <w:t xml:space="preserve"> (voir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sidRPr="00B307B2">
              <w:rPr>
                <w:lang w:val="fr-FR"/>
              </w:rPr>
              <w:t>5</w:t>
            </w:r>
            <w:r w:rsidRPr="00C04ED8">
              <w:rPr>
                <w:lang w:val="fr-FR"/>
              </w:rPr>
              <w:t>.</w:t>
            </w:r>
            <w:r w:rsidRPr="00B307B2">
              <w:rPr>
                <w:lang w:val="fr-FR"/>
              </w:rPr>
              <w:t>4</w:t>
            </w:r>
            <w:r w:rsidRPr="00C04ED8">
              <w:rPr>
                <w:lang w:val="fr-FR"/>
              </w:rPr>
              <w:t>.</w:t>
            </w:r>
            <w:r w:rsidRPr="00B307B2">
              <w:rPr>
                <w:lang w:val="fr-FR"/>
              </w:rPr>
              <w:t>2)</w:t>
            </w:r>
            <w:r w:rsidRPr="00C04ED8">
              <w:rPr>
                <w:lang w:val="fr-FR"/>
              </w:rPr>
              <w:t>.</w:t>
            </w:r>
          </w:p>
          <w:p w14:paraId="72728C2D" w14:textId="77777777" w:rsidR="00246D13" w:rsidRPr="00B307B2" w:rsidRDefault="00246D13" w:rsidP="004D33AF">
            <w:pPr>
              <w:spacing w:after="120" w:line="360" w:lineRule="auto"/>
              <w:rPr>
                <w:b/>
                <w:bCs/>
                <w:lang w:val="fr-FR"/>
              </w:rPr>
            </w:pPr>
            <w:r w:rsidRPr="00B307B2">
              <w:rPr>
                <w:b/>
                <w:bCs/>
                <w:lang w:val="fr-FR"/>
              </w:rPr>
              <w:t>Identi</w:t>
            </w:r>
            <w:r>
              <w:rPr>
                <w:b/>
                <w:bCs/>
                <w:lang w:val="fr-FR"/>
              </w:rPr>
              <w:t>té</w:t>
            </w:r>
            <w:r w:rsidRPr="00B307B2">
              <w:rPr>
                <w:b/>
                <w:bCs/>
                <w:lang w:val="fr-FR"/>
              </w:rPr>
              <w:t xml:space="preserve"> du fournisseur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e))</w:t>
            </w:r>
          </w:p>
        </w:tc>
      </w:tr>
    </w:tbl>
    <w:p w14:paraId="411B818E" w14:textId="77777777" w:rsidR="00246D13" w:rsidRPr="00B307B2" w:rsidRDefault="00246D13" w:rsidP="00246D13">
      <w:pPr>
        <w:pStyle w:val="Corpsdetexte3"/>
        <w:tabs>
          <w:tab w:val="left" w:pos="540"/>
          <w:tab w:val="left" w:pos="1080"/>
        </w:tabs>
        <w:ind w:left="1080" w:hanging="1080"/>
        <w:rPr>
          <w:b/>
          <w:bCs/>
          <w:i/>
          <w:iCs/>
          <w:sz w:val="20"/>
          <w:lang w:val="fr-FR"/>
        </w:rPr>
      </w:pPr>
    </w:p>
    <w:p w14:paraId="5745E95E" w14:textId="5544FAC5" w:rsidR="00246D13" w:rsidRDefault="00164C8C" w:rsidP="00164C8C">
      <w:pPr>
        <w:pStyle w:val="SingleTxtG"/>
        <w:rPr>
          <w:i/>
          <w:iCs/>
          <w:lang w:val="fr-FR"/>
        </w:rPr>
      </w:pPr>
      <w:r w:rsidRPr="00164C8C">
        <w:rPr>
          <w:i/>
          <w:iCs/>
          <w:lang w:val="fr-FR"/>
        </w:rPr>
        <w:t>*</w:t>
      </w:r>
      <w:r>
        <w:rPr>
          <w:i/>
          <w:iCs/>
          <w:lang w:val="fr-FR"/>
        </w:rPr>
        <w:t xml:space="preserve"> </w:t>
      </w:r>
      <w:r w:rsidR="00246D13" w:rsidRPr="00B307B2">
        <w:rPr>
          <w:i/>
          <w:iCs/>
          <w:lang w:val="fr-FR"/>
        </w:rPr>
        <w:t>Certaines autorités compétentes peuvent exiger une étiquette SGH sur l</w:t>
      </w:r>
      <w:r w:rsidR="00246D13">
        <w:rPr>
          <w:i/>
          <w:iCs/>
          <w:lang w:val="fr-FR"/>
        </w:rPr>
        <w:t>’</w:t>
      </w:r>
      <w:r w:rsidR="00246D13" w:rsidRPr="00B307B2">
        <w:rPr>
          <w:i/>
          <w:iCs/>
          <w:lang w:val="fr-FR"/>
        </w:rPr>
        <w:t>emballage extérieur</w:t>
      </w:r>
      <w:r w:rsidR="00246D13" w:rsidRPr="00C04ED8">
        <w:rPr>
          <w:i/>
          <w:iCs/>
          <w:lang w:val="fr-FR"/>
        </w:rPr>
        <w:t>.</w:t>
      </w:r>
      <w:r w:rsidR="00246D13">
        <w:rPr>
          <w:i/>
          <w:iCs/>
          <w:lang w:val="fr-FR"/>
        </w:rPr>
        <w:t> </w:t>
      </w:r>
      <w:r w:rsidR="00246D13" w:rsidRPr="00662EB6">
        <w:rPr>
          <w:lang w:val="fr-FR"/>
        </w:rPr>
        <w:t>»</w:t>
      </w:r>
      <w:r w:rsidR="00246D13" w:rsidRPr="00C04ED8">
        <w:rPr>
          <w:i/>
          <w:iCs/>
          <w:lang w:val="fr-FR"/>
        </w:rPr>
        <w:t>.</w:t>
      </w:r>
    </w:p>
    <w:p w14:paraId="71A88E2D" w14:textId="77777777" w:rsidR="00246D13" w:rsidRPr="00B307B2" w:rsidRDefault="00246D13" w:rsidP="00246D13">
      <w:pPr>
        <w:pStyle w:val="Corpsdetexte3"/>
        <w:spacing w:after="240"/>
        <w:ind w:left="1418" w:hanging="1418"/>
        <w:rPr>
          <w:lang w:val="fr-FR"/>
        </w:rPr>
      </w:pPr>
      <w:r w:rsidRPr="00B307B2">
        <w:rPr>
          <w:lang w:val="fr-FR"/>
        </w:rPr>
        <w:br w:type="page"/>
      </w:r>
    </w:p>
    <w:p w14:paraId="7F6A7A12" w14:textId="327B76F3" w:rsidR="00246D13" w:rsidRPr="00327E5B" w:rsidRDefault="00327E5B" w:rsidP="00327E5B">
      <w:pPr>
        <w:pStyle w:val="H23G"/>
        <w:rPr>
          <w:rFonts w:eastAsiaTheme="minorEastAsia"/>
        </w:rPr>
      </w:pPr>
      <w:r>
        <w:rPr>
          <w:rFonts w:eastAsiaTheme="minorEastAsia"/>
        </w:rPr>
        <w:lastRenderedPageBreak/>
        <w:tab/>
      </w:r>
      <w:r>
        <w:rPr>
          <w:rFonts w:eastAsiaTheme="minorEastAsia"/>
        </w:rPr>
        <w:tab/>
      </w:r>
      <w:r w:rsidR="00246D13" w:rsidRPr="00327E5B">
        <w:rPr>
          <w:rFonts w:eastAsiaTheme="minorEastAsia"/>
        </w:rPr>
        <w:t>Exemple 4</w:t>
      </w:r>
    </w:p>
    <w:p w14:paraId="6F81EF87" w14:textId="52552CE9" w:rsidR="00246D13" w:rsidRPr="00775023" w:rsidRDefault="00246D13" w:rsidP="00775023">
      <w:pPr>
        <w:pStyle w:val="SingleTxtG"/>
        <w:rPr>
          <w:rFonts w:eastAsiaTheme="minorEastAsia"/>
          <w:bCs/>
          <w:kern w:val="2"/>
          <w:lang w:val="fr-FR"/>
          <w14:ligatures w14:val="standardContextual"/>
        </w:rPr>
      </w:pPr>
      <w:r w:rsidRPr="00775023">
        <w:rPr>
          <w:rStyle w:val="H23GChar"/>
          <w:rFonts w:eastAsiaTheme="minorEastAsia"/>
          <w:b w:val="0"/>
          <w:bCs/>
          <w:kern w:val="2"/>
          <w14:ligatures w14:val="standardContextual"/>
        </w:rPr>
        <w:t>Remplacer par le texte suivant</w:t>
      </w:r>
      <w:r w:rsidRPr="00775023">
        <w:rPr>
          <w:rFonts w:eastAsiaTheme="minorEastAsia"/>
          <w:bCs/>
          <w:kern w:val="2"/>
          <w:lang w:val="fr-FR"/>
          <w14:ligatures w14:val="standardContextual"/>
        </w:rPr>
        <w:t>:</w:t>
      </w:r>
    </w:p>
    <w:p w14:paraId="66CEEFE6" w14:textId="6FBBC662" w:rsidR="00246D13" w:rsidRPr="00B307B2" w:rsidRDefault="00246D13" w:rsidP="00775023">
      <w:pPr>
        <w:widowControl w:val="0"/>
        <w:tabs>
          <w:tab w:val="left" w:pos="2552"/>
        </w:tabs>
        <w:spacing w:line="240" w:lineRule="auto"/>
        <w:ind w:left="1134" w:right="1133"/>
        <w:rPr>
          <w:b/>
          <w:lang w:val="fr-FR"/>
        </w:rPr>
      </w:pPr>
      <w:r>
        <w:rPr>
          <w:lang w:val="fr-FR"/>
        </w:rPr>
        <w:t>« </w:t>
      </w:r>
      <w:r w:rsidRPr="00B307B2">
        <w:rPr>
          <w:b/>
          <w:bCs/>
          <w:lang w:val="fr-FR"/>
        </w:rPr>
        <w:t>Exemple 4 :</w:t>
      </w:r>
      <w:r w:rsidRPr="00B307B2">
        <w:rPr>
          <w:lang w:val="fr-FR"/>
        </w:rPr>
        <w:tab/>
      </w:r>
      <w:r w:rsidRPr="00B307B2">
        <w:rPr>
          <w:b/>
          <w:bCs/>
          <w:lang w:val="fr-FR"/>
        </w:rPr>
        <w:t>Emballage simple (</w:t>
      </w:r>
      <w:r>
        <w:rPr>
          <w:b/>
          <w:bCs/>
          <w:lang w:val="fr-FR"/>
        </w:rPr>
        <w:t xml:space="preserve">par exemple un </w:t>
      </w:r>
      <w:r w:rsidRPr="00B307B2">
        <w:rPr>
          <w:b/>
          <w:bCs/>
          <w:lang w:val="fr-FR"/>
        </w:rPr>
        <w:t xml:space="preserve">fût de 200 litres) pour les produits chimiques </w:t>
      </w:r>
      <w:r>
        <w:rPr>
          <w:b/>
          <w:bCs/>
          <w:lang w:val="fr-FR"/>
        </w:rPr>
        <w:t>de la classe</w:t>
      </w:r>
      <w:r w:rsidRPr="00B307B2">
        <w:rPr>
          <w:b/>
          <w:bCs/>
          <w:lang w:val="fr-FR"/>
        </w:rPr>
        <w:t xml:space="preserve"> </w:t>
      </w:r>
      <w:r>
        <w:rPr>
          <w:b/>
          <w:bCs/>
          <w:lang w:val="fr-FR"/>
        </w:rPr>
        <w:t>l</w:t>
      </w:r>
      <w:r w:rsidRPr="009849DD">
        <w:rPr>
          <w:b/>
          <w:bCs/>
          <w:lang w:val="fr-FR"/>
        </w:rPr>
        <w:t>iquide</w:t>
      </w:r>
      <w:r>
        <w:rPr>
          <w:b/>
          <w:bCs/>
          <w:lang w:val="fr-FR"/>
        </w:rPr>
        <w:t>s</w:t>
      </w:r>
      <w:r w:rsidRPr="009849DD">
        <w:rPr>
          <w:b/>
          <w:bCs/>
          <w:lang w:val="fr-FR"/>
        </w:rPr>
        <w:t xml:space="preserve"> inflammable</w:t>
      </w:r>
      <w:r>
        <w:rPr>
          <w:b/>
          <w:bCs/>
          <w:lang w:val="fr-FR"/>
        </w:rPr>
        <w:t>s</w:t>
      </w:r>
      <w:r w:rsidRPr="009849DD">
        <w:rPr>
          <w:b/>
          <w:bCs/>
          <w:lang w:val="fr-FR"/>
        </w:rPr>
        <w:t xml:space="preserve"> </w:t>
      </w:r>
      <w:r>
        <w:rPr>
          <w:b/>
          <w:bCs/>
          <w:lang w:val="fr-FR"/>
        </w:rPr>
        <w:t>(</w:t>
      </w:r>
      <w:r w:rsidRPr="009849DD">
        <w:rPr>
          <w:b/>
          <w:bCs/>
          <w:lang w:val="fr-FR"/>
        </w:rPr>
        <w:t>catégorie 2</w:t>
      </w:r>
      <w:r>
        <w:rPr>
          <w:b/>
          <w:bCs/>
          <w:lang w:val="fr-FR"/>
        </w:rPr>
        <w:t>)</w:t>
      </w:r>
    </w:p>
    <w:p w14:paraId="2BD62D16" w14:textId="77777777" w:rsidR="00246D13" w:rsidRPr="00B307B2" w:rsidRDefault="00246D13" w:rsidP="00246D13">
      <w:pPr>
        <w:tabs>
          <w:tab w:val="left" w:pos="1134"/>
          <w:tab w:val="left" w:pos="1701"/>
          <w:tab w:val="left" w:pos="2268"/>
          <w:tab w:val="left" w:pos="2835"/>
          <w:tab w:val="left" w:pos="3402"/>
        </w:tabs>
        <w:spacing w:after="160"/>
        <w:rPr>
          <w:lang w:val="fr-FR"/>
        </w:rPr>
      </w:pPr>
    </w:p>
    <w:p w14:paraId="528C795C" w14:textId="77777777" w:rsidR="00246D13" w:rsidRPr="00B307B2" w:rsidRDefault="00246D13" w:rsidP="00246D13">
      <w:pPr>
        <w:tabs>
          <w:tab w:val="left" w:pos="1134"/>
          <w:tab w:val="left" w:pos="1701"/>
          <w:tab w:val="left" w:pos="2268"/>
          <w:tab w:val="left" w:pos="2835"/>
          <w:tab w:val="left" w:pos="3402"/>
        </w:tabs>
        <w:spacing w:after="160"/>
        <w:rPr>
          <w:lang w:val="fr-FR"/>
        </w:rPr>
      </w:pPr>
      <w:r w:rsidRPr="00B307B2">
        <w:rPr>
          <w:noProof/>
          <w:lang w:val="fr-FR"/>
        </w:rPr>
        <mc:AlternateContent>
          <mc:Choice Requires="wpg">
            <w:drawing>
              <wp:anchor distT="0" distB="0" distL="114300" distR="114300" simplePos="0" relativeHeight="251658246" behindDoc="0" locked="0" layoutInCell="1" allowOverlap="1" wp14:anchorId="05E5BA9E" wp14:editId="5934F2DF">
                <wp:simplePos x="0" y="0"/>
                <wp:positionH relativeFrom="column">
                  <wp:posOffset>803910</wp:posOffset>
                </wp:positionH>
                <wp:positionV relativeFrom="paragraph">
                  <wp:posOffset>258445</wp:posOffset>
                </wp:positionV>
                <wp:extent cx="3200400" cy="3665855"/>
                <wp:effectExtent l="0" t="0" r="19050" b="29845"/>
                <wp:wrapNone/>
                <wp:docPr id="303" name="Group 1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3665855"/>
                          <a:chOff x="1314" y="1800"/>
                          <a:chExt cx="5040" cy="5773"/>
                        </a:xfrm>
                      </wpg:grpSpPr>
                      <wps:wsp>
                        <wps:cNvPr id="304" name="Rectangle 1340"/>
                        <wps:cNvSpPr>
                          <a:spLocks noChangeArrowheads="1"/>
                        </wps:cNvSpPr>
                        <wps:spPr bwMode="auto">
                          <a:xfrm>
                            <a:off x="1494" y="1800"/>
                            <a:ext cx="2880" cy="5040"/>
                          </a:xfrm>
                          <a:prstGeom prst="rect">
                            <a:avLst/>
                          </a:prstGeom>
                          <a:solidFill>
                            <a:srgbClr val="FFFFFF"/>
                          </a:solidFill>
                          <a:ln w="9525">
                            <a:solidFill>
                              <a:srgbClr val="000000"/>
                            </a:solidFill>
                            <a:miter lim="800000"/>
                            <a:headEnd/>
                            <a:tailEnd/>
                          </a:ln>
                        </wps:spPr>
                        <wps:txbx>
                          <w:txbxContent>
                            <w:p w14:paraId="473F312A" w14:textId="77777777" w:rsidR="00246D13" w:rsidRDefault="00246D13" w:rsidP="00246D13"/>
                          </w:txbxContent>
                        </wps:txbx>
                        <wps:bodyPr rot="0" vert="horz" wrap="square" lIns="91440" tIns="45720" rIns="91440" bIns="45720" anchor="t" anchorCtr="0" upright="1">
                          <a:noAutofit/>
                        </wps:bodyPr>
                      </wps:wsp>
                      <wps:wsp>
                        <wps:cNvPr id="305" name="Rectangle 1341"/>
                        <wps:cNvSpPr>
                          <a:spLocks noChangeArrowheads="1"/>
                        </wps:cNvSpPr>
                        <wps:spPr bwMode="auto">
                          <a:xfrm>
                            <a:off x="1314" y="1800"/>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1342"/>
                        <wps:cNvSpPr>
                          <a:spLocks noChangeArrowheads="1"/>
                        </wps:cNvSpPr>
                        <wps:spPr bwMode="auto">
                          <a:xfrm>
                            <a:off x="1314" y="2880"/>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1343"/>
                        <wps:cNvSpPr>
                          <a:spLocks noChangeArrowheads="1"/>
                        </wps:cNvSpPr>
                        <wps:spPr bwMode="auto">
                          <a:xfrm>
                            <a:off x="1314" y="5760"/>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Rectangle 1344"/>
                        <wps:cNvSpPr>
                          <a:spLocks noChangeArrowheads="1"/>
                        </wps:cNvSpPr>
                        <wps:spPr bwMode="auto">
                          <a:xfrm>
                            <a:off x="1314" y="6714"/>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AutoShape 1345"/>
                        <wps:cNvSpPr>
                          <a:spLocks noChangeArrowheads="1"/>
                        </wps:cNvSpPr>
                        <wps:spPr bwMode="auto">
                          <a:xfrm>
                            <a:off x="2409" y="3967"/>
                            <a:ext cx="900" cy="891"/>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1346"/>
                        <wps:cNvSpPr>
                          <a:spLocks noChangeArrowheads="1"/>
                        </wps:cNvSpPr>
                        <wps:spPr bwMode="auto">
                          <a:xfrm>
                            <a:off x="2124" y="4972"/>
                            <a:ext cx="1440" cy="6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Text Box 1347"/>
                        <wps:cNvSpPr txBox="1">
                          <a:spLocks noChangeArrowheads="1"/>
                        </wps:cNvSpPr>
                        <wps:spPr bwMode="auto">
                          <a:xfrm>
                            <a:off x="1539" y="3133"/>
                            <a:ext cx="2700"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DF4A5" w14:textId="77777777" w:rsidR="00246D13" w:rsidRPr="00CA3DB2" w:rsidRDefault="00246D13" w:rsidP="00246D13">
                              <w:pPr>
                                <w:rPr>
                                  <w:b/>
                                </w:rPr>
                              </w:pPr>
                              <w:r>
                                <w:rPr>
                                  <w:b/>
                                  <w:bCs/>
                                  <w:lang w:val="fr-FR"/>
                                </w:rPr>
                                <w:t xml:space="preserve">Désignation officielle </w:t>
                              </w:r>
                              <w:r>
                                <w:rPr>
                                  <w:b/>
                                  <w:bCs/>
                                  <w:lang w:val="fr-FR"/>
                                </w:rPr>
                                <w:br/>
                                <w:t>de transport</w:t>
                              </w:r>
                            </w:p>
                            <w:p w14:paraId="6FAF365B" w14:textId="77777777" w:rsidR="00246D13" w:rsidRPr="00CA3DB2" w:rsidRDefault="00246D13" w:rsidP="00246D13">
                              <w:r>
                                <w:rPr>
                                  <w:b/>
                                  <w:bCs/>
                                  <w:lang w:val="fr-FR"/>
                                </w:rPr>
                                <w:t>Numéro ONU</w:t>
                              </w:r>
                            </w:p>
                          </w:txbxContent>
                        </wps:txbx>
                        <wps:bodyPr rot="0" vert="horz" wrap="square" lIns="91440" tIns="10800" rIns="91440" bIns="10800" anchor="t" anchorCtr="0" upright="1">
                          <a:noAutofit/>
                        </wps:bodyPr>
                      </wps:wsp>
                      <wps:wsp>
                        <wps:cNvPr id="312" name="Line 1348"/>
                        <wps:cNvCnPr>
                          <a:cxnSpLocks noChangeShapeType="1"/>
                        </wps:cNvCnPr>
                        <wps:spPr bwMode="auto">
                          <a:xfrm flipV="1">
                            <a:off x="3114" y="3088"/>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349"/>
                        <wps:cNvCnPr>
                          <a:cxnSpLocks noChangeShapeType="1"/>
                        </wps:cNvCnPr>
                        <wps:spPr bwMode="auto">
                          <a:xfrm>
                            <a:off x="3114" y="5400"/>
                            <a:ext cx="2351" cy="2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E5BA9E" id="Group 1339" o:spid="_x0000_s1028" style="position:absolute;margin-left:63.3pt;margin-top:20.35pt;width:252pt;height:288.65pt;z-index:251658246" coordorigin="1314,1800" coordsize="5040,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">
                <v:rect id="Rectangle 1340" o:spid="_x0000_s1029" style="position:absolute;left:1494;top:1800;width:288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dwxAAAANwAAAAPAAAAZHJzL2Rvd25yZXYueG1sRI9BawIx&#10;FITvBf9DeIK3mlRL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JRQF3DEAAAA3AAAAA8A&#10;AAAAAAAAAAAAAAAABwIAAGRycy9kb3ducmV2LnhtbFBLBQYAAAAAAwADALcAAAD4AgAAAAA=&#10;">
                  <v:textbox>
                    <w:txbxContent>
                      <w:p w14:paraId="473F312A" w14:textId="77777777" w:rsidR="00246D13" w:rsidRDefault="00246D13" w:rsidP="00246D13"/>
                    </w:txbxContent>
                  </v:textbox>
                </v:rect>
                <v:rect id="Rectangle 1341" o:spid="_x0000_s1030" style="position:absolute;left:1314;top:1800;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LrxAAAANwAAAAPAAAAZHJzL2Rvd25yZXYueG1sRI9BawIx&#10;FITvBf9DeIK3mlRp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PscsuvEAAAA3AAAAA8A&#10;AAAAAAAAAAAAAAAABwIAAGRycy9kb3ducmV2LnhtbFBLBQYAAAAAAwADALcAAAD4AgAAAAA=&#10;"/>
                <v:rect id="Rectangle 1342" o:spid="_x0000_s1031" style="position:absolute;left:1314;top:2880;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"/>
                <v:rect id="Rectangle 1343" o:spid="_x0000_s1032" style="position:absolute;left:1314;top:5760;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"/>
                <v:rect id="Rectangle 1344" o:spid="_x0000_s1033" style="position:absolute;left:1314;top:6714;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"/>
                <v:shapetype id="_x0000_t4" coordsize="21600,21600" o:spt="4" path="m10800,l,10800,10800,21600,21600,10800xe">
                  <v:stroke joinstyle="miter"/>
                  <v:path gradientshapeok="t" o:connecttype="rect" textboxrect="5400,5400,16200,16200"/>
                </v:shapetype>
                <v:shape id="AutoShape 1345" o:spid="_x0000_s1034" type="#_x0000_t4" style="position:absolute;left:2409;top:3967;width:900;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"/>
                <v:rect id="Rectangle 1346" o:spid="_x0000_s1035" style="position:absolute;left:2124;top:4972;width:1440;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"/>
                <v:shape id="Text Box 1347" o:spid="_x0000_s1036" type="#_x0000_t202" style="position:absolute;left:1539;top:3133;width:2700;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" stroked="f">
                  <v:textbox inset=",.3mm,,.3mm">
                    <w:txbxContent>
                      <w:p w14:paraId="5E4DF4A5" w14:textId="77777777" w:rsidR="00246D13" w:rsidRPr="00CA3DB2" w:rsidRDefault="00246D13" w:rsidP="00246D13">
                        <w:pPr>
                          <w:rPr>
                            <w:b/>
                          </w:rPr>
                        </w:pPr>
                        <w:r>
                          <w:rPr>
                            <w:b/>
                            <w:bCs/>
                            <w:lang w:val="fr-FR"/>
                          </w:rPr>
                          <w:t xml:space="preserve">Désignation officielle </w:t>
                        </w:r>
                        <w:r>
                          <w:rPr>
                            <w:b/>
                            <w:bCs/>
                            <w:lang w:val="fr-FR"/>
                          </w:rPr>
                          <w:br/>
                          <w:t>de transport</w:t>
                        </w:r>
                      </w:p>
                      <w:p w14:paraId="6FAF365B" w14:textId="77777777" w:rsidR="00246D13" w:rsidRPr="00CA3DB2" w:rsidRDefault="00246D13" w:rsidP="00246D13">
                        <w:r>
                          <w:rPr>
                            <w:b/>
                            <w:bCs/>
                            <w:lang w:val="fr-FR"/>
                          </w:rPr>
                          <w:t>Numéro ONU</w:t>
                        </w:r>
                      </w:p>
                    </w:txbxContent>
                  </v:textbox>
                </v:shape>
                <v:line id="Line 1348" o:spid="_x0000_s1037" style="position:absolute;flip:y;visibility:visible;mso-wrap-style:square" from="3114,3088" to="6354,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"/>
                <v:line id="Line 1349" o:spid="_x0000_s1038" style="position:absolute;visibility:visible;mso-wrap-style:square" from="3114,5400" to="5465,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group>
            </w:pict>
          </mc:Fallback>
        </mc:AlternateContent>
      </w:r>
    </w:p>
    <w:p w14:paraId="7218AC7D" w14:textId="77777777" w:rsidR="00246D13" w:rsidRPr="00B307B2" w:rsidRDefault="00246D13" w:rsidP="00246D13">
      <w:pPr>
        <w:tabs>
          <w:tab w:val="left" w:pos="1134"/>
          <w:tab w:val="left" w:pos="1701"/>
          <w:tab w:val="left" w:pos="2268"/>
          <w:tab w:val="left" w:pos="2835"/>
          <w:tab w:val="left" w:pos="3402"/>
        </w:tabs>
        <w:spacing w:after="160"/>
        <w:rPr>
          <w:lang w:val="fr-FR"/>
        </w:rPr>
      </w:pPr>
      <w:r w:rsidRPr="00B307B2">
        <w:rPr>
          <w:noProof/>
          <w:lang w:val="fr-FR"/>
        </w:rPr>
        <w:drawing>
          <wp:anchor distT="0" distB="0" distL="114300" distR="114300" simplePos="0" relativeHeight="251658244" behindDoc="0" locked="1" layoutInCell="1" allowOverlap="1" wp14:anchorId="5F564D0C" wp14:editId="0CD69EC1">
            <wp:simplePos x="0" y="0"/>
            <wp:positionH relativeFrom="column">
              <wp:posOffset>4008120</wp:posOffset>
            </wp:positionH>
            <wp:positionV relativeFrom="paragraph">
              <wp:posOffset>115570</wp:posOffset>
            </wp:positionV>
            <wp:extent cx="1367790" cy="1367790"/>
            <wp:effectExtent l="0" t="0" r="0" b="0"/>
            <wp:wrapTopAndBottom/>
            <wp:docPr id="1609"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page">
              <wp14:pctWidth>0</wp14:pctWidth>
            </wp14:sizeRelH>
            <wp14:sizeRelV relativeFrom="page">
              <wp14:pctHeight>0</wp14:pctHeight>
            </wp14:sizeRelV>
          </wp:anchor>
        </w:drawing>
      </w:r>
    </w:p>
    <w:p w14:paraId="379E3118" w14:textId="77777777" w:rsidR="00246D13" w:rsidRPr="00B307B2" w:rsidRDefault="00246D13" w:rsidP="00246D13">
      <w:pPr>
        <w:tabs>
          <w:tab w:val="left" w:pos="1134"/>
          <w:tab w:val="left" w:pos="1701"/>
          <w:tab w:val="left" w:pos="2268"/>
          <w:tab w:val="left" w:pos="2835"/>
          <w:tab w:val="left" w:pos="3402"/>
        </w:tabs>
        <w:spacing w:after="160"/>
        <w:jc w:val="center"/>
        <w:rPr>
          <w:lang w:val="fr-FR"/>
        </w:rPr>
      </w:pPr>
    </w:p>
    <w:p w14:paraId="4ACE3EF5" w14:textId="77777777" w:rsidR="00246D13" w:rsidRPr="00B307B2" w:rsidRDefault="00246D13" w:rsidP="00246D13">
      <w:pPr>
        <w:tabs>
          <w:tab w:val="left" w:pos="1134"/>
          <w:tab w:val="left" w:pos="1701"/>
          <w:tab w:val="left" w:pos="2268"/>
          <w:tab w:val="left" w:pos="2835"/>
          <w:tab w:val="left" w:pos="3402"/>
        </w:tabs>
        <w:spacing w:after="160"/>
        <w:jc w:val="center"/>
        <w:rPr>
          <w:lang w:val="fr-FR"/>
        </w:rPr>
      </w:pPr>
    </w:p>
    <w:p w14:paraId="655223A7" w14:textId="77777777" w:rsidR="00246D13" w:rsidRPr="00B307B2" w:rsidRDefault="00246D13" w:rsidP="00246D13">
      <w:pPr>
        <w:tabs>
          <w:tab w:val="left" w:pos="1134"/>
          <w:tab w:val="left" w:pos="1701"/>
          <w:tab w:val="left" w:pos="2268"/>
          <w:tab w:val="left" w:pos="2835"/>
          <w:tab w:val="left" w:pos="3402"/>
        </w:tabs>
        <w:spacing w:after="160"/>
        <w:jc w:val="center"/>
        <w:rPr>
          <w:lang w:val="fr-FR"/>
        </w:rPr>
      </w:pPr>
    </w:p>
    <w:p w14:paraId="1B2EB807" w14:textId="77777777" w:rsidR="00246D13" w:rsidRPr="00B307B2" w:rsidRDefault="00246D13" w:rsidP="00246D13">
      <w:pPr>
        <w:tabs>
          <w:tab w:val="left" w:pos="1134"/>
          <w:tab w:val="left" w:pos="1701"/>
          <w:tab w:val="left" w:pos="2268"/>
          <w:tab w:val="left" w:pos="2835"/>
          <w:tab w:val="left" w:pos="3402"/>
        </w:tabs>
        <w:spacing w:after="160"/>
        <w:jc w:val="center"/>
        <w:rPr>
          <w:lang w:val="fr-FR"/>
        </w:rPr>
      </w:pPr>
    </w:p>
    <w:p w14:paraId="6A56AFC5" w14:textId="77777777" w:rsidR="00246D13" w:rsidRPr="00B307B2" w:rsidRDefault="00246D13" w:rsidP="00246D13">
      <w:pPr>
        <w:tabs>
          <w:tab w:val="left" w:pos="1134"/>
          <w:tab w:val="left" w:pos="1701"/>
          <w:tab w:val="left" w:pos="2268"/>
          <w:tab w:val="left" w:pos="2835"/>
          <w:tab w:val="left" w:pos="3402"/>
        </w:tabs>
        <w:spacing w:after="160"/>
        <w:jc w:val="center"/>
        <w:rPr>
          <w:lang w:val="fr-FR"/>
        </w:rPr>
      </w:pPr>
    </w:p>
    <w:p w14:paraId="1AA2007F" w14:textId="77777777" w:rsidR="00246D13" w:rsidRPr="00B307B2" w:rsidRDefault="00246D13" w:rsidP="00246D13">
      <w:pPr>
        <w:tabs>
          <w:tab w:val="left" w:pos="1134"/>
          <w:tab w:val="left" w:pos="1701"/>
          <w:tab w:val="left" w:pos="2268"/>
          <w:tab w:val="left" w:pos="2835"/>
          <w:tab w:val="left" w:pos="3402"/>
        </w:tabs>
        <w:spacing w:after="160"/>
        <w:jc w:val="center"/>
        <w:rPr>
          <w:lang w:val="fr-FR"/>
        </w:rPr>
      </w:pPr>
    </w:p>
    <w:p w14:paraId="53F9B924" w14:textId="77777777" w:rsidR="00246D13" w:rsidRPr="00B307B2" w:rsidRDefault="00246D13" w:rsidP="00246D13">
      <w:pPr>
        <w:tabs>
          <w:tab w:val="left" w:pos="1134"/>
          <w:tab w:val="left" w:pos="1701"/>
          <w:tab w:val="left" w:pos="2268"/>
          <w:tab w:val="left" w:pos="2835"/>
          <w:tab w:val="left" w:pos="3402"/>
        </w:tabs>
        <w:spacing w:after="160"/>
        <w:jc w:val="center"/>
        <w:rPr>
          <w:lang w:val="fr-FR"/>
        </w:rPr>
      </w:pPr>
    </w:p>
    <w:p w14:paraId="2E406BFA" w14:textId="77777777" w:rsidR="00246D13" w:rsidRPr="00B307B2" w:rsidRDefault="00246D13" w:rsidP="00246D13">
      <w:pPr>
        <w:tabs>
          <w:tab w:val="left" w:pos="1134"/>
          <w:tab w:val="left" w:pos="1701"/>
          <w:tab w:val="left" w:pos="2268"/>
          <w:tab w:val="left" w:pos="2835"/>
          <w:tab w:val="left" w:pos="3402"/>
        </w:tabs>
        <w:spacing w:after="160"/>
        <w:jc w:val="center"/>
        <w:rPr>
          <w:lang w:val="fr-FR"/>
        </w:rPr>
      </w:pPr>
    </w:p>
    <w:tbl>
      <w:tblPr>
        <w:tblStyle w:val="Grilledutableau"/>
        <w:tblW w:w="0" w:type="auto"/>
        <w:tblInd w:w="146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209"/>
        <w:gridCol w:w="4304"/>
      </w:tblGrid>
      <w:tr w:rsidR="00246D13" w:rsidRPr="00CA3DB2" w14:paraId="263136FA" w14:textId="77777777" w:rsidTr="004D33AF">
        <w:tc>
          <w:tcPr>
            <w:tcW w:w="7513" w:type="dxa"/>
            <w:gridSpan w:val="2"/>
          </w:tcPr>
          <w:p w14:paraId="787B1DC0" w14:textId="77777777" w:rsidR="00246D13" w:rsidRPr="00B307B2" w:rsidRDefault="00246D13" w:rsidP="004D33AF">
            <w:pPr>
              <w:spacing w:before="40" w:after="40" w:line="240" w:lineRule="auto"/>
              <w:ind w:left="92" w:right="74"/>
              <w:rPr>
                <w:lang w:val="fr-FR"/>
              </w:rPr>
            </w:pPr>
            <w:r w:rsidRPr="00B307B2">
              <w:rPr>
                <w:b/>
                <w:bCs/>
                <w:lang w:val="fr-FR"/>
              </w:rPr>
              <w:t>Identification du produit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d))</w:t>
            </w:r>
          </w:p>
        </w:tc>
      </w:tr>
      <w:tr w:rsidR="00246D13" w:rsidRPr="00CA3DB2" w14:paraId="6CD08F5E" w14:textId="77777777" w:rsidTr="004D33AF">
        <w:tc>
          <w:tcPr>
            <w:tcW w:w="3209" w:type="dxa"/>
          </w:tcPr>
          <w:p w14:paraId="4916E1C5" w14:textId="77777777" w:rsidR="00246D13" w:rsidRPr="00B307B2" w:rsidRDefault="00246D13" w:rsidP="004D33AF">
            <w:pPr>
              <w:ind w:left="92"/>
              <w:jc w:val="center"/>
              <w:rPr>
                <w:lang w:val="fr-FR"/>
              </w:rPr>
            </w:pPr>
          </w:p>
        </w:tc>
        <w:tc>
          <w:tcPr>
            <w:tcW w:w="4304" w:type="dxa"/>
          </w:tcPr>
          <w:p w14:paraId="0DE03150" w14:textId="77777777" w:rsidR="00246D13" w:rsidRPr="00B307B2" w:rsidRDefault="00246D13" w:rsidP="004D33AF">
            <w:pPr>
              <w:ind w:left="92"/>
              <w:jc w:val="center"/>
              <w:rPr>
                <w:lang w:val="fr-FR"/>
              </w:rPr>
            </w:pPr>
          </w:p>
        </w:tc>
      </w:tr>
      <w:tr w:rsidR="00246D13" w:rsidRPr="00CA3DB2" w14:paraId="455AD36D" w14:textId="77777777" w:rsidTr="004D33AF">
        <w:trPr>
          <w:trHeight w:val="1140"/>
        </w:trPr>
        <w:tc>
          <w:tcPr>
            <w:tcW w:w="3209" w:type="dxa"/>
          </w:tcPr>
          <w:p w14:paraId="18190A07" w14:textId="77777777" w:rsidR="00246D13" w:rsidRPr="00B307B2" w:rsidRDefault="00246D13" w:rsidP="004D33AF">
            <w:pPr>
              <w:ind w:left="92"/>
              <w:jc w:val="center"/>
              <w:rPr>
                <w:lang w:val="fr-FR"/>
              </w:rPr>
            </w:pPr>
          </w:p>
        </w:tc>
        <w:tc>
          <w:tcPr>
            <w:tcW w:w="4304" w:type="dxa"/>
          </w:tcPr>
          <w:p w14:paraId="13A27235" w14:textId="77777777" w:rsidR="00246D13" w:rsidRPr="00B307B2" w:rsidRDefault="00246D13" w:rsidP="004D33AF">
            <w:pPr>
              <w:ind w:left="92"/>
              <w:rPr>
                <w:b/>
                <w:bCs/>
                <w:lang w:val="fr-FR"/>
              </w:rPr>
            </w:pPr>
          </w:p>
          <w:p w14:paraId="5A040F8D" w14:textId="77777777" w:rsidR="00246D13" w:rsidRPr="00B307B2" w:rsidRDefault="00246D13" w:rsidP="004D33AF">
            <w:pPr>
              <w:ind w:left="92"/>
              <w:rPr>
                <w:b/>
                <w:bCs/>
                <w:lang w:val="fr-FR"/>
              </w:rPr>
            </w:pPr>
            <w:r w:rsidRPr="00CA3DB2">
              <w:rPr>
                <w:b/>
                <w:bCs/>
                <w:caps/>
                <w:lang w:val="fr-FR"/>
              </w:rPr>
              <w:t>Mention d</w:t>
            </w:r>
            <w:r>
              <w:rPr>
                <w:b/>
                <w:bCs/>
                <w:caps/>
                <w:lang w:val="fr-FR"/>
              </w:rPr>
              <w:t>’</w:t>
            </w:r>
            <w:r w:rsidRPr="00CA3DB2">
              <w:rPr>
                <w:b/>
                <w:bCs/>
                <w:caps/>
                <w:lang w:val="fr-FR"/>
              </w:rPr>
              <w:t>avertissement</w:t>
            </w:r>
            <w:r w:rsidRPr="00B307B2">
              <w:rPr>
                <w:b/>
                <w:bCs/>
                <w:lang w:val="fr-FR"/>
              </w:rPr>
              <w:t xml:space="preserve"> </w:t>
            </w:r>
            <w:r>
              <w:rPr>
                <w:b/>
                <w:bCs/>
                <w:lang w:val="fr-FR"/>
              </w:rPr>
              <w:br/>
            </w:r>
            <w:r w:rsidRPr="00B307B2">
              <w:rPr>
                <w:b/>
                <w:bCs/>
                <w:lang w:val="fr-FR"/>
              </w:rPr>
              <w:t>(voir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a))</w:t>
            </w:r>
          </w:p>
          <w:p w14:paraId="68D58C2E" w14:textId="77777777" w:rsidR="00246D13" w:rsidRPr="00B307B2" w:rsidRDefault="00246D13" w:rsidP="004D33AF">
            <w:pPr>
              <w:ind w:left="92"/>
              <w:rPr>
                <w:b/>
                <w:bCs/>
                <w:lang w:val="fr-FR"/>
              </w:rPr>
            </w:pPr>
          </w:p>
          <w:p w14:paraId="636FB97E" w14:textId="77777777" w:rsidR="00246D13" w:rsidRPr="00B307B2" w:rsidRDefault="00246D13" w:rsidP="004D33AF">
            <w:pPr>
              <w:ind w:left="92"/>
              <w:rPr>
                <w:b/>
                <w:bCs/>
                <w:lang w:val="fr-FR"/>
              </w:rPr>
            </w:pPr>
          </w:p>
          <w:p w14:paraId="502C0F7B" w14:textId="77777777" w:rsidR="00246D13" w:rsidRPr="00B307B2" w:rsidRDefault="00246D13" w:rsidP="004D33AF">
            <w:pPr>
              <w:ind w:left="92"/>
              <w:rPr>
                <w:lang w:val="fr-FR"/>
              </w:rPr>
            </w:pPr>
            <w:r w:rsidRPr="00B307B2">
              <w:rPr>
                <w:b/>
                <w:bCs/>
                <w:lang w:val="fr-FR"/>
              </w:rPr>
              <w:t>Mention de danger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b))</w:t>
            </w:r>
          </w:p>
        </w:tc>
      </w:tr>
      <w:tr w:rsidR="00246D13" w:rsidRPr="00CA3DB2" w14:paraId="4706AFCE" w14:textId="77777777" w:rsidTr="004D33AF">
        <w:tc>
          <w:tcPr>
            <w:tcW w:w="7513" w:type="dxa"/>
            <w:gridSpan w:val="2"/>
          </w:tcPr>
          <w:p w14:paraId="486DCC19" w14:textId="77777777" w:rsidR="00246D13" w:rsidRPr="00B307B2" w:rsidRDefault="00246D13" w:rsidP="004D33AF">
            <w:pPr>
              <w:spacing w:before="120" w:after="240" w:line="240" w:lineRule="auto"/>
              <w:ind w:left="92"/>
              <w:rPr>
                <w:b/>
                <w:bCs/>
                <w:sz w:val="22"/>
                <w:lang w:val="fr-FR"/>
              </w:rPr>
            </w:pPr>
            <w:r w:rsidRPr="00B307B2">
              <w:rPr>
                <w:b/>
                <w:bCs/>
                <w:lang w:val="fr-FR"/>
              </w:rPr>
              <w:t>Conseils de prudence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c) et sections 2 et 3 de l</w:t>
            </w:r>
            <w:r>
              <w:rPr>
                <w:b/>
                <w:bCs/>
                <w:lang w:val="fr-FR"/>
              </w:rPr>
              <w:t>’</w:t>
            </w:r>
            <w:r w:rsidRPr="00B307B2">
              <w:rPr>
                <w:b/>
                <w:bCs/>
                <w:lang w:val="fr-FR"/>
              </w:rPr>
              <w:t>annexe 3)</w:t>
            </w:r>
          </w:p>
          <w:p w14:paraId="373BAA35" w14:textId="77777777" w:rsidR="00246D13" w:rsidRPr="00B307B2" w:rsidRDefault="00246D13" w:rsidP="004D33AF">
            <w:pPr>
              <w:tabs>
                <w:tab w:val="left" w:pos="252"/>
              </w:tabs>
              <w:spacing w:line="240" w:lineRule="auto"/>
              <w:ind w:left="92" w:hanging="28"/>
              <w:rPr>
                <w:sz w:val="22"/>
                <w:lang w:val="fr-FR"/>
              </w:rPr>
            </w:pPr>
            <w:r w:rsidRPr="00B307B2">
              <w:rPr>
                <w:lang w:val="fr-FR"/>
              </w:rPr>
              <w:t>Information</w:t>
            </w:r>
            <w:r>
              <w:rPr>
                <w:lang w:val="fr-FR"/>
              </w:rPr>
              <w:t>s</w:t>
            </w:r>
            <w:r w:rsidRPr="00B307B2">
              <w:rPr>
                <w:lang w:val="fr-FR"/>
              </w:rPr>
              <w:t xml:space="preserve"> supplémentaire</w:t>
            </w:r>
            <w:r>
              <w:rPr>
                <w:lang w:val="fr-FR"/>
              </w:rPr>
              <w:t>s</w:t>
            </w:r>
            <w:r w:rsidRPr="00B307B2">
              <w:rPr>
                <w:lang w:val="fr-FR"/>
              </w:rPr>
              <w:t xml:space="preserve"> autorisé</w:t>
            </w:r>
            <w:r>
              <w:rPr>
                <w:lang w:val="fr-FR"/>
              </w:rPr>
              <w:t>es</w:t>
            </w:r>
            <w:r w:rsidRPr="00B307B2">
              <w:rPr>
                <w:lang w:val="fr-FR"/>
              </w:rPr>
              <w:t xml:space="preserve"> ou requis</w:t>
            </w:r>
            <w:r>
              <w:rPr>
                <w:lang w:val="fr-FR"/>
              </w:rPr>
              <w:t>es</w:t>
            </w:r>
            <w:r w:rsidRPr="00B307B2">
              <w:rPr>
                <w:lang w:val="fr-FR"/>
              </w:rPr>
              <w:t xml:space="preserve"> par l</w:t>
            </w:r>
            <w:r>
              <w:rPr>
                <w:lang w:val="fr-FR"/>
              </w:rPr>
              <w:t>’</w:t>
            </w:r>
            <w:r w:rsidRPr="00B307B2">
              <w:rPr>
                <w:lang w:val="fr-FR"/>
              </w:rPr>
              <w:t>autorité compétente</w:t>
            </w:r>
            <w:r>
              <w:rPr>
                <w:lang w:val="fr-FR"/>
              </w:rPr>
              <w:t xml:space="preserve">, selon qu’il convient </w:t>
            </w:r>
            <w:r w:rsidRPr="00B307B2">
              <w:rPr>
                <w:lang w:val="fr-FR"/>
              </w:rPr>
              <w:t>(voir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sidRPr="00B307B2">
              <w:rPr>
                <w:lang w:val="fr-FR"/>
              </w:rPr>
              <w:t>5</w:t>
            </w:r>
            <w:r w:rsidRPr="00C04ED8">
              <w:rPr>
                <w:lang w:val="fr-FR"/>
              </w:rPr>
              <w:t>.</w:t>
            </w:r>
            <w:r w:rsidRPr="00B307B2">
              <w:rPr>
                <w:lang w:val="fr-FR"/>
              </w:rPr>
              <w:t>4</w:t>
            </w:r>
            <w:r w:rsidRPr="00C04ED8">
              <w:rPr>
                <w:lang w:val="fr-FR"/>
              </w:rPr>
              <w:t>.</w:t>
            </w:r>
            <w:r w:rsidRPr="00B307B2">
              <w:rPr>
                <w:lang w:val="fr-FR"/>
              </w:rPr>
              <w:t>2)</w:t>
            </w:r>
            <w:r w:rsidRPr="00C04ED8">
              <w:rPr>
                <w:lang w:val="fr-FR"/>
              </w:rPr>
              <w:t>.</w:t>
            </w:r>
          </w:p>
          <w:p w14:paraId="06FD85E7" w14:textId="77777777" w:rsidR="00246D13" w:rsidRPr="00B307B2" w:rsidRDefault="00246D13" w:rsidP="004D33AF">
            <w:pPr>
              <w:spacing w:before="120" w:after="240" w:line="240" w:lineRule="auto"/>
              <w:ind w:left="92" w:hanging="28"/>
              <w:rPr>
                <w:lang w:val="fr-FR"/>
              </w:rPr>
            </w:pPr>
            <w:r w:rsidRPr="00B307B2">
              <w:rPr>
                <w:b/>
                <w:bCs/>
                <w:lang w:val="fr-FR"/>
              </w:rPr>
              <w:t>Identi</w:t>
            </w:r>
            <w:r>
              <w:rPr>
                <w:b/>
                <w:bCs/>
                <w:lang w:val="fr-FR"/>
              </w:rPr>
              <w:t>té</w:t>
            </w:r>
            <w:r w:rsidRPr="00B307B2">
              <w:rPr>
                <w:b/>
                <w:bCs/>
                <w:lang w:val="fr-FR"/>
              </w:rPr>
              <w:t xml:space="preserve"> du fournisseur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e))</w:t>
            </w:r>
          </w:p>
        </w:tc>
      </w:tr>
    </w:tbl>
    <w:p w14:paraId="66935736" w14:textId="77777777" w:rsidR="00246D13" w:rsidRDefault="00246D13" w:rsidP="00246D13">
      <w:pPr>
        <w:pStyle w:val="Corpsdetexte3"/>
        <w:spacing w:before="240" w:after="60"/>
        <w:ind w:left="567"/>
        <w:rPr>
          <w:i/>
          <w:iCs/>
          <w:sz w:val="20"/>
          <w:lang w:val="fr-FR"/>
        </w:rPr>
      </w:pPr>
      <w:r w:rsidRPr="009849DD">
        <w:rPr>
          <w:b/>
          <w:bCs/>
          <w:i/>
          <w:iCs/>
          <w:sz w:val="20"/>
          <w:lang w:val="fr-FR"/>
        </w:rPr>
        <w:t>Note :</w:t>
      </w:r>
      <w:r w:rsidRPr="009849DD">
        <w:rPr>
          <w:i/>
          <w:iCs/>
          <w:sz w:val="20"/>
          <w:lang w:val="fr-FR"/>
        </w:rPr>
        <w:t xml:space="preserve"> L</w:t>
      </w:r>
      <w:r>
        <w:rPr>
          <w:i/>
          <w:iCs/>
          <w:sz w:val="20"/>
          <w:lang w:val="fr-FR"/>
        </w:rPr>
        <w:t>’</w:t>
      </w:r>
      <w:r w:rsidRPr="009849DD">
        <w:rPr>
          <w:i/>
          <w:iCs/>
          <w:sz w:val="20"/>
          <w:lang w:val="fr-FR"/>
        </w:rPr>
        <w:t xml:space="preserve">étiquette SGH et le pictogramme </w:t>
      </w:r>
      <w:r w:rsidRPr="00FC1702">
        <w:rPr>
          <w:i/>
          <w:iCs/>
          <w:sz w:val="20"/>
          <w:lang w:val="fr-FR"/>
        </w:rPr>
        <w:t>(</w:t>
      </w:r>
      <w:r>
        <w:rPr>
          <w:i/>
          <w:iCs/>
          <w:sz w:val="20"/>
          <w:lang w:val="fr-FR"/>
        </w:rPr>
        <w:t>communément</w:t>
      </w:r>
      <w:r w:rsidRPr="00FC1702">
        <w:rPr>
          <w:i/>
          <w:iCs/>
          <w:sz w:val="20"/>
          <w:lang w:val="fr-FR"/>
        </w:rPr>
        <w:t xml:space="preserve"> </w:t>
      </w:r>
      <w:r>
        <w:rPr>
          <w:i/>
          <w:iCs/>
          <w:sz w:val="20"/>
          <w:lang w:val="fr-FR"/>
        </w:rPr>
        <w:t xml:space="preserve">appelé </w:t>
      </w:r>
      <w:r w:rsidRPr="00FC1702">
        <w:rPr>
          <w:i/>
          <w:iCs/>
          <w:sz w:val="20"/>
          <w:lang w:val="fr-FR"/>
        </w:rPr>
        <w:t>« étiquette » dans les règlements de</w:t>
      </w:r>
      <w:r>
        <w:rPr>
          <w:i/>
          <w:iCs/>
          <w:sz w:val="20"/>
          <w:lang w:val="fr-FR"/>
        </w:rPr>
        <w:t>s</w:t>
      </w:r>
      <w:r w:rsidRPr="00FC1702">
        <w:rPr>
          <w:i/>
          <w:iCs/>
          <w:sz w:val="20"/>
          <w:lang w:val="fr-FR"/>
        </w:rPr>
        <w:t xml:space="preserve"> transport</w:t>
      </w:r>
      <w:r>
        <w:rPr>
          <w:i/>
          <w:iCs/>
          <w:sz w:val="20"/>
          <w:lang w:val="fr-FR"/>
        </w:rPr>
        <w:t>s</w:t>
      </w:r>
      <w:r w:rsidRPr="00FC1702">
        <w:rPr>
          <w:i/>
          <w:iCs/>
          <w:sz w:val="20"/>
          <w:lang w:val="fr-FR"/>
        </w:rPr>
        <w:t>, voir 1</w:t>
      </w:r>
      <w:r w:rsidRPr="00C04ED8">
        <w:rPr>
          <w:i/>
          <w:iCs/>
          <w:sz w:val="20"/>
          <w:lang w:val="fr-FR"/>
        </w:rPr>
        <w:t>.</w:t>
      </w:r>
      <w:r w:rsidRPr="00FC1702">
        <w:rPr>
          <w:i/>
          <w:iCs/>
          <w:sz w:val="20"/>
          <w:lang w:val="fr-FR"/>
        </w:rPr>
        <w:t>4</w:t>
      </w:r>
      <w:r w:rsidRPr="00C04ED8">
        <w:rPr>
          <w:i/>
          <w:iCs/>
          <w:sz w:val="20"/>
          <w:lang w:val="fr-FR"/>
        </w:rPr>
        <w:t>.</w:t>
      </w:r>
      <w:r w:rsidRPr="00FC1702">
        <w:rPr>
          <w:i/>
          <w:iCs/>
          <w:sz w:val="20"/>
          <w:lang w:val="fr-FR"/>
        </w:rPr>
        <w:t>10</w:t>
      </w:r>
      <w:r w:rsidRPr="00C04ED8">
        <w:rPr>
          <w:i/>
          <w:iCs/>
          <w:sz w:val="20"/>
          <w:lang w:val="fr-FR"/>
        </w:rPr>
        <w:t>.</w:t>
      </w:r>
      <w:r w:rsidRPr="00FC1702">
        <w:rPr>
          <w:i/>
          <w:iCs/>
          <w:sz w:val="20"/>
          <w:lang w:val="fr-FR"/>
        </w:rPr>
        <w:t>4)</w:t>
      </w:r>
      <w:r>
        <w:rPr>
          <w:i/>
          <w:iCs/>
          <w:sz w:val="20"/>
          <w:lang w:val="fr-FR"/>
        </w:rPr>
        <w:t xml:space="preserve"> </w:t>
      </w:r>
      <w:r w:rsidRPr="009849DD">
        <w:rPr>
          <w:i/>
          <w:iCs/>
          <w:sz w:val="20"/>
          <w:lang w:val="fr-FR"/>
        </w:rPr>
        <w:t>caractéristiques d</w:t>
      </w:r>
      <w:r>
        <w:rPr>
          <w:i/>
          <w:iCs/>
          <w:sz w:val="20"/>
          <w:lang w:val="fr-FR"/>
        </w:rPr>
        <w:t>’</w:t>
      </w:r>
      <w:r w:rsidRPr="009849DD">
        <w:rPr>
          <w:i/>
          <w:iCs/>
          <w:sz w:val="20"/>
          <w:lang w:val="fr-FR"/>
        </w:rPr>
        <w:t xml:space="preserve">un liquide inflammable de </w:t>
      </w:r>
      <w:r>
        <w:rPr>
          <w:i/>
          <w:iCs/>
          <w:sz w:val="20"/>
          <w:lang w:val="fr-FR"/>
        </w:rPr>
        <w:t xml:space="preserve">la </w:t>
      </w:r>
      <w:r w:rsidRPr="009849DD">
        <w:rPr>
          <w:i/>
          <w:iCs/>
          <w:sz w:val="20"/>
          <w:lang w:val="fr-FR"/>
        </w:rPr>
        <w:t>classe 3, ainsi que tout</w:t>
      </w:r>
      <w:r>
        <w:rPr>
          <w:i/>
          <w:iCs/>
          <w:sz w:val="20"/>
          <w:lang w:val="fr-FR"/>
        </w:rPr>
        <w:t>e</w:t>
      </w:r>
      <w:r w:rsidRPr="009849DD">
        <w:rPr>
          <w:i/>
          <w:iCs/>
          <w:sz w:val="20"/>
          <w:lang w:val="fr-FR"/>
        </w:rPr>
        <w:t xml:space="preserve"> autre marque </w:t>
      </w:r>
      <w:r>
        <w:rPr>
          <w:i/>
          <w:iCs/>
          <w:sz w:val="20"/>
          <w:lang w:val="fr-FR"/>
        </w:rPr>
        <w:t>prescrite</w:t>
      </w:r>
      <w:r w:rsidRPr="009849DD">
        <w:rPr>
          <w:i/>
          <w:iCs/>
          <w:sz w:val="20"/>
          <w:lang w:val="fr-FR"/>
        </w:rPr>
        <w:t xml:space="preserve"> par le Règlement type de l</w:t>
      </w:r>
      <w:r>
        <w:rPr>
          <w:i/>
          <w:iCs/>
          <w:sz w:val="20"/>
          <w:lang w:val="fr-FR"/>
        </w:rPr>
        <w:t>’</w:t>
      </w:r>
      <w:r w:rsidRPr="009849DD">
        <w:rPr>
          <w:i/>
          <w:iCs/>
          <w:sz w:val="20"/>
          <w:lang w:val="fr-FR"/>
        </w:rPr>
        <w:t>ONU, peuvent aussi être présentés de façon combinée (voir également l</w:t>
      </w:r>
      <w:r>
        <w:rPr>
          <w:i/>
          <w:iCs/>
          <w:sz w:val="20"/>
          <w:lang w:val="fr-FR"/>
        </w:rPr>
        <w:t>’</w:t>
      </w:r>
      <w:r w:rsidRPr="009849DD">
        <w:rPr>
          <w:i/>
          <w:iCs/>
          <w:sz w:val="20"/>
          <w:lang w:val="fr-FR"/>
        </w:rPr>
        <w:t>exemple 7)</w:t>
      </w:r>
      <w:r w:rsidRPr="00C04ED8">
        <w:rPr>
          <w:i/>
          <w:iCs/>
          <w:sz w:val="20"/>
          <w:lang w:val="fr-FR"/>
        </w:rPr>
        <w:t>.</w:t>
      </w:r>
      <w:r w:rsidRPr="009849DD">
        <w:rPr>
          <w:i/>
          <w:iCs/>
          <w:sz w:val="20"/>
          <w:lang w:val="fr-FR"/>
        </w:rPr>
        <w:t> </w:t>
      </w:r>
      <w:r w:rsidRPr="007D4296">
        <w:rPr>
          <w:sz w:val="20"/>
          <w:lang w:val="fr-FR"/>
        </w:rPr>
        <w:t>»</w:t>
      </w:r>
      <w:r w:rsidRPr="00C04ED8">
        <w:rPr>
          <w:i/>
          <w:iCs/>
          <w:sz w:val="20"/>
          <w:lang w:val="fr-FR"/>
        </w:rPr>
        <w:t>.</w:t>
      </w:r>
    </w:p>
    <w:p w14:paraId="3D85A99B" w14:textId="6CD430D6" w:rsidR="00246D13" w:rsidRPr="009849DD" w:rsidRDefault="00246D13" w:rsidP="00246D13">
      <w:pPr>
        <w:pStyle w:val="Corpsdetexte3"/>
        <w:spacing w:before="240" w:after="60"/>
        <w:ind w:left="567"/>
        <w:rPr>
          <w:i/>
          <w:iCs/>
          <w:sz w:val="20"/>
          <w:lang w:val="fr-FR"/>
        </w:rPr>
      </w:pPr>
    </w:p>
    <w:p w14:paraId="4BC863DE" w14:textId="77777777" w:rsidR="00246D13" w:rsidRPr="00B307B2" w:rsidRDefault="00246D13" w:rsidP="00246D13">
      <w:pPr>
        <w:spacing w:after="160"/>
        <w:ind w:left="1418" w:hanging="1418"/>
        <w:rPr>
          <w:lang w:val="fr-FR"/>
        </w:rPr>
      </w:pPr>
      <w:r w:rsidRPr="00B307B2">
        <w:rPr>
          <w:lang w:val="fr-FR"/>
        </w:rPr>
        <w:br w:type="page"/>
      </w:r>
    </w:p>
    <w:p w14:paraId="61AC1D34" w14:textId="77777777" w:rsidR="00246D13" w:rsidRPr="006952FA" w:rsidRDefault="00246D13" w:rsidP="006952FA">
      <w:pPr>
        <w:pStyle w:val="H23G"/>
      </w:pPr>
      <w:r w:rsidRPr="006952FA">
        <w:lastRenderedPageBreak/>
        <w:tab/>
      </w:r>
      <w:r w:rsidRPr="006952FA">
        <w:tab/>
        <w:t>Exemple 5</w:t>
      </w:r>
    </w:p>
    <w:p w14:paraId="69664FC1" w14:textId="269430CA" w:rsidR="00246D13" w:rsidRPr="00B307B2" w:rsidRDefault="00246D13" w:rsidP="001666C3">
      <w:pPr>
        <w:pStyle w:val="SingleTxtG"/>
        <w:rPr>
          <w:lang w:val="fr-FR"/>
        </w:rPr>
      </w:pPr>
      <w:r>
        <w:rPr>
          <w:color w:val="000000"/>
          <w:lang w:val="fr-FR" w:eastAsia="fr-FR"/>
        </w:rPr>
        <w:t>Remplacer par le texte suivant</w:t>
      </w:r>
      <w:r w:rsidRPr="00B307B2">
        <w:rPr>
          <w:lang w:val="fr-FR"/>
        </w:rPr>
        <w:t xml:space="preserve"> :</w:t>
      </w:r>
    </w:p>
    <w:p w14:paraId="150E93EE" w14:textId="46AE8B2C" w:rsidR="00246D13" w:rsidRPr="00B307B2" w:rsidRDefault="00246D13" w:rsidP="00775023">
      <w:pPr>
        <w:tabs>
          <w:tab w:val="left" w:pos="2552"/>
        </w:tabs>
        <w:spacing w:after="160"/>
        <w:ind w:left="1134" w:right="1133"/>
        <w:jc w:val="both"/>
        <w:rPr>
          <w:b/>
          <w:lang w:val="fr-FR"/>
        </w:rPr>
      </w:pPr>
      <w:r>
        <w:rPr>
          <w:lang w:val="fr-FR"/>
        </w:rPr>
        <w:t>« </w:t>
      </w:r>
      <w:r w:rsidRPr="00B307B2">
        <w:rPr>
          <w:b/>
          <w:bCs/>
          <w:lang w:val="fr-FR"/>
        </w:rPr>
        <w:t>Exemple 5 :</w:t>
      </w:r>
      <w:r w:rsidRPr="00B307B2">
        <w:rPr>
          <w:lang w:val="fr-FR"/>
        </w:rPr>
        <w:tab/>
      </w:r>
      <w:r w:rsidRPr="00B307B2">
        <w:rPr>
          <w:b/>
          <w:bCs/>
          <w:lang w:val="fr-FR"/>
        </w:rPr>
        <w:t xml:space="preserve">Emballage simple </w:t>
      </w:r>
      <w:r w:rsidRPr="00775023">
        <w:rPr>
          <w:b/>
          <w:bCs/>
          <w:lang w:val="fr-FR"/>
        </w:rPr>
        <w:t>(par exemple un fût de 200 litres)</w:t>
      </w:r>
      <w:r w:rsidRPr="00536428">
        <w:rPr>
          <w:lang w:val="fr-FR"/>
        </w:rPr>
        <w:t> </w:t>
      </w:r>
      <w:r w:rsidRPr="00B307B2">
        <w:rPr>
          <w:b/>
          <w:bCs/>
          <w:lang w:val="fr-FR"/>
        </w:rPr>
        <w:t xml:space="preserve">pour les produits chimiques </w:t>
      </w:r>
      <w:r>
        <w:rPr>
          <w:b/>
          <w:bCs/>
          <w:lang w:val="fr-FR"/>
        </w:rPr>
        <w:t>des classes</w:t>
      </w:r>
      <w:r w:rsidR="00D46578">
        <w:rPr>
          <w:b/>
          <w:bCs/>
          <w:lang w:val="fr-FR"/>
        </w:rPr>
        <w:t xml:space="preserve"> : </w:t>
      </w:r>
      <w:r>
        <w:rPr>
          <w:b/>
          <w:bCs/>
          <w:lang w:val="fr-FR"/>
        </w:rPr>
        <w:t>l</w:t>
      </w:r>
      <w:r w:rsidRPr="00B307B2">
        <w:rPr>
          <w:b/>
          <w:bCs/>
          <w:lang w:val="fr-FR"/>
        </w:rPr>
        <w:t>iquide</w:t>
      </w:r>
      <w:r>
        <w:rPr>
          <w:b/>
          <w:bCs/>
          <w:lang w:val="fr-FR"/>
        </w:rPr>
        <w:t>s</w:t>
      </w:r>
      <w:r w:rsidRPr="00B307B2">
        <w:rPr>
          <w:b/>
          <w:bCs/>
          <w:lang w:val="fr-FR"/>
        </w:rPr>
        <w:t xml:space="preserve"> inflammable</w:t>
      </w:r>
      <w:r>
        <w:rPr>
          <w:b/>
          <w:bCs/>
          <w:lang w:val="fr-FR"/>
        </w:rPr>
        <w:t>s</w:t>
      </w:r>
      <w:r w:rsidRPr="00B307B2">
        <w:rPr>
          <w:b/>
          <w:bCs/>
          <w:lang w:val="fr-FR"/>
        </w:rPr>
        <w:t xml:space="preserve"> </w:t>
      </w:r>
      <w:r>
        <w:rPr>
          <w:b/>
          <w:bCs/>
          <w:lang w:val="fr-FR"/>
        </w:rPr>
        <w:t>(</w:t>
      </w:r>
      <w:r w:rsidRPr="00B307B2">
        <w:rPr>
          <w:b/>
          <w:bCs/>
          <w:lang w:val="fr-FR"/>
        </w:rPr>
        <w:t>catégorie 2</w:t>
      </w:r>
      <w:r>
        <w:rPr>
          <w:b/>
          <w:bCs/>
          <w:lang w:val="fr-FR"/>
        </w:rPr>
        <w:t>) et</w:t>
      </w:r>
      <w:r w:rsidRPr="00B307B2">
        <w:rPr>
          <w:b/>
          <w:bCs/>
          <w:lang w:val="fr-FR"/>
        </w:rPr>
        <w:t xml:space="preserve"> </w:t>
      </w:r>
      <w:r>
        <w:rPr>
          <w:b/>
          <w:bCs/>
          <w:lang w:val="fr-FR"/>
        </w:rPr>
        <w:t>t</w:t>
      </w:r>
      <w:r w:rsidRPr="00B307B2">
        <w:rPr>
          <w:b/>
          <w:bCs/>
          <w:lang w:val="fr-FR"/>
        </w:rPr>
        <w:t>oxi</w:t>
      </w:r>
      <w:r>
        <w:rPr>
          <w:b/>
          <w:bCs/>
          <w:lang w:val="fr-FR"/>
        </w:rPr>
        <w:t>cité</w:t>
      </w:r>
      <w:r w:rsidRPr="00B307B2">
        <w:rPr>
          <w:b/>
          <w:bCs/>
          <w:lang w:val="fr-FR"/>
        </w:rPr>
        <w:t xml:space="preserve"> pour certains organes cibles</w:t>
      </w:r>
      <w:r>
        <w:rPr>
          <w:b/>
          <w:bCs/>
          <w:lang w:val="fr-FR"/>
        </w:rPr>
        <w:t xml:space="preserve"> −</w:t>
      </w:r>
      <w:r w:rsidRPr="00B307B2">
        <w:rPr>
          <w:b/>
          <w:bCs/>
          <w:lang w:val="fr-FR"/>
        </w:rPr>
        <w:t xml:space="preserve"> expositions</w:t>
      </w:r>
      <w:r>
        <w:rPr>
          <w:b/>
          <w:bCs/>
          <w:lang w:val="fr-FR"/>
        </w:rPr>
        <w:t xml:space="preserve"> </w:t>
      </w:r>
      <w:r w:rsidRPr="00B307B2">
        <w:rPr>
          <w:b/>
          <w:bCs/>
          <w:lang w:val="fr-FR"/>
        </w:rPr>
        <w:t xml:space="preserve">répétées </w:t>
      </w:r>
      <w:r>
        <w:rPr>
          <w:b/>
          <w:bCs/>
          <w:lang w:val="fr-FR"/>
        </w:rPr>
        <w:t>(</w:t>
      </w:r>
      <w:r w:rsidRPr="00B307B2">
        <w:rPr>
          <w:b/>
          <w:bCs/>
          <w:lang w:val="fr-FR"/>
        </w:rPr>
        <w:t>catégorie 1</w:t>
      </w:r>
      <w:r>
        <w:rPr>
          <w:b/>
          <w:bCs/>
          <w:lang w:val="fr-FR"/>
        </w:rPr>
        <w:t>)</w:t>
      </w:r>
      <w:r w:rsidRPr="00B307B2">
        <w:rPr>
          <w:lang w:val="fr-FR"/>
        </w:rPr>
        <w:t xml:space="preserve"> </w:t>
      </w:r>
    </w:p>
    <w:p w14:paraId="6B4DCBC1" w14:textId="77777777" w:rsidR="00246D13" w:rsidRPr="00B307B2" w:rsidRDefault="00246D13" w:rsidP="00246D13">
      <w:pPr>
        <w:rPr>
          <w:lang w:val="fr-FR"/>
        </w:rPr>
      </w:pPr>
      <w:r w:rsidRPr="00B307B2">
        <w:rPr>
          <w:noProof/>
          <w:lang w:val="fr-FR"/>
        </w:rPr>
        <mc:AlternateContent>
          <mc:Choice Requires="wpg">
            <w:drawing>
              <wp:anchor distT="0" distB="0" distL="114300" distR="114300" simplePos="0" relativeHeight="251658247" behindDoc="0" locked="0" layoutInCell="1" allowOverlap="1" wp14:anchorId="2094F9FA" wp14:editId="0E46B794">
                <wp:simplePos x="0" y="0"/>
                <wp:positionH relativeFrom="column">
                  <wp:posOffset>106846</wp:posOffset>
                </wp:positionH>
                <wp:positionV relativeFrom="paragraph">
                  <wp:posOffset>190638</wp:posOffset>
                </wp:positionV>
                <wp:extent cx="3155950" cy="3200400"/>
                <wp:effectExtent l="0" t="0" r="25400" b="19050"/>
                <wp:wrapNone/>
                <wp:docPr id="289" name="Group 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5950" cy="3200400"/>
                          <a:chOff x="1305" y="1829"/>
                          <a:chExt cx="4970" cy="5040"/>
                        </a:xfrm>
                      </wpg:grpSpPr>
                      <wpg:grpSp>
                        <wpg:cNvPr id="290" name="Group 1320"/>
                        <wpg:cNvGrpSpPr>
                          <a:grpSpLocks/>
                        </wpg:cNvGrpSpPr>
                        <wpg:grpSpPr bwMode="auto">
                          <a:xfrm>
                            <a:off x="1305" y="1829"/>
                            <a:ext cx="3240" cy="5040"/>
                            <a:chOff x="1305" y="1829"/>
                            <a:chExt cx="3240" cy="5040"/>
                          </a:xfrm>
                        </wpg:grpSpPr>
                        <wps:wsp>
                          <wps:cNvPr id="291" name="Rectangle 1321"/>
                          <wps:cNvSpPr>
                            <a:spLocks noChangeArrowheads="1"/>
                          </wps:cNvSpPr>
                          <wps:spPr bwMode="auto">
                            <a:xfrm>
                              <a:off x="1485" y="1829"/>
                              <a:ext cx="2880" cy="5040"/>
                            </a:xfrm>
                            <a:prstGeom prst="rect">
                              <a:avLst/>
                            </a:prstGeom>
                            <a:solidFill>
                              <a:srgbClr val="FFFFFF"/>
                            </a:solidFill>
                            <a:ln w="9525">
                              <a:solidFill>
                                <a:srgbClr val="000000"/>
                              </a:solidFill>
                              <a:miter lim="800000"/>
                              <a:headEnd/>
                              <a:tailEnd/>
                            </a:ln>
                          </wps:spPr>
                          <wps:txbx>
                            <w:txbxContent>
                              <w:p w14:paraId="2FC527C9" w14:textId="77777777" w:rsidR="00246D13" w:rsidRDefault="00246D13" w:rsidP="00246D13">
                                <w:pPr>
                                  <w:pStyle w:val="Style1"/>
                                </w:pPr>
                              </w:p>
                            </w:txbxContent>
                          </wps:txbx>
                          <wps:bodyPr rot="0" vert="horz" wrap="square" lIns="91440" tIns="45720" rIns="91440" bIns="45720" anchor="t" anchorCtr="0" upright="1">
                            <a:noAutofit/>
                          </wps:bodyPr>
                        </wps:wsp>
                        <wps:wsp>
                          <wps:cNvPr id="293" name="Rectangle 1322"/>
                          <wps:cNvSpPr>
                            <a:spLocks noChangeArrowheads="1"/>
                          </wps:cNvSpPr>
                          <wps:spPr bwMode="auto">
                            <a:xfrm>
                              <a:off x="1305" y="1829"/>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5" name="Rectangle 1323"/>
                          <wps:cNvSpPr>
                            <a:spLocks noChangeArrowheads="1"/>
                          </wps:cNvSpPr>
                          <wps:spPr bwMode="auto">
                            <a:xfrm>
                              <a:off x="1305" y="2909"/>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7" name="Rectangle 1324"/>
                          <wps:cNvSpPr>
                            <a:spLocks noChangeArrowheads="1"/>
                          </wps:cNvSpPr>
                          <wps:spPr bwMode="auto">
                            <a:xfrm>
                              <a:off x="1305" y="5789"/>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 name="Rectangle 1325"/>
                          <wps:cNvSpPr>
                            <a:spLocks noChangeArrowheads="1"/>
                          </wps:cNvSpPr>
                          <wps:spPr bwMode="auto">
                            <a:xfrm>
                              <a:off x="1305" y="6689"/>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AutoShape 1326"/>
                          <wps:cNvSpPr>
                            <a:spLocks noChangeArrowheads="1"/>
                          </wps:cNvSpPr>
                          <wps:spPr bwMode="auto">
                            <a:xfrm>
                              <a:off x="2316" y="3817"/>
                              <a:ext cx="903" cy="9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1327"/>
                          <wps:cNvSpPr>
                            <a:spLocks noChangeArrowheads="1"/>
                          </wps:cNvSpPr>
                          <wps:spPr bwMode="auto">
                            <a:xfrm>
                              <a:off x="2124" y="4897"/>
                              <a:ext cx="1260" cy="7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Text Box 1328"/>
                          <wps:cNvSpPr txBox="1">
                            <a:spLocks noChangeArrowheads="1"/>
                          </wps:cNvSpPr>
                          <wps:spPr bwMode="auto">
                            <a:xfrm>
                              <a:off x="1565" y="3114"/>
                              <a:ext cx="2134" cy="85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4250F" w14:textId="77777777" w:rsidR="00246D13" w:rsidRPr="00775023" w:rsidRDefault="00246D13" w:rsidP="00246D13">
                                <w:pPr>
                                  <w:pStyle w:val="Titre3"/>
                                  <w:rPr>
                                    <w:b/>
                                    <w:bCs/>
                                    <w:lang w:val="fr-FR"/>
                                  </w:rPr>
                                </w:pPr>
                                <w:r w:rsidRPr="00775023">
                                  <w:rPr>
                                    <w:b/>
                                    <w:bCs/>
                                    <w:lang w:val="fr-FR"/>
                                  </w:rPr>
                                  <w:t xml:space="preserve">Désignation officielle de transport </w:t>
                                </w:r>
                              </w:p>
                              <w:p w14:paraId="035E7E87" w14:textId="77777777" w:rsidR="00246D13" w:rsidRPr="00775023" w:rsidRDefault="00246D13" w:rsidP="00246D13">
                                <w:pPr>
                                  <w:pStyle w:val="Titre3"/>
                                  <w:rPr>
                                    <w:b/>
                                    <w:bCs/>
                                    <w:szCs w:val="22"/>
                                  </w:rPr>
                                </w:pPr>
                                <w:r w:rsidRPr="00775023">
                                  <w:rPr>
                                    <w:b/>
                                    <w:bCs/>
                                    <w:lang w:val="fr-FR"/>
                                  </w:rPr>
                                  <w:t>Numéro ONU</w:t>
                                </w:r>
                              </w:p>
                            </w:txbxContent>
                          </wps:txbx>
                          <wps:bodyPr rot="0" vert="horz" wrap="square" lIns="91440" tIns="0" rIns="91440" bIns="0" anchor="t" anchorCtr="0" upright="1">
                            <a:noAutofit/>
                          </wps:bodyPr>
                        </wps:wsp>
                      </wpg:grpSp>
                      <wps:wsp>
                        <wps:cNvPr id="302" name="Line 1329"/>
                        <wps:cNvCnPr>
                          <a:cxnSpLocks noChangeShapeType="1"/>
                        </wps:cNvCnPr>
                        <wps:spPr bwMode="auto">
                          <a:xfrm flipV="1">
                            <a:off x="3035" y="3114"/>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94F9FA" id="Group 1319" o:spid="_x0000_s1039" style="position:absolute;margin-left:8.4pt;margin-top:15pt;width:248.5pt;height:252pt;z-index:251658247" coordorigin="1305,1829" coordsize="497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">
                <v:group id="Group 1320" o:spid="_x0000_s1040" style="position:absolute;left:1305;top:1829;width:3240;height:5040" coordorigin="1305,1829" coordsize="32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1321" o:spid="_x0000_s1041" style="position:absolute;left:1485;top:1829;width:288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">
                    <v:textbox>
                      <w:txbxContent>
                        <w:p w14:paraId="2FC527C9" w14:textId="77777777" w:rsidR="00246D13" w:rsidRDefault="00246D13" w:rsidP="00246D13">
                          <w:pPr>
                            <w:pStyle w:val="Style1"/>
                          </w:pPr>
                        </w:p>
                      </w:txbxContent>
                    </v:textbox>
                  </v:rect>
                  <v:rect id="Rectangle 1322" o:spid="_x0000_s1042" style="position:absolute;left:1305;top:1829;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"/>
                  <v:rect id="Rectangle 1323" o:spid="_x0000_s1043" style="position:absolute;left:1305;top:2909;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"/>
                  <v:rect id="Rectangle 1324" o:spid="_x0000_s1044" style="position:absolute;left:1305;top:5789;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"/>
                  <v:rect id="Rectangle 1325" o:spid="_x0000_s1045" style="position:absolute;left:1305;top:6689;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"/>
                  <v:shape id="AutoShape 1326" o:spid="_x0000_s1046" type="#_x0000_t4" style="position:absolute;left:2316;top:3817;width:90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"/>
                  <v:rect id="Rectangle 1327" o:spid="_x0000_s1047" style="position:absolute;left:2124;top:4897;width:1260;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"/>
                  <v:shape id="Text Box 1328" o:spid="_x0000_s1048" type="#_x0000_t202" style="position:absolute;left:1565;top:3114;width:2134;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" filled="f" stroked="f">
                    <v:textbox inset=",0,,0">
                      <w:txbxContent>
                        <w:p w14:paraId="3994250F" w14:textId="77777777" w:rsidR="00246D13" w:rsidRPr="00775023" w:rsidRDefault="00246D13" w:rsidP="00246D13">
                          <w:pPr>
                            <w:pStyle w:val="Titre3"/>
                            <w:rPr>
                              <w:b/>
                              <w:bCs/>
                              <w:lang w:val="fr-FR"/>
                            </w:rPr>
                          </w:pPr>
                          <w:r w:rsidRPr="00775023">
                            <w:rPr>
                              <w:b/>
                              <w:bCs/>
                              <w:lang w:val="fr-FR"/>
                            </w:rPr>
                            <w:t xml:space="preserve">Désignation officielle de transport </w:t>
                          </w:r>
                        </w:p>
                        <w:p w14:paraId="035E7E87" w14:textId="77777777" w:rsidR="00246D13" w:rsidRPr="00775023" w:rsidRDefault="00246D13" w:rsidP="00246D13">
                          <w:pPr>
                            <w:pStyle w:val="Titre3"/>
                            <w:rPr>
                              <w:b/>
                              <w:bCs/>
                              <w:szCs w:val="22"/>
                            </w:rPr>
                          </w:pPr>
                          <w:r w:rsidRPr="00775023">
                            <w:rPr>
                              <w:b/>
                              <w:bCs/>
                              <w:lang w:val="fr-FR"/>
                            </w:rPr>
                            <w:t>Numéro ONU</w:t>
                          </w:r>
                        </w:p>
                      </w:txbxContent>
                    </v:textbox>
                  </v:shape>
                </v:group>
                <v:line id="Line 1329" o:spid="_x0000_s1049" style="position:absolute;flip:y;visibility:visible;mso-wrap-style:square" from="3035,3114" to="6275,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group>
            </w:pict>
          </mc:Fallback>
        </mc:AlternateContent>
      </w:r>
      <w:r w:rsidRPr="00B307B2">
        <w:rPr>
          <w:noProof/>
          <w:lang w:val="fr-FR"/>
        </w:rPr>
        <w:drawing>
          <wp:anchor distT="0" distB="0" distL="114300" distR="114300" simplePos="0" relativeHeight="251658252" behindDoc="0" locked="1" layoutInCell="1" allowOverlap="1" wp14:anchorId="49FD4E61" wp14:editId="15B4C020">
            <wp:simplePos x="0" y="0"/>
            <wp:positionH relativeFrom="column">
              <wp:posOffset>3261995</wp:posOffset>
            </wp:positionH>
            <wp:positionV relativeFrom="paragraph">
              <wp:posOffset>169545</wp:posOffset>
            </wp:positionV>
            <wp:extent cx="1367790" cy="1367790"/>
            <wp:effectExtent l="0" t="0" r="0" b="0"/>
            <wp:wrapTopAndBottom/>
            <wp:docPr id="21"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page">
              <wp14:pctWidth>0</wp14:pctWidth>
            </wp14:sizeRelH>
            <wp14:sizeRelV relativeFrom="page">
              <wp14:pctHeight>0</wp14:pctHeight>
            </wp14:sizeRelV>
          </wp:anchor>
        </w:drawing>
      </w:r>
    </w:p>
    <w:p w14:paraId="228E9118" w14:textId="77777777" w:rsidR="00246D13" w:rsidRPr="00B307B2" w:rsidRDefault="00246D13" w:rsidP="00246D13">
      <w:pPr>
        <w:rPr>
          <w:lang w:val="fr-FR"/>
        </w:rPr>
      </w:pPr>
      <w:r w:rsidRPr="00B307B2">
        <w:rPr>
          <w:noProof/>
          <w:lang w:val="fr-FR"/>
        </w:rPr>
        <mc:AlternateContent>
          <mc:Choice Requires="wps">
            <w:drawing>
              <wp:anchor distT="0" distB="0" distL="114300" distR="114300" simplePos="0" relativeHeight="251658250" behindDoc="0" locked="1" layoutInCell="0" allowOverlap="1" wp14:anchorId="523B39C8" wp14:editId="4524834D">
                <wp:simplePos x="0" y="0"/>
                <wp:positionH relativeFrom="column">
                  <wp:posOffset>1321435</wp:posOffset>
                </wp:positionH>
                <wp:positionV relativeFrom="paragraph">
                  <wp:posOffset>2353310</wp:posOffset>
                </wp:positionV>
                <wp:extent cx="1802130" cy="1322705"/>
                <wp:effectExtent l="0" t="0" r="26670" b="10795"/>
                <wp:wrapNone/>
                <wp:docPr id="194" name="Freeform 1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2130" cy="1322705"/>
                        </a:xfrm>
                        <a:custGeom>
                          <a:avLst/>
                          <a:gdLst>
                            <a:gd name="T0" fmla="*/ 0 w 2664"/>
                            <a:gd name="T1" fmla="*/ 0 h 2923"/>
                            <a:gd name="T2" fmla="*/ 1691640 w 2664"/>
                            <a:gd name="T3" fmla="*/ 1856105 h 2923"/>
                            <a:gd name="T4" fmla="*/ 0 60000 65536"/>
                            <a:gd name="T5" fmla="*/ 0 60000 65536"/>
                          </a:gdLst>
                          <a:ahLst/>
                          <a:cxnLst>
                            <a:cxn ang="T4">
                              <a:pos x="T0" y="T1"/>
                            </a:cxn>
                            <a:cxn ang="T5">
                              <a:pos x="T2" y="T3"/>
                            </a:cxn>
                          </a:cxnLst>
                          <a:rect l="0" t="0" r="r" b="b"/>
                          <a:pathLst>
                            <a:path w="2664" h="2923">
                              <a:moveTo>
                                <a:pt x="0" y="0"/>
                              </a:moveTo>
                              <a:lnTo>
                                <a:pt x="2664" y="29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2F87B" id="Freeform 1330" o:spid="_x0000_s1026" style="position:absolute;margin-left:104.05pt;margin-top:185.3pt;width:141.9pt;height:10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4,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" o:allowincell="f" path="m,l2664,2923e" filled="f">
                <v:path arrowok="t" o:connecttype="custom" o:connectlocs="0,0;1144352550,839917675" o:connectangles="0,0"/>
                <w10:anchorlock/>
              </v:shape>
            </w:pict>
          </mc:Fallback>
        </mc:AlternateContent>
      </w:r>
    </w:p>
    <w:p w14:paraId="52610170" w14:textId="77777777" w:rsidR="00246D13" w:rsidRPr="00B307B2" w:rsidRDefault="00246D13" w:rsidP="00246D13">
      <w:pPr>
        <w:rPr>
          <w:lang w:val="fr-FR"/>
        </w:rPr>
      </w:pPr>
    </w:p>
    <w:p w14:paraId="6E80F69C" w14:textId="77777777" w:rsidR="00246D13" w:rsidRPr="00B307B2" w:rsidRDefault="00246D13" w:rsidP="00246D13">
      <w:pPr>
        <w:jc w:val="center"/>
        <w:rPr>
          <w:lang w:val="fr-FR"/>
        </w:rPr>
      </w:pPr>
    </w:p>
    <w:p w14:paraId="64819F1A" w14:textId="77777777" w:rsidR="00246D13" w:rsidRPr="00B307B2" w:rsidRDefault="00246D13" w:rsidP="00246D13">
      <w:pPr>
        <w:jc w:val="center"/>
        <w:rPr>
          <w:lang w:val="fr-FR"/>
        </w:rPr>
      </w:pPr>
    </w:p>
    <w:p w14:paraId="5BC19FF4" w14:textId="77777777" w:rsidR="00246D13" w:rsidRPr="00B307B2" w:rsidRDefault="00246D13" w:rsidP="00246D13">
      <w:pPr>
        <w:jc w:val="center"/>
        <w:rPr>
          <w:lang w:val="fr-FR"/>
        </w:rPr>
      </w:pPr>
    </w:p>
    <w:p w14:paraId="2E2248FB" w14:textId="77777777" w:rsidR="00246D13" w:rsidRPr="00B307B2" w:rsidRDefault="00246D13" w:rsidP="00246D13">
      <w:pPr>
        <w:jc w:val="center"/>
        <w:rPr>
          <w:lang w:val="fr-FR"/>
        </w:rPr>
      </w:pPr>
    </w:p>
    <w:p w14:paraId="745689E4" w14:textId="77777777" w:rsidR="00246D13" w:rsidRPr="00B307B2" w:rsidRDefault="00246D13" w:rsidP="00246D13">
      <w:pPr>
        <w:jc w:val="center"/>
        <w:rPr>
          <w:lang w:val="fr-FR"/>
        </w:rPr>
      </w:pPr>
    </w:p>
    <w:p w14:paraId="36F4DF53" w14:textId="77777777" w:rsidR="00246D13" w:rsidRPr="00B307B2" w:rsidRDefault="00246D13" w:rsidP="00246D13">
      <w:pPr>
        <w:jc w:val="center"/>
        <w:rPr>
          <w:lang w:val="fr-FR"/>
        </w:rPr>
      </w:pPr>
    </w:p>
    <w:p w14:paraId="6B28316A" w14:textId="77777777" w:rsidR="00246D13" w:rsidRPr="00B307B2" w:rsidRDefault="00246D13" w:rsidP="00246D13">
      <w:pPr>
        <w:jc w:val="center"/>
        <w:rPr>
          <w:lang w:val="fr-FR"/>
        </w:rPr>
      </w:pPr>
    </w:p>
    <w:p w14:paraId="7FFCAD89" w14:textId="77777777" w:rsidR="00246D13" w:rsidRPr="00B307B2" w:rsidRDefault="00246D13" w:rsidP="00246D13">
      <w:pPr>
        <w:jc w:val="center"/>
        <w:rPr>
          <w:lang w:val="fr-FR"/>
        </w:rPr>
      </w:pPr>
    </w:p>
    <w:p w14:paraId="1B9A4EB1" w14:textId="77777777" w:rsidR="00246D13" w:rsidRPr="00B307B2" w:rsidRDefault="00246D13" w:rsidP="00246D13">
      <w:pPr>
        <w:jc w:val="center"/>
        <w:rPr>
          <w:lang w:val="fr-FR"/>
        </w:rPr>
      </w:pPr>
    </w:p>
    <w:p w14:paraId="09C9A1C3" w14:textId="77777777" w:rsidR="00246D13" w:rsidRPr="00B307B2" w:rsidRDefault="00246D13" w:rsidP="00246D13">
      <w:pPr>
        <w:jc w:val="center"/>
        <w:rPr>
          <w:lang w:val="fr-FR"/>
        </w:rPr>
      </w:pPr>
    </w:p>
    <w:p w14:paraId="174F77EE" w14:textId="77777777" w:rsidR="00246D13" w:rsidRPr="00B307B2" w:rsidRDefault="00246D13" w:rsidP="00246D13">
      <w:pPr>
        <w:jc w:val="center"/>
        <w:rPr>
          <w:lang w:val="fr-FR"/>
        </w:rPr>
      </w:pPr>
    </w:p>
    <w:p w14:paraId="5EB8A0E1" w14:textId="77777777" w:rsidR="00246D13" w:rsidRPr="00B307B2" w:rsidRDefault="00246D13" w:rsidP="00246D13">
      <w:pPr>
        <w:jc w:val="center"/>
        <w:rPr>
          <w:lang w:val="fr-FR"/>
        </w:rPr>
      </w:pPr>
    </w:p>
    <w:p w14:paraId="6C00B326" w14:textId="77777777" w:rsidR="00246D13" w:rsidRPr="00B307B2" w:rsidRDefault="00246D13" w:rsidP="00246D13">
      <w:pPr>
        <w:jc w:val="center"/>
        <w:rPr>
          <w:lang w:val="fr-FR"/>
        </w:rPr>
      </w:pPr>
    </w:p>
    <w:tbl>
      <w:tblPr>
        <w:tblStyle w:val="Grilledutableau"/>
        <w:tblW w:w="0" w:type="auto"/>
        <w:tblInd w:w="211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126"/>
        <w:gridCol w:w="4306"/>
      </w:tblGrid>
      <w:tr w:rsidR="00246D13" w:rsidRPr="00CA3DB2" w14:paraId="12ACEDDC" w14:textId="77777777" w:rsidTr="004D33AF">
        <w:tc>
          <w:tcPr>
            <w:tcW w:w="6432" w:type="dxa"/>
            <w:gridSpan w:val="2"/>
          </w:tcPr>
          <w:p w14:paraId="71E5A9B8" w14:textId="77777777" w:rsidR="00246D13" w:rsidRPr="00B307B2" w:rsidRDefault="00246D13" w:rsidP="004D33AF">
            <w:pPr>
              <w:spacing w:before="40" w:after="40" w:line="240" w:lineRule="auto"/>
              <w:ind w:left="92" w:right="74"/>
              <w:rPr>
                <w:lang w:val="fr-FR"/>
              </w:rPr>
            </w:pPr>
            <w:r w:rsidRPr="00B307B2">
              <w:rPr>
                <w:b/>
                <w:bCs/>
                <w:lang w:val="fr-FR"/>
              </w:rPr>
              <w:t>Identification du produit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d))</w:t>
            </w:r>
          </w:p>
        </w:tc>
      </w:tr>
      <w:tr w:rsidR="00246D13" w:rsidRPr="00CA3DB2" w14:paraId="04F74227" w14:textId="77777777" w:rsidTr="004D33AF">
        <w:tc>
          <w:tcPr>
            <w:tcW w:w="2126" w:type="dxa"/>
          </w:tcPr>
          <w:p w14:paraId="0F2DC7B3" w14:textId="77777777" w:rsidR="00246D13" w:rsidRPr="00B307B2" w:rsidRDefault="00246D13" w:rsidP="004D33AF">
            <w:pPr>
              <w:ind w:left="92"/>
              <w:jc w:val="center"/>
              <w:rPr>
                <w:lang w:val="fr-FR"/>
              </w:rPr>
            </w:pPr>
          </w:p>
        </w:tc>
        <w:tc>
          <w:tcPr>
            <w:tcW w:w="4304" w:type="dxa"/>
          </w:tcPr>
          <w:p w14:paraId="6A52C909" w14:textId="77777777" w:rsidR="00246D13" w:rsidRPr="00B307B2" w:rsidRDefault="00246D13" w:rsidP="004D33AF">
            <w:pPr>
              <w:ind w:left="92"/>
              <w:jc w:val="center"/>
              <w:rPr>
                <w:lang w:val="fr-FR"/>
              </w:rPr>
            </w:pPr>
          </w:p>
        </w:tc>
      </w:tr>
      <w:tr w:rsidR="00246D13" w:rsidRPr="00CA3DB2" w14:paraId="60BCEF66" w14:textId="77777777" w:rsidTr="004D33AF">
        <w:trPr>
          <w:trHeight w:val="1140"/>
        </w:trPr>
        <w:tc>
          <w:tcPr>
            <w:tcW w:w="2126" w:type="dxa"/>
          </w:tcPr>
          <w:p w14:paraId="1CB18A84" w14:textId="77777777" w:rsidR="00246D13" w:rsidRPr="00B307B2" w:rsidRDefault="00246D13" w:rsidP="004D33AF">
            <w:pPr>
              <w:ind w:left="92"/>
              <w:jc w:val="center"/>
              <w:rPr>
                <w:lang w:val="fr-FR"/>
              </w:rPr>
            </w:pPr>
            <w:r w:rsidRPr="00B307B2">
              <w:rPr>
                <w:noProof/>
                <w:lang w:val="fr-FR"/>
              </w:rPr>
              <w:drawing>
                <wp:anchor distT="0" distB="0" distL="114300" distR="114300" simplePos="0" relativeHeight="251658251" behindDoc="1" locked="1" layoutInCell="1" allowOverlap="1" wp14:anchorId="24CDEC0E" wp14:editId="0AE588B7">
                  <wp:simplePos x="0" y="0"/>
                  <wp:positionH relativeFrom="column">
                    <wp:posOffset>196215</wp:posOffset>
                  </wp:positionH>
                  <wp:positionV relativeFrom="page">
                    <wp:posOffset>0</wp:posOffset>
                  </wp:positionV>
                  <wp:extent cx="773430" cy="773430"/>
                  <wp:effectExtent l="0" t="0" r="7620" b="7620"/>
                  <wp:wrapTight wrapText="bothSides">
                    <wp:wrapPolygon edited="0">
                      <wp:start x="9044" y="0"/>
                      <wp:lineTo x="532" y="9044"/>
                      <wp:lineTo x="0" y="10640"/>
                      <wp:lineTo x="0" y="11172"/>
                      <wp:lineTo x="9044" y="21281"/>
                      <wp:lineTo x="11704" y="21281"/>
                      <wp:lineTo x="20749" y="11704"/>
                      <wp:lineTo x="21281" y="10640"/>
                      <wp:lineTo x="20749" y="9044"/>
                      <wp:lineTo x="12236" y="0"/>
                      <wp:lineTo x="9044" y="0"/>
                    </wp:wrapPolygon>
                  </wp:wrapTight>
                  <wp:docPr id="158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pic:spPr>
                      </pic:pic>
                    </a:graphicData>
                  </a:graphic>
                  <wp14:sizeRelH relativeFrom="page">
                    <wp14:pctWidth>0</wp14:pctWidth>
                  </wp14:sizeRelH>
                  <wp14:sizeRelV relativeFrom="page">
                    <wp14:pctHeight>0</wp14:pctHeight>
                  </wp14:sizeRelV>
                </wp:anchor>
              </w:drawing>
            </w:r>
          </w:p>
        </w:tc>
        <w:tc>
          <w:tcPr>
            <w:tcW w:w="4304" w:type="dxa"/>
          </w:tcPr>
          <w:p w14:paraId="621BB435" w14:textId="77777777" w:rsidR="00246D13" w:rsidRPr="00B307B2" w:rsidRDefault="00246D13" w:rsidP="004D33AF">
            <w:pPr>
              <w:ind w:left="92"/>
              <w:rPr>
                <w:b/>
                <w:bCs/>
                <w:lang w:val="fr-FR"/>
              </w:rPr>
            </w:pPr>
          </w:p>
          <w:p w14:paraId="5BDD2F51" w14:textId="77777777" w:rsidR="00246D13" w:rsidRPr="00B307B2" w:rsidRDefault="00246D13" w:rsidP="004D33AF">
            <w:pPr>
              <w:ind w:left="92"/>
              <w:rPr>
                <w:b/>
                <w:bCs/>
                <w:lang w:val="fr-FR"/>
              </w:rPr>
            </w:pPr>
            <w:r w:rsidRPr="00CA3DB2">
              <w:rPr>
                <w:b/>
                <w:bCs/>
                <w:caps/>
                <w:lang w:val="fr-FR"/>
              </w:rPr>
              <w:t>Mention d</w:t>
            </w:r>
            <w:r>
              <w:rPr>
                <w:b/>
                <w:bCs/>
                <w:caps/>
                <w:lang w:val="fr-FR"/>
              </w:rPr>
              <w:t>’</w:t>
            </w:r>
            <w:r w:rsidRPr="00CA3DB2">
              <w:rPr>
                <w:b/>
                <w:bCs/>
                <w:caps/>
                <w:lang w:val="fr-FR"/>
              </w:rPr>
              <w:t>avertissement</w:t>
            </w:r>
            <w:r w:rsidRPr="00B307B2">
              <w:rPr>
                <w:b/>
                <w:bCs/>
                <w:lang w:val="fr-FR"/>
              </w:rPr>
              <w:t xml:space="preserve"> </w:t>
            </w:r>
            <w:r>
              <w:rPr>
                <w:b/>
                <w:bCs/>
                <w:lang w:val="fr-FR"/>
              </w:rPr>
              <w:br/>
            </w:r>
            <w:r w:rsidRPr="00B307B2">
              <w:rPr>
                <w:b/>
                <w:bCs/>
                <w:lang w:val="fr-FR"/>
              </w:rPr>
              <w:t>(voir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a))</w:t>
            </w:r>
          </w:p>
          <w:p w14:paraId="4F6D1D01" w14:textId="77777777" w:rsidR="00246D13" w:rsidRPr="00B307B2" w:rsidRDefault="00246D13" w:rsidP="004D33AF">
            <w:pPr>
              <w:ind w:left="92"/>
              <w:rPr>
                <w:b/>
                <w:bCs/>
                <w:lang w:val="fr-FR"/>
              </w:rPr>
            </w:pPr>
          </w:p>
          <w:p w14:paraId="27FE7C64" w14:textId="77777777" w:rsidR="00246D13" w:rsidRPr="00B307B2" w:rsidRDefault="00246D13" w:rsidP="004D33AF">
            <w:pPr>
              <w:ind w:left="92"/>
              <w:rPr>
                <w:b/>
                <w:bCs/>
                <w:lang w:val="fr-FR"/>
              </w:rPr>
            </w:pPr>
          </w:p>
          <w:p w14:paraId="68F6D7AD" w14:textId="77777777" w:rsidR="00246D13" w:rsidRPr="00B307B2" w:rsidRDefault="00246D13" w:rsidP="004D33AF">
            <w:pPr>
              <w:ind w:left="92"/>
              <w:rPr>
                <w:lang w:val="fr-FR"/>
              </w:rPr>
            </w:pPr>
            <w:r w:rsidRPr="00B307B2">
              <w:rPr>
                <w:b/>
                <w:bCs/>
                <w:lang w:val="fr-FR"/>
              </w:rPr>
              <w:t>Mention de danger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b))</w:t>
            </w:r>
          </w:p>
        </w:tc>
      </w:tr>
      <w:tr w:rsidR="00246D13" w:rsidRPr="00CA3DB2" w14:paraId="645053E9" w14:textId="77777777" w:rsidTr="004D33AF">
        <w:tc>
          <w:tcPr>
            <w:tcW w:w="6432" w:type="dxa"/>
            <w:gridSpan w:val="2"/>
          </w:tcPr>
          <w:p w14:paraId="4B38F6F1" w14:textId="77777777" w:rsidR="00246D13" w:rsidRPr="00B307B2" w:rsidRDefault="00246D13" w:rsidP="004D33AF">
            <w:pPr>
              <w:spacing w:before="120" w:after="240" w:line="240" w:lineRule="auto"/>
              <w:ind w:left="92"/>
              <w:rPr>
                <w:b/>
                <w:bCs/>
                <w:lang w:val="fr-FR"/>
              </w:rPr>
            </w:pPr>
            <w:r w:rsidRPr="00B307B2">
              <w:rPr>
                <w:b/>
                <w:bCs/>
                <w:lang w:val="fr-FR"/>
              </w:rPr>
              <w:t>Conseils de prudence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c) et sections 2 et 3 de l</w:t>
            </w:r>
            <w:r>
              <w:rPr>
                <w:b/>
                <w:bCs/>
                <w:lang w:val="fr-FR"/>
              </w:rPr>
              <w:t>’</w:t>
            </w:r>
            <w:r w:rsidRPr="00B307B2">
              <w:rPr>
                <w:b/>
                <w:bCs/>
                <w:lang w:val="fr-FR"/>
              </w:rPr>
              <w:t>annexe 3)</w:t>
            </w:r>
          </w:p>
          <w:p w14:paraId="6366620D" w14:textId="77777777" w:rsidR="00246D13" w:rsidRPr="00B307B2" w:rsidRDefault="00246D13" w:rsidP="004D33AF">
            <w:pPr>
              <w:tabs>
                <w:tab w:val="left" w:pos="252"/>
              </w:tabs>
              <w:spacing w:line="240" w:lineRule="auto"/>
              <w:ind w:left="92" w:hanging="28"/>
              <w:rPr>
                <w:lang w:val="fr-FR"/>
              </w:rPr>
            </w:pPr>
            <w:r w:rsidRPr="00B307B2">
              <w:rPr>
                <w:lang w:val="fr-FR"/>
              </w:rPr>
              <w:t>Information</w:t>
            </w:r>
            <w:r>
              <w:rPr>
                <w:lang w:val="fr-FR"/>
              </w:rPr>
              <w:t>s</w:t>
            </w:r>
            <w:r w:rsidRPr="00B307B2">
              <w:rPr>
                <w:lang w:val="fr-FR"/>
              </w:rPr>
              <w:t xml:space="preserve"> supplémentaire</w:t>
            </w:r>
            <w:r>
              <w:rPr>
                <w:lang w:val="fr-FR"/>
              </w:rPr>
              <w:t>s</w:t>
            </w:r>
            <w:r w:rsidRPr="00B307B2">
              <w:rPr>
                <w:lang w:val="fr-FR"/>
              </w:rPr>
              <w:t xml:space="preserve"> autorisé</w:t>
            </w:r>
            <w:r>
              <w:rPr>
                <w:lang w:val="fr-FR"/>
              </w:rPr>
              <w:t>es</w:t>
            </w:r>
            <w:r w:rsidRPr="00B307B2">
              <w:rPr>
                <w:lang w:val="fr-FR"/>
              </w:rPr>
              <w:t xml:space="preserve"> ou requis</w:t>
            </w:r>
            <w:r>
              <w:rPr>
                <w:lang w:val="fr-FR"/>
              </w:rPr>
              <w:t>es</w:t>
            </w:r>
            <w:r w:rsidRPr="00B307B2">
              <w:rPr>
                <w:lang w:val="fr-FR"/>
              </w:rPr>
              <w:t xml:space="preserve"> par l</w:t>
            </w:r>
            <w:r>
              <w:rPr>
                <w:lang w:val="fr-FR"/>
              </w:rPr>
              <w:t>’</w:t>
            </w:r>
            <w:r w:rsidRPr="00B307B2">
              <w:rPr>
                <w:lang w:val="fr-FR"/>
              </w:rPr>
              <w:t>autorité compétente</w:t>
            </w:r>
            <w:r>
              <w:rPr>
                <w:lang w:val="fr-FR"/>
              </w:rPr>
              <w:t xml:space="preserve">, selon qu’il convient </w:t>
            </w:r>
            <w:r w:rsidRPr="00B307B2">
              <w:rPr>
                <w:lang w:val="fr-FR"/>
              </w:rPr>
              <w:t>(voir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sidRPr="00B307B2">
              <w:rPr>
                <w:lang w:val="fr-FR"/>
              </w:rPr>
              <w:t>5</w:t>
            </w:r>
            <w:r w:rsidRPr="00C04ED8">
              <w:rPr>
                <w:lang w:val="fr-FR"/>
              </w:rPr>
              <w:t>.</w:t>
            </w:r>
            <w:r w:rsidRPr="00B307B2">
              <w:rPr>
                <w:lang w:val="fr-FR"/>
              </w:rPr>
              <w:t>4</w:t>
            </w:r>
            <w:r w:rsidRPr="00C04ED8">
              <w:rPr>
                <w:lang w:val="fr-FR"/>
              </w:rPr>
              <w:t>.</w:t>
            </w:r>
            <w:r w:rsidRPr="00B307B2">
              <w:rPr>
                <w:lang w:val="fr-FR"/>
              </w:rPr>
              <w:t>2)</w:t>
            </w:r>
            <w:r w:rsidRPr="00C04ED8">
              <w:rPr>
                <w:lang w:val="fr-FR"/>
              </w:rPr>
              <w:t>.</w:t>
            </w:r>
          </w:p>
          <w:p w14:paraId="69CC7924" w14:textId="77777777" w:rsidR="00246D13" w:rsidRPr="00B307B2" w:rsidRDefault="00246D13" w:rsidP="004D33AF">
            <w:pPr>
              <w:spacing w:before="120" w:after="240" w:line="240" w:lineRule="auto"/>
              <w:ind w:left="92" w:hanging="28"/>
              <w:rPr>
                <w:lang w:val="fr-FR"/>
              </w:rPr>
            </w:pPr>
            <w:r w:rsidRPr="00B307B2">
              <w:rPr>
                <w:b/>
                <w:bCs/>
                <w:lang w:val="fr-FR"/>
              </w:rPr>
              <w:t>Identi</w:t>
            </w:r>
            <w:r>
              <w:rPr>
                <w:b/>
                <w:bCs/>
                <w:lang w:val="fr-FR"/>
              </w:rPr>
              <w:t>té</w:t>
            </w:r>
            <w:r w:rsidRPr="00B307B2">
              <w:rPr>
                <w:b/>
                <w:bCs/>
                <w:lang w:val="fr-FR"/>
              </w:rPr>
              <w:t xml:space="preserve"> du fournisseur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e))</w:t>
            </w:r>
          </w:p>
        </w:tc>
      </w:tr>
    </w:tbl>
    <w:p w14:paraId="78AFF8D1" w14:textId="77777777" w:rsidR="00246D13" w:rsidRPr="00B307B2" w:rsidRDefault="00246D13" w:rsidP="00246D13">
      <w:pPr>
        <w:jc w:val="center"/>
        <w:rPr>
          <w:lang w:val="fr-FR"/>
        </w:rPr>
      </w:pPr>
    </w:p>
    <w:p w14:paraId="11E96EB4" w14:textId="77777777" w:rsidR="00246D13" w:rsidRDefault="00246D13" w:rsidP="00775023">
      <w:pPr>
        <w:pStyle w:val="Corpsdetexte3"/>
        <w:tabs>
          <w:tab w:val="clear" w:pos="900"/>
        </w:tabs>
        <w:spacing w:before="60" w:after="60"/>
        <w:ind w:left="1134" w:right="1133"/>
        <w:rPr>
          <w:sz w:val="20"/>
          <w:lang w:val="fr-FR"/>
        </w:rPr>
      </w:pPr>
      <w:r w:rsidRPr="009372B8">
        <w:rPr>
          <w:b/>
          <w:bCs/>
          <w:i/>
          <w:iCs/>
          <w:sz w:val="20"/>
          <w:lang w:val="fr-FR"/>
        </w:rPr>
        <w:t>Note :</w:t>
      </w:r>
      <w:r w:rsidRPr="009372B8">
        <w:rPr>
          <w:sz w:val="20"/>
          <w:lang w:val="fr-FR"/>
        </w:rPr>
        <w:tab/>
        <w:t xml:space="preserve"> </w:t>
      </w:r>
      <w:r w:rsidRPr="00477101">
        <w:rPr>
          <w:i/>
          <w:iCs/>
          <w:sz w:val="20"/>
          <w:lang w:val="fr-FR"/>
        </w:rPr>
        <w:t>L</w:t>
      </w:r>
      <w:r>
        <w:rPr>
          <w:i/>
          <w:iCs/>
          <w:sz w:val="20"/>
          <w:lang w:val="fr-FR"/>
        </w:rPr>
        <w:t>’</w:t>
      </w:r>
      <w:r w:rsidRPr="00477101">
        <w:rPr>
          <w:i/>
          <w:iCs/>
          <w:sz w:val="20"/>
          <w:lang w:val="fr-FR"/>
        </w:rPr>
        <w:t>étiquette SGH et le pictogramme (communément appelé « étiquette » dans les règlements de transport, voir 1</w:t>
      </w:r>
      <w:r w:rsidRPr="00C04ED8">
        <w:rPr>
          <w:i/>
          <w:iCs/>
          <w:sz w:val="20"/>
          <w:lang w:val="fr-FR"/>
        </w:rPr>
        <w:t>.</w:t>
      </w:r>
      <w:r w:rsidRPr="00477101">
        <w:rPr>
          <w:i/>
          <w:iCs/>
          <w:sz w:val="20"/>
          <w:lang w:val="fr-FR"/>
        </w:rPr>
        <w:t>4</w:t>
      </w:r>
      <w:r w:rsidRPr="00C04ED8">
        <w:rPr>
          <w:i/>
          <w:iCs/>
          <w:sz w:val="20"/>
          <w:lang w:val="fr-FR"/>
        </w:rPr>
        <w:t>.</w:t>
      </w:r>
      <w:r w:rsidRPr="00477101">
        <w:rPr>
          <w:i/>
          <w:iCs/>
          <w:sz w:val="20"/>
          <w:lang w:val="fr-FR"/>
        </w:rPr>
        <w:t>10</w:t>
      </w:r>
      <w:r w:rsidRPr="00C04ED8">
        <w:rPr>
          <w:i/>
          <w:iCs/>
          <w:sz w:val="20"/>
          <w:lang w:val="fr-FR"/>
        </w:rPr>
        <w:t>.</w:t>
      </w:r>
      <w:r w:rsidRPr="00477101">
        <w:rPr>
          <w:i/>
          <w:iCs/>
          <w:sz w:val="20"/>
          <w:lang w:val="fr-FR"/>
        </w:rPr>
        <w:t>4) caractéristiques d</w:t>
      </w:r>
      <w:r>
        <w:rPr>
          <w:i/>
          <w:iCs/>
          <w:sz w:val="20"/>
          <w:lang w:val="fr-FR"/>
        </w:rPr>
        <w:t>’</w:t>
      </w:r>
      <w:r w:rsidRPr="00477101">
        <w:rPr>
          <w:i/>
          <w:iCs/>
          <w:sz w:val="20"/>
          <w:lang w:val="fr-FR"/>
        </w:rPr>
        <w:t xml:space="preserve">un liquide inflammable de </w:t>
      </w:r>
      <w:r>
        <w:rPr>
          <w:i/>
          <w:iCs/>
          <w:sz w:val="20"/>
          <w:lang w:val="fr-FR"/>
        </w:rPr>
        <w:t>la classe</w:t>
      </w:r>
      <w:r w:rsidRPr="00477101">
        <w:rPr>
          <w:i/>
          <w:iCs/>
          <w:sz w:val="20"/>
          <w:lang w:val="fr-FR"/>
        </w:rPr>
        <w:t xml:space="preserve"> 3, ainsi que toute autre marque prescrite par le Règlement type de l</w:t>
      </w:r>
      <w:r>
        <w:rPr>
          <w:i/>
          <w:iCs/>
          <w:sz w:val="20"/>
          <w:lang w:val="fr-FR"/>
        </w:rPr>
        <w:t>’</w:t>
      </w:r>
      <w:r w:rsidRPr="00477101">
        <w:rPr>
          <w:i/>
          <w:iCs/>
          <w:sz w:val="20"/>
          <w:lang w:val="fr-FR"/>
        </w:rPr>
        <w:t>ONU, peuvent aussi être présentés de façon combinée (voir également l</w:t>
      </w:r>
      <w:r>
        <w:rPr>
          <w:i/>
          <w:iCs/>
          <w:sz w:val="20"/>
          <w:lang w:val="fr-FR"/>
        </w:rPr>
        <w:t>’</w:t>
      </w:r>
      <w:r w:rsidRPr="00477101">
        <w:rPr>
          <w:i/>
          <w:iCs/>
          <w:sz w:val="20"/>
          <w:lang w:val="fr-FR"/>
        </w:rPr>
        <w:t>exemple 7)</w:t>
      </w:r>
      <w:r w:rsidRPr="00C04ED8">
        <w:rPr>
          <w:i/>
          <w:iCs/>
          <w:sz w:val="20"/>
          <w:lang w:val="fr-FR"/>
        </w:rPr>
        <w:t>.</w:t>
      </w:r>
      <w:r w:rsidRPr="009372B8">
        <w:rPr>
          <w:i/>
          <w:iCs/>
          <w:sz w:val="20"/>
          <w:lang w:val="fr-FR"/>
        </w:rPr>
        <w:t> </w:t>
      </w:r>
      <w:r w:rsidRPr="007D4296">
        <w:rPr>
          <w:sz w:val="20"/>
          <w:lang w:val="fr-FR"/>
        </w:rPr>
        <w:t>»</w:t>
      </w:r>
      <w:r w:rsidRPr="00C04ED8">
        <w:rPr>
          <w:sz w:val="20"/>
          <w:lang w:val="fr-FR"/>
        </w:rPr>
        <w:t>.</w:t>
      </w:r>
    </w:p>
    <w:p w14:paraId="53D9791D" w14:textId="77777777" w:rsidR="00246D13" w:rsidRPr="00B307B2" w:rsidRDefault="00246D13" w:rsidP="00246D13">
      <w:pPr>
        <w:pStyle w:val="Corpsdetexte3"/>
        <w:tabs>
          <w:tab w:val="left" w:pos="340"/>
        </w:tabs>
        <w:spacing w:before="60" w:after="60"/>
        <w:rPr>
          <w:lang w:val="fr-FR"/>
        </w:rPr>
      </w:pPr>
      <w:r w:rsidRPr="00B307B2">
        <w:rPr>
          <w:lang w:val="fr-FR"/>
        </w:rPr>
        <w:br w:type="page"/>
      </w:r>
    </w:p>
    <w:p w14:paraId="5908329D" w14:textId="77777777" w:rsidR="00246D13" w:rsidRPr="006952FA" w:rsidRDefault="00246D13" w:rsidP="006952FA">
      <w:pPr>
        <w:pStyle w:val="H23G"/>
      </w:pPr>
      <w:r w:rsidRPr="006952FA">
        <w:lastRenderedPageBreak/>
        <w:tab/>
      </w:r>
      <w:r w:rsidRPr="006952FA">
        <w:tab/>
        <w:t>Exemple 6</w:t>
      </w:r>
    </w:p>
    <w:p w14:paraId="2A8A8C26" w14:textId="311DF1B9" w:rsidR="00246D13" w:rsidRPr="00B307B2" w:rsidRDefault="00246D13" w:rsidP="00246D13">
      <w:pPr>
        <w:pStyle w:val="SingleTxtG"/>
        <w:rPr>
          <w:lang w:val="fr-FR"/>
        </w:rPr>
      </w:pPr>
      <w:r>
        <w:rPr>
          <w:lang w:val="fr-FR"/>
        </w:rPr>
        <w:t>Remplacer par le texte suivant</w:t>
      </w:r>
      <w:r w:rsidRPr="00B307B2">
        <w:rPr>
          <w:lang w:val="fr-FR"/>
        </w:rPr>
        <w:t xml:space="preserve"> :</w:t>
      </w:r>
    </w:p>
    <w:p w14:paraId="202F62DA" w14:textId="78DC603A" w:rsidR="00246D13" w:rsidRPr="00775023" w:rsidRDefault="00246D13" w:rsidP="00775023">
      <w:pPr>
        <w:pStyle w:val="Corpsdetexte3"/>
        <w:tabs>
          <w:tab w:val="left" w:pos="340"/>
        </w:tabs>
        <w:spacing w:before="60" w:after="60"/>
        <w:ind w:left="1134" w:right="1133"/>
        <w:rPr>
          <w:b/>
          <w:bCs/>
          <w:sz w:val="20"/>
          <w:szCs w:val="18"/>
          <w:lang w:val="fr-FR"/>
        </w:rPr>
      </w:pPr>
      <w:r w:rsidRPr="00775023">
        <w:rPr>
          <w:sz w:val="20"/>
          <w:szCs w:val="18"/>
          <w:lang w:val="fr-FR"/>
        </w:rPr>
        <w:t>« </w:t>
      </w:r>
      <w:r w:rsidRPr="00775023">
        <w:rPr>
          <w:b/>
          <w:bCs/>
          <w:sz w:val="20"/>
          <w:szCs w:val="18"/>
          <w:lang w:val="fr-FR"/>
        </w:rPr>
        <w:t>Exemple 6 :</w:t>
      </w:r>
      <w:r w:rsidRPr="00775023">
        <w:rPr>
          <w:sz w:val="20"/>
          <w:szCs w:val="18"/>
          <w:lang w:val="fr-FR"/>
        </w:rPr>
        <w:t xml:space="preserve"> </w:t>
      </w:r>
      <w:r w:rsidRPr="00775023">
        <w:rPr>
          <w:sz w:val="20"/>
          <w:szCs w:val="18"/>
          <w:lang w:val="fr-FR"/>
        </w:rPr>
        <w:tab/>
      </w:r>
      <w:r w:rsidRPr="00775023">
        <w:rPr>
          <w:b/>
          <w:bCs/>
          <w:sz w:val="20"/>
          <w:szCs w:val="18"/>
          <w:lang w:val="fr-FR"/>
        </w:rPr>
        <w:t>Emballage simple (par exemple un fût de 200 litres)</w:t>
      </w:r>
      <w:r w:rsidRPr="00775023">
        <w:rPr>
          <w:sz w:val="20"/>
          <w:szCs w:val="18"/>
          <w:lang w:val="fr-FR"/>
        </w:rPr>
        <w:t> </w:t>
      </w:r>
      <w:r w:rsidRPr="00775023">
        <w:rPr>
          <w:b/>
          <w:bCs/>
          <w:sz w:val="20"/>
          <w:szCs w:val="18"/>
          <w:lang w:val="fr-FR"/>
        </w:rPr>
        <w:t>pour les produits chimiques des classes</w:t>
      </w:r>
      <w:r w:rsidR="00AD1F8A">
        <w:rPr>
          <w:b/>
          <w:bCs/>
          <w:sz w:val="20"/>
          <w:szCs w:val="18"/>
          <w:lang w:val="fr-FR"/>
        </w:rPr>
        <w:t> :</w:t>
      </w:r>
      <w:r w:rsidRPr="00775023">
        <w:rPr>
          <w:b/>
          <w:bCs/>
          <w:sz w:val="20"/>
          <w:szCs w:val="18"/>
          <w:lang w:val="fr-FR"/>
        </w:rPr>
        <w:t xml:space="preserve"> </w:t>
      </w:r>
      <w:r>
        <w:rPr>
          <w:b/>
          <w:bCs/>
          <w:sz w:val="20"/>
          <w:szCs w:val="18"/>
          <w:lang w:val="fr-FR"/>
        </w:rPr>
        <w:t>c</w:t>
      </w:r>
      <w:r w:rsidRPr="00775023">
        <w:rPr>
          <w:b/>
          <w:bCs/>
          <w:sz w:val="20"/>
          <w:szCs w:val="18"/>
          <w:lang w:val="fr-FR"/>
        </w:rPr>
        <w:t xml:space="preserve">orrosion cutanée/irritation cutanée (catégorie 2) et </w:t>
      </w:r>
      <w:r>
        <w:rPr>
          <w:b/>
          <w:bCs/>
          <w:sz w:val="20"/>
          <w:szCs w:val="18"/>
          <w:lang w:val="fr-FR"/>
        </w:rPr>
        <w:t>l</w:t>
      </w:r>
      <w:r w:rsidRPr="00775023">
        <w:rPr>
          <w:b/>
          <w:bCs/>
          <w:sz w:val="20"/>
          <w:szCs w:val="18"/>
          <w:lang w:val="fr-FR"/>
        </w:rPr>
        <w:t>ésions oculaires graves/irritation oculaire (catégorie 2A)</w:t>
      </w:r>
    </w:p>
    <w:p w14:paraId="54EFFEE4" w14:textId="77777777" w:rsidR="00246D13" w:rsidRPr="00B307B2" w:rsidRDefault="00246D13" w:rsidP="00775023">
      <w:pPr>
        <w:tabs>
          <w:tab w:val="left" w:pos="1134"/>
          <w:tab w:val="left" w:pos="1701"/>
          <w:tab w:val="left" w:pos="2268"/>
          <w:tab w:val="left" w:pos="2835"/>
          <w:tab w:val="left" w:pos="3402"/>
        </w:tabs>
        <w:spacing w:after="160"/>
        <w:ind w:right="1133"/>
        <w:rPr>
          <w:lang w:val="fr-FR"/>
        </w:rPr>
      </w:pPr>
    </w:p>
    <w:p w14:paraId="1612456D" w14:textId="77777777" w:rsidR="00246D13" w:rsidRPr="00B307B2" w:rsidRDefault="00246D13" w:rsidP="00246D13">
      <w:pPr>
        <w:rPr>
          <w:lang w:val="fr-FR"/>
        </w:rPr>
      </w:pPr>
      <w:r w:rsidRPr="00B307B2">
        <w:rPr>
          <w:noProof/>
          <w:lang w:val="fr-FR"/>
        </w:rPr>
        <mc:AlternateContent>
          <mc:Choice Requires="wpg">
            <w:drawing>
              <wp:anchor distT="0" distB="0" distL="114300" distR="114300" simplePos="0" relativeHeight="251658248" behindDoc="0" locked="0" layoutInCell="1" allowOverlap="1" wp14:anchorId="22BA8DBA" wp14:editId="69DBE9B7">
                <wp:simplePos x="0" y="0"/>
                <wp:positionH relativeFrom="column">
                  <wp:posOffset>594452</wp:posOffset>
                </wp:positionH>
                <wp:positionV relativeFrom="paragraph">
                  <wp:posOffset>43254</wp:posOffset>
                </wp:positionV>
                <wp:extent cx="1943100" cy="3200400"/>
                <wp:effectExtent l="0" t="0" r="19050" b="19050"/>
                <wp:wrapNone/>
                <wp:docPr id="180" name="Group 1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200400"/>
                          <a:chOff x="1881" y="2368"/>
                          <a:chExt cx="3240" cy="5040"/>
                        </a:xfrm>
                      </wpg:grpSpPr>
                      <wps:wsp>
                        <wps:cNvPr id="181" name="Rectangle 1332"/>
                        <wps:cNvSpPr>
                          <a:spLocks noChangeArrowheads="1"/>
                        </wps:cNvSpPr>
                        <wps:spPr bwMode="auto">
                          <a:xfrm>
                            <a:off x="2061" y="2368"/>
                            <a:ext cx="2880" cy="5040"/>
                          </a:xfrm>
                          <a:prstGeom prst="rect">
                            <a:avLst/>
                          </a:prstGeom>
                          <a:solidFill>
                            <a:srgbClr val="FFFFFF"/>
                          </a:solidFill>
                          <a:ln w="9525">
                            <a:solidFill>
                              <a:srgbClr val="000000"/>
                            </a:solidFill>
                            <a:miter lim="800000"/>
                            <a:headEnd/>
                            <a:tailEnd/>
                          </a:ln>
                        </wps:spPr>
                        <wps:txbx>
                          <w:txbxContent>
                            <w:p w14:paraId="5B28BEDC" w14:textId="77777777" w:rsidR="00246D13" w:rsidRDefault="00246D13" w:rsidP="00246D13">
                              <w:pPr>
                                <w:pStyle w:val="Style1"/>
                              </w:pPr>
                            </w:p>
                          </w:txbxContent>
                        </wps:txbx>
                        <wps:bodyPr rot="0" vert="horz" wrap="square" lIns="91440" tIns="45720" rIns="91440" bIns="45720" anchor="t" anchorCtr="0" upright="1">
                          <a:noAutofit/>
                        </wps:bodyPr>
                      </wps:wsp>
                      <wps:wsp>
                        <wps:cNvPr id="182" name="Rectangle 1333"/>
                        <wps:cNvSpPr>
                          <a:spLocks noChangeArrowheads="1"/>
                        </wps:cNvSpPr>
                        <wps:spPr bwMode="auto">
                          <a:xfrm>
                            <a:off x="1881" y="2368"/>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Rectangle 1334"/>
                        <wps:cNvSpPr>
                          <a:spLocks noChangeArrowheads="1"/>
                        </wps:cNvSpPr>
                        <wps:spPr bwMode="auto">
                          <a:xfrm>
                            <a:off x="1881" y="3448"/>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tangle 1335"/>
                        <wps:cNvSpPr>
                          <a:spLocks noChangeArrowheads="1"/>
                        </wps:cNvSpPr>
                        <wps:spPr bwMode="auto">
                          <a:xfrm>
                            <a:off x="1881" y="6328"/>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Rectangle 1336"/>
                        <wps:cNvSpPr>
                          <a:spLocks noChangeArrowheads="1"/>
                        </wps:cNvSpPr>
                        <wps:spPr bwMode="auto">
                          <a:xfrm>
                            <a:off x="1881" y="7228"/>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Rectangle 1337"/>
                        <wps:cNvSpPr>
                          <a:spLocks noChangeArrowheads="1"/>
                        </wps:cNvSpPr>
                        <wps:spPr bwMode="auto">
                          <a:xfrm>
                            <a:off x="2766" y="5139"/>
                            <a:ext cx="1440" cy="10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A8DBA" id="Group 1331" o:spid="_x0000_s1050" style="position:absolute;margin-left:46.8pt;margin-top:3.4pt;width:153pt;height:252pt;z-index:251658248" coordorigin="1881,2368" coordsize="324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">
                <v:rect id="Rectangle 1332" o:spid="_x0000_s1051" style="position:absolute;left:2061;top:2368;width:288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">
                  <v:textbox>
                    <w:txbxContent>
                      <w:p w14:paraId="5B28BEDC" w14:textId="77777777" w:rsidR="00246D13" w:rsidRDefault="00246D13" w:rsidP="00246D13">
                        <w:pPr>
                          <w:pStyle w:val="Style1"/>
                        </w:pPr>
                      </w:p>
                    </w:txbxContent>
                  </v:textbox>
                </v:rect>
                <v:rect id="Rectangle 1333" o:spid="_x0000_s1052" style="position:absolute;left:1881;top:2368;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rect id="Rectangle 1334" o:spid="_x0000_s1053" style="position:absolute;left:1881;top:3448;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"/>
                <v:rect id="Rectangle 1335" o:spid="_x0000_s1054" style="position:absolute;left:1881;top:6328;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rect id="Rectangle 1336" o:spid="_x0000_s1055" style="position:absolute;left:1881;top:7228;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"/>
                <v:rect id="Rectangle 1337" o:spid="_x0000_s1056" style="position:absolute;left:2766;top:5139;width:1440;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group>
            </w:pict>
          </mc:Fallback>
        </mc:AlternateContent>
      </w:r>
    </w:p>
    <w:p w14:paraId="55FE1CD8" w14:textId="77777777" w:rsidR="00246D13" w:rsidRPr="00B307B2" w:rsidRDefault="00246D13" w:rsidP="00246D13">
      <w:pPr>
        <w:tabs>
          <w:tab w:val="left" w:pos="1134"/>
          <w:tab w:val="left" w:pos="1701"/>
          <w:tab w:val="left" w:pos="2268"/>
          <w:tab w:val="left" w:pos="2835"/>
          <w:tab w:val="left" w:pos="3402"/>
        </w:tabs>
        <w:spacing w:after="160"/>
        <w:rPr>
          <w:lang w:val="fr-FR"/>
        </w:rPr>
      </w:pPr>
    </w:p>
    <w:p w14:paraId="10A577CB" w14:textId="77777777" w:rsidR="00246D13" w:rsidRPr="00B307B2" w:rsidRDefault="00246D13" w:rsidP="00246D13">
      <w:pPr>
        <w:tabs>
          <w:tab w:val="left" w:pos="1134"/>
          <w:tab w:val="left" w:pos="1701"/>
          <w:tab w:val="left" w:pos="2268"/>
          <w:tab w:val="left" w:pos="2835"/>
          <w:tab w:val="left" w:pos="3402"/>
        </w:tabs>
        <w:spacing w:after="160"/>
        <w:rPr>
          <w:b/>
          <w:lang w:val="fr-FR"/>
        </w:rPr>
      </w:pPr>
    </w:p>
    <w:p w14:paraId="36F15ABF" w14:textId="77777777" w:rsidR="00246D13" w:rsidRPr="00B307B2" w:rsidRDefault="00246D13" w:rsidP="00246D13">
      <w:pPr>
        <w:tabs>
          <w:tab w:val="left" w:pos="1134"/>
          <w:tab w:val="left" w:pos="1701"/>
          <w:tab w:val="left" w:pos="2268"/>
          <w:tab w:val="left" w:pos="2835"/>
          <w:tab w:val="left" w:pos="3402"/>
        </w:tabs>
        <w:spacing w:after="160"/>
        <w:rPr>
          <w:b/>
          <w:lang w:val="fr-FR"/>
        </w:rPr>
      </w:pPr>
    </w:p>
    <w:p w14:paraId="64332D79" w14:textId="77777777" w:rsidR="00246D13" w:rsidRPr="00B307B2" w:rsidRDefault="00246D13" w:rsidP="00246D13">
      <w:pPr>
        <w:rPr>
          <w:lang w:val="fr-FR"/>
        </w:rPr>
      </w:pPr>
    </w:p>
    <w:p w14:paraId="1A645DDD" w14:textId="77777777" w:rsidR="00246D13" w:rsidRPr="00B307B2" w:rsidRDefault="00246D13" w:rsidP="00246D13">
      <w:pPr>
        <w:rPr>
          <w:lang w:val="fr-FR"/>
        </w:rPr>
      </w:pPr>
    </w:p>
    <w:p w14:paraId="1771B823" w14:textId="77777777" w:rsidR="00246D13" w:rsidRPr="00B307B2" w:rsidRDefault="00246D13" w:rsidP="00246D13">
      <w:pPr>
        <w:rPr>
          <w:lang w:val="fr-FR"/>
        </w:rPr>
      </w:pPr>
    </w:p>
    <w:p w14:paraId="00B1C9D2" w14:textId="77777777" w:rsidR="00246D13" w:rsidRPr="00B307B2" w:rsidRDefault="00246D13" w:rsidP="00246D13">
      <w:pPr>
        <w:rPr>
          <w:lang w:val="fr-FR"/>
        </w:rPr>
      </w:pPr>
    </w:p>
    <w:p w14:paraId="3F982C1F" w14:textId="77777777" w:rsidR="00246D13" w:rsidRPr="00B307B2" w:rsidRDefault="00246D13" w:rsidP="00246D13">
      <w:pPr>
        <w:rPr>
          <w:lang w:val="fr-FR"/>
        </w:rPr>
      </w:pPr>
    </w:p>
    <w:p w14:paraId="4BE168E5" w14:textId="77777777" w:rsidR="00246D13" w:rsidRPr="00B307B2" w:rsidRDefault="00246D13" w:rsidP="00246D13">
      <w:pPr>
        <w:rPr>
          <w:lang w:val="fr-FR"/>
        </w:rPr>
      </w:pPr>
    </w:p>
    <w:p w14:paraId="2181F102" w14:textId="77777777" w:rsidR="00246D13" w:rsidRPr="00B307B2" w:rsidRDefault="00246D13" w:rsidP="00246D13">
      <w:pPr>
        <w:rPr>
          <w:lang w:val="fr-FR"/>
        </w:rPr>
      </w:pPr>
    </w:p>
    <w:p w14:paraId="1107AF13" w14:textId="77777777" w:rsidR="00246D13" w:rsidRPr="00B307B2" w:rsidRDefault="00246D13" w:rsidP="00246D13">
      <w:pPr>
        <w:rPr>
          <w:lang w:val="fr-FR"/>
        </w:rPr>
      </w:pPr>
    </w:p>
    <w:p w14:paraId="6ED41B1B" w14:textId="77777777" w:rsidR="00246D13" w:rsidRPr="00B307B2" w:rsidRDefault="00246D13" w:rsidP="00246D13">
      <w:pPr>
        <w:rPr>
          <w:lang w:val="fr-FR"/>
        </w:rPr>
      </w:pPr>
      <w:r w:rsidRPr="00B307B2">
        <w:rPr>
          <w:noProof/>
          <w:lang w:val="fr-FR"/>
        </w:rPr>
        <mc:AlternateContent>
          <mc:Choice Requires="wps">
            <w:drawing>
              <wp:anchor distT="0" distB="0" distL="114300" distR="114300" simplePos="0" relativeHeight="251658254" behindDoc="0" locked="0" layoutInCell="1" allowOverlap="1" wp14:anchorId="34A206D2" wp14:editId="46EC6B00">
                <wp:simplePos x="0" y="0"/>
                <wp:positionH relativeFrom="column">
                  <wp:posOffset>1845557</wp:posOffset>
                </wp:positionH>
                <wp:positionV relativeFrom="paragraph">
                  <wp:posOffset>99571</wp:posOffset>
                </wp:positionV>
                <wp:extent cx="1641832" cy="1206857"/>
                <wp:effectExtent l="0" t="0" r="15875" b="12700"/>
                <wp:wrapNone/>
                <wp:docPr id="373" name="Freeform 1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1832" cy="1206857"/>
                        </a:xfrm>
                        <a:custGeom>
                          <a:avLst/>
                          <a:gdLst>
                            <a:gd name="T0" fmla="*/ 0 w 2589"/>
                            <a:gd name="T1" fmla="*/ 0 h 3025"/>
                            <a:gd name="T2" fmla="*/ 2589 w 2589"/>
                            <a:gd name="T3" fmla="*/ 3025 h 3025"/>
                          </a:gdLst>
                          <a:ahLst/>
                          <a:cxnLst>
                            <a:cxn ang="0">
                              <a:pos x="T0" y="T1"/>
                            </a:cxn>
                            <a:cxn ang="0">
                              <a:pos x="T2" y="T3"/>
                            </a:cxn>
                          </a:cxnLst>
                          <a:rect l="0" t="0" r="r" b="b"/>
                          <a:pathLst>
                            <a:path w="2589" h="3025">
                              <a:moveTo>
                                <a:pt x="0" y="0"/>
                              </a:moveTo>
                              <a:lnTo>
                                <a:pt x="2589" y="30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C0AF1" id="Freeform 1338" o:spid="_x0000_s1026" style="position:absolute;margin-left:145.3pt;margin-top:7.85pt;width:129.3pt;height:9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9,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" path="m,l2589,3025e" filled="f">
                <v:path arrowok="t" o:connecttype="custom" o:connectlocs="0,0;1641832,1206857" o:connectangles="0,0"/>
              </v:shape>
            </w:pict>
          </mc:Fallback>
        </mc:AlternateContent>
      </w:r>
    </w:p>
    <w:p w14:paraId="5A20C548" w14:textId="77777777" w:rsidR="00246D13" w:rsidRPr="00B307B2" w:rsidRDefault="00246D13" w:rsidP="00246D13">
      <w:pPr>
        <w:rPr>
          <w:lang w:val="fr-FR"/>
        </w:rPr>
      </w:pPr>
    </w:p>
    <w:p w14:paraId="363D3958" w14:textId="77777777" w:rsidR="00246D13" w:rsidRPr="00B307B2" w:rsidRDefault="00246D13" w:rsidP="00246D13">
      <w:pPr>
        <w:rPr>
          <w:lang w:val="fr-FR"/>
        </w:rPr>
      </w:pPr>
    </w:p>
    <w:p w14:paraId="65CDA4CE" w14:textId="77777777" w:rsidR="00246D13" w:rsidRPr="00B307B2" w:rsidRDefault="00246D13" w:rsidP="00246D13">
      <w:pPr>
        <w:rPr>
          <w:lang w:val="fr-FR"/>
        </w:rPr>
      </w:pPr>
    </w:p>
    <w:p w14:paraId="1D3869C0" w14:textId="77777777" w:rsidR="00246D13" w:rsidRPr="00B307B2" w:rsidRDefault="00246D13" w:rsidP="00246D13">
      <w:pPr>
        <w:pStyle w:val="Corpsdetexte"/>
      </w:pPr>
    </w:p>
    <w:p w14:paraId="183DA858" w14:textId="77777777" w:rsidR="00246D13" w:rsidRPr="00B307B2" w:rsidRDefault="00246D13" w:rsidP="00246D13">
      <w:pPr>
        <w:pStyle w:val="Corpsdetexte"/>
        <w:rPr>
          <w:b/>
        </w:rPr>
      </w:pPr>
    </w:p>
    <w:p w14:paraId="106FF749" w14:textId="77777777" w:rsidR="00246D13" w:rsidRPr="00B307B2" w:rsidRDefault="00246D13" w:rsidP="00246D13">
      <w:pPr>
        <w:pStyle w:val="Corpsdetexte"/>
        <w:rPr>
          <w:b/>
        </w:rPr>
      </w:pPr>
    </w:p>
    <w:tbl>
      <w:tblPr>
        <w:tblStyle w:val="Grilledutableau"/>
        <w:tblW w:w="6658" w:type="dxa"/>
        <w:tblInd w:w="295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352"/>
        <w:gridCol w:w="4306"/>
      </w:tblGrid>
      <w:tr w:rsidR="00246D13" w:rsidRPr="00CA3DB2" w14:paraId="520AEE1B" w14:textId="77777777" w:rsidTr="004D33AF">
        <w:tc>
          <w:tcPr>
            <w:tcW w:w="6658" w:type="dxa"/>
            <w:gridSpan w:val="2"/>
          </w:tcPr>
          <w:p w14:paraId="326E71A7" w14:textId="77777777" w:rsidR="00246D13" w:rsidRPr="00B307B2" w:rsidRDefault="00246D13" w:rsidP="004D33AF">
            <w:pPr>
              <w:spacing w:before="40" w:after="40" w:line="240" w:lineRule="auto"/>
              <w:ind w:left="92" w:right="74"/>
              <w:rPr>
                <w:lang w:val="fr-FR"/>
              </w:rPr>
            </w:pPr>
            <w:r w:rsidRPr="00B307B2">
              <w:rPr>
                <w:b/>
                <w:bCs/>
                <w:lang w:val="fr-FR"/>
              </w:rPr>
              <w:t>Identification du produit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d))</w:t>
            </w:r>
          </w:p>
        </w:tc>
      </w:tr>
      <w:tr w:rsidR="00246D13" w:rsidRPr="00CA3DB2" w14:paraId="6E79F0C2" w14:textId="77777777" w:rsidTr="004D33AF">
        <w:tc>
          <w:tcPr>
            <w:tcW w:w="2352" w:type="dxa"/>
          </w:tcPr>
          <w:p w14:paraId="085D64DE" w14:textId="77777777" w:rsidR="00246D13" w:rsidRPr="00B307B2" w:rsidRDefault="00246D13" w:rsidP="004D33AF">
            <w:pPr>
              <w:ind w:left="92"/>
              <w:jc w:val="center"/>
              <w:rPr>
                <w:lang w:val="fr-FR"/>
              </w:rPr>
            </w:pPr>
          </w:p>
        </w:tc>
        <w:tc>
          <w:tcPr>
            <w:tcW w:w="4306" w:type="dxa"/>
          </w:tcPr>
          <w:p w14:paraId="01F35113" w14:textId="77777777" w:rsidR="00246D13" w:rsidRPr="00B307B2" w:rsidRDefault="00246D13" w:rsidP="004D33AF">
            <w:pPr>
              <w:ind w:left="92"/>
              <w:jc w:val="center"/>
              <w:rPr>
                <w:lang w:val="fr-FR"/>
              </w:rPr>
            </w:pPr>
          </w:p>
        </w:tc>
      </w:tr>
      <w:tr w:rsidR="00246D13" w:rsidRPr="00CA3DB2" w14:paraId="61FE1F7B" w14:textId="77777777" w:rsidTr="004D33AF">
        <w:trPr>
          <w:trHeight w:val="1140"/>
        </w:trPr>
        <w:tc>
          <w:tcPr>
            <w:tcW w:w="2352" w:type="dxa"/>
          </w:tcPr>
          <w:p w14:paraId="57163EC9" w14:textId="77777777" w:rsidR="00246D13" w:rsidRPr="00B307B2" w:rsidRDefault="00246D13" w:rsidP="004D33AF">
            <w:pPr>
              <w:ind w:left="92"/>
              <w:jc w:val="center"/>
              <w:rPr>
                <w:lang w:val="fr-FR"/>
              </w:rPr>
            </w:pPr>
            <w:r w:rsidRPr="00B307B2">
              <w:rPr>
                <w:noProof/>
                <w:lang w:val="fr-FR" w:eastAsia="es-AR"/>
              </w:rPr>
              <w:drawing>
                <wp:anchor distT="0" distB="0" distL="114300" distR="114300" simplePos="0" relativeHeight="251658253" behindDoc="1" locked="0" layoutInCell="1" allowOverlap="1" wp14:anchorId="76D1A821" wp14:editId="642BDE9D">
                  <wp:simplePos x="0" y="0"/>
                  <wp:positionH relativeFrom="column">
                    <wp:posOffset>241343</wp:posOffset>
                  </wp:positionH>
                  <wp:positionV relativeFrom="paragraph">
                    <wp:posOffset>346</wp:posOffset>
                  </wp:positionV>
                  <wp:extent cx="795655" cy="795655"/>
                  <wp:effectExtent l="0" t="0" r="4445" b="4445"/>
                  <wp:wrapTight wrapText="bothSides">
                    <wp:wrapPolygon edited="0">
                      <wp:start x="9309" y="0"/>
                      <wp:lineTo x="0" y="10343"/>
                      <wp:lineTo x="0" y="10860"/>
                      <wp:lineTo x="9309" y="21204"/>
                      <wp:lineTo x="11895" y="21204"/>
                      <wp:lineTo x="20686" y="11377"/>
                      <wp:lineTo x="21204" y="10343"/>
                      <wp:lineTo x="11895" y="0"/>
                      <wp:lineTo x="9309" y="0"/>
                    </wp:wrapPolygon>
                  </wp:wrapTight>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06" w:type="dxa"/>
          </w:tcPr>
          <w:p w14:paraId="0B737C9D" w14:textId="77777777" w:rsidR="00246D13" w:rsidRPr="00B307B2" w:rsidRDefault="00246D13" w:rsidP="004D33AF">
            <w:pPr>
              <w:ind w:left="92"/>
              <w:rPr>
                <w:b/>
                <w:bCs/>
                <w:lang w:val="fr-FR"/>
              </w:rPr>
            </w:pPr>
          </w:p>
          <w:p w14:paraId="68805379" w14:textId="77777777" w:rsidR="00246D13" w:rsidRPr="00B307B2" w:rsidRDefault="00246D13" w:rsidP="004D33AF">
            <w:pPr>
              <w:ind w:left="92"/>
              <w:rPr>
                <w:b/>
                <w:bCs/>
                <w:lang w:val="fr-FR"/>
              </w:rPr>
            </w:pPr>
            <w:r w:rsidRPr="00CA3DB2">
              <w:rPr>
                <w:b/>
                <w:bCs/>
                <w:caps/>
                <w:lang w:val="fr-FR"/>
              </w:rPr>
              <w:t>Mention d</w:t>
            </w:r>
            <w:r>
              <w:rPr>
                <w:b/>
                <w:bCs/>
                <w:caps/>
                <w:lang w:val="fr-FR"/>
              </w:rPr>
              <w:t>’</w:t>
            </w:r>
            <w:r w:rsidRPr="00CA3DB2">
              <w:rPr>
                <w:b/>
                <w:bCs/>
                <w:caps/>
                <w:lang w:val="fr-FR"/>
              </w:rPr>
              <w:t>avertissement</w:t>
            </w:r>
            <w:r w:rsidRPr="00B307B2">
              <w:rPr>
                <w:b/>
                <w:bCs/>
                <w:lang w:val="fr-FR"/>
              </w:rPr>
              <w:t xml:space="preserve"> </w:t>
            </w:r>
            <w:r>
              <w:rPr>
                <w:b/>
                <w:bCs/>
                <w:lang w:val="fr-FR"/>
              </w:rPr>
              <w:br/>
            </w:r>
            <w:r w:rsidRPr="00B307B2">
              <w:rPr>
                <w:b/>
                <w:bCs/>
                <w:lang w:val="fr-FR"/>
              </w:rPr>
              <w:t>(voir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a))</w:t>
            </w:r>
          </w:p>
          <w:p w14:paraId="1E0F2AE4" w14:textId="77777777" w:rsidR="00246D13" w:rsidRPr="00B307B2" w:rsidRDefault="00246D13" w:rsidP="004D33AF">
            <w:pPr>
              <w:ind w:left="92"/>
              <w:rPr>
                <w:b/>
                <w:bCs/>
                <w:lang w:val="fr-FR"/>
              </w:rPr>
            </w:pPr>
          </w:p>
          <w:p w14:paraId="46ED2FD0" w14:textId="77777777" w:rsidR="00246D13" w:rsidRPr="00B307B2" w:rsidRDefault="00246D13" w:rsidP="004D33AF">
            <w:pPr>
              <w:ind w:left="92"/>
              <w:rPr>
                <w:b/>
                <w:bCs/>
                <w:lang w:val="fr-FR"/>
              </w:rPr>
            </w:pPr>
          </w:p>
          <w:p w14:paraId="1450273E" w14:textId="77777777" w:rsidR="00246D13" w:rsidRPr="00B307B2" w:rsidRDefault="00246D13" w:rsidP="004D33AF">
            <w:pPr>
              <w:ind w:left="92"/>
              <w:rPr>
                <w:lang w:val="fr-FR"/>
              </w:rPr>
            </w:pPr>
            <w:r w:rsidRPr="00B307B2">
              <w:rPr>
                <w:b/>
                <w:bCs/>
                <w:lang w:val="fr-FR"/>
              </w:rPr>
              <w:t>Mention de danger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b))</w:t>
            </w:r>
          </w:p>
        </w:tc>
      </w:tr>
      <w:tr w:rsidR="00246D13" w:rsidRPr="00CA3DB2" w14:paraId="398DAF94" w14:textId="77777777" w:rsidTr="004D33AF">
        <w:tc>
          <w:tcPr>
            <w:tcW w:w="6658" w:type="dxa"/>
            <w:gridSpan w:val="2"/>
          </w:tcPr>
          <w:p w14:paraId="6D0AA718" w14:textId="77777777" w:rsidR="00246D13" w:rsidRPr="00B307B2" w:rsidRDefault="00246D13" w:rsidP="004D33AF">
            <w:pPr>
              <w:spacing w:before="120" w:after="240" w:line="240" w:lineRule="auto"/>
              <w:ind w:left="92"/>
              <w:rPr>
                <w:b/>
                <w:bCs/>
                <w:lang w:val="fr-FR"/>
              </w:rPr>
            </w:pPr>
            <w:r w:rsidRPr="00B307B2">
              <w:rPr>
                <w:b/>
                <w:bCs/>
                <w:lang w:val="fr-FR"/>
              </w:rPr>
              <w:t>Conseils de prudence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c) et sections 2 et 3 de l</w:t>
            </w:r>
            <w:r>
              <w:rPr>
                <w:b/>
                <w:bCs/>
                <w:lang w:val="fr-FR"/>
              </w:rPr>
              <w:t>’</w:t>
            </w:r>
            <w:r w:rsidRPr="00B307B2">
              <w:rPr>
                <w:b/>
                <w:bCs/>
                <w:lang w:val="fr-FR"/>
              </w:rPr>
              <w:t>annexe 3)</w:t>
            </w:r>
          </w:p>
          <w:p w14:paraId="4CB935C2" w14:textId="77777777" w:rsidR="00246D13" w:rsidRPr="00B307B2" w:rsidRDefault="00246D13" w:rsidP="004D33AF">
            <w:pPr>
              <w:tabs>
                <w:tab w:val="left" w:pos="252"/>
              </w:tabs>
              <w:spacing w:line="240" w:lineRule="auto"/>
              <w:ind w:left="92" w:hanging="28"/>
              <w:rPr>
                <w:lang w:val="fr-FR"/>
              </w:rPr>
            </w:pPr>
            <w:r w:rsidRPr="00B307B2">
              <w:rPr>
                <w:lang w:val="fr-FR"/>
              </w:rPr>
              <w:t>Information</w:t>
            </w:r>
            <w:r>
              <w:rPr>
                <w:lang w:val="fr-FR"/>
              </w:rPr>
              <w:t>s</w:t>
            </w:r>
            <w:r w:rsidRPr="00B307B2">
              <w:rPr>
                <w:lang w:val="fr-FR"/>
              </w:rPr>
              <w:t xml:space="preserve"> supplémentaire</w:t>
            </w:r>
            <w:r>
              <w:rPr>
                <w:lang w:val="fr-FR"/>
              </w:rPr>
              <w:t>s</w:t>
            </w:r>
            <w:r w:rsidRPr="00B307B2">
              <w:rPr>
                <w:lang w:val="fr-FR"/>
              </w:rPr>
              <w:t xml:space="preserve"> autorisé</w:t>
            </w:r>
            <w:r>
              <w:rPr>
                <w:lang w:val="fr-FR"/>
              </w:rPr>
              <w:t>es</w:t>
            </w:r>
            <w:r w:rsidRPr="00B307B2">
              <w:rPr>
                <w:lang w:val="fr-FR"/>
              </w:rPr>
              <w:t xml:space="preserve"> ou requis</w:t>
            </w:r>
            <w:r>
              <w:rPr>
                <w:lang w:val="fr-FR"/>
              </w:rPr>
              <w:t>es</w:t>
            </w:r>
            <w:r w:rsidRPr="00B307B2">
              <w:rPr>
                <w:lang w:val="fr-FR"/>
              </w:rPr>
              <w:t xml:space="preserve"> par l</w:t>
            </w:r>
            <w:r>
              <w:rPr>
                <w:lang w:val="fr-FR"/>
              </w:rPr>
              <w:t>’</w:t>
            </w:r>
            <w:r w:rsidRPr="00B307B2">
              <w:rPr>
                <w:lang w:val="fr-FR"/>
              </w:rPr>
              <w:t>autorité compétente</w:t>
            </w:r>
            <w:r>
              <w:rPr>
                <w:lang w:val="fr-FR"/>
              </w:rPr>
              <w:t xml:space="preserve">, selon qu’il convient </w:t>
            </w:r>
            <w:r w:rsidRPr="00B307B2">
              <w:rPr>
                <w:lang w:val="fr-FR"/>
              </w:rPr>
              <w:t>(voir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sidRPr="00B307B2">
              <w:rPr>
                <w:lang w:val="fr-FR"/>
              </w:rPr>
              <w:t>5</w:t>
            </w:r>
            <w:r w:rsidRPr="00C04ED8">
              <w:rPr>
                <w:lang w:val="fr-FR"/>
              </w:rPr>
              <w:t>.</w:t>
            </w:r>
            <w:r w:rsidRPr="00B307B2">
              <w:rPr>
                <w:lang w:val="fr-FR"/>
              </w:rPr>
              <w:t>4</w:t>
            </w:r>
            <w:r w:rsidRPr="00C04ED8">
              <w:rPr>
                <w:lang w:val="fr-FR"/>
              </w:rPr>
              <w:t>.</w:t>
            </w:r>
            <w:r w:rsidRPr="00B307B2">
              <w:rPr>
                <w:lang w:val="fr-FR"/>
              </w:rPr>
              <w:t>2)</w:t>
            </w:r>
            <w:r w:rsidRPr="00C04ED8">
              <w:rPr>
                <w:lang w:val="fr-FR"/>
              </w:rPr>
              <w:t>.</w:t>
            </w:r>
          </w:p>
          <w:p w14:paraId="78503EFF" w14:textId="77777777" w:rsidR="00246D13" w:rsidRPr="00B307B2" w:rsidRDefault="00246D13" w:rsidP="004D33AF">
            <w:pPr>
              <w:spacing w:before="120" w:after="240" w:line="240" w:lineRule="auto"/>
              <w:ind w:left="92" w:hanging="28"/>
              <w:rPr>
                <w:lang w:val="fr-FR"/>
              </w:rPr>
            </w:pPr>
            <w:r w:rsidRPr="00B307B2">
              <w:rPr>
                <w:b/>
                <w:bCs/>
                <w:lang w:val="fr-FR"/>
              </w:rPr>
              <w:t>Identi</w:t>
            </w:r>
            <w:r>
              <w:rPr>
                <w:b/>
                <w:bCs/>
                <w:lang w:val="fr-FR"/>
              </w:rPr>
              <w:t>té</w:t>
            </w:r>
            <w:r w:rsidRPr="00B307B2">
              <w:rPr>
                <w:b/>
                <w:bCs/>
                <w:lang w:val="fr-FR"/>
              </w:rPr>
              <w:t xml:space="preserve"> du fournisseur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e))</w:t>
            </w:r>
          </w:p>
        </w:tc>
      </w:tr>
    </w:tbl>
    <w:p w14:paraId="0B958CD2" w14:textId="77777777" w:rsidR="00246D13" w:rsidRPr="00B307B2" w:rsidRDefault="00246D13" w:rsidP="00246D13">
      <w:pPr>
        <w:jc w:val="right"/>
        <w:rPr>
          <w:lang w:val="fr-FR"/>
        </w:rPr>
      </w:pPr>
      <w:r>
        <w:rPr>
          <w:lang w:val="fr-FR"/>
        </w:rPr>
        <w:t> »</w:t>
      </w:r>
      <w:r w:rsidRPr="00C04ED8">
        <w:rPr>
          <w:lang w:val="fr-FR"/>
        </w:rPr>
        <w:t>.</w:t>
      </w:r>
    </w:p>
    <w:p w14:paraId="034815C8" w14:textId="698C935A" w:rsidR="00246D13" w:rsidRDefault="00246D13" w:rsidP="00246D13">
      <w:pPr>
        <w:spacing w:after="240"/>
        <w:ind w:left="567"/>
        <w:rPr>
          <w:lang w:val="fr-FR"/>
        </w:rPr>
      </w:pPr>
    </w:p>
    <w:p w14:paraId="7F7843B0" w14:textId="77777777" w:rsidR="00246D13" w:rsidRPr="00B307B2" w:rsidRDefault="00246D13" w:rsidP="00246D13">
      <w:pPr>
        <w:spacing w:after="240"/>
        <w:ind w:left="1418" w:hanging="1418"/>
        <w:rPr>
          <w:lang w:val="fr-FR"/>
        </w:rPr>
      </w:pPr>
      <w:r w:rsidRPr="00B307B2">
        <w:rPr>
          <w:lang w:val="fr-FR"/>
        </w:rPr>
        <w:br w:type="page"/>
      </w:r>
    </w:p>
    <w:p w14:paraId="43C9B352" w14:textId="37B6AA2A" w:rsidR="00246D13" w:rsidRPr="00775023" w:rsidRDefault="006952FA" w:rsidP="006952FA">
      <w:pPr>
        <w:pStyle w:val="H23G"/>
        <w:rPr>
          <w:lang w:val="fr-FR"/>
        </w:rPr>
      </w:pPr>
      <w:r>
        <w:rPr>
          <w:lang w:val="fr-FR"/>
        </w:rPr>
        <w:lastRenderedPageBreak/>
        <w:tab/>
      </w:r>
      <w:r>
        <w:rPr>
          <w:lang w:val="fr-FR"/>
        </w:rPr>
        <w:tab/>
      </w:r>
      <w:r w:rsidR="00246D13" w:rsidRPr="00775023">
        <w:rPr>
          <w:lang w:val="fr-FR"/>
        </w:rPr>
        <w:t>Exemple 7</w:t>
      </w:r>
    </w:p>
    <w:p w14:paraId="2BF12F6D" w14:textId="6114E863" w:rsidR="00246D13" w:rsidRPr="00B307B2" w:rsidRDefault="00246D13" w:rsidP="00246D13">
      <w:pPr>
        <w:pStyle w:val="SingleTxtG"/>
        <w:rPr>
          <w:lang w:val="fr-FR"/>
        </w:rPr>
      </w:pPr>
      <w:r>
        <w:rPr>
          <w:lang w:val="fr-FR"/>
        </w:rPr>
        <w:t>Remplacer par le texte suivant </w:t>
      </w:r>
      <w:r w:rsidRPr="00B307B2">
        <w:rPr>
          <w:lang w:val="fr-FR"/>
        </w:rPr>
        <w:t>:</w:t>
      </w:r>
    </w:p>
    <w:p w14:paraId="5EB52BE2" w14:textId="77777777" w:rsidR="00246D13" w:rsidRPr="00B307B2" w:rsidRDefault="00246D13" w:rsidP="00246D13">
      <w:pPr>
        <w:pStyle w:val="SingleTxtG"/>
        <w:rPr>
          <w:lang w:val="fr-FR"/>
        </w:rPr>
      </w:pPr>
      <w:r>
        <w:rPr>
          <w:lang w:val="fr-FR"/>
        </w:rPr>
        <w:t>« </w:t>
      </w:r>
      <w:r w:rsidRPr="00B307B2">
        <w:rPr>
          <w:b/>
          <w:bCs/>
          <w:lang w:val="fr-FR"/>
        </w:rPr>
        <w:t>Exemple 7 :</w:t>
      </w:r>
      <w:r w:rsidRPr="00B307B2">
        <w:rPr>
          <w:lang w:val="fr-FR"/>
        </w:rPr>
        <w:t xml:space="preserve"> </w:t>
      </w:r>
      <w:r w:rsidRPr="00CA3DB2">
        <w:rPr>
          <w:b/>
          <w:bCs/>
          <w:lang w:val="fr-FR"/>
        </w:rPr>
        <w:t xml:space="preserve">Indications supplémentaires </w:t>
      </w:r>
      <w:r>
        <w:rPr>
          <w:b/>
          <w:bCs/>
          <w:lang w:val="fr-FR"/>
        </w:rPr>
        <w:t>concernant</w:t>
      </w:r>
      <w:r w:rsidRPr="00CA3DB2">
        <w:rPr>
          <w:b/>
          <w:bCs/>
          <w:lang w:val="fr-FR"/>
        </w:rPr>
        <w:t xml:space="preserve"> les e</w:t>
      </w:r>
      <w:r w:rsidRPr="006A46DB">
        <w:rPr>
          <w:b/>
          <w:bCs/>
          <w:lang w:val="fr-FR"/>
        </w:rPr>
        <w:t>mballages</w:t>
      </w:r>
      <w:r w:rsidRPr="00B307B2">
        <w:rPr>
          <w:b/>
          <w:bCs/>
          <w:lang w:val="fr-FR"/>
        </w:rPr>
        <w:t xml:space="preserve"> simple</w:t>
      </w:r>
      <w:r>
        <w:rPr>
          <w:b/>
          <w:bCs/>
          <w:lang w:val="fr-FR"/>
        </w:rPr>
        <w:t>s</w:t>
      </w:r>
      <w:r w:rsidRPr="00B307B2">
        <w:rPr>
          <w:b/>
          <w:bCs/>
          <w:lang w:val="fr-FR"/>
        </w:rPr>
        <w:t xml:space="preserve"> portant des informations </w:t>
      </w:r>
      <w:r w:rsidRPr="002E70CA">
        <w:rPr>
          <w:b/>
          <w:bCs/>
          <w:lang w:val="fr-FR"/>
        </w:rPr>
        <w:t xml:space="preserve">relatives au transport </w:t>
      </w:r>
      <w:r>
        <w:rPr>
          <w:b/>
          <w:bCs/>
          <w:lang w:val="fr-FR"/>
        </w:rPr>
        <w:t>ou</w:t>
      </w:r>
      <w:r w:rsidRPr="002E70CA">
        <w:rPr>
          <w:b/>
          <w:bCs/>
          <w:lang w:val="fr-FR"/>
        </w:rPr>
        <w:t xml:space="preserve"> à d</w:t>
      </w:r>
      <w:r>
        <w:rPr>
          <w:b/>
          <w:bCs/>
          <w:lang w:val="fr-FR"/>
        </w:rPr>
        <w:t>’</w:t>
      </w:r>
      <w:r w:rsidRPr="002E70CA">
        <w:rPr>
          <w:b/>
          <w:bCs/>
          <w:lang w:val="fr-FR"/>
        </w:rPr>
        <w:t xml:space="preserve">autres secteurs </w:t>
      </w:r>
      <w:r>
        <w:rPr>
          <w:b/>
          <w:bCs/>
          <w:lang w:val="fr-FR"/>
        </w:rPr>
        <w:t xml:space="preserve">au titre du </w:t>
      </w:r>
      <w:r w:rsidRPr="00B307B2">
        <w:rPr>
          <w:b/>
          <w:bCs/>
          <w:lang w:val="fr-FR"/>
        </w:rPr>
        <w:t xml:space="preserve">SGH </w:t>
      </w:r>
    </w:p>
    <w:p w14:paraId="67615B49" w14:textId="197FD6BC" w:rsidR="00246D13" w:rsidRPr="00B307B2" w:rsidRDefault="00246D13" w:rsidP="00246D13">
      <w:pPr>
        <w:pStyle w:val="SingleTxtG"/>
        <w:tabs>
          <w:tab w:val="clear" w:pos="1701"/>
        </w:tabs>
        <w:ind w:left="1985" w:hanging="425"/>
        <w:rPr>
          <w:lang w:val="fr-FR"/>
        </w:rPr>
      </w:pPr>
      <w:r w:rsidRPr="00B307B2">
        <w:rPr>
          <w:lang w:val="fr-FR"/>
        </w:rPr>
        <w:t>a)</w:t>
      </w:r>
      <w:r w:rsidRPr="00B307B2">
        <w:rPr>
          <w:lang w:val="fr-FR"/>
        </w:rPr>
        <w:tab/>
        <w:t>Lorsque des informations relatives au transport ou à d</w:t>
      </w:r>
      <w:r>
        <w:rPr>
          <w:lang w:val="fr-FR"/>
        </w:rPr>
        <w:t>’</w:t>
      </w:r>
      <w:r w:rsidRPr="00B307B2">
        <w:rPr>
          <w:lang w:val="fr-FR"/>
        </w:rPr>
        <w:t>autres secteurs apparaissent</w:t>
      </w:r>
      <w:r>
        <w:rPr>
          <w:lang w:val="fr-FR"/>
        </w:rPr>
        <w:t xml:space="preserve"> au titre du SGH</w:t>
      </w:r>
      <w:r w:rsidRPr="00B307B2">
        <w:rPr>
          <w:lang w:val="fr-FR"/>
        </w:rPr>
        <w:t xml:space="preserve"> sur un emballage simple, on veillera à ce que les éléments </w:t>
      </w:r>
      <w:r w:rsidR="00EF301C">
        <w:rPr>
          <w:lang w:val="fr-FR"/>
        </w:rPr>
        <w:t xml:space="preserve">d’étiquetage </w:t>
      </w:r>
      <w:r w:rsidRPr="00B307B2">
        <w:rPr>
          <w:lang w:val="fr-FR"/>
        </w:rPr>
        <w:t>soient placés de manière à répondre aux besoins des différents secteurs</w:t>
      </w:r>
      <w:r>
        <w:rPr>
          <w:lang w:val="fr-FR"/>
        </w:rPr>
        <w:t>.</w:t>
      </w:r>
      <w:r w:rsidRPr="00B307B2">
        <w:rPr>
          <w:lang w:val="fr-FR"/>
        </w:rPr>
        <w:t xml:space="preserve"> Le pictogramme SGH n</w:t>
      </w:r>
      <w:r>
        <w:rPr>
          <w:lang w:val="fr-FR"/>
        </w:rPr>
        <w:t>’</w:t>
      </w:r>
      <w:r w:rsidRPr="00B307B2">
        <w:rPr>
          <w:lang w:val="fr-FR"/>
        </w:rPr>
        <w:t xml:space="preserve">apparaît pas sur </w:t>
      </w:r>
      <w:r w:rsidRPr="00242478">
        <w:rPr>
          <w:lang w:val="fr-FR"/>
        </w:rPr>
        <w:t>l</w:t>
      </w:r>
      <w:r>
        <w:rPr>
          <w:lang w:val="fr-FR"/>
        </w:rPr>
        <w:t>’</w:t>
      </w:r>
      <w:r w:rsidRPr="00242478">
        <w:rPr>
          <w:lang w:val="fr-FR"/>
        </w:rPr>
        <w:t>étiquette SGH</w:t>
      </w:r>
      <w:r w:rsidRPr="00B307B2">
        <w:rPr>
          <w:lang w:val="fr-FR"/>
        </w:rPr>
        <w:t xml:space="preserve"> lorsqu</w:t>
      </w:r>
      <w:r>
        <w:rPr>
          <w:lang w:val="fr-FR"/>
        </w:rPr>
        <w:t>’</w:t>
      </w:r>
      <w:r w:rsidRPr="00B307B2">
        <w:rPr>
          <w:lang w:val="fr-FR"/>
        </w:rPr>
        <w:t>une étiquette de transport concernant le même danger est déjà utilisée (voir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sidRPr="00B307B2">
        <w:rPr>
          <w:lang w:val="fr-FR"/>
        </w:rPr>
        <w:t>5</w:t>
      </w:r>
      <w:r w:rsidRPr="00C04ED8">
        <w:rPr>
          <w:lang w:val="fr-FR"/>
        </w:rPr>
        <w:t>.</w:t>
      </w:r>
      <w:r w:rsidRPr="00B307B2">
        <w:rPr>
          <w:lang w:val="fr-FR"/>
        </w:rPr>
        <w:t>1) ;</w:t>
      </w:r>
    </w:p>
    <w:p w14:paraId="1CF7E5B9" w14:textId="77777777" w:rsidR="00246D13" w:rsidRPr="00B307B2" w:rsidRDefault="00246D13" w:rsidP="00246D13">
      <w:pPr>
        <w:pStyle w:val="SingleTxtG"/>
        <w:tabs>
          <w:tab w:val="clear" w:pos="1701"/>
        </w:tabs>
        <w:ind w:left="1985" w:hanging="425"/>
        <w:rPr>
          <w:lang w:val="fr-FR"/>
        </w:rPr>
      </w:pPr>
      <w:r w:rsidRPr="00B307B2">
        <w:rPr>
          <w:lang w:val="fr-FR"/>
        </w:rPr>
        <w:t>b)</w:t>
      </w:r>
      <w:r w:rsidRPr="00B307B2">
        <w:rPr>
          <w:lang w:val="fr-FR"/>
        </w:rPr>
        <w:tab/>
        <w:t>Les étiquettes de transport doivent communiquer l</w:t>
      </w:r>
      <w:r>
        <w:rPr>
          <w:lang w:val="fr-FR"/>
        </w:rPr>
        <w:t>’</w:t>
      </w:r>
      <w:r w:rsidRPr="00B307B2">
        <w:rPr>
          <w:lang w:val="fr-FR"/>
        </w:rPr>
        <w:t>information immédiatement en cas d</w:t>
      </w:r>
      <w:r>
        <w:rPr>
          <w:lang w:val="fr-FR"/>
        </w:rPr>
        <w:t>’</w:t>
      </w:r>
      <w:r w:rsidRPr="00B307B2">
        <w:rPr>
          <w:lang w:val="fr-FR"/>
        </w:rPr>
        <w:t>urgence</w:t>
      </w:r>
      <w:r w:rsidRPr="00C04ED8">
        <w:rPr>
          <w:lang w:val="fr-FR"/>
        </w:rPr>
        <w:t>.</w:t>
      </w:r>
      <w:r w:rsidRPr="00B307B2">
        <w:rPr>
          <w:lang w:val="fr-FR"/>
        </w:rPr>
        <w:t xml:space="preserve"> Elles doivent pouvoir être vues de loin et également en cas de masquage partiel du colis, notamment lorsqu</w:t>
      </w:r>
      <w:r>
        <w:rPr>
          <w:lang w:val="fr-FR"/>
        </w:rPr>
        <w:t>’</w:t>
      </w:r>
      <w:r w:rsidRPr="00B307B2">
        <w:rPr>
          <w:lang w:val="fr-FR"/>
        </w:rPr>
        <w:t>il y a de la fumée ;</w:t>
      </w:r>
    </w:p>
    <w:p w14:paraId="6D34BAC1" w14:textId="77777777" w:rsidR="00246D13" w:rsidRPr="00B307B2" w:rsidRDefault="00246D13" w:rsidP="00246D13">
      <w:pPr>
        <w:pStyle w:val="SingleTxtG"/>
        <w:tabs>
          <w:tab w:val="clear" w:pos="1701"/>
        </w:tabs>
        <w:ind w:left="1985" w:hanging="425"/>
        <w:rPr>
          <w:lang w:val="fr-FR"/>
        </w:rPr>
      </w:pPr>
      <w:r w:rsidRPr="00B307B2">
        <w:rPr>
          <w:lang w:val="fr-FR"/>
        </w:rPr>
        <w:t>c)</w:t>
      </w:r>
      <w:r w:rsidRPr="00B307B2">
        <w:rPr>
          <w:lang w:val="fr-FR"/>
        </w:rPr>
        <w:tab/>
        <w:t xml:space="preserve">Les étiquettes de transport doivent avoir un aspect différent des </w:t>
      </w:r>
      <w:r>
        <w:rPr>
          <w:lang w:val="fr-FR"/>
        </w:rPr>
        <w:t>pictogrammes</w:t>
      </w:r>
      <w:r w:rsidRPr="00B307B2">
        <w:rPr>
          <w:lang w:val="fr-FR"/>
        </w:rPr>
        <w:t xml:space="preserve"> destinés uniquement à des fins autres que le transport, ce qui permet de les distinguer ;</w:t>
      </w:r>
    </w:p>
    <w:p w14:paraId="1AED6212" w14:textId="4FE19B70" w:rsidR="00246D13" w:rsidRPr="00B307B2" w:rsidRDefault="00246D13" w:rsidP="00246D13">
      <w:pPr>
        <w:pStyle w:val="SingleTxtG"/>
        <w:tabs>
          <w:tab w:val="clear" w:pos="1701"/>
        </w:tabs>
        <w:ind w:left="1985" w:hanging="425"/>
        <w:rPr>
          <w:lang w:val="fr-FR"/>
        </w:rPr>
      </w:pPr>
      <w:r w:rsidRPr="00B307B2">
        <w:rPr>
          <w:lang w:val="fr-FR"/>
        </w:rPr>
        <w:t>d)</w:t>
      </w:r>
      <w:r w:rsidRPr="00B307B2">
        <w:rPr>
          <w:lang w:val="fr-FR"/>
        </w:rPr>
        <w:tab/>
        <w:t>Les étiquettes de transport doivent être placées sur un panneau distinct de l</w:t>
      </w:r>
      <w:r>
        <w:rPr>
          <w:lang w:val="fr-FR"/>
        </w:rPr>
        <w:t>’</w:t>
      </w:r>
      <w:r w:rsidRPr="00B307B2">
        <w:rPr>
          <w:lang w:val="fr-FR"/>
        </w:rPr>
        <w:t>étiquette SGH afin de pouvoir être distingué</w:t>
      </w:r>
      <w:r>
        <w:rPr>
          <w:lang w:val="fr-FR"/>
        </w:rPr>
        <w:t>e</w:t>
      </w:r>
      <w:r w:rsidRPr="00B307B2">
        <w:rPr>
          <w:lang w:val="fr-FR"/>
        </w:rPr>
        <w:t>s des autres informations ; elles peuvent être placées aussi au voisinage des autres éléments d</w:t>
      </w:r>
      <w:r>
        <w:rPr>
          <w:lang w:val="fr-FR"/>
        </w:rPr>
        <w:t>’</w:t>
      </w:r>
      <w:r w:rsidRPr="00B307B2">
        <w:rPr>
          <w:lang w:val="fr-FR"/>
        </w:rPr>
        <w:t>information relatifs au SGH sur l</w:t>
      </w:r>
      <w:r>
        <w:rPr>
          <w:lang w:val="fr-FR"/>
        </w:rPr>
        <w:t>’</w:t>
      </w:r>
      <w:r w:rsidRPr="00B307B2">
        <w:rPr>
          <w:lang w:val="fr-FR"/>
        </w:rPr>
        <w:t>emballage</w:t>
      </w:r>
      <w:r w:rsidR="00613744">
        <w:rPr>
          <w:lang w:val="fr-FR"/>
        </w:rPr>
        <w:t xml:space="preserve"> </w:t>
      </w:r>
      <w:r w:rsidRPr="00B307B2">
        <w:rPr>
          <w:lang w:val="fr-FR"/>
        </w:rPr>
        <w:t>;</w:t>
      </w:r>
    </w:p>
    <w:p w14:paraId="1FD80C01" w14:textId="44D71012" w:rsidR="00246D13" w:rsidRPr="00B307B2" w:rsidRDefault="00246D13" w:rsidP="00246D13">
      <w:pPr>
        <w:pStyle w:val="SingleTxtG"/>
        <w:tabs>
          <w:tab w:val="clear" w:pos="1701"/>
        </w:tabs>
        <w:ind w:left="1985" w:hanging="425"/>
        <w:rPr>
          <w:lang w:val="fr-FR"/>
        </w:rPr>
      </w:pPr>
      <w:r w:rsidRPr="00B307B2">
        <w:rPr>
          <w:lang w:val="fr-FR"/>
        </w:rPr>
        <w:t>e)</w:t>
      </w:r>
      <w:r w:rsidRPr="00B307B2">
        <w:rPr>
          <w:lang w:val="fr-FR"/>
        </w:rPr>
        <w:tab/>
        <w:t>Les pictogrammes peuvent être différenciés par leur dimension</w:t>
      </w:r>
      <w:r w:rsidRPr="00C04ED8">
        <w:rPr>
          <w:lang w:val="fr-FR"/>
        </w:rPr>
        <w:t>.</w:t>
      </w:r>
      <w:r w:rsidRPr="00B307B2">
        <w:rPr>
          <w:lang w:val="fr-FR"/>
        </w:rPr>
        <w:t xml:space="preserve"> De façon générale, la taille des pictogrammes destinés à des fins autres que le transport devrait être proportionnelle à la taille du texte des autres éléments </w:t>
      </w:r>
      <w:r w:rsidR="00B84D4C">
        <w:rPr>
          <w:lang w:val="fr-FR"/>
        </w:rPr>
        <w:t>d’étiquetage</w:t>
      </w:r>
      <w:r w:rsidRPr="00B307B2">
        <w:rPr>
          <w:lang w:val="fr-FR"/>
        </w:rPr>
        <w:t>, et généralement plus petite que celle des étiquettes de transport (dont la taille est intentionnellement réglementée), mais ce dimensionnement ne devrait pas porter atteinte à la clarté ou à l</w:t>
      </w:r>
      <w:r>
        <w:rPr>
          <w:lang w:val="fr-FR"/>
        </w:rPr>
        <w:t>’</w:t>
      </w:r>
      <w:r w:rsidRPr="00B307B2">
        <w:rPr>
          <w:lang w:val="fr-FR"/>
        </w:rPr>
        <w:t>intelligibilité des pictogrammes destinés à des fins autres que le transport</w:t>
      </w:r>
      <w:r>
        <w:rPr>
          <w:lang w:val="fr-FR"/>
        </w:rPr>
        <w:t>.</w:t>
      </w:r>
    </w:p>
    <w:p w14:paraId="3E51566F" w14:textId="77777777" w:rsidR="00246D13" w:rsidRDefault="00246D13" w:rsidP="00246D13">
      <w:pPr>
        <w:pStyle w:val="SingleTxtG"/>
        <w:ind w:left="1701"/>
        <w:rPr>
          <w:lang w:val="fr-FR"/>
        </w:rPr>
      </w:pPr>
      <w:r w:rsidRPr="00B307B2">
        <w:rPr>
          <w:lang w:val="fr-FR"/>
        </w:rPr>
        <w:t>On trouvera ci-après un exemple de l</w:t>
      </w:r>
      <w:r>
        <w:rPr>
          <w:lang w:val="fr-FR"/>
        </w:rPr>
        <w:t>’</w:t>
      </w:r>
      <w:r w:rsidRPr="00B307B2">
        <w:rPr>
          <w:lang w:val="fr-FR"/>
        </w:rPr>
        <w:t>aspect que peut revêtir une telle étiquette pour un produit chimique contenu dans un fût de 200 litres destiné au transport et à l</w:t>
      </w:r>
      <w:r>
        <w:rPr>
          <w:lang w:val="fr-FR"/>
        </w:rPr>
        <w:t>’</w:t>
      </w:r>
      <w:r w:rsidRPr="00B307B2">
        <w:rPr>
          <w:lang w:val="fr-FR"/>
        </w:rPr>
        <w:t>utilisation sur le lieu de travail :</w:t>
      </w:r>
      <w:r>
        <w:rPr>
          <w:lang w:val="fr-FR"/>
        </w:rPr>
        <w:t xml:space="preserve"> </w:t>
      </w:r>
    </w:p>
    <w:p w14:paraId="516DB285" w14:textId="0990593C" w:rsidR="00246D13" w:rsidRDefault="00246D13" w:rsidP="00246D13">
      <w:pPr>
        <w:pStyle w:val="SingleTxtG"/>
        <w:ind w:left="1701"/>
        <w:rPr>
          <w:lang w:val="fr-FR"/>
        </w:rPr>
      </w:pPr>
      <w:r w:rsidRPr="00B307B2">
        <w:rPr>
          <w:lang w:val="fr-FR"/>
        </w:rPr>
        <w:t>Cet exemple n</w:t>
      </w:r>
      <w:r>
        <w:rPr>
          <w:lang w:val="fr-FR"/>
        </w:rPr>
        <w:t>’</w:t>
      </w:r>
      <w:r w:rsidRPr="00B307B2">
        <w:rPr>
          <w:lang w:val="fr-FR"/>
        </w:rPr>
        <w:t xml:space="preserve">a pas pour objet de </w:t>
      </w:r>
      <w:r>
        <w:rPr>
          <w:lang w:val="fr-FR"/>
        </w:rPr>
        <w:t>montrer</w:t>
      </w:r>
      <w:r w:rsidRPr="00B307B2">
        <w:rPr>
          <w:lang w:val="fr-FR"/>
        </w:rPr>
        <w:t xml:space="preserve"> toutes les exigences particulières qui peuvent être prévues dans la législation nationale du pays appliquant le SGH, ni toutes les informations supplémentaires qui peuvent être ajoutées volontairement (par exemple, le </w:t>
      </w:r>
      <w:r>
        <w:rPr>
          <w:lang w:val="fr-FR"/>
        </w:rPr>
        <w:t>« </w:t>
      </w:r>
      <w:r w:rsidRPr="00B307B2">
        <w:rPr>
          <w:lang w:val="fr-FR"/>
        </w:rPr>
        <w:t>mode d</w:t>
      </w:r>
      <w:r>
        <w:rPr>
          <w:lang w:val="fr-FR"/>
        </w:rPr>
        <w:t>’</w:t>
      </w:r>
      <w:r w:rsidRPr="00B307B2">
        <w:rPr>
          <w:lang w:val="fr-FR"/>
        </w:rPr>
        <w:t>emploi</w:t>
      </w:r>
      <w:r>
        <w:rPr>
          <w:lang w:val="fr-FR"/>
        </w:rPr>
        <w:t> »</w:t>
      </w:r>
      <w:r w:rsidRPr="00B307B2">
        <w:rPr>
          <w:lang w:val="fr-FR"/>
        </w:rPr>
        <w:t xml:space="preserve"> ou le </w:t>
      </w:r>
      <w:r>
        <w:rPr>
          <w:lang w:val="fr-FR"/>
        </w:rPr>
        <w:t>« </w:t>
      </w:r>
      <w:r w:rsidRPr="00B307B2">
        <w:rPr>
          <w:lang w:val="fr-FR"/>
        </w:rPr>
        <w:t>poids de remplissage</w:t>
      </w:r>
      <w:r>
        <w:rPr>
          <w:lang w:val="fr-FR"/>
        </w:rPr>
        <w:t> »</w:t>
      </w:r>
      <w:r w:rsidRPr="00B307B2">
        <w:rPr>
          <w:lang w:val="fr-FR"/>
        </w:rPr>
        <w:t>) ou être requises par certaines autorités compétentes</w:t>
      </w:r>
      <w:r w:rsidRPr="00C04ED8">
        <w:rPr>
          <w:lang w:val="fr-FR"/>
        </w:rPr>
        <w:t>.</w:t>
      </w:r>
      <w:r w:rsidRPr="00B307B2">
        <w:rPr>
          <w:lang w:val="fr-FR"/>
        </w:rPr>
        <w:t xml:space="preserve"> Il prend en considération les informations de base requises sur l</w:t>
      </w:r>
      <w:r>
        <w:rPr>
          <w:lang w:val="fr-FR"/>
        </w:rPr>
        <w:t>’</w:t>
      </w:r>
      <w:r w:rsidRPr="00B307B2">
        <w:rPr>
          <w:lang w:val="fr-FR"/>
        </w:rPr>
        <w:t xml:space="preserve">étiquette SGH, telles que décrites </w:t>
      </w:r>
      <w:r w:rsidR="00B84D4C">
        <w:rPr>
          <w:lang w:val="fr-FR"/>
        </w:rPr>
        <w:t>à la section</w:t>
      </w:r>
      <w:r w:rsidRPr="00B307B2">
        <w:rPr>
          <w:lang w:val="fr-FR"/>
        </w:rPr>
        <w:t xml:space="preserve"> 1</w:t>
      </w:r>
      <w:r w:rsidRPr="00C04ED8">
        <w:rPr>
          <w:lang w:val="fr-FR"/>
        </w:rPr>
        <w:t>.</w:t>
      </w:r>
      <w:r w:rsidRPr="00B307B2">
        <w:rPr>
          <w:lang w:val="fr-FR"/>
        </w:rPr>
        <w:t>4</w:t>
      </w:r>
      <w:r w:rsidRPr="00C04ED8">
        <w:rPr>
          <w:lang w:val="fr-FR"/>
        </w:rPr>
        <w:t>.</w:t>
      </w:r>
      <w:r w:rsidRPr="00B307B2">
        <w:rPr>
          <w:lang w:val="fr-FR"/>
        </w:rPr>
        <w:t>10</w:t>
      </w:r>
      <w:r w:rsidRPr="00C04ED8">
        <w:rPr>
          <w:lang w:val="fr-FR"/>
        </w:rPr>
        <w:t>.</w:t>
      </w:r>
      <w:r>
        <w:rPr>
          <w:lang w:val="fr-FR"/>
        </w:rPr>
        <w:t xml:space="preserve"> </w:t>
      </w:r>
    </w:p>
    <w:p w14:paraId="78667C1E" w14:textId="381D1F81" w:rsidR="00246D13" w:rsidRDefault="00246D13" w:rsidP="00246D13">
      <w:pPr>
        <w:pStyle w:val="SingleTxtG"/>
        <w:rPr>
          <w:i/>
          <w:iCs/>
        </w:rPr>
      </w:pPr>
    </w:p>
    <w:p w14:paraId="2029DFCA" w14:textId="77777777" w:rsidR="009D0B19" w:rsidRDefault="009D0B19"/>
    <w:p w14:paraId="47EC78B9" w14:textId="77777777" w:rsidR="009D0B19" w:rsidRDefault="009D0B19"/>
    <w:p w14:paraId="11CF54D5" w14:textId="77777777" w:rsidR="009D0B19" w:rsidRDefault="009D0B19"/>
    <w:p w14:paraId="6114BCA3" w14:textId="77777777" w:rsidR="009D0B19" w:rsidRDefault="009D0B19">
      <w:pPr>
        <w:sectPr w:rsidR="009D0B19" w:rsidSect="00ED264F">
          <w:headerReference w:type="even" r:id="rId36"/>
          <w:headerReference w:type="default" r:id="rId37"/>
          <w:footerReference w:type="even" r:id="rId38"/>
          <w:footerReference w:type="default" r:id="rId39"/>
          <w:footerReference w:type="first" r:id="rId40"/>
          <w:endnotePr>
            <w:numFmt w:val="decimal"/>
          </w:endnotePr>
          <w:pgSz w:w="11906" w:h="16838" w:code="9"/>
          <w:pgMar w:top="1417" w:right="1134" w:bottom="1134" w:left="1134" w:header="850" w:footer="567" w:gutter="0"/>
          <w:cols w:space="708"/>
          <w:titlePg/>
          <w:docGrid w:linePitch="360"/>
        </w:sectPr>
      </w:pPr>
    </w:p>
    <w:p w14:paraId="2884963A" w14:textId="42978265" w:rsidR="00246D13" w:rsidRPr="00B307B2" w:rsidRDefault="00246D13" w:rsidP="00246D13">
      <w:pPr>
        <w:pStyle w:val="H23G"/>
        <w:spacing w:before="0"/>
        <w:ind w:left="0" w:firstLine="0"/>
        <w:rPr>
          <w:rFonts w:asciiTheme="majorBidi" w:hAnsiTheme="majorBidi" w:cstheme="majorBidi"/>
          <w:lang w:val="fr-FR"/>
        </w:rPr>
      </w:pPr>
      <w:r w:rsidRPr="00B307B2">
        <w:rPr>
          <w:bCs/>
          <w:lang w:val="fr-FR"/>
        </w:rPr>
        <w:lastRenderedPageBreak/>
        <w:t xml:space="preserve">Emballage simple utilisant trois panneaux adjacents pour indiquer plusieurs dangers : mélange correspondant </w:t>
      </w:r>
      <w:r>
        <w:rPr>
          <w:bCs/>
          <w:lang w:val="fr-FR"/>
        </w:rPr>
        <w:t>aux classes</w:t>
      </w:r>
      <w:r w:rsidR="00B84D4C">
        <w:rPr>
          <w:bCs/>
          <w:lang w:val="fr-FR"/>
        </w:rPr>
        <w:t> :</w:t>
      </w:r>
      <w:r w:rsidR="0076061F">
        <w:rPr>
          <w:bCs/>
          <w:lang w:val="fr-FR"/>
        </w:rPr>
        <w:br/>
        <w:t>L</w:t>
      </w:r>
      <w:r w:rsidRPr="00B307B2">
        <w:rPr>
          <w:bCs/>
          <w:lang w:val="fr-FR"/>
        </w:rPr>
        <w:t>iquide</w:t>
      </w:r>
      <w:r>
        <w:rPr>
          <w:bCs/>
          <w:lang w:val="fr-FR"/>
        </w:rPr>
        <w:t>s</w:t>
      </w:r>
      <w:r w:rsidRPr="00B307B2">
        <w:rPr>
          <w:bCs/>
          <w:lang w:val="fr-FR"/>
        </w:rPr>
        <w:t xml:space="preserve"> inflammable</w:t>
      </w:r>
      <w:r>
        <w:rPr>
          <w:bCs/>
          <w:lang w:val="fr-FR"/>
        </w:rPr>
        <w:t>s</w:t>
      </w:r>
      <w:r w:rsidRPr="00B307B2">
        <w:rPr>
          <w:bCs/>
          <w:lang w:val="fr-FR"/>
        </w:rPr>
        <w:t xml:space="preserve"> </w:t>
      </w:r>
      <w:r>
        <w:rPr>
          <w:bCs/>
          <w:lang w:val="fr-FR"/>
        </w:rPr>
        <w:t>(</w:t>
      </w:r>
      <w:r w:rsidRPr="00B307B2">
        <w:rPr>
          <w:bCs/>
          <w:lang w:val="fr-FR"/>
        </w:rPr>
        <w:t>catégorie 2</w:t>
      </w:r>
      <w:r>
        <w:rPr>
          <w:bCs/>
          <w:lang w:val="fr-FR"/>
        </w:rPr>
        <w:t>),</w:t>
      </w:r>
      <w:r w:rsidRPr="00B307B2">
        <w:rPr>
          <w:lang w:val="fr-FR"/>
        </w:rPr>
        <w:t xml:space="preserve"> </w:t>
      </w:r>
      <w:r>
        <w:rPr>
          <w:bCs/>
          <w:lang w:val="fr-FR"/>
        </w:rPr>
        <w:t>t</w:t>
      </w:r>
      <w:r w:rsidRPr="00B307B2">
        <w:rPr>
          <w:bCs/>
          <w:lang w:val="fr-FR"/>
        </w:rPr>
        <w:t xml:space="preserve">oxicité aiguë par inhalation </w:t>
      </w:r>
      <w:r>
        <w:rPr>
          <w:bCs/>
          <w:lang w:val="fr-FR"/>
        </w:rPr>
        <w:t>(</w:t>
      </w:r>
      <w:r w:rsidRPr="00B307B2">
        <w:rPr>
          <w:bCs/>
          <w:lang w:val="fr-FR"/>
        </w:rPr>
        <w:t>catégorie 4</w:t>
      </w:r>
      <w:r>
        <w:rPr>
          <w:bCs/>
          <w:lang w:val="fr-FR"/>
        </w:rPr>
        <w:t>) et t</w:t>
      </w:r>
      <w:r w:rsidRPr="00B307B2">
        <w:rPr>
          <w:bCs/>
          <w:lang w:val="fr-FR"/>
        </w:rPr>
        <w:t xml:space="preserve">oxicité pour certains organes cibles </w:t>
      </w:r>
      <w:r>
        <w:rPr>
          <w:bCs/>
          <w:lang w:val="fr-FR"/>
        </w:rPr>
        <w:t>−</w:t>
      </w:r>
      <w:r w:rsidRPr="00B307B2">
        <w:rPr>
          <w:bCs/>
          <w:lang w:val="fr-FR"/>
        </w:rPr>
        <w:t xml:space="preserve"> expositions</w:t>
      </w:r>
      <w:r>
        <w:rPr>
          <w:bCs/>
          <w:lang w:val="fr-FR"/>
        </w:rPr>
        <w:t xml:space="preserve"> </w:t>
      </w:r>
      <w:r w:rsidRPr="00B307B2">
        <w:rPr>
          <w:bCs/>
          <w:lang w:val="fr-FR"/>
        </w:rPr>
        <w:t xml:space="preserve">répétées </w:t>
      </w:r>
      <w:r>
        <w:rPr>
          <w:bCs/>
          <w:lang w:val="fr-FR"/>
        </w:rPr>
        <w:t>(</w:t>
      </w:r>
      <w:r w:rsidRPr="00B307B2">
        <w:rPr>
          <w:bCs/>
          <w:lang w:val="fr-FR"/>
        </w:rPr>
        <w:t>catégorie 2</w:t>
      </w:r>
      <w:r>
        <w:rPr>
          <w:bCs/>
          <w:lang w:val="fr-FR"/>
        </w:rPr>
        <w:t>)</w:t>
      </w:r>
      <w:bookmarkStart w:id="19" w:name="_Hlk121037942"/>
      <w:bookmarkEnd w:id="19"/>
    </w:p>
    <w:tbl>
      <w:tblPr>
        <w:tblStyle w:val="Grilledutableau"/>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3946"/>
        <w:gridCol w:w="6521"/>
        <w:gridCol w:w="3015"/>
      </w:tblGrid>
      <w:tr w:rsidR="00246D13" w:rsidRPr="00CA3DB2" w14:paraId="7861E847" w14:textId="77777777" w:rsidTr="004D33AF">
        <w:trPr>
          <w:trHeight w:val="1242"/>
        </w:trPr>
        <w:tc>
          <w:tcPr>
            <w:tcW w:w="3946" w:type="dxa"/>
            <w:vMerge w:val="restart"/>
          </w:tcPr>
          <w:p w14:paraId="0183E732" w14:textId="77777777" w:rsidR="00246D13" w:rsidRPr="00833086" w:rsidRDefault="00246D13" w:rsidP="004D33AF">
            <w:pPr>
              <w:spacing w:before="40" w:after="40" w:line="360" w:lineRule="auto"/>
              <w:ind w:left="100"/>
              <w:rPr>
                <w:rFonts w:asciiTheme="majorBidi" w:hAnsiTheme="majorBidi" w:cstheme="majorBidi"/>
                <w:b/>
                <w:bCs/>
                <w:spacing w:val="-4"/>
                <w:lang w:val="fr-FR"/>
              </w:rPr>
            </w:pPr>
            <w:r w:rsidRPr="00833086">
              <w:rPr>
                <w:b/>
                <w:bCs/>
                <w:spacing w:val="-4"/>
                <w:lang w:val="fr-FR"/>
              </w:rPr>
              <w:t>Identification du PRODUIT (voir 1</w:t>
            </w:r>
            <w:r w:rsidRPr="00C04ED8">
              <w:rPr>
                <w:b/>
                <w:bCs/>
                <w:spacing w:val="-4"/>
                <w:lang w:val="fr-FR"/>
              </w:rPr>
              <w:t>.</w:t>
            </w:r>
            <w:r w:rsidRPr="00833086">
              <w:rPr>
                <w:b/>
                <w:bCs/>
                <w:spacing w:val="-4"/>
                <w:lang w:val="fr-FR"/>
              </w:rPr>
              <w:t>4</w:t>
            </w:r>
            <w:r w:rsidRPr="00C04ED8">
              <w:rPr>
                <w:b/>
                <w:bCs/>
                <w:spacing w:val="-4"/>
                <w:lang w:val="fr-FR"/>
              </w:rPr>
              <w:t>.</w:t>
            </w:r>
            <w:r w:rsidRPr="00833086">
              <w:rPr>
                <w:b/>
                <w:bCs/>
                <w:spacing w:val="-4"/>
                <w:lang w:val="fr-FR"/>
              </w:rPr>
              <w:t>10</w:t>
            </w:r>
            <w:r w:rsidRPr="00C04ED8">
              <w:rPr>
                <w:b/>
                <w:bCs/>
                <w:spacing w:val="-4"/>
                <w:lang w:val="fr-FR"/>
              </w:rPr>
              <w:t>.</w:t>
            </w:r>
            <w:r w:rsidRPr="00833086">
              <w:rPr>
                <w:b/>
                <w:bCs/>
                <w:spacing w:val="-4"/>
                <w:lang w:val="fr-FR"/>
              </w:rPr>
              <w:t>5</w:t>
            </w:r>
            <w:r w:rsidRPr="00C04ED8">
              <w:rPr>
                <w:b/>
                <w:bCs/>
                <w:spacing w:val="-4"/>
                <w:lang w:val="fr-FR"/>
              </w:rPr>
              <w:t>.</w:t>
            </w:r>
            <w:r w:rsidRPr="00833086">
              <w:rPr>
                <w:b/>
                <w:bCs/>
                <w:spacing w:val="-4"/>
                <w:lang w:val="fr-FR"/>
              </w:rPr>
              <w:t>2 d))</w:t>
            </w:r>
          </w:p>
          <w:p w14:paraId="3C491E83" w14:textId="77777777" w:rsidR="00246D13" w:rsidRPr="00B307B2" w:rsidRDefault="00246D13" w:rsidP="004D33AF">
            <w:pPr>
              <w:spacing w:before="40" w:after="40"/>
              <w:ind w:left="100"/>
              <w:rPr>
                <w:rFonts w:asciiTheme="majorBidi" w:hAnsiTheme="majorBidi" w:cstheme="majorBidi"/>
                <w:u w:val="single"/>
                <w:lang w:val="fr-FR"/>
              </w:rPr>
            </w:pPr>
            <w:r w:rsidRPr="00B307B2">
              <w:rPr>
                <w:b/>
                <w:bCs/>
                <w:lang w:val="fr-FR"/>
              </w:rPr>
              <w:t>Identi</w:t>
            </w:r>
            <w:r>
              <w:rPr>
                <w:b/>
                <w:bCs/>
                <w:lang w:val="fr-FR"/>
              </w:rPr>
              <w:t>té</w:t>
            </w:r>
            <w:r w:rsidRPr="00B307B2">
              <w:rPr>
                <w:b/>
                <w:bCs/>
                <w:lang w:val="fr-FR"/>
              </w:rPr>
              <w:t xml:space="preserve"> du fournisseur (voir 1</w:t>
            </w:r>
            <w:r w:rsidRPr="00C04ED8">
              <w:rPr>
                <w:b/>
                <w:bCs/>
                <w:lang w:val="fr-FR"/>
              </w:rPr>
              <w:t>.</w:t>
            </w:r>
            <w:r w:rsidRPr="00B307B2">
              <w:rPr>
                <w:b/>
                <w:bCs/>
                <w:lang w:val="fr-FR"/>
              </w:rPr>
              <w:t>4</w:t>
            </w:r>
            <w:r w:rsidRPr="00C04ED8">
              <w:rPr>
                <w:b/>
                <w:bCs/>
                <w:lang w:val="fr-FR"/>
              </w:rPr>
              <w:t>.</w:t>
            </w:r>
            <w:r w:rsidRPr="00B307B2">
              <w:rPr>
                <w:b/>
                <w:bCs/>
                <w:lang w:val="fr-FR"/>
              </w:rPr>
              <w:t>10</w:t>
            </w:r>
            <w:r w:rsidRPr="00C04ED8">
              <w:rPr>
                <w:b/>
                <w:bCs/>
                <w:lang w:val="fr-FR"/>
              </w:rPr>
              <w:t>.</w:t>
            </w:r>
            <w:r w:rsidRPr="00B307B2">
              <w:rPr>
                <w:b/>
                <w:bCs/>
                <w:lang w:val="fr-FR"/>
              </w:rPr>
              <w:t>5</w:t>
            </w:r>
            <w:r w:rsidRPr="00C04ED8">
              <w:rPr>
                <w:b/>
                <w:bCs/>
                <w:lang w:val="fr-FR"/>
              </w:rPr>
              <w:t>.</w:t>
            </w:r>
            <w:r w:rsidRPr="00B307B2">
              <w:rPr>
                <w:b/>
                <w:bCs/>
                <w:lang w:val="fr-FR"/>
              </w:rPr>
              <w:t>2 e))</w:t>
            </w:r>
          </w:p>
          <w:p w14:paraId="5C246E04" w14:textId="77777777" w:rsidR="00246D13" w:rsidRPr="00B307B2" w:rsidRDefault="00246D13" w:rsidP="004D33AF">
            <w:pPr>
              <w:rPr>
                <w:rFonts w:asciiTheme="majorBidi" w:hAnsiTheme="majorBidi" w:cstheme="majorBidi"/>
                <w:b/>
                <w:bCs/>
                <w:lang w:val="fr-FR"/>
              </w:rPr>
            </w:pPr>
          </w:p>
          <w:p w14:paraId="7C9D805E" w14:textId="77777777" w:rsidR="00246D13" w:rsidRPr="00B307B2" w:rsidRDefault="00246D13" w:rsidP="004D33AF">
            <w:pPr>
              <w:rPr>
                <w:rFonts w:asciiTheme="majorBidi" w:hAnsiTheme="majorBidi" w:cstheme="majorBidi"/>
                <w:b/>
                <w:bCs/>
                <w:lang w:val="fr-FR"/>
              </w:rPr>
            </w:pPr>
          </w:p>
          <w:p w14:paraId="41528C16" w14:textId="77777777" w:rsidR="00246D13" w:rsidRPr="00B307B2" w:rsidRDefault="00246D13" w:rsidP="004D33AF">
            <w:pPr>
              <w:rPr>
                <w:rFonts w:asciiTheme="majorBidi" w:hAnsiTheme="majorBidi" w:cstheme="majorBidi"/>
                <w:b/>
                <w:bCs/>
                <w:lang w:val="fr-FR"/>
              </w:rPr>
            </w:pPr>
          </w:p>
          <w:p w14:paraId="16D4FE3D" w14:textId="77777777" w:rsidR="00246D13" w:rsidRPr="00B307B2" w:rsidRDefault="00246D13" w:rsidP="004D33AF">
            <w:pPr>
              <w:rPr>
                <w:rFonts w:asciiTheme="majorBidi" w:hAnsiTheme="majorBidi" w:cstheme="majorBidi"/>
                <w:b/>
                <w:bCs/>
                <w:lang w:val="fr-FR"/>
              </w:rPr>
            </w:pPr>
          </w:p>
          <w:p w14:paraId="042A2043" w14:textId="77777777" w:rsidR="00246D13" w:rsidRPr="00B307B2" w:rsidRDefault="00246D13" w:rsidP="004D33AF">
            <w:pPr>
              <w:rPr>
                <w:rFonts w:asciiTheme="majorBidi" w:hAnsiTheme="majorBidi" w:cstheme="majorBidi"/>
                <w:b/>
                <w:bCs/>
                <w:lang w:val="fr-FR"/>
              </w:rPr>
            </w:pPr>
          </w:p>
          <w:p w14:paraId="5F24635C" w14:textId="77777777" w:rsidR="00246D13" w:rsidRPr="00B307B2" w:rsidRDefault="00246D13" w:rsidP="004D33AF">
            <w:pPr>
              <w:rPr>
                <w:rFonts w:asciiTheme="majorBidi" w:hAnsiTheme="majorBidi" w:cstheme="majorBidi"/>
                <w:b/>
                <w:bCs/>
                <w:lang w:val="fr-FR"/>
              </w:rPr>
            </w:pPr>
          </w:p>
          <w:p w14:paraId="1204A308" w14:textId="77777777" w:rsidR="00246D13" w:rsidRPr="00B307B2" w:rsidRDefault="00246D13" w:rsidP="004D33AF">
            <w:pPr>
              <w:rPr>
                <w:rFonts w:asciiTheme="majorBidi" w:hAnsiTheme="majorBidi" w:cstheme="majorBidi"/>
                <w:b/>
                <w:bCs/>
                <w:lang w:val="fr-FR"/>
              </w:rPr>
            </w:pPr>
          </w:p>
          <w:p w14:paraId="56EF1EE1" w14:textId="77777777" w:rsidR="00246D13" w:rsidRPr="00B307B2" w:rsidRDefault="00246D13" w:rsidP="004D33AF">
            <w:pPr>
              <w:rPr>
                <w:rFonts w:asciiTheme="majorBidi" w:hAnsiTheme="majorBidi" w:cstheme="majorBidi"/>
                <w:b/>
                <w:bCs/>
                <w:lang w:val="fr-FR"/>
              </w:rPr>
            </w:pPr>
          </w:p>
          <w:p w14:paraId="2E8087B0" w14:textId="77777777" w:rsidR="00246D13" w:rsidRPr="00B307B2" w:rsidRDefault="00246D13" w:rsidP="004D33AF">
            <w:pPr>
              <w:rPr>
                <w:rFonts w:asciiTheme="majorBidi" w:hAnsiTheme="majorBidi" w:cstheme="majorBidi"/>
                <w:b/>
                <w:bCs/>
                <w:lang w:val="fr-FR"/>
              </w:rPr>
            </w:pPr>
          </w:p>
          <w:p w14:paraId="13E23EA3" w14:textId="77777777" w:rsidR="00246D13" w:rsidRPr="00B307B2" w:rsidRDefault="00246D13" w:rsidP="004D33AF">
            <w:pPr>
              <w:rPr>
                <w:rFonts w:asciiTheme="majorBidi" w:hAnsiTheme="majorBidi" w:cstheme="majorBidi"/>
                <w:b/>
                <w:bCs/>
                <w:lang w:val="fr-FR"/>
              </w:rPr>
            </w:pPr>
          </w:p>
          <w:p w14:paraId="6989A291" w14:textId="77777777" w:rsidR="00246D13" w:rsidRPr="00B307B2" w:rsidRDefault="00246D13" w:rsidP="004D33AF">
            <w:pPr>
              <w:rPr>
                <w:rFonts w:asciiTheme="majorBidi" w:hAnsiTheme="majorBidi" w:cstheme="majorBidi"/>
                <w:b/>
                <w:bCs/>
                <w:lang w:val="fr-FR"/>
              </w:rPr>
            </w:pPr>
          </w:p>
          <w:p w14:paraId="602E8D15" w14:textId="77777777" w:rsidR="00246D13" w:rsidRPr="00B307B2" w:rsidRDefault="00246D13" w:rsidP="004D33AF">
            <w:pPr>
              <w:rPr>
                <w:rFonts w:asciiTheme="majorBidi" w:hAnsiTheme="majorBidi" w:cstheme="majorBidi"/>
                <w:b/>
                <w:bCs/>
                <w:lang w:val="fr-FR"/>
              </w:rPr>
            </w:pPr>
          </w:p>
          <w:p w14:paraId="74E75ADB" w14:textId="77777777" w:rsidR="00246D13" w:rsidRPr="00B307B2" w:rsidRDefault="00246D13" w:rsidP="004D33AF">
            <w:pPr>
              <w:rPr>
                <w:rFonts w:asciiTheme="majorBidi" w:hAnsiTheme="majorBidi" w:cstheme="majorBidi"/>
                <w:b/>
                <w:bCs/>
                <w:lang w:val="fr-FR"/>
              </w:rPr>
            </w:pPr>
          </w:p>
          <w:p w14:paraId="6A9589E7" w14:textId="77777777" w:rsidR="00246D13" w:rsidRPr="00B307B2" w:rsidRDefault="00246D13" w:rsidP="004D33AF">
            <w:pPr>
              <w:rPr>
                <w:rFonts w:asciiTheme="majorBidi" w:hAnsiTheme="majorBidi" w:cstheme="majorBidi"/>
                <w:b/>
                <w:bCs/>
                <w:lang w:val="fr-FR"/>
              </w:rPr>
            </w:pPr>
          </w:p>
          <w:p w14:paraId="05D856FC" w14:textId="77777777" w:rsidR="00246D13" w:rsidRPr="00B307B2" w:rsidRDefault="00246D13" w:rsidP="004D33AF">
            <w:pPr>
              <w:rPr>
                <w:rFonts w:asciiTheme="majorBidi" w:hAnsiTheme="majorBidi" w:cstheme="majorBidi"/>
                <w:b/>
                <w:bCs/>
                <w:lang w:val="fr-FR"/>
              </w:rPr>
            </w:pPr>
          </w:p>
          <w:p w14:paraId="578DC2E2" w14:textId="77777777" w:rsidR="00246D13" w:rsidRPr="00B307B2" w:rsidRDefault="00246D13" w:rsidP="004D33AF">
            <w:pPr>
              <w:rPr>
                <w:rFonts w:asciiTheme="majorBidi" w:hAnsiTheme="majorBidi" w:cstheme="majorBidi"/>
                <w:b/>
                <w:bCs/>
                <w:lang w:val="fr-FR"/>
              </w:rPr>
            </w:pPr>
          </w:p>
          <w:p w14:paraId="747A40EC" w14:textId="77777777" w:rsidR="00246D13" w:rsidRPr="00B307B2" w:rsidRDefault="00246D13" w:rsidP="004D33AF">
            <w:pPr>
              <w:rPr>
                <w:rFonts w:asciiTheme="majorBidi" w:hAnsiTheme="majorBidi" w:cstheme="majorBidi"/>
                <w:b/>
                <w:bCs/>
                <w:lang w:val="fr-FR"/>
              </w:rPr>
            </w:pPr>
          </w:p>
          <w:p w14:paraId="1119A25C" w14:textId="77777777" w:rsidR="00246D13" w:rsidRPr="00B307B2" w:rsidRDefault="00246D13" w:rsidP="004D33AF">
            <w:pPr>
              <w:rPr>
                <w:rFonts w:asciiTheme="majorBidi" w:hAnsiTheme="majorBidi" w:cstheme="majorBidi"/>
                <w:b/>
                <w:bCs/>
                <w:lang w:val="fr-FR"/>
              </w:rPr>
            </w:pPr>
          </w:p>
          <w:p w14:paraId="1F766A62" w14:textId="77777777" w:rsidR="00246D13" w:rsidRPr="00B307B2" w:rsidRDefault="00246D13" w:rsidP="004D33AF">
            <w:pPr>
              <w:rPr>
                <w:rFonts w:asciiTheme="majorBidi" w:hAnsiTheme="majorBidi" w:cstheme="majorBidi"/>
                <w:b/>
                <w:bCs/>
                <w:lang w:val="fr-FR"/>
              </w:rPr>
            </w:pPr>
          </w:p>
          <w:p w14:paraId="1CDBE59B" w14:textId="77777777" w:rsidR="00246D13" w:rsidRPr="00B307B2" w:rsidRDefault="00246D13" w:rsidP="004D33AF">
            <w:pPr>
              <w:rPr>
                <w:rFonts w:asciiTheme="majorBidi" w:hAnsiTheme="majorBidi" w:cstheme="majorBidi"/>
                <w:b/>
                <w:bCs/>
                <w:lang w:val="fr-FR"/>
              </w:rPr>
            </w:pPr>
          </w:p>
          <w:p w14:paraId="3B042108" w14:textId="77777777" w:rsidR="00246D13" w:rsidRPr="00B307B2" w:rsidRDefault="00246D13" w:rsidP="004D33AF">
            <w:pPr>
              <w:rPr>
                <w:rFonts w:asciiTheme="majorBidi" w:hAnsiTheme="majorBidi" w:cstheme="majorBidi"/>
                <w:b/>
                <w:bCs/>
                <w:lang w:val="fr-FR"/>
              </w:rPr>
            </w:pPr>
          </w:p>
          <w:p w14:paraId="287412D0" w14:textId="77777777" w:rsidR="00246D13" w:rsidRPr="00B307B2" w:rsidRDefault="00246D13" w:rsidP="004D33AF">
            <w:pPr>
              <w:ind w:left="113"/>
              <w:rPr>
                <w:rFonts w:asciiTheme="majorBidi" w:hAnsiTheme="majorBidi" w:cstheme="majorBidi"/>
                <w:u w:val="single"/>
                <w:lang w:val="fr-FR"/>
              </w:rPr>
            </w:pPr>
            <w:r w:rsidRPr="00B307B2">
              <w:rPr>
                <w:b/>
                <w:bCs/>
                <w:lang w:val="fr-FR"/>
              </w:rPr>
              <w:t>Date d</w:t>
            </w:r>
            <w:r>
              <w:rPr>
                <w:b/>
                <w:bCs/>
                <w:lang w:val="fr-FR"/>
              </w:rPr>
              <w:t>’</w:t>
            </w:r>
            <w:r w:rsidRPr="00B307B2">
              <w:rPr>
                <w:b/>
                <w:bCs/>
                <w:lang w:val="fr-FR"/>
              </w:rPr>
              <w:t>expiration :</w:t>
            </w:r>
            <w:r w:rsidRPr="00B307B2">
              <w:rPr>
                <w:lang w:val="fr-FR"/>
              </w:rPr>
              <w:t xml:space="preserve"> </w:t>
            </w:r>
          </w:p>
        </w:tc>
        <w:tc>
          <w:tcPr>
            <w:tcW w:w="6521" w:type="dxa"/>
          </w:tcPr>
          <w:p w14:paraId="0802866A" w14:textId="77777777" w:rsidR="00246D13" w:rsidRPr="00B307B2" w:rsidRDefault="00246D13" w:rsidP="004D33AF">
            <w:pPr>
              <w:rPr>
                <w:rFonts w:asciiTheme="majorBidi" w:hAnsiTheme="majorBidi" w:cstheme="majorBidi"/>
                <w:u w:val="single"/>
                <w:lang w:val="fr-FR"/>
              </w:rPr>
            </w:pPr>
            <w:r w:rsidRPr="00B307B2">
              <w:rPr>
                <w:rFonts w:asciiTheme="majorBidi" w:hAnsiTheme="majorBidi" w:cstheme="majorBidi"/>
                <w:b/>
                <w:noProof/>
                <w:sz w:val="18"/>
                <w:szCs w:val="18"/>
                <w:lang w:val="fr-FR"/>
              </w:rPr>
              <mc:AlternateContent>
                <mc:Choice Requires="wpg">
                  <w:drawing>
                    <wp:anchor distT="0" distB="0" distL="114300" distR="114300" simplePos="0" relativeHeight="251658258" behindDoc="1" locked="0" layoutInCell="1" allowOverlap="1" wp14:anchorId="2F44D481" wp14:editId="7E992AE8">
                      <wp:simplePos x="0" y="0"/>
                      <wp:positionH relativeFrom="column">
                        <wp:posOffset>1250863</wp:posOffset>
                      </wp:positionH>
                      <wp:positionV relativeFrom="paragraph">
                        <wp:posOffset>61595</wp:posOffset>
                      </wp:positionV>
                      <wp:extent cx="1627200" cy="784800"/>
                      <wp:effectExtent l="0" t="0" r="0" b="0"/>
                      <wp:wrapTight wrapText="bothSides">
                        <wp:wrapPolygon edited="0">
                          <wp:start x="15681" y="0"/>
                          <wp:lineTo x="5059" y="0"/>
                          <wp:lineTo x="506" y="2623"/>
                          <wp:lineTo x="0" y="9969"/>
                          <wp:lineTo x="0" y="11019"/>
                          <wp:lineTo x="4300" y="20988"/>
                          <wp:lineTo x="16946" y="20988"/>
                          <wp:lineTo x="21246" y="11019"/>
                          <wp:lineTo x="21246" y="9969"/>
                          <wp:lineTo x="16693" y="0"/>
                          <wp:lineTo x="15681" y="0"/>
                        </wp:wrapPolygon>
                      </wp:wrapTight>
                      <wp:docPr id="23" name="Group 23"/>
                      <wp:cNvGraphicFramePr/>
                      <a:graphic xmlns:a="http://schemas.openxmlformats.org/drawingml/2006/main">
                        <a:graphicData uri="http://schemas.microsoft.com/office/word/2010/wordprocessingGroup">
                          <wpg:wgp>
                            <wpg:cNvGrpSpPr/>
                            <wpg:grpSpPr>
                              <a:xfrm>
                                <a:off x="0" y="0"/>
                                <a:ext cx="1627200" cy="784800"/>
                                <a:chOff x="0" y="0"/>
                                <a:chExt cx="1626321" cy="784213"/>
                              </a:xfrm>
                            </wpg:grpSpPr>
                            <pic:pic xmlns:pic="http://schemas.openxmlformats.org/drawingml/2006/picture">
                              <pic:nvPicPr>
                                <pic:cNvPr id="368" name="Picture 1370"/>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52256" y="0"/>
                                  <a:ext cx="774065" cy="774065"/>
                                </a:xfrm>
                                <a:prstGeom prst="rect">
                                  <a:avLst/>
                                </a:prstGeom>
                                <a:noFill/>
                              </pic:spPr>
                            </pic:pic>
                            <pic:pic xmlns:pic="http://schemas.openxmlformats.org/drawingml/2006/picture">
                              <pic:nvPicPr>
                                <pic:cNvPr id="369" name="Picture 137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8878"/>
                                  <a:ext cx="775335" cy="77533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CAAB218" id="Group 23" o:spid="_x0000_s1026" style="position:absolute;margin-left:98.5pt;margin-top:4.85pt;width:128.15pt;height:61.8pt;z-index:-251637760;mso-width-relative:margin;mso-height-relative:margin" coordsize="16263,784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">
                      <v:shape id="Picture 1370" o:spid="_x0000_s1027" type="#_x0000_t75" style="position:absolute;left:8522;width:7741;height: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">
                        <v:imagedata r:id="rId41" o:title=""/>
                      </v:shape>
                      <v:shape id="Picture 1371" o:spid="_x0000_s1028" type="#_x0000_t75" style="position:absolute;top:88;width:7753;height:7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">
                        <v:imagedata r:id="rId30" o:title=""/>
                      </v:shape>
                      <w10:wrap type="tight"/>
                    </v:group>
                  </w:pict>
                </mc:Fallback>
              </mc:AlternateContent>
            </w:r>
          </w:p>
        </w:tc>
        <w:tc>
          <w:tcPr>
            <w:tcW w:w="3015" w:type="dxa"/>
            <w:vMerge w:val="restart"/>
          </w:tcPr>
          <w:p w14:paraId="63EB439B" w14:textId="77777777" w:rsidR="00246D13" w:rsidRPr="00B307B2" w:rsidRDefault="00246D13" w:rsidP="004D33AF">
            <w:pPr>
              <w:jc w:val="center"/>
              <w:rPr>
                <w:rFonts w:asciiTheme="majorBidi" w:hAnsiTheme="majorBidi" w:cstheme="majorBidi"/>
                <w:b/>
                <w:bCs/>
                <w:lang w:val="fr-FR"/>
              </w:rPr>
            </w:pPr>
            <w:r w:rsidRPr="00B307B2">
              <w:rPr>
                <w:rFonts w:asciiTheme="majorBidi" w:hAnsiTheme="majorBidi" w:cstheme="majorBidi"/>
                <w:b/>
                <w:noProof/>
                <w:sz w:val="18"/>
                <w:szCs w:val="18"/>
                <w:lang w:val="fr-FR"/>
              </w:rPr>
              <w:drawing>
                <wp:anchor distT="0" distB="0" distL="114300" distR="114300" simplePos="0" relativeHeight="251658259" behindDoc="1" locked="0" layoutInCell="1" allowOverlap="1" wp14:anchorId="55100283" wp14:editId="623D3BB9">
                  <wp:simplePos x="0" y="0"/>
                  <wp:positionH relativeFrom="page">
                    <wp:posOffset>549</wp:posOffset>
                  </wp:positionH>
                  <wp:positionV relativeFrom="paragraph">
                    <wp:posOffset>235</wp:posOffset>
                  </wp:positionV>
                  <wp:extent cx="1886400" cy="1897200"/>
                  <wp:effectExtent l="0" t="0" r="0" b="8255"/>
                  <wp:wrapTight wrapText="bothSides">
                    <wp:wrapPolygon edited="0">
                      <wp:start x="0" y="0"/>
                      <wp:lineTo x="0" y="21477"/>
                      <wp:lineTo x="21382" y="21477"/>
                      <wp:lineTo x="21382"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86400" cy="1897200"/>
                          </a:xfrm>
                          <a:prstGeom prst="rect">
                            <a:avLst/>
                          </a:prstGeom>
                          <a:noFill/>
                        </pic:spPr>
                      </pic:pic>
                    </a:graphicData>
                  </a:graphic>
                  <wp14:sizeRelH relativeFrom="page">
                    <wp14:pctWidth>0</wp14:pctWidth>
                  </wp14:sizeRelH>
                  <wp14:sizeRelV relativeFrom="page">
                    <wp14:pctHeight>0</wp14:pctHeight>
                  </wp14:sizeRelV>
                </wp:anchor>
              </w:drawing>
            </w:r>
            <w:r w:rsidRPr="00B307B2">
              <w:rPr>
                <w:b/>
                <w:bCs/>
                <w:lang w:val="fr-FR"/>
              </w:rPr>
              <w:t>Numéro ONU</w:t>
            </w:r>
          </w:p>
          <w:p w14:paraId="538D8CDD" w14:textId="77777777" w:rsidR="00246D13" w:rsidRPr="00B307B2" w:rsidRDefault="00246D13" w:rsidP="004D33AF">
            <w:pPr>
              <w:jc w:val="center"/>
              <w:rPr>
                <w:rFonts w:asciiTheme="majorBidi" w:hAnsiTheme="majorBidi" w:cstheme="majorBidi"/>
                <w:u w:val="single"/>
                <w:lang w:val="fr-FR"/>
              </w:rPr>
            </w:pPr>
            <w:r w:rsidRPr="00B307B2">
              <w:rPr>
                <w:b/>
                <w:bCs/>
                <w:lang w:val="fr-FR"/>
              </w:rPr>
              <w:t>Désignation officielle de transport</w:t>
            </w:r>
            <w:r w:rsidRPr="00B307B2">
              <w:rPr>
                <w:lang w:val="fr-FR"/>
              </w:rPr>
              <w:t xml:space="preserve"> </w:t>
            </w:r>
          </w:p>
        </w:tc>
      </w:tr>
      <w:tr w:rsidR="00246D13" w:rsidRPr="00B307B2" w14:paraId="3DD414F9" w14:textId="77777777" w:rsidTr="004D33AF">
        <w:tc>
          <w:tcPr>
            <w:tcW w:w="3946" w:type="dxa"/>
            <w:vMerge/>
          </w:tcPr>
          <w:p w14:paraId="5F18DE82" w14:textId="77777777" w:rsidR="00246D13" w:rsidRPr="00B307B2" w:rsidRDefault="00246D13" w:rsidP="004D33AF">
            <w:pPr>
              <w:rPr>
                <w:rFonts w:asciiTheme="majorBidi" w:hAnsiTheme="majorBidi" w:cstheme="majorBidi"/>
                <w:u w:val="single"/>
                <w:lang w:val="fr-FR"/>
              </w:rPr>
            </w:pPr>
          </w:p>
        </w:tc>
        <w:tc>
          <w:tcPr>
            <w:tcW w:w="6521" w:type="dxa"/>
          </w:tcPr>
          <w:p w14:paraId="581CFEA9" w14:textId="77777777" w:rsidR="00246D13" w:rsidRPr="00B307B2" w:rsidRDefault="00246D13" w:rsidP="004D33AF">
            <w:pPr>
              <w:spacing w:before="40" w:line="228" w:lineRule="auto"/>
              <w:jc w:val="center"/>
              <w:rPr>
                <w:rFonts w:asciiTheme="majorBidi" w:hAnsiTheme="majorBidi" w:cstheme="majorBidi"/>
                <w:u w:val="single"/>
                <w:lang w:val="fr-FR"/>
              </w:rPr>
            </w:pPr>
            <w:r w:rsidRPr="00B307B2">
              <w:rPr>
                <w:b/>
                <w:bCs/>
                <w:lang w:val="fr-FR"/>
              </w:rPr>
              <w:t>Danger</w:t>
            </w:r>
          </w:p>
        </w:tc>
        <w:tc>
          <w:tcPr>
            <w:tcW w:w="3015" w:type="dxa"/>
            <w:vMerge/>
          </w:tcPr>
          <w:p w14:paraId="6B6286A3" w14:textId="77777777" w:rsidR="00246D13" w:rsidRPr="00B307B2" w:rsidRDefault="00246D13" w:rsidP="004D33AF">
            <w:pPr>
              <w:jc w:val="center"/>
              <w:rPr>
                <w:rFonts w:asciiTheme="majorBidi" w:hAnsiTheme="majorBidi" w:cstheme="majorBidi"/>
                <w:u w:val="single"/>
                <w:lang w:val="fr-FR"/>
              </w:rPr>
            </w:pPr>
          </w:p>
        </w:tc>
      </w:tr>
      <w:tr w:rsidR="00246D13" w:rsidRPr="00B307B2" w14:paraId="65AAB498" w14:textId="77777777" w:rsidTr="004D33AF">
        <w:tc>
          <w:tcPr>
            <w:tcW w:w="3946" w:type="dxa"/>
            <w:vMerge/>
          </w:tcPr>
          <w:p w14:paraId="0C3574BE" w14:textId="77777777" w:rsidR="00246D13" w:rsidRPr="00B307B2" w:rsidRDefault="00246D13" w:rsidP="004D33AF">
            <w:pPr>
              <w:rPr>
                <w:rFonts w:asciiTheme="majorBidi" w:hAnsiTheme="majorBidi" w:cstheme="majorBidi"/>
                <w:u w:val="single"/>
                <w:lang w:val="fr-FR"/>
              </w:rPr>
            </w:pPr>
          </w:p>
        </w:tc>
        <w:tc>
          <w:tcPr>
            <w:tcW w:w="6521" w:type="dxa"/>
          </w:tcPr>
          <w:p w14:paraId="79CC6028" w14:textId="77777777" w:rsidR="00246D13" w:rsidRPr="00B307B2" w:rsidRDefault="00246D13" w:rsidP="004D33AF">
            <w:pPr>
              <w:spacing w:before="40" w:line="228" w:lineRule="auto"/>
              <w:ind w:left="1417"/>
              <w:rPr>
                <w:rFonts w:asciiTheme="majorBidi" w:hAnsiTheme="majorBidi" w:cstheme="majorBidi"/>
                <w:b/>
                <w:sz w:val="18"/>
                <w:szCs w:val="18"/>
                <w:lang w:val="fr-FR"/>
              </w:rPr>
            </w:pPr>
          </w:p>
        </w:tc>
        <w:tc>
          <w:tcPr>
            <w:tcW w:w="3015" w:type="dxa"/>
            <w:vMerge/>
          </w:tcPr>
          <w:p w14:paraId="3091D525" w14:textId="77777777" w:rsidR="00246D13" w:rsidRPr="00B307B2" w:rsidRDefault="00246D13" w:rsidP="004D33AF">
            <w:pPr>
              <w:rPr>
                <w:rFonts w:asciiTheme="majorBidi" w:hAnsiTheme="majorBidi" w:cstheme="majorBidi"/>
                <w:u w:val="single"/>
                <w:lang w:val="fr-FR"/>
              </w:rPr>
            </w:pPr>
          </w:p>
        </w:tc>
      </w:tr>
      <w:tr w:rsidR="00246D13" w:rsidRPr="00CA3DB2" w14:paraId="114975A8" w14:textId="77777777" w:rsidTr="004D33AF">
        <w:trPr>
          <w:trHeight w:val="4879"/>
        </w:trPr>
        <w:tc>
          <w:tcPr>
            <w:tcW w:w="3946" w:type="dxa"/>
            <w:vMerge/>
          </w:tcPr>
          <w:p w14:paraId="60DF2859" w14:textId="77777777" w:rsidR="00246D13" w:rsidRPr="00B307B2" w:rsidRDefault="00246D13" w:rsidP="004D33AF">
            <w:pPr>
              <w:rPr>
                <w:rFonts w:asciiTheme="majorBidi" w:hAnsiTheme="majorBidi" w:cstheme="majorBidi"/>
                <w:u w:val="single"/>
                <w:lang w:val="fr-FR"/>
              </w:rPr>
            </w:pPr>
          </w:p>
        </w:tc>
        <w:tc>
          <w:tcPr>
            <w:tcW w:w="6521" w:type="dxa"/>
          </w:tcPr>
          <w:p w14:paraId="6C1BC535" w14:textId="77777777" w:rsidR="00246D13" w:rsidRPr="00B307B2" w:rsidRDefault="00246D13" w:rsidP="004D33AF">
            <w:pPr>
              <w:rPr>
                <w:rFonts w:asciiTheme="majorBidi" w:hAnsiTheme="majorBidi" w:cstheme="majorBidi"/>
                <w:b/>
                <w:sz w:val="18"/>
                <w:szCs w:val="18"/>
                <w:lang w:val="fr-FR"/>
              </w:rPr>
            </w:pPr>
            <w:r w:rsidRPr="00B307B2">
              <w:rPr>
                <w:b/>
                <w:bCs/>
                <w:lang w:val="fr-FR"/>
              </w:rPr>
              <w:t>Liquide et vapeur extrêmement inflammables</w:t>
            </w:r>
            <w:r w:rsidRPr="00C04ED8">
              <w:rPr>
                <w:b/>
                <w:bCs/>
                <w:lang w:val="fr-FR"/>
              </w:rPr>
              <w:t>.</w:t>
            </w:r>
          </w:p>
          <w:p w14:paraId="00696B28" w14:textId="77777777" w:rsidR="00246D13" w:rsidRPr="00B307B2" w:rsidRDefault="00246D13" w:rsidP="004D33AF">
            <w:pPr>
              <w:rPr>
                <w:rFonts w:asciiTheme="majorBidi" w:hAnsiTheme="majorBidi" w:cstheme="majorBidi"/>
                <w:b/>
                <w:sz w:val="18"/>
                <w:szCs w:val="18"/>
                <w:lang w:val="fr-FR"/>
              </w:rPr>
            </w:pPr>
            <w:r w:rsidRPr="00B307B2">
              <w:rPr>
                <w:b/>
                <w:bCs/>
                <w:lang w:val="fr-FR"/>
              </w:rPr>
              <w:t>Nocif par inhalation</w:t>
            </w:r>
            <w:r w:rsidRPr="00C04ED8">
              <w:rPr>
                <w:b/>
                <w:bCs/>
                <w:lang w:val="fr-FR"/>
              </w:rPr>
              <w:t>.</w:t>
            </w:r>
          </w:p>
          <w:p w14:paraId="67409C65" w14:textId="77777777" w:rsidR="00246D13" w:rsidRPr="00B307B2" w:rsidRDefault="00246D13" w:rsidP="004D33AF">
            <w:pPr>
              <w:rPr>
                <w:rFonts w:asciiTheme="majorBidi" w:hAnsiTheme="majorBidi" w:cstheme="majorBidi"/>
                <w:b/>
                <w:sz w:val="18"/>
                <w:szCs w:val="18"/>
                <w:lang w:val="fr-FR"/>
              </w:rPr>
            </w:pPr>
            <w:r w:rsidRPr="00B307B2">
              <w:rPr>
                <w:b/>
                <w:bCs/>
                <w:lang w:val="fr-FR"/>
              </w:rPr>
              <w:t>Risque présumé d</w:t>
            </w:r>
            <w:r>
              <w:rPr>
                <w:b/>
                <w:bCs/>
                <w:lang w:val="fr-FR"/>
              </w:rPr>
              <w:t>’</w:t>
            </w:r>
            <w:r w:rsidRPr="00B307B2">
              <w:rPr>
                <w:b/>
                <w:bCs/>
                <w:lang w:val="fr-FR"/>
              </w:rPr>
              <w:t>effets graves pour le foie et les reins à la suite d</w:t>
            </w:r>
            <w:r>
              <w:rPr>
                <w:b/>
                <w:bCs/>
                <w:lang w:val="fr-FR"/>
              </w:rPr>
              <w:t>’</w:t>
            </w:r>
            <w:r w:rsidRPr="00B307B2">
              <w:rPr>
                <w:b/>
                <w:bCs/>
                <w:lang w:val="fr-FR"/>
              </w:rPr>
              <w:t>expositions répétées ou d</w:t>
            </w:r>
            <w:r>
              <w:rPr>
                <w:b/>
                <w:bCs/>
                <w:lang w:val="fr-FR"/>
              </w:rPr>
              <w:t>’</w:t>
            </w:r>
            <w:r w:rsidRPr="00B307B2">
              <w:rPr>
                <w:b/>
                <w:bCs/>
                <w:lang w:val="fr-FR"/>
              </w:rPr>
              <w:t>une exposition prolongée</w:t>
            </w:r>
            <w:r w:rsidRPr="00C04ED8">
              <w:rPr>
                <w:b/>
                <w:bCs/>
                <w:lang w:val="fr-FR"/>
              </w:rPr>
              <w:t>.</w:t>
            </w:r>
          </w:p>
          <w:p w14:paraId="34BCB7BE" w14:textId="77777777" w:rsidR="00246D13" w:rsidRPr="00B307B2" w:rsidRDefault="00246D13" w:rsidP="004D33AF">
            <w:pPr>
              <w:spacing w:before="80" w:after="20" w:line="240" w:lineRule="auto"/>
              <w:rPr>
                <w:rFonts w:asciiTheme="majorBidi" w:hAnsiTheme="majorBidi" w:cstheme="majorBidi"/>
                <w:color w:val="000000" w:themeColor="text1"/>
                <w:sz w:val="18"/>
                <w:szCs w:val="18"/>
                <w:lang w:val="fr-FR"/>
              </w:rPr>
            </w:pPr>
            <w:r w:rsidRPr="00B307B2">
              <w:rPr>
                <w:lang w:val="fr-FR"/>
              </w:rPr>
              <w:t>Maintenir le récipient fermé de manière étanche</w:t>
            </w:r>
            <w:r w:rsidRPr="00C04ED8">
              <w:rPr>
                <w:lang w:val="fr-FR"/>
              </w:rPr>
              <w:t>.</w:t>
            </w:r>
            <w:r w:rsidRPr="00B307B2">
              <w:rPr>
                <w:lang w:val="fr-FR"/>
              </w:rPr>
              <w:t xml:space="preserve"> </w:t>
            </w:r>
          </w:p>
          <w:p w14:paraId="46E1CF36" w14:textId="77777777" w:rsidR="00246D13" w:rsidRPr="00B307B2" w:rsidRDefault="00246D13" w:rsidP="004D33AF">
            <w:pPr>
              <w:spacing w:after="20" w:line="240" w:lineRule="auto"/>
              <w:rPr>
                <w:rFonts w:asciiTheme="majorBidi" w:hAnsiTheme="majorBidi" w:cstheme="majorBidi"/>
                <w:color w:val="000000" w:themeColor="text1"/>
                <w:sz w:val="18"/>
                <w:szCs w:val="18"/>
                <w:lang w:val="fr-FR"/>
              </w:rPr>
            </w:pPr>
            <w:r w:rsidRPr="00B307B2">
              <w:rPr>
                <w:lang w:val="fr-FR"/>
              </w:rPr>
              <w:t>Tenir à l</w:t>
            </w:r>
            <w:r>
              <w:rPr>
                <w:lang w:val="fr-FR"/>
              </w:rPr>
              <w:t>’</w:t>
            </w:r>
            <w:r w:rsidRPr="00B307B2">
              <w:rPr>
                <w:lang w:val="fr-FR"/>
              </w:rPr>
              <w:t>écart de la chaleur, des surfaces chaudes, des étincelles, des flammes nues et de toute autre source d</w:t>
            </w:r>
            <w:r>
              <w:rPr>
                <w:lang w:val="fr-FR"/>
              </w:rPr>
              <w:t>’</w:t>
            </w:r>
            <w:r w:rsidRPr="00B307B2">
              <w:rPr>
                <w:lang w:val="fr-FR"/>
              </w:rPr>
              <w:t>ignition</w:t>
            </w:r>
            <w:r w:rsidRPr="00C04ED8">
              <w:rPr>
                <w:lang w:val="fr-FR"/>
              </w:rPr>
              <w:t>.</w:t>
            </w:r>
            <w:r w:rsidRPr="00B307B2">
              <w:rPr>
                <w:lang w:val="fr-FR"/>
              </w:rPr>
              <w:t xml:space="preserve"> Ne pas fumer</w:t>
            </w:r>
            <w:r w:rsidRPr="00C04ED8">
              <w:rPr>
                <w:lang w:val="fr-FR"/>
              </w:rPr>
              <w:t>.</w:t>
            </w:r>
            <w:r w:rsidRPr="00B307B2">
              <w:rPr>
                <w:lang w:val="fr-FR"/>
              </w:rPr>
              <w:t xml:space="preserve"> Stocker dans un endroit bien ventilé</w:t>
            </w:r>
            <w:r w:rsidRPr="00C04ED8">
              <w:rPr>
                <w:lang w:val="fr-FR"/>
              </w:rPr>
              <w:t>.</w:t>
            </w:r>
            <w:r w:rsidRPr="00B307B2">
              <w:rPr>
                <w:lang w:val="fr-FR"/>
              </w:rPr>
              <w:t xml:space="preserve"> Tenir au frais</w:t>
            </w:r>
            <w:r w:rsidRPr="00C04ED8">
              <w:rPr>
                <w:lang w:val="fr-FR"/>
              </w:rPr>
              <w:t>.</w:t>
            </w:r>
            <w:r w:rsidRPr="00B307B2">
              <w:rPr>
                <w:lang w:val="fr-FR"/>
              </w:rPr>
              <w:t xml:space="preserve"> </w:t>
            </w:r>
          </w:p>
          <w:p w14:paraId="5FD726A1" w14:textId="77777777" w:rsidR="00246D13" w:rsidRPr="00B307B2" w:rsidRDefault="00246D13" w:rsidP="004D33AF">
            <w:pPr>
              <w:spacing w:after="20" w:line="240" w:lineRule="auto"/>
              <w:rPr>
                <w:rFonts w:asciiTheme="majorBidi" w:hAnsiTheme="majorBidi" w:cstheme="majorBidi"/>
                <w:color w:val="000000" w:themeColor="text1"/>
                <w:sz w:val="18"/>
                <w:szCs w:val="18"/>
                <w:lang w:val="fr-FR"/>
              </w:rPr>
            </w:pPr>
            <w:r w:rsidRPr="00B307B2">
              <w:rPr>
                <w:lang w:val="fr-FR"/>
              </w:rPr>
              <w:t>Mise à la terre et liaison équipotentielle du récipient et du matériel de réception</w:t>
            </w:r>
            <w:r w:rsidRPr="00C04ED8">
              <w:rPr>
                <w:lang w:val="fr-FR"/>
              </w:rPr>
              <w:t>.</w:t>
            </w:r>
            <w:r w:rsidRPr="00B307B2">
              <w:rPr>
                <w:lang w:val="fr-FR"/>
              </w:rPr>
              <w:t xml:space="preserve"> </w:t>
            </w:r>
          </w:p>
          <w:p w14:paraId="5BF1CA6D" w14:textId="77777777" w:rsidR="00246D13" w:rsidRPr="00B307B2" w:rsidRDefault="00246D13" w:rsidP="004D33AF">
            <w:pPr>
              <w:spacing w:after="20" w:line="240" w:lineRule="auto"/>
              <w:rPr>
                <w:rFonts w:asciiTheme="majorBidi" w:hAnsiTheme="majorBidi" w:cstheme="majorBidi"/>
                <w:color w:val="000000" w:themeColor="text1"/>
                <w:sz w:val="18"/>
                <w:szCs w:val="18"/>
                <w:lang w:val="fr-FR"/>
              </w:rPr>
            </w:pPr>
            <w:r w:rsidRPr="00B307B2">
              <w:rPr>
                <w:lang w:val="fr-FR"/>
              </w:rPr>
              <w:t>Utiliser un système de ventilation antidéflagrant</w:t>
            </w:r>
            <w:r w:rsidRPr="00C04ED8">
              <w:rPr>
                <w:lang w:val="fr-FR"/>
              </w:rPr>
              <w:t>.</w:t>
            </w:r>
            <w:r w:rsidRPr="00B307B2">
              <w:rPr>
                <w:lang w:val="fr-FR"/>
              </w:rPr>
              <w:t xml:space="preserve"> </w:t>
            </w:r>
          </w:p>
          <w:p w14:paraId="65EF8C90" w14:textId="77777777" w:rsidR="00246D13" w:rsidRPr="00B307B2" w:rsidRDefault="00246D13" w:rsidP="004D33AF">
            <w:pPr>
              <w:spacing w:after="20" w:line="240" w:lineRule="auto"/>
              <w:rPr>
                <w:rFonts w:asciiTheme="majorBidi" w:hAnsiTheme="majorBidi" w:cstheme="majorBidi"/>
                <w:bCs/>
                <w:sz w:val="18"/>
                <w:szCs w:val="18"/>
                <w:lang w:val="fr-FR"/>
              </w:rPr>
            </w:pPr>
            <w:r w:rsidRPr="00B307B2">
              <w:rPr>
                <w:lang w:val="fr-FR"/>
              </w:rPr>
              <w:t>Utiliser des outils ne produisant pas d</w:t>
            </w:r>
            <w:r>
              <w:rPr>
                <w:lang w:val="fr-FR"/>
              </w:rPr>
              <w:t>’</w:t>
            </w:r>
            <w:r w:rsidRPr="00B307B2">
              <w:rPr>
                <w:lang w:val="fr-FR"/>
              </w:rPr>
              <w:t>étincelles</w:t>
            </w:r>
            <w:r w:rsidRPr="00C04ED8">
              <w:rPr>
                <w:lang w:val="fr-FR"/>
              </w:rPr>
              <w:t>.</w:t>
            </w:r>
          </w:p>
          <w:p w14:paraId="31F06FC4" w14:textId="77777777" w:rsidR="00246D13" w:rsidRPr="00B307B2" w:rsidRDefault="00246D13" w:rsidP="004D33AF">
            <w:pPr>
              <w:spacing w:after="20" w:line="240" w:lineRule="auto"/>
              <w:rPr>
                <w:rFonts w:asciiTheme="majorBidi" w:hAnsiTheme="majorBidi" w:cstheme="majorBidi"/>
                <w:sz w:val="18"/>
                <w:szCs w:val="18"/>
                <w:lang w:val="fr-FR"/>
              </w:rPr>
            </w:pPr>
            <w:r w:rsidRPr="00B307B2">
              <w:rPr>
                <w:lang w:val="fr-FR"/>
              </w:rPr>
              <w:t>EN CAS DE CONTACT AVEC LA PEAU (ou les cheveux) : Enlever immédiatement tous les vêtements contaminés</w:t>
            </w:r>
            <w:r w:rsidRPr="00C04ED8">
              <w:rPr>
                <w:lang w:val="fr-FR"/>
              </w:rPr>
              <w:t>.</w:t>
            </w:r>
            <w:r w:rsidRPr="00B307B2">
              <w:rPr>
                <w:lang w:val="fr-FR"/>
              </w:rPr>
              <w:t xml:space="preserve"> Rincer les zones touchées à l</w:t>
            </w:r>
            <w:r>
              <w:rPr>
                <w:lang w:val="fr-FR"/>
              </w:rPr>
              <w:t>’</w:t>
            </w:r>
            <w:r w:rsidRPr="00B307B2">
              <w:rPr>
                <w:lang w:val="fr-FR"/>
              </w:rPr>
              <w:t>eau ou se doucher</w:t>
            </w:r>
            <w:r w:rsidRPr="00C04ED8">
              <w:rPr>
                <w:lang w:val="fr-FR"/>
              </w:rPr>
              <w:t>.</w:t>
            </w:r>
          </w:p>
          <w:p w14:paraId="6FFC8AEA" w14:textId="77777777" w:rsidR="00246D13" w:rsidRPr="00B307B2" w:rsidRDefault="00246D13" w:rsidP="004D33AF">
            <w:pPr>
              <w:spacing w:after="20" w:line="240" w:lineRule="auto"/>
              <w:rPr>
                <w:rFonts w:asciiTheme="majorBidi" w:hAnsiTheme="majorBidi" w:cstheme="majorBidi"/>
                <w:bCs/>
                <w:sz w:val="18"/>
                <w:szCs w:val="18"/>
                <w:lang w:val="fr-FR"/>
              </w:rPr>
            </w:pPr>
            <w:r w:rsidRPr="00B307B2">
              <w:rPr>
                <w:lang w:val="fr-FR"/>
              </w:rPr>
              <w:t>En cas d</w:t>
            </w:r>
            <w:r>
              <w:rPr>
                <w:lang w:val="fr-FR"/>
              </w:rPr>
              <w:t>’</w:t>
            </w:r>
            <w:r w:rsidRPr="00B307B2">
              <w:rPr>
                <w:lang w:val="fr-FR"/>
              </w:rPr>
              <w:t>incendie : Utiliser un produit chimique sec ou du dioxyde de carbone pour l</w:t>
            </w:r>
            <w:r>
              <w:rPr>
                <w:lang w:val="fr-FR"/>
              </w:rPr>
              <w:t>’</w:t>
            </w:r>
            <w:r w:rsidRPr="00B307B2">
              <w:rPr>
                <w:lang w:val="fr-FR"/>
              </w:rPr>
              <w:t>extinction</w:t>
            </w:r>
            <w:r w:rsidRPr="00C04ED8">
              <w:rPr>
                <w:lang w:val="fr-FR"/>
              </w:rPr>
              <w:t>.</w:t>
            </w:r>
          </w:p>
          <w:p w14:paraId="466A359C" w14:textId="77777777" w:rsidR="00246D13" w:rsidRPr="00B307B2" w:rsidRDefault="00246D13" w:rsidP="004D33AF">
            <w:pPr>
              <w:spacing w:after="20" w:line="240" w:lineRule="auto"/>
              <w:rPr>
                <w:rFonts w:asciiTheme="majorBidi" w:hAnsiTheme="majorBidi" w:cstheme="majorBidi"/>
                <w:color w:val="000000" w:themeColor="text1"/>
                <w:sz w:val="18"/>
                <w:szCs w:val="18"/>
                <w:lang w:val="fr-FR"/>
              </w:rPr>
            </w:pPr>
            <w:r w:rsidRPr="00B307B2">
              <w:rPr>
                <w:lang w:val="fr-FR"/>
              </w:rPr>
              <w:t>Prendre des mesures contre les décharges électrostatiques</w:t>
            </w:r>
            <w:r w:rsidRPr="00C04ED8">
              <w:rPr>
                <w:lang w:val="fr-FR"/>
              </w:rPr>
              <w:t>.</w:t>
            </w:r>
          </w:p>
          <w:p w14:paraId="73976C39" w14:textId="77777777" w:rsidR="00246D13" w:rsidRPr="00B307B2" w:rsidRDefault="00246D13" w:rsidP="004D33AF">
            <w:pPr>
              <w:spacing w:after="20" w:line="240" w:lineRule="auto"/>
              <w:rPr>
                <w:rFonts w:asciiTheme="majorBidi" w:hAnsiTheme="majorBidi" w:cstheme="majorBidi"/>
                <w:color w:val="000000" w:themeColor="text1"/>
                <w:sz w:val="18"/>
                <w:szCs w:val="18"/>
                <w:lang w:val="fr-FR"/>
              </w:rPr>
            </w:pPr>
            <w:r w:rsidRPr="00B307B2">
              <w:rPr>
                <w:lang w:val="fr-FR"/>
              </w:rPr>
              <w:t>Utiliser seulement en plein air ou dans un endroit bien ventilé</w:t>
            </w:r>
            <w:r w:rsidRPr="00C04ED8">
              <w:rPr>
                <w:lang w:val="fr-FR"/>
              </w:rPr>
              <w:t>.</w:t>
            </w:r>
          </w:p>
          <w:p w14:paraId="131FBCA6" w14:textId="77777777" w:rsidR="00246D13" w:rsidRPr="00B307B2" w:rsidRDefault="00246D13" w:rsidP="004D33AF">
            <w:pPr>
              <w:spacing w:after="20" w:line="240" w:lineRule="auto"/>
              <w:rPr>
                <w:rFonts w:asciiTheme="majorBidi" w:hAnsiTheme="majorBidi" w:cstheme="majorBidi"/>
                <w:color w:val="000000" w:themeColor="text1"/>
                <w:sz w:val="18"/>
                <w:szCs w:val="18"/>
                <w:lang w:val="fr-FR"/>
              </w:rPr>
            </w:pPr>
            <w:r w:rsidRPr="00B307B2">
              <w:rPr>
                <w:lang w:val="fr-FR"/>
              </w:rPr>
              <w:t>Ne pas respirer les brouillards, les vapeurs ou les pulvérisations</w:t>
            </w:r>
            <w:r w:rsidRPr="00C04ED8">
              <w:rPr>
                <w:lang w:val="fr-FR"/>
              </w:rPr>
              <w:t>.</w:t>
            </w:r>
          </w:p>
          <w:p w14:paraId="4394DC2F" w14:textId="77777777" w:rsidR="00246D13" w:rsidRPr="00B307B2" w:rsidRDefault="00246D13" w:rsidP="004D33AF">
            <w:pPr>
              <w:spacing w:after="20" w:line="240" w:lineRule="auto"/>
              <w:rPr>
                <w:rFonts w:asciiTheme="majorBidi" w:hAnsiTheme="majorBidi" w:cstheme="majorBidi"/>
                <w:color w:val="000000" w:themeColor="text1"/>
                <w:sz w:val="18"/>
                <w:szCs w:val="18"/>
                <w:lang w:val="fr-FR"/>
              </w:rPr>
            </w:pPr>
            <w:r w:rsidRPr="00B307B2">
              <w:rPr>
                <w:lang w:val="fr-FR"/>
              </w:rPr>
              <w:t>Porter des gants de protection, des vêtements de protection, un équipement de protection des yeux et du visage</w:t>
            </w:r>
            <w:r w:rsidRPr="00C04ED8">
              <w:rPr>
                <w:lang w:val="fr-FR"/>
              </w:rPr>
              <w:t>.</w:t>
            </w:r>
            <w:bookmarkStart w:id="20" w:name="_Hlk121070518"/>
          </w:p>
          <w:bookmarkEnd w:id="20"/>
          <w:p w14:paraId="40CFD389" w14:textId="77777777" w:rsidR="00246D13" w:rsidRPr="00B307B2" w:rsidRDefault="00246D13" w:rsidP="004D33AF">
            <w:pPr>
              <w:spacing w:after="20" w:line="240" w:lineRule="auto"/>
              <w:rPr>
                <w:rFonts w:asciiTheme="majorBidi" w:hAnsiTheme="majorBidi" w:cstheme="majorBidi"/>
                <w:color w:val="000000" w:themeColor="text1"/>
                <w:sz w:val="18"/>
                <w:szCs w:val="18"/>
                <w:lang w:val="fr-FR"/>
              </w:rPr>
            </w:pPr>
            <w:r w:rsidRPr="00B307B2">
              <w:rPr>
                <w:lang w:val="fr-FR"/>
              </w:rPr>
              <w:t>EN CAS D</w:t>
            </w:r>
            <w:r>
              <w:rPr>
                <w:lang w:val="fr-FR"/>
              </w:rPr>
              <w:t>’</w:t>
            </w:r>
            <w:r w:rsidRPr="00B307B2">
              <w:rPr>
                <w:lang w:val="fr-FR"/>
              </w:rPr>
              <w:t>INHALATION : Transporter la personne à l</w:t>
            </w:r>
            <w:r>
              <w:rPr>
                <w:lang w:val="fr-FR"/>
              </w:rPr>
              <w:t>’</w:t>
            </w:r>
            <w:r w:rsidRPr="00B307B2">
              <w:rPr>
                <w:lang w:val="fr-FR"/>
              </w:rPr>
              <w:t>extérieur et la maintenir dans une position où elle peut confortablement respirer</w:t>
            </w:r>
            <w:r w:rsidRPr="00C04ED8">
              <w:rPr>
                <w:lang w:val="fr-FR"/>
              </w:rPr>
              <w:t>.</w:t>
            </w:r>
            <w:r w:rsidRPr="00B307B2">
              <w:rPr>
                <w:lang w:val="fr-FR"/>
              </w:rPr>
              <w:t xml:space="preserve"> </w:t>
            </w:r>
          </w:p>
          <w:p w14:paraId="7FF30E26" w14:textId="77777777" w:rsidR="00246D13" w:rsidRPr="00B307B2" w:rsidRDefault="00246D13" w:rsidP="004D33AF">
            <w:pPr>
              <w:spacing w:after="20" w:line="240" w:lineRule="auto"/>
              <w:rPr>
                <w:rFonts w:asciiTheme="majorBidi" w:hAnsiTheme="majorBidi" w:cstheme="majorBidi"/>
                <w:strike/>
                <w:color w:val="000000" w:themeColor="text1"/>
                <w:sz w:val="18"/>
                <w:szCs w:val="18"/>
                <w:lang w:val="fr-FR"/>
              </w:rPr>
            </w:pPr>
            <w:r w:rsidRPr="00B307B2">
              <w:rPr>
                <w:lang w:val="fr-FR"/>
              </w:rPr>
              <w:t>Demander une aide médicale</w:t>
            </w:r>
            <w:r w:rsidRPr="00C04ED8">
              <w:rPr>
                <w:lang w:val="fr-FR"/>
              </w:rPr>
              <w:t>.</w:t>
            </w:r>
            <w:r w:rsidRPr="00B307B2">
              <w:rPr>
                <w:lang w:val="fr-FR"/>
              </w:rPr>
              <w:t xml:space="preserve"> </w:t>
            </w:r>
          </w:p>
          <w:p w14:paraId="2A72D0C6" w14:textId="77777777" w:rsidR="00246D13" w:rsidRPr="00B307B2" w:rsidRDefault="00246D13" w:rsidP="004D33AF">
            <w:pPr>
              <w:spacing w:after="40" w:line="240" w:lineRule="auto"/>
              <w:rPr>
                <w:rFonts w:asciiTheme="majorBidi" w:hAnsiTheme="majorBidi" w:cstheme="majorBidi"/>
                <w:u w:val="single"/>
                <w:lang w:val="fr-FR"/>
              </w:rPr>
            </w:pPr>
            <w:r w:rsidRPr="00B307B2">
              <w:rPr>
                <w:lang w:val="fr-FR"/>
              </w:rPr>
              <w:t>Éliminer le contenu/récipient au point de collecte municipal conformément à la réglementation locale/nationale</w:t>
            </w:r>
            <w:r w:rsidRPr="00C04ED8">
              <w:rPr>
                <w:lang w:val="fr-FR"/>
              </w:rPr>
              <w:t>.</w:t>
            </w:r>
          </w:p>
        </w:tc>
        <w:tc>
          <w:tcPr>
            <w:tcW w:w="3015" w:type="dxa"/>
            <w:vMerge/>
          </w:tcPr>
          <w:p w14:paraId="11C01745" w14:textId="77777777" w:rsidR="00246D13" w:rsidRPr="00B307B2" w:rsidRDefault="00246D13" w:rsidP="004D33AF">
            <w:pPr>
              <w:rPr>
                <w:rFonts w:asciiTheme="majorBidi" w:hAnsiTheme="majorBidi" w:cstheme="majorBidi"/>
                <w:u w:val="single"/>
                <w:lang w:val="fr-FR"/>
              </w:rPr>
            </w:pPr>
          </w:p>
        </w:tc>
      </w:tr>
    </w:tbl>
    <w:p w14:paraId="054FE8E7" w14:textId="388B9CF3" w:rsidR="008D1004" w:rsidRPr="00246D13" w:rsidRDefault="00246D13" w:rsidP="00246D13">
      <w:pPr>
        <w:spacing w:before="240"/>
        <w:jc w:val="center"/>
        <w:rPr>
          <w:u w:val="single"/>
        </w:rPr>
      </w:pPr>
      <w:r>
        <w:rPr>
          <w:u w:val="single"/>
        </w:rPr>
        <w:tab/>
      </w:r>
      <w:r>
        <w:rPr>
          <w:u w:val="single"/>
        </w:rPr>
        <w:tab/>
      </w:r>
      <w:r>
        <w:rPr>
          <w:u w:val="single"/>
        </w:rPr>
        <w:tab/>
      </w:r>
    </w:p>
    <w:sectPr w:rsidR="008D1004" w:rsidRPr="00246D13" w:rsidSect="009D0B19">
      <w:headerReference w:type="even" r:id="rId43"/>
      <w:headerReference w:type="default" r:id="rId44"/>
      <w:footerReference w:type="even" r:id="rId45"/>
      <w:footerReference w:type="default" r:id="rId46"/>
      <w:endnotePr>
        <w:numFmt w:val="decimal"/>
      </w:endnotePr>
      <w:pgSz w:w="16838" w:h="11906" w:orient="landscape" w:code="9"/>
      <w:pgMar w:top="1134" w:right="141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61AB" w14:textId="77777777" w:rsidR="000008E3" w:rsidRDefault="000008E3" w:rsidP="00F95C08">
      <w:pPr>
        <w:spacing w:line="240" w:lineRule="auto"/>
      </w:pPr>
    </w:p>
  </w:endnote>
  <w:endnote w:type="continuationSeparator" w:id="0">
    <w:p w14:paraId="66A10958" w14:textId="77777777" w:rsidR="000008E3" w:rsidRPr="00AC3823" w:rsidRDefault="000008E3" w:rsidP="00AC3823">
      <w:pPr>
        <w:pStyle w:val="Pieddepage"/>
      </w:pPr>
    </w:p>
  </w:endnote>
  <w:endnote w:type="continuationNotice" w:id="1">
    <w:p w14:paraId="051C928D" w14:textId="77777777" w:rsidR="000008E3" w:rsidRDefault="000008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DBA0D" w14:textId="77777777" w:rsidR="00ED264F" w:rsidRPr="00ED264F" w:rsidRDefault="00ED264F" w:rsidP="00ED264F">
    <w:pPr>
      <w:pStyle w:val="Pieddepage"/>
      <w:tabs>
        <w:tab w:val="right" w:pos="9638"/>
      </w:tabs>
      <w:rPr>
        <w:sz w:val="18"/>
      </w:rPr>
    </w:pPr>
    <w:r w:rsidRPr="00ED264F">
      <w:rPr>
        <w:b/>
        <w:sz w:val="18"/>
      </w:rPr>
      <w:fldChar w:fldCharType="begin"/>
    </w:r>
    <w:r w:rsidRPr="00ED264F">
      <w:rPr>
        <w:b/>
        <w:sz w:val="18"/>
      </w:rPr>
      <w:instrText xml:space="preserve"> PAGE  \* MERGEFORMAT </w:instrText>
    </w:r>
    <w:r w:rsidRPr="00ED264F">
      <w:rPr>
        <w:b/>
        <w:sz w:val="18"/>
      </w:rPr>
      <w:fldChar w:fldCharType="separate"/>
    </w:r>
    <w:r w:rsidRPr="00ED264F">
      <w:rPr>
        <w:b/>
        <w:noProof/>
        <w:sz w:val="18"/>
      </w:rPr>
      <w:t>2</w:t>
    </w:r>
    <w:r w:rsidRPr="00ED264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E7A48" w14:textId="77777777" w:rsidR="00ED264F" w:rsidRPr="00ED264F" w:rsidRDefault="00ED264F" w:rsidP="00ED264F">
    <w:pPr>
      <w:pStyle w:val="Pieddepage"/>
      <w:tabs>
        <w:tab w:val="right" w:pos="9638"/>
      </w:tabs>
      <w:rPr>
        <w:b/>
        <w:sz w:val="18"/>
      </w:rPr>
    </w:pPr>
    <w:r>
      <w:tab/>
    </w:r>
    <w:r w:rsidRPr="00ED264F">
      <w:rPr>
        <w:b/>
        <w:sz w:val="18"/>
      </w:rPr>
      <w:fldChar w:fldCharType="begin"/>
    </w:r>
    <w:r w:rsidRPr="00ED264F">
      <w:rPr>
        <w:b/>
        <w:sz w:val="18"/>
      </w:rPr>
      <w:instrText xml:space="preserve"> PAGE  \* MERGEFORMAT </w:instrText>
    </w:r>
    <w:r w:rsidRPr="00ED264F">
      <w:rPr>
        <w:b/>
        <w:sz w:val="18"/>
      </w:rPr>
      <w:fldChar w:fldCharType="separate"/>
    </w:r>
    <w:r w:rsidRPr="00ED264F">
      <w:rPr>
        <w:b/>
        <w:noProof/>
        <w:sz w:val="18"/>
      </w:rPr>
      <w:t>3</w:t>
    </w:r>
    <w:r w:rsidRPr="00ED264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6BE6" w14:textId="56285C3B" w:rsidR="0068456F" w:rsidRPr="00A2515D" w:rsidRDefault="00A2515D" w:rsidP="00A2515D">
    <w:pPr>
      <w:pStyle w:val="Pieddepage"/>
      <w:tabs>
        <w:tab w:val="left" w:pos="6520"/>
        <w:tab w:val="right" w:pos="9638"/>
      </w:tabs>
      <w:spacing w:before="120"/>
      <w:rPr>
        <w:sz w:val="20"/>
      </w:rPr>
    </w:pPr>
    <w:r>
      <w:rPr>
        <w:sz w:val="20"/>
      </w:rPr>
      <w:t>GE.24-16981  (F)</w:t>
    </w:r>
    <w:bookmarkStart w:id="18" w:name="_GoBack"/>
    <w:bookmarkEnd w:id="18"/>
    <w:r>
      <w:rPr>
        <w:sz w:val="20"/>
      </w:rPr>
      <w:tab/>
    </w:r>
    <w:r w:rsidRPr="00A2515D">
      <w:rPr>
        <w:noProof/>
        <w:sz w:val="20"/>
        <w:lang w:eastAsia="fr-CH"/>
      </w:rPr>
      <w:drawing>
        <wp:inline distT="0" distB="0" distL="0" distR="0" wp14:anchorId="4FCD9DBE" wp14:editId="1E295A5E">
          <wp:extent cx="1105200" cy="234000"/>
          <wp:effectExtent l="0" t="0" r="0" b="0"/>
          <wp:docPr id="913387459"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rPr>
      <w:drawing>
        <wp:inline distT="0" distB="0" distL="0" distR="0" wp14:anchorId="0DF16ADD" wp14:editId="0CF47294">
          <wp:extent cx="629285" cy="629285"/>
          <wp:effectExtent l="0" t="0" r="0" b="0"/>
          <wp:docPr id="569062243"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285" cy="6292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5F9A" w14:textId="6FCAB00F" w:rsidR="009D0B19" w:rsidRPr="009D0B19" w:rsidRDefault="009D0B19" w:rsidP="009D0B19">
    <w:pPr>
      <w:pStyle w:val="Pieddepage"/>
    </w:pPr>
    <w:r>
      <w:rPr>
        <w:noProof/>
      </w:rPr>
      <mc:AlternateContent>
        <mc:Choice Requires="wps">
          <w:drawing>
            <wp:anchor distT="0" distB="0" distL="114300" distR="114300" simplePos="0" relativeHeight="251658242" behindDoc="0" locked="0" layoutInCell="1" allowOverlap="1" wp14:anchorId="4DD12C21" wp14:editId="7B54585E">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4FADEA9" w14:textId="77777777" w:rsidR="009D0B19" w:rsidRPr="00ED264F" w:rsidRDefault="009D0B19" w:rsidP="009D0B19">
                          <w:pPr>
                            <w:pStyle w:val="Pieddepage"/>
                            <w:tabs>
                              <w:tab w:val="right" w:pos="9638"/>
                            </w:tabs>
                            <w:rPr>
                              <w:sz w:val="18"/>
                            </w:rPr>
                          </w:pPr>
                          <w:r w:rsidRPr="00ED264F">
                            <w:rPr>
                              <w:b/>
                              <w:sz w:val="18"/>
                            </w:rPr>
                            <w:fldChar w:fldCharType="begin"/>
                          </w:r>
                          <w:r w:rsidRPr="00ED264F">
                            <w:rPr>
                              <w:b/>
                              <w:sz w:val="18"/>
                            </w:rPr>
                            <w:instrText xml:space="preserve"> PAGE  \* MERGEFORMAT </w:instrText>
                          </w:r>
                          <w:r w:rsidRPr="00ED264F">
                            <w:rPr>
                              <w:b/>
                              <w:sz w:val="18"/>
                            </w:rPr>
                            <w:fldChar w:fldCharType="separate"/>
                          </w:r>
                          <w:r>
                            <w:rPr>
                              <w:b/>
                              <w:sz w:val="18"/>
                            </w:rPr>
                            <w:t>2</w:t>
                          </w:r>
                          <w:r w:rsidRPr="00ED264F">
                            <w:rPr>
                              <w:b/>
                              <w:sz w:val="18"/>
                            </w:rPr>
                            <w:fldChar w:fldCharType="end"/>
                          </w:r>
                          <w:r>
                            <w:rPr>
                              <w:sz w:val="18"/>
                            </w:rPr>
                            <w:tab/>
                          </w:r>
                        </w:p>
                        <w:p w14:paraId="481FE87B" w14:textId="77777777" w:rsidR="009D0B19" w:rsidRDefault="009D0B1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DD12C21" id="_x0000_t202" coordsize="21600,21600" o:spt="202" path="m,l,21600r21600,l21600,xe">
              <v:stroke joinstyle="miter"/>
              <v:path gradientshapeok="t" o:connecttype="rect"/>
            </v:shapetype>
            <v:shape id="Text Box 4" o:spid="_x0000_s1059" type="#_x0000_t202" style="position:absolute;margin-left:-34pt;margin-top:0;width:17pt;height:481.9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24FADEA9" w14:textId="77777777" w:rsidR="009D0B19" w:rsidRPr="00ED264F" w:rsidRDefault="009D0B19" w:rsidP="009D0B19">
                    <w:pPr>
                      <w:pStyle w:val="Pieddepage"/>
                      <w:tabs>
                        <w:tab w:val="right" w:pos="9638"/>
                      </w:tabs>
                      <w:rPr>
                        <w:sz w:val="18"/>
                      </w:rPr>
                    </w:pPr>
                    <w:r w:rsidRPr="00ED264F">
                      <w:rPr>
                        <w:b/>
                        <w:sz w:val="18"/>
                      </w:rPr>
                      <w:fldChar w:fldCharType="begin"/>
                    </w:r>
                    <w:r w:rsidRPr="00ED264F">
                      <w:rPr>
                        <w:b/>
                        <w:sz w:val="18"/>
                      </w:rPr>
                      <w:instrText xml:space="preserve"> PAGE  \* MERGEFORMAT </w:instrText>
                    </w:r>
                    <w:r w:rsidRPr="00ED264F">
                      <w:rPr>
                        <w:b/>
                        <w:sz w:val="18"/>
                      </w:rPr>
                      <w:fldChar w:fldCharType="separate"/>
                    </w:r>
                    <w:r>
                      <w:rPr>
                        <w:b/>
                        <w:sz w:val="18"/>
                      </w:rPr>
                      <w:t>2</w:t>
                    </w:r>
                    <w:r w:rsidRPr="00ED264F">
                      <w:rPr>
                        <w:b/>
                        <w:sz w:val="18"/>
                      </w:rPr>
                      <w:fldChar w:fldCharType="end"/>
                    </w:r>
                    <w:r>
                      <w:rPr>
                        <w:sz w:val="18"/>
                      </w:rPr>
                      <w:tab/>
                    </w:r>
                  </w:p>
                  <w:p w14:paraId="481FE87B" w14:textId="77777777" w:rsidR="009D0B19" w:rsidRDefault="009D0B19"/>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7C93" w14:textId="4C7DC21A" w:rsidR="009D0B19" w:rsidRPr="009D0B19" w:rsidRDefault="009D0B19" w:rsidP="009D0B19">
    <w:pPr>
      <w:pStyle w:val="Pieddepage"/>
    </w:pPr>
    <w:r>
      <w:rPr>
        <w:noProof/>
      </w:rPr>
      <mc:AlternateContent>
        <mc:Choice Requires="wps">
          <w:drawing>
            <wp:anchor distT="0" distB="0" distL="114300" distR="114300" simplePos="0" relativeHeight="251658244" behindDoc="0" locked="0" layoutInCell="1" allowOverlap="1" wp14:anchorId="0F8C394A" wp14:editId="734F0F20">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3B9E6765" w14:textId="77777777" w:rsidR="009D0B19" w:rsidRPr="00ED264F" w:rsidRDefault="009D0B19" w:rsidP="009D0B19">
                          <w:pPr>
                            <w:pStyle w:val="Pieddepage"/>
                            <w:tabs>
                              <w:tab w:val="right" w:pos="9638"/>
                            </w:tabs>
                            <w:rPr>
                              <w:b/>
                              <w:sz w:val="18"/>
                            </w:rPr>
                          </w:pPr>
                          <w:r>
                            <w:tab/>
                          </w:r>
                          <w:r w:rsidRPr="00ED264F">
                            <w:rPr>
                              <w:b/>
                              <w:sz w:val="18"/>
                            </w:rPr>
                            <w:fldChar w:fldCharType="begin"/>
                          </w:r>
                          <w:r w:rsidRPr="00ED264F">
                            <w:rPr>
                              <w:b/>
                              <w:sz w:val="18"/>
                            </w:rPr>
                            <w:instrText xml:space="preserve"> PAGE  \* MERGEFORMAT </w:instrText>
                          </w:r>
                          <w:r w:rsidRPr="00ED264F">
                            <w:rPr>
                              <w:b/>
                              <w:sz w:val="18"/>
                            </w:rPr>
                            <w:fldChar w:fldCharType="separate"/>
                          </w:r>
                          <w:r>
                            <w:rPr>
                              <w:b/>
                              <w:sz w:val="18"/>
                            </w:rPr>
                            <w:t>3</w:t>
                          </w:r>
                          <w:r w:rsidRPr="00ED264F">
                            <w:rPr>
                              <w:b/>
                              <w:sz w:val="18"/>
                            </w:rPr>
                            <w:fldChar w:fldCharType="end"/>
                          </w:r>
                        </w:p>
                        <w:p w14:paraId="53D66206" w14:textId="77777777" w:rsidR="009D0B19" w:rsidRDefault="009D0B1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F8C394A" id="_x0000_t202" coordsize="21600,21600" o:spt="202" path="m,l,21600r21600,l21600,xe">
              <v:stroke joinstyle="miter"/>
              <v:path gradientshapeok="t" o:connecttype="rect"/>
            </v:shapetype>
            <v:shape id="Text Box 6" o:spid="_x0000_s1060" type="#_x0000_t202" style="position:absolute;margin-left:-34pt;margin-top:0;width:17pt;height:481.9pt;z-index:2516582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3B9E6765" w14:textId="77777777" w:rsidR="009D0B19" w:rsidRPr="00ED264F" w:rsidRDefault="009D0B19" w:rsidP="009D0B19">
                    <w:pPr>
                      <w:pStyle w:val="Pieddepage"/>
                      <w:tabs>
                        <w:tab w:val="right" w:pos="9638"/>
                      </w:tabs>
                      <w:rPr>
                        <w:b/>
                        <w:sz w:val="18"/>
                      </w:rPr>
                    </w:pPr>
                    <w:r>
                      <w:tab/>
                    </w:r>
                    <w:r w:rsidRPr="00ED264F">
                      <w:rPr>
                        <w:b/>
                        <w:sz w:val="18"/>
                      </w:rPr>
                      <w:fldChar w:fldCharType="begin"/>
                    </w:r>
                    <w:r w:rsidRPr="00ED264F">
                      <w:rPr>
                        <w:b/>
                        <w:sz w:val="18"/>
                      </w:rPr>
                      <w:instrText xml:space="preserve"> PAGE  \* MERGEFORMAT </w:instrText>
                    </w:r>
                    <w:r w:rsidRPr="00ED264F">
                      <w:rPr>
                        <w:b/>
                        <w:sz w:val="18"/>
                      </w:rPr>
                      <w:fldChar w:fldCharType="separate"/>
                    </w:r>
                    <w:r>
                      <w:rPr>
                        <w:b/>
                        <w:sz w:val="18"/>
                      </w:rPr>
                      <w:t>3</w:t>
                    </w:r>
                    <w:r w:rsidRPr="00ED264F">
                      <w:rPr>
                        <w:b/>
                        <w:sz w:val="18"/>
                      </w:rPr>
                      <w:fldChar w:fldCharType="end"/>
                    </w:r>
                  </w:p>
                  <w:p w14:paraId="53D66206" w14:textId="77777777" w:rsidR="009D0B19" w:rsidRDefault="009D0B19"/>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A08E8" w14:textId="77777777" w:rsidR="000008E3" w:rsidRPr="00AC3823" w:rsidRDefault="000008E3" w:rsidP="00AC3823">
      <w:pPr>
        <w:pStyle w:val="Pieddepage"/>
        <w:tabs>
          <w:tab w:val="right" w:pos="2155"/>
        </w:tabs>
        <w:spacing w:after="80" w:line="240" w:lineRule="atLeast"/>
        <w:ind w:left="680"/>
        <w:rPr>
          <w:u w:val="single"/>
        </w:rPr>
      </w:pPr>
      <w:r>
        <w:rPr>
          <w:u w:val="single"/>
        </w:rPr>
        <w:tab/>
      </w:r>
    </w:p>
  </w:footnote>
  <w:footnote w:type="continuationSeparator" w:id="0">
    <w:p w14:paraId="5612AFBD" w14:textId="77777777" w:rsidR="000008E3" w:rsidRPr="00AC3823" w:rsidRDefault="000008E3" w:rsidP="00AC3823">
      <w:pPr>
        <w:pStyle w:val="Pieddepage"/>
        <w:tabs>
          <w:tab w:val="right" w:pos="2155"/>
        </w:tabs>
        <w:spacing w:after="80" w:line="240" w:lineRule="atLeast"/>
        <w:ind w:left="680"/>
        <w:rPr>
          <w:u w:val="single"/>
        </w:rPr>
      </w:pPr>
      <w:r>
        <w:rPr>
          <w:u w:val="single"/>
        </w:rPr>
        <w:tab/>
      </w:r>
    </w:p>
  </w:footnote>
  <w:footnote w:type="continuationNotice" w:id="1">
    <w:p w14:paraId="099D5F18" w14:textId="77777777" w:rsidR="000008E3" w:rsidRPr="00AC3823" w:rsidRDefault="000008E3">
      <w:pPr>
        <w:spacing w:line="240" w:lineRule="auto"/>
        <w:rPr>
          <w:sz w:val="2"/>
          <w:szCs w:val="2"/>
        </w:rPr>
      </w:pPr>
    </w:p>
  </w:footnote>
  <w:footnote w:id="2">
    <w:p w14:paraId="0C9C171F" w14:textId="77777777" w:rsidR="00246D13" w:rsidRPr="00E61560" w:rsidRDefault="00246D13" w:rsidP="00246D13">
      <w:pPr>
        <w:pStyle w:val="Notedebasdepage"/>
      </w:pPr>
      <w:r>
        <w:rPr>
          <w:rStyle w:val="Appelnotedebasdep"/>
        </w:rPr>
        <w:tab/>
      </w:r>
      <w:r w:rsidRPr="00E61560">
        <w:rPr>
          <w:rStyle w:val="Appelnotedebasdep"/>
          <w:sz w:val="20"/>
        </w:rPr>
        <w:t>*</w:t>
      </w:r>
      <w:r>
        <w:rPr>
          <w:rStyle w:val="Appelnotedebasdep"/>
          <w:sz w:val="20"/>
        </w:rPr>
        <w:tab/>
      </w:r>
      <w:r>
        <w:t>A/75/6 (Sect. 20), par. 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B674A" w14:textId="3040D847" w:rsidR="00ED264F" w:rsidRPr="00ED264F" w:rsidRDefault="005B217B">
    <w:pPr>
      <w:pStyle w:val="En-tte"/>
    </w:pPr>
    <w:r>
      <w:fldChar w:fldCharType="begin"/>
    </w:r>
    <w:r>
      <w:instrText xml:space="preserve"> TITLE  \* MERGEFORMAT </w:instrText>
    </w:r>
    <w:r>
      <w:fldChar w:fldCharType="separate"/>
    </w:r>
    <w:r w:rsidR="00B33D0B">
      <w:t>ST/SG/AC.10/C.4/2024/11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CA983" w14:textId="5A0A549C" w:rsidR="00ED264F" w:rsidRPr="00ED264F" w:rsidRDefault="005B217B" w:rsidP="00ED264F">
    <w:pPr>
      <w:pStyle w:val="En-tte"/>
      <w:jc w:val="right"/>
    </w:pPr>
    <w:r>
      <w:fldChar w:fldCharType="begin"/>
    </w:r>
    <w:r>
      <w:instrText xml:space="preserve"> TITLE  \* MERGEFORMAT </w:instrText>
    </w:r>
    <w:r>
      <w:fldChar w:fldCharType="separate"/>
    </w:r>
    <w:r w:rsidR="00B33D0B">
      <w:t>ST/SG/AC.10/C.4/2024/11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90CCA" w14:textId="7F3454A2" w:rsidR="009D0B19" w:rsidRPr="009D0B19" w:rsidRDefault="009D0B19" w:rsidP="009D0B19">
    <w:r>
      <w:rPr>
        <w:noProof/>
      </w:rPr>
      <mc:AlternateContent>
        <mc:Choice Requires="wps">
          <w:drawing>
            <wp:anchor distT="0" distB="0" distL="114300" distR="114300" simplePos="0" relativeHeight="251658241" behindDoc="0" locked="0" layoutInCell="1" allowOverlap="1" wp14:anchorId="159FCC1B" wp14:editId="05506B3E">
              <wp:simplePos x="0" y="0"/>
              <wp:positionH relativeFrom="page">
                <wp:posOffset>9817240</wp:posOffset>
              </wp:positionH>
              <wp:positionV relativeFrom="margin">
                <wp:posOffset>-1633</wp:posOffset>
              </wp:positionV>
              <wp:extent cx="33648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648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4DF8652" w14:textId="557B7F78" w:rsidR="009D0B19" w:rsidRPr="00ED264F" w:rsidRDefault="005B217B" w:rsidP="009D0B19">
                          <w:pPr>
                            <w:pStyle w:val="En-tte"/>
                          </w:pPr>
                          <w:r>
                            <w:fldChar w:fldCharType="begin"/>
                          </w:r>
                          <w:r>
                            <w:instrText xml:space="preserve"> TITLE  \* MERGEFORMAT </w:instrText>
                          </w:r>
                          <w:r>
                            <w:fldChar w:fldCharType="separate"/>
                          </w:r>
                          <w:r w:rsidR="00B33D0B">
                            <w:t>ST/SG/AC.10/C.4/2024/11</w:t>
                          </w:r>
                          <w:r>
                            <w:fldChar w:fldCharType="end"/>
                          </w:r>
                        </w:p>
                        <w:p w14:paraId="2B53CE7F" w14:textId="77777777" w:rsidR="009D0B19" w:rsidRDefault="009D0B1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9FCC1B" id="_x0000_t202" coordsize="21600,21600" o:spt="202" path="m,l,21600r21600,l21600,xe">
              <v:stroke joinstyle="miter"/>
              <v:path gradientshapeok="t" o:connecttype="rect"/>
            </v:shapetype>
            <v:shape id="Text Box 3" o:spid="_x0000_s1057" type="#_x0000_t202" style="position:absolute;margin-left:773pt;margin-top:-.15pt;width:26.5pt;height:481.9pt;z-index:251658241;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" fillcolor="#4f81bd [3204]" stroked="f" strokeweight=".5pt">
              <v:fill opacity="0"/>
              <v:stroke joinstyle="round"/>
              <v:textbox style="layout-flow:vertical" inset="0,0,0,0">
                <w:txbxContent>
                  <w:p w14:paraId="44DF8652" w14:textId="557B7F78" w:rsidR="009D0B19" w:rsidRPr="00ED264F" w:rsidRDefault="005B217B" w:rsidP="009D0B19">
                    <w:pPr>
                      <w:pStyle w:val="En-tte"/>
                    </w:pPr>
                    <w:r>
                      <w:fldChar w:fldCharType="begin"/>
                    </w:r>
                    <w:r>
                      <w:instrText xml:space="preserve"> TITLE  \* MERGEFORMAT </w:instrText>
                    </w:r>
                    <w:r>
                      <w:fldChar w:fldCharType="separate"/>
                    </w:r>
                    <w:r w:rsidR="00B33D0B">
                      <w:t>ST/SG/AC.10/C.4/2024/11</w:t>
                    </w:r>
                    <w:r>
                      <w:fldChar w:fldCharType="end"/>
                    </w:r>
                  </w:p>
                  <w:p w14:paraId="2B53CE7F" w14:textId="77777777" w:rsidR="009D0B19" w:rsidRDefault="009D0B19"/>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63BD" w14:textId="5DA3B7F7" w:rsidR="009D0B19" w:rsidRPr="009D0B19" w:rsidRDefault="009D0B19" w:rsidP="009D0B19">
    <w:r>
      <w:rPr>
        <w:noProof/>
      </w:rPr>
      <mc:AlternateContent>
        <mc:Choice Requires="wps">
          <w:drawing>
            <wp:anchor distT="0" distB="0" distL="114300" distR="114300" simplePos="0" relativeHeight="251658243" behindDoc="0" locked="0" layoutInCell="1" allowOverlap="1" wp14:anchorId="6CD576EA" wp14:editId="33C658A6">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0F85425" w14:textId="157D426E" w:rsidR="009D0B19" w:rsidRPr="00ED264F" w:rsidRDefault="005B217B" w:rsidP="009D0B19">
                          <w:pPr>
                            <w:pStyle w:val="En-tte"/>
                            <w:jc w:val="right"/>
                          </w:pPr>
                          <w:r>
                            <w:fldChar w:fldCharType="begin"/>
                          </w:r>
                          <w:r>
                            <w:instrText xml:space="preserve"> TITLE  \* MERGEFORMAT </w:instrText>
                          </w:r>
                          <w:r>
                            <w:fldChar w:fldCharType="separate"/>
                          </w:r>
                          <w:r w:rsidR="00B33D0B">
                            <w:t>ST/SG/AC.10/C.4/2024/11</w:t>
                          </w:r>
                          <w:r>
                            <w:fldChar w:fldCharType="end"/>
                          </w:r>
                        </w:p>
                        <w:p w14:paraId="339DC872" w14:textId="77777777" w:rsidR="009D0B19" w:rsidRDefault="009D0B1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CD576EA" id="_x0000_t202" coordsize="21600,21600" o:spt="202" path="m,l,21600r21600,l21600,xe">
              <v:stroke joinstyle="miter"/>
              <v:path gradientshapeok="t" o:connecttype="rect"/>
            </v:shapetype>
            <v:shape id="Text Box 5" o:spid="_x0000_s1058" type="#_x0000_t202" style="position:absolute;margin-left:782.35pt;margin-top:0;width:17pt;height:481.9pt;z-index:251658243;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50F85425" w14:textId="157D426E" w:rsidR="009D0B19" w:rsidRPr="00ED264F" w:rsidRDefault="005B217B" w:rsidP="009D0B19">
                    <w:pPr>
                      <w:pStyle w:val="En-tte"/>
                      <w:jc w:val="right"/>
                    </w:pPr>
                    <w:r>
                      <w:fldChar w:fldCharType="begin"/>
                    </w:r>
                    <w:r>
                      <w:instrText xml:space="preserve"> TITLE  \* MERGEFORMAT </w:instrText>
                    </w:r>
                    <w:r>
                      <w:fldChar w:fldCharType="separate"/>
                    </w:r>
                    <w:r w:rsidR="00B33D0B">
                      <w:t>ST/SG/AC.10/C.4/2024/11</w:t>
                    </w:r>
                    <w:r>
                      <w:fldChar w:fldCharType="end"/>
                    </w:r>
                  </w:p>
                  <w:p w14:paraId="339DC872" w14:textId="77777777" w:rsidR="009D0B19" w:rsidRDefault="009D0B19"/>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3D0F2969"/>
    <w:multiLevelType w:val="hybridMultilevel"/>
    <w:tmpl w:val="5468732C"/>
    <w:lvl w:ilvl="0" w:tplc="165C4E24">
      <w:start w:val="4"/>
      <w:numFmt w:val="bullet"/>
      <w:lvlText w:val=""/>
      <w:lvlJc w:val="left"/>
      <w:pPr>
        <w:ind w:left="1494" w:hanging="360"/>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612975141">
    <w:abstractNumId w:val="13"/>
  </w:num>
  <w:num w:numId="2" w16cid:durableId="1931507220">
    <w:abstractNumId w:val="11"/>
  </w:num>
  <w:num w:numId="3" w16cid:durableId="1711882982">
    <w:abstractNumId w:val="10"/>
  </w:num>
  <w:num w:numId="4" w16cid:durableId="22177912">
    <w:abstractNumId w:val="8"/>
  </w:num>
  <w:num w:numId="5" w16cid:durableId="1277129901">
    <w:abstractNumId w:val="3"/>
  </w:num>
  <w:num w:numId="6" w16cid:durableId="1477793688">
    <w:abstractNumId w:val="2"/>
  </w:num>
  <w:num w:numId="7" w16cid:durableId="941954983">
    <w:abstractNumId w:val="1"/>
  </w:num>
  <w:num w:numId="8" w16cid:durableId="809788187">
    <w:abstractNumId w:val="0"/>
  </w:num>
  <w:num w:numId="9" w16cid:durableId="494154755">
    <w:abstractNumId w:val="9"/>
  </w:num>
  <w:num w:numId="10" w16cid:durableId="1623146862">
    <w:abstractNumId w:val="7"/>
  </w:num>
  <w:num w:numId="11" w16cid:durableId="279386389">
    <w:abstractNumId w:val="6"/>
  </w:num>
  <w:num w:numId="12" w16cid:durableId="1613128845">
    <w:abstractNumId w:val="5"/>
  </w:num>
  <w:num w:numId="13" w16cid:durableId="717044891">
    <w:abstractNumId w:val="4"/>
  </w:num>
  <w:num w:numId="14" w16cid:durableId="609747095">
    <w:abstractNumId w:val="13"/>
  </w:num>
  <w:num w:numId="15" w16cid:durableId="492840384">
    <w:abstractNumId w:val="11"/>
  </w:num>
  <w:num w:numId="16" w16cid:durableId="414858682">
    <w:abstractNumId w:val="10"/>
  </w:num>
  <w:num w:numId="17" w16cid:durableId="1853838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attachedTemplate r:id="rId1"/>
  <w:defaultTabStop w:val="567"/>
  <w:hyphenationZone w:val="425"/>
  <w:evenAndOddHeaders/>
  <w:characterSpacingControl w:val="doNotCompress"/>
  <w:hdrShapeDefaults>
    <o:shapedefaults v:ext="edit" spidmax="20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4F"/>
    <w:rsid w:val="000008E3"/>
    <w:rsid w:val="00002725"/>
    <w:rsid w:val="000030F9"/>
    <w:rsid w:val="000049F1"/>
    <w:rsid w:val="000058B0"/>
    <w:rsid w:val="00005D19"/>
    <w:rsid w:val="00007636"/>
    <w:rsid w:val="00012F25"/>
    <w:rsid w:val="00017F94"/>
    <w:rsid w:val="000226FB"/>
    <w:rsid w:val="00023842"/>
    <w:rsid w:val="000249C8"/>
    <w:rsid w:val="00025238"/>
    <w:rsid w:val="000305D3"/>
    <w:rsid w:val="000334F9"/>
    <w:rsid w:val="0004460D"/>
    <w:rsid w:val="000524A9"/>
    <w:rsid w:val="00055B17"/>
    <w:rsid w:val="00057315"/>
    <w:rsid w:val="000709C4"/>
    <w:rsid w:val="0007796D"/>
    <w:rsid w:val="00080081"/>
    <w:rsid w:val="000807F9"/>
    <w:rsid w:val="0008116A"/>
    <w:rsid w:val="00096947"/>
    <w:rsid w:val="000A2F54"/>
    <w:rsid w:val="000A7244"/>
    <w:rsid w:val="000B20B6"/>
    <w:rsid w:val="000B4F64"/>
    <w:rsid w:val="000B7790"/>
    <w:rsid w:val="000C2420"/>
    <w:rsid w:val="000D7FAE"/>
    <w:rsid w:val="000E375E"/>
    <w:rsid w:val="000F2103"/>
    <w:rsid w:val="0010553E"/>
    <w:rsid w:val="00106F39"/>
    <w:rsid w:val="00107904"/>
    <w:rsid w:val="00111F2F"/>
    <w:rsid w:val="001150C1"/>
    <w:rsid w:val="00130474"/>
    <w:rsid w:val="00132EA9"/>
    <w:rsid w:val="0014365E"/>
    <w:rsid w:val="00144DC1"/>
    <w:rsid w:val="00164C8C"/>
    <w:rsid w:val="001666C3"/>
    <w:rsid w:val="00167865"/>
    <w:rsid w:val="00171495"/>
    <w:rsid w:val="00176178"/>
    <w:rsid w:val="001775C8"/>
    <w:rsid w:val="00182144"/>
    <w:rsid w:val="00182505"/>
    <w:rsid w:val="001850C7"/>
    <w:rsid w:val="00192447"/>
    <w:rsid w:val="001C0544"/>
    <w:rsid w:val="001C1F4D"/>
    <w:rsid w:val="001D0E54"/>
    <w:rsid w:val="001E0685"/>
    <w:rsid w:val="001E486A"/>
    <w:rsid w:val="001E58DD"/>
    <w:rsid w:val="001F525A"/>
    <w:rsid w:val="001F6B6B"/>
    <w:rsid w:val="002076E4"/>
    <w:rsid w:val="00210661"/>
    <w:rsid w:val="00223272"/>
    <w:rsid w:val="0023240E"/>
    <w:rsid w:val="002412BF"/>
    <w:rsid w:val="00243E65"/>
    <w:rsid w:val="00246D13"/>
    <w:rsid w:val="0024779E"/>
    <w:rsid w:val="002537AB"/>
    <w:rsid w:val="002609D7"/>
    <w:rsid w:val="002622C3"/>
    <w:rsid w:val="002700C8"/>
    <w:rsid w:val="00282D4A"/>
    <w:rsid w:val="00283190"/>
    <w:rsid w:val="002832AC"/>
    <w:rsid w:val="00286061"/>
    <w:rsid w:val="00290887"/>
    <w:rsid w:val="00290FCD"/>
    <w:rsid w:val="002A4039"/>
    <w:rsid w:val="002B0E26"/>
    <w:rsid w:val="002B1751"/>
    <w:rsid w:val="002B38FD"/>
    <w:rsid w:val="002B4A8E"/>
    <w:rsid w:val="002B5D1B"/>
    <w:rsid w:val="002B7461"/>
    <w:rsid w:val="002B757C"/>
    <w:rsid w:val="002C3C7C"/>
    <w:rsid w:val="002D274A"/>
    <w:rsid w:val="002D2CC4"/>
    <w:rsid w:val="002D61F1"/>
    <w:rsid w:val="002D7C93"/>
    <w:rsid w:val="002E377B"/>
    <w:rsid w:val="002E476C"/>
    <w:rsid w:val="002E555C"/>
    <w:rsid w:val="002E6838"/>
    <w:rsid w:val="002E77DE"/>
    <w:rsid w:val="002F4B90"/>
    <w:rsid w:val="002F5037"/>
    <w:rsid w:val="00303CF6"/>
    <w:rsid w:val="0031295B"/>
    <w:rsid w:val="003235C6"/>
    <w:rsid w:val="00327E5B"/>
    <w:rsid w:val="00330B48"/>
    <w:rsid w:val="003349D2"/>
    <w:rsid w:val="003359FB"/>
    <w:rsid w:val="003470CE"/>
    <w:rsid w:val="003474ED"/>
    <w:rsid w:val="00351E77"/>
    <w:rsid w:val="0035581C"/>
    <w:rsid w:val="00356828"/>
    <w:rsid w:val="003675E1"/>
    <w:rsid w:val="00377A41"/>
    <w:rsid w:val="00381484"/>
    <w:rsid w:val="00386200"/>
    <w:rsid w:val="003869BD"/>
    <w:rsid w:val="00387C7C"/>
    <w:rsid w:val="00393F10"/>
    <w:rsid w:val="00395719"/>
    <w:rsid w:val="003A357A"/>
    <w:rsid w:val="003A60EA"/>
    <w:rsid w:val="003A7503"/>
    <w:rsid w:val="003B107D"/>
    <w:rsid w:val="003B5EE3"/>
    <w:rsid w:val="003D3D9B"/>
    <w:rsid w:val="003D725B"/>
    <w:rsid w:val="003E1618"/>
    <w:rsid w:val="003E4D9C"/>
    <w:rsid w:val="003E4E7E"/>
    <w:rsid w:val="003E6F21"/>
    <w:rsid w:val="003F7680"/>
    <w:rsid w:val="004049E1"/>
    <w:rsid w:val="00405551"/>
    <w:rsid w:val="00416F5E"/>
    <w:rsid w:val="004172F6"/>
    <w:rsid w:val="00417CB8"/>
    <w:rsid w:val="00430EFA"/>
    <w:rsid w:val="004320AC"/>
    <w:rsid w:val="00433B37"/>
    <w:rsid w:val="00441C3B"/>
    <w:rsid w:val="00446FE5"/>
    <w:rsid w:val="00452396"/>
    <w:rsid w:val="00455F13"/>
    <w:rsid w:val="00456FF3"/>
    <w:rsid w:val="004675AC"/>
    <w:rsid w:val="00475809"/>
    <w:rsid w:val="00476B9B"/>
    <w:rsid w:val="004928D2"/>
    <w:rsid w:val="00493357"/>
    <w:rsid w:val="0049589D"/>
    <w:rsid w:val="004B0B3B"/>
    <w:rsid w:val="004B10B2"/>
    <w:rsid w:val="004B150D"/>
    <w:rsid w:val="004B2025"/>
    <w:rsid w:val="004C1B30"/>
    <w:rsid w:val="004C2C0E"/>
    <w:rsid w:val="004D1623"/>
    <w:rsid w:val="004D3252"/>
    <w:rsid w:val="004D40FC"/>
    <w:rsid w:val="004D5DB0"/>
    <w:rsid w:val="004D6C0C"/>
    <w:rsid w:val="004E468C"/>
    <w:rsid w:val="004F5A93"/>
    <w:rsid w:val="00503921"/>
    <w:rsid w:val="005073CC"/>
    <w:rsid w:val="00512FEB"/>
    <w:rsid w:val="00513755"/>
    <w:rsid w:val="00513B80"/>
    <w:rsid w:val="00514263"/>
    <w:rsid w:val="00514D98"/>
    <w:rsid w:val="00517D0A"/>
    <w:rsid w:val="00521A65"/>
    <w:rsid w:val="005254D2"/>
    <w:rsid w:val="00530234"/>
    <w:rsid w:val="00531CF8"/>
    <w:rsid w:val="005418AA"/>
    <w:rsid w:val="00542B00"/>
    <w:rsid w:val="00542E45"/>
    <w:rsid w:val="005505B7"/>
    <w:rsid w:val="005556F6"/>
    <w:rsid w:val="00555BC7"/>
    <w:rsid w:val="00560F48"/>
    <w:rsid w:val="00561A46"/>
    <w:rsid w:val="00561AD7"/>
    <w:rsid w:val="00573BE5"/>
    <w:rsid w:val="00577F62"/>
    <w:rsid w:val="00584DC4"/>
    <w:rsid w:val="00586ED3"/>
    <w:rsid w:val="005907B1"/>
    <w:rsid w:val="00596AA9"/>
    <w:rsid w:val="005B217B"/>
    <w:rsid w:val="005B4E1A"/>
    <w:rsid w:val="005B6479"/>
    <w:rsid w:val="005C0C81"/>
    <w:rsid w:val="005C74D2"/>
    <w:rsid w:val="005D116D"/>
    <w:rsid w:val="005D2F64"/>
    <w:rsid w:val="005D5C65"/>
    <w:rsid w:val="005E57C0"/>
    <w:rsid w:val="00600990"/>
    <w:rsid w:val="006045E6"/>
    <w:rsid w:val="0060560A"/>
    <w:rsid w:val="0061319A"/>
    <w:rsid w:val="00613744"/>
    <w:rsid w:val="00621C6F"/>
    <w:rsid w:val="0063489E"/>
    <w:rsid w:val="00636DC1"/>
    <w:rsid w:val="00644688"/>
    <w:rsid w:val="00646B65"/>
    <w:rsid w:val="00652BB5"/>
    <w:rsid w:val="00660593"/>
    <w:rsid w:val="00662E01"/>
    <w:rsid w:val="006655EA"/>
    <w:rsid w:val="0066607E"/>
    <w:rsid w:val="0067398C"/>
    <w:rsid w:val="006830BA"/>
    <w:rsid w:val="0068456F"/>
    <w:rsid w:val="00687171"/>
    <w:rsid w:val="006952FA"/>
    <w:rsid w:val="0069547F"/>
    <w:rsid w:val="006A6E66"/>
    <w:rsid w:val="006A7AF3"/>
    <w:rsid w:val="006D300B"/>
    <w:rsid w:val="006E14D3"/>
    <w:rsid w:val="006E1672"/>
    <w:rsid w:val="0070331D"/>
    <w:rsid w:val="00706BEE"/>
    <w:rsid w:val="00713D3F"/>
    <w:rsid w:val="0071601D"/>
    <w:rsid w:val="007231B7"/>
    <w:rsid w:val="0073641B"/>
    <w:rsid w:val="00745F67"/>
    <w:rsid w:val="00746C90"/>
    <w:rsid w:val="007475ED"/>
    <w:rsid w:val="007513FE"/>
    <w:rsid w:val="00755D57"/>
    <w:rsid w:val="0076061F"/>
    <w:rsid w:val="00775023"/>
    <w:rsid w:val="00775E29"/>
    <w:rsid w:val="00781E08"/>
    <w:rsid w:val="00782C4C"/>
    <w:rsid w:val="00787F1D"/>
    <w:rsid w:val="007929DF"/>
    <w:rsid w:val="00797FA0"/>
    <w:rsid w:val="007A62E6"/>
    <w:rsid w:val="007B4CD0"/>
    <w:rsid w:val="007C55DB"/>
    <w:rsid w:val="007D389E"/>
    <w:rsid w:val="007D48A2"/>
    <w:rsid w:val="007E003A"/>
    <w:rsid w:val="007E467A"/>
    <w:rsid w:val="007E61F1"/>
    <w:rsid w:val="007F2117"/>
    <w:rsid w:val="007F4B18"/>
    <w:rsid w:val="007F5D21"/>
    <w:rsid w:val="007F6B18"/>
    <w:rsid w:val="00805362"/>
    <w:rsid w:val="0080684C"/>
    <w:rsid w:val="00830001"/>
    <w:rsid w:val="00834B96"/>
    <w:rsid w:val="00836877"/>
    <w:rsid w:val="008465B7"/>
    <w:rsid w:val="008535F8"/>
    <w:rsid w:val="00855AB1"/>
    <w:rsid w:val="008646AE"/>
    <w:rsid w:val="00865F2D"/>
    <w:rsid w:val="00866C88"/>
    <w:rsid w:val="00867899"/>
    <w:rsid w:val="00871C75"/>
    <w:rsid w:val="008776DC"/>
    <w:rsid w:val="00882E86"/>
    <w:rsid w:val="008A3152"/>
    <w:rsid w:val="008A4419"/>
    <w:rsid w:val="008B2B4F"/>
    <w:rsid w:val="008B40CD"/>
    <w:rsid w:val="008B4CAD"/>
    <w:rsid w:val="008B5D31"/>
    <w:rsid w:val="008D1004"/>
    <w:rsid w:val="008D1D8D"/>
    <w:rsid w:val="008F6BAB"/>
    <w:rsid w:val="00906169"/>
    <w:rsid w:val="00913C7D"/>
    <w:rsid w:val="00915064"/>
    <w:rsid w:val="0091669B"/>
    <w:rsid w:val="00924216"/>
    <w:rsid w:val="00925ECD"/>
    <w:rsid w:val="009267B3"/>
    <w:rsid w:val="00931734"/>
    <w:rsid w:val="009339ED"/>
    <w:rsid w:val="00935338"/>
    <w:rsid w:val="00936850"/>
    <w:rsid w:val="0093786A"/>
    <w:rsid w:val="009501EB"/>
    <w:rsid w:val="009550EA"/>
    <w:rsid w:val="00955182"/>
    <w:rsid w:val="0095670D"/>
    <w:rsid w:val="0095797A"/>
    <w:rsid w:val="00960BCF"/>
    <w:rsid w:val="009705C8"/>
    <w:rsid w:val="00971DE3"/>
    <w:rsid w:val="009744DF"/>
    <w:rsid w:val="009859AE"/>
    <w:rsid w:val="009937A9"/>
    <w:rsid w:val="0099490A"/>
    <w:rsid w:val="00997064"/>
    <w:rsid w:val="009A611F"/>
    <w:rsid w:val="009A67E7"/>
    <w:rsid w:val="009A7132"/>
    <w:rsid w:val="009B0C7C"/>
    <w:rsid w:val="009B2D58"/>
    <w:rsid w:val="009B2FA5"/>
    <w:rsid w:val="009B3802"/>
    <w:rsid w:val="009C1CF4"/>
    <w:rsid w:val="009C1EE2"/>
    <w:rsid w:val="009C4DAB"/>
    <w:rsid w:val="009C5406"/>
    <w:rsid w:val="009C7B23"/>
    <w:rsid w:val="009C7B54"/>
    <w:rsid w:val="009D0B19"/>
    <w:rsid w:val="009E3966"/>
    <w:rsid w:val="009E7F56"/>
    <w:rsid w:val="009F2A30"/>
    <w:rsid w:val="009F2EA7"/>
    <w:rsid w:val="009F53B0"/>
    <w:rsid w:val="00A0387C"/>
    <w:rsid w:val="00A06F12"/>
    <w:rsid w:val="00A07606"/>
    <w:rsid w:val="00A13AF9"/>
    <w:rsid w:val="00A142A8"/>
    <w:rsid w:val="00A16C7B"/>
    <w:rsid w:val="00A2047B"/>
    <w:rsid w:val="00A2515D"/>
    <w:rsid w:val="00A30353"/>
    <w:rsid w:val="00A30B90"/>
    <w:rsid w:val="00A477C5"/>
    <w:rsid w:val="00A572C7"/>
    <w:rsid w:val="00A71D58"/>
    <w:rsid w:val="00A90EEB"/>
    <w:rsid w:val="00AC1801"/>
    <w:rsid w:val="00AC3688"/>
    <w:rsid w:val="00AC3823"/>
    <w:rsid w:val="00AD1F8A"/>
    <w:rsid w:val="00AD2A1F"/>
    <w:rsid w:val="00AD57E0"/>
    <w:rsid w:val="00AE323C"/>
    <w:rsid w:val="00AF4AAF"/>
    <w:rsid w:val="00B00181"/>
    <w:rsid w:val="00B00B0D"/>
    <w:rsid w:val="00B04F0C"/>
    <w:rsid w:val="00B1507B"/>
    <w:rsid w:val="00B204F9"/>
    <w:rsid w:val="00B2138E"/>
    <w:rsid w:val="00B21AA4"/>
    <w:rsid w:val="00B2502E"/>
    <w:rsid w:val="00B325DF"/>
    <w:rsid w:val="00B33D0B"/>
    <w:rsid w:val="00B35543"/>
    <w:rsid w:val="00B4252D"/>
    <w:rsid w:val="00B458BA"/>
    <w:rsid w:val="00B51742"/>
    <w:rsid w:val="00B53A45"/>
    <w:rsid w:val="00B53C07"/>
    <w:rsid w:val="00B56EC6"/>
    <w:rsid w:val="00B64E12"/>
    <w:rsid w:val="00B707A9"/>
    <w:rsid w:val="00B765F7"/>
    <w:rsid w:val="00B772A4"/>
    <w:rsid w:val="00B83FA7"/>
    <w:rsid w:val="00B84D4C"/>
    <w:rsid w:val="00BA0CA9"/>
    <w:rsid w:val="00BC3F71"/>
    <w:rsid w:val="00BD4643"/>
    <w:rsid w:val="00BD4B09"/>
    <w:rsid w:val="00BE2A54"/>
    <w:rsid w:val="00BE3E8E"/>
    <w:rsid w:val="00BE57BF"/>
    <w:rsid w:val="00BF4179"/>
    <w:rsid w:val="00BF7763"/>
    <w:rsid w:val="00C015C3"/>
    <w:rsid w:val="00C02897"/>
    <w:rsid w:val="00C0303B"/>
    <w:rsid w:val="00C05736"/>
    <w:rsid w:val="00C06853"/>
    <w:rsid w:val="00C11206"/>
    <w:rsid w:val="00C25715"/>
    <w:rsid w:val="00C277A0"/>
    <w:rsid w:val="00C404BF"/>
    <w:rsid w:val="00C52A2D"/>
    <w:rsid w:val="00C53858"/>
    <w:rsid w:val="00C610F6"/>
    <w:rsid w:val="00C61D52"/>
    <w:rsid w:val="00C80ED0"/>
    <w:rsid w:val="00C96CEE"/>
    <w:rsid w:val="00CA2053"/>
    <w:rsid w:val="00CA3079"/>
    <w:rsid w:val="00CB7E3F"/>
    <w:rsid w:val="00CC2030"/>
    <w:rsid w:val="00CC5D57"/>
    <w:rsid w:val="00CD69C0"/>
    <w:rsid w:val="00CF0787"/>
    <w:rsid w:val="00CF3F40"/>
    <w:rsid w:val="00D07275"/>
    <w:rsid w:val="00D2272C"/>
    <w:rsid w:val="00D26662"/>
    <w:rsid w:val="00D33055"/>
    <w:rsid w:val="00D3439C"/>
    <w:rsid w:val="00D36244"/>
    <w:rsid w:val="00D40AE3"/>
    <w:rsid w:val="00D429C8"/>
    <w:rsid w:val="00D44445"/>
    <w:rsid w:val="00D453EF"/>
    <w:rsid w:val="00D45958"/>
    <w:rsid w:val="00D46578"/>
    <w:rsid w:val="00D60CBB"/>
    <w:rsid w:val="00D703B9"/>
    <w:rsid w:val="00D77510"/>
    <w:rsid w:val="00D85BF1"/>
    <w:rsid w:val="00D92941"/>
    <w:rsid w:val="00D94C10"/>
    <w:rsid w:val="00D94D7E"/>
    <w:rsid w:val="00D95BD6"/>
    <w:rsid w:val="00DA31B0"/>
    <w:rsid w:val="00DA5F0C"/>
    <w:rsid w:val="00DB1831"/>
    <w:rsid w:val="00DB206B"/>
    <w:rsid w:val="00DB3F49"/>
    <w:rsid w:val="00DB40ED"/>
    <w:rsid w:val="00DB5424"/>
    <w:rsid w:val="00DD238B"/>
    <w:rsid w:val="00DD3BFD"/>
    <w:rsid w:val="00DD3DAA"/>
    <w:rsid w:val="00DD4091"/>
    <w:rsid w:val="00DE2353"/>
    <w:rsid w:val="00DE2369"/>
    <w:rsid w:val="00DE74BD"/>
    <w:rsid w:val="00DF0D02"/>
    <w:rsid w:val="00DF10B7"/>
    <w:rsid w:val="00DF4F02"/>
    <w:rsid w:val="00DF6678"/>
    <w:rsid w:val="00E164F3"/>
    <w:rsid w:val="00E21BB9"/>
    <w:rsid w:val="00E30D2B"/>
    <w:rsid w:val="00E32008"/>
    <w:rsid w:val="00E43D88"/>
    <w:rsid w:val="00E4517F"/>
    <w:rsid w:val="00E500B4"/>
    <w:rsid w:val="00E514DC"/>
    <w:rsid w:val="00E6041F"/>
    <w:rsid w:val="00E72030"/>
    <w:rsid w:val="00E73D51"/>
    <w:rsid w:val="00E75234"/>
    <w:rsid w:val="00E7563F"/>
    <w:rsid w:val="00E83567"/>
    <w:rsid w:val="00E85040"/>
    <w:rsid w:val="00E939FE"/>
    <w:rsid w:val="00EA277A"/>
    <w:rsid w:val="00EA2CE7"/>
    <w:rsid w:val="00EA315C"/>
    <w:rsid w:val="00EA3414"/>
    <w:rsid w:val="00EA3656"/>
    <w:rsid w:val="00EB17AE"/>
    <w:rsid w:val="00EB1AB9"/>
    <w:rsid w:val="00EB3432"/>
    <w:rsid w:val="00EC28A7"/>
    <w:rsid w:val="00EC290F"/>
    <w:rsid w:val="00EC574F"/>
    <w:rsid w:val="00EC5CAA"/>
    <w:rsid w:val="00EC7E04"/>
    <w:rsid w:val="00ED264F"/>
    <w:rsid w:val="00ED4C23"/>
    <w:rsid w:val="00ED77C8"/>
    <w:rsid w:val="00EF2930"/>
    <w:rsid w:val="00EF2E22"/>
    <w:rsid w:val="00EF301C"/>
    <w:rsid w:val="00EF3F5E"/>
    <w:rsid w:val="00EF4983"/>
    <w:rsid w:val="00F01738"/>
    <w:rsid w:val="00F20AFA"/>
    <w:rsid w:val="00F3199F"/>
    <w:rsid w:val="00F4086F"/>
    <w:rsid w:val="00F468C2"/>
    <w:rsid w:val="00F531C3"/>
    <w:rsid w:val="00F55F1E"/>
    <w:rsid w:val="00F63534"/>
    <w:rsid w:val="00F63A4D"/>
    <w:rsid w:val="00F660DF"/>
    <w:rsid w:val="00F668F2"/>
    <w:rsid w:val="00F730C8"/>
    <w:rsid w:val="00F835D8"/>
    <w:rsid w:val="00F87B99"/>
    <w:rsid w:val="00F90A1C"/>
    <w:rsid w:val="00F95C08"/>
    <w:rsid w:val="00F95D64"/>
    <w:rsid w:val="00FA63F3"/>
    <w:rsid w:val="00FD13A8"/>
    <w:rsid w:val="00FD461B"/>
    <w:rsid w:val="00FE2DA0"/>
    <w:rsid w:val="00FE79D3"/>
    <w:rsid w:val="00FF79D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97458DA"/>
  <w15:docId w15:val="{3709C134-D1B2-4736-8095-F63C012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1B0"/>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aliases w:val="GHS Chapter Heading"/>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Footnote Reference/"/>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uiPriority w:val="99"/>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uiPriority w:val="99"/>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aliases w:val="GHS Chapter Heading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132EA9"/>
    <w:rPr>
      <w:rFonts w:ascii="Tahoma" w:hAnsi="Tahoma" w:cs="Tahoma"/>
      <w:sz w:val="16"/>
      <w:szCs w:val="16"/>
      <w:lang w:eastAsia="en-US"/>
    </w:rPr>
  </w:style>
  <w:style w:type="character" w:customStyle="1" w:styleId="HChGChar">
    <w:name w:val="_ H _Ch_G Char"/>
    <w:link w:val="HChG"/>
    <w:rsid w:val="009D0B19"/>
    <w:rPr>
      <w:b/>
      <w:sz w:val="28"/>
    </w:rPr>
  </w:style>
  <w:style w:type="character" w:customStyle="1" w:styleId="SingleTxtGChar">
    <w:name w:val="_ Single Txt_G Char"/>
    <w:link w:val="SingleTxtG"/>
    <w:qFormat/>
    <w:locked/>
    <w:rsid w:val="009D0B19"/>
  </w:style>
  <w:style w:type="character" w:customStyle="1" w:styleId="H1GChar">
    <w:name w:val="_ H_1_G Char"/>
    <w:link w:val="H1G"/>
    <w:locked/>
    <w:rsid w:val="009D0B19"/>
    <w:rPr>
      <w:b/>
      <w:sz w:val="24"/>
    </w:rPr>
  </w:style>
  <w:style w:type="paragraph" w:customStyle="1" w:styleId="GHS1stline">
    <w:name w:val="GHS_1st line"/>
    <w:basedOn w:val="Normal"/>
    <w:qFormat/>
    <w:rsid w:val="009D0B19"/>
    <w:pPr>
      <w:tabs>
        <w:tab w:val="left" w:pos="1418"/>
        <w:tab w:val="left" w:pos="1985"/>
        <w:tab w:val="left" w:pos="2552"/>
        <w:tab w:val="left" w:pos="3119"/>
        <w:tab w:val="left" w:pos="3686"/>
      </w:tabs>
      <w:autoSpaceDE w:val="0"/>
      <w:autoSpaceDN w:val="0"/>
      <w:adjustRightInd w:val="0"/>
      <w:spacing w:after="240" w:line="240" w:lineRule="auto"/>
      <w:ind w:firstLine="1418"/>
      <w:jc w:val="both"/>
    </w:pPr>
    <w:rPr>
      <w:lang w:val="en-GB" w:eastAsia="en-US"/>
    </w:rPr>
  </w:style>
  <w:style w:type="paragraph" w:customStyle="1" w:styleId="GHSHeading3">
    <w:name w:val="GHSHeading3"/>
    <w:basedOn w:val="Titre3"/>
    <w:rsid w:val="009D0B19"/>
    <w:pPr>
      <w:keepNext/>
      <w:tabs>
        <w:tab w:val="left" w:pos="1418"/>
      </w:tabs>
      <w:autoSpaceDE w:val="0"/>
      <w:autoSpaceDN w:val="0"/>
      <w:adjustRightInd w:val="0"/>
      <w:spacing w:line="240" w:lineRule="auto"/>
    </w:pPr>
    <w:rPr>
      <w:b/>
      <w:bCs/>
      <w:color w:val="000000"/>
      <w:sz w:val="22"/>
      <w:szCs w:val="22"/>
      <w:lang w:val="en-GB" w:eastAsia="fr-FR"/>
    </w:rPr>
  </w:style>
  <w:style w:type="paragraph" w:styleId="Corpsdetexte">
    <w:name w:val="Body Text"/>
    <w:basedOn w:val="Normal"/>
    <w:link w:val="CorpsdetexteCar"/>
    <w:rsid w:val="009D0B19"/>
    <w:pPr>
      <w:autoSpaceDE w:val="0"/>
      <w:autoSpaceDN w:val="0"/>
      <w:adjustRightInd w:val="0"/>
      <w:spacing w:after="120" w:line="240" w:lineRule="auto"/>
    </w:pPr>
    <w:rPr>
      <w:sz w:val="22"/>
      <w:lang w:val="fr-FR" w:eastAsia="fr-FR"/>
    </w:rPr>
  </w:style>
  <w:style w:type="character" w:customStyle="1" w:styleId="CorpsdetexteCar">
    <w:name w:val="Corps de texte Car"/>
    <w:basedOn w:val="Policepardfaut"/>
    <w:link w:val="Corpsdetexte"/>
    <w:rsid w:val="009D0B19"/>
    <w:rPr>
      <w:sz w:val="22"/>
      <w:lang w:val="fr-FR" w:eastAsia="fr-FR"/>
    </w:rPr>
  </w:style>
  <w:style w:type="paragraph" w:customStyle="1" w:styleId="Style1">
    <w:name w:val="Style1"/>
    <w:basedOn w:val="Normal"/>
    <w:rsid w:val="009D0B19"/>
    <w:pPr>
      <w:widowControl w:val="0"/>
      <w:spacing w:line="240" w:lineRule="auto"/>
      <w:jc w:val="both"/>
    </w:pPr>
    <w:rPr>
      <w:snapToGrid w:val="0"/>
      <w:sz w:val="24"/>
      <w:lang w:val="en-US" w:eastAsia="en-US"/>
    </w:rPr>
  </w:style>
  <w:style w:type="paragraph" w:styleId="Corpsdetexte3">
    <w:name w:val="Body Text 3"/>
    <w:basedOn w:val="Normal"/>
    <w:link w:val="Corpsdetexte3Car"/>
    <w:rsid w:val="009D0B19"/>
    <w:pPr>
      <w:widowControl w:val="0"/>
      <w:tabs>
        <w:tab w:val="left" w:pos="900"/>
        <w:tab w:val="left" w:pos="1134"/>
        <w:tab w:val="left" w:pos="1701"/>
        <w:tab w:val="left" w:pos="2268"/>
        <w:tab w:val="left" w:pos="2835"/>
        <w:tab w:val="left" w:pos="3402"/>
      </w:tabs>
      <w:autoSpaceDE w:val="0"/>
      <w:autoSpaceDN w:val="0"/>
      <w:adjustRightInd w:val="0"/>
      <w:spacing w:line="240" w:lineRule="auto"/>
      <w:jc w:val="both"/>
    </w:pPr>
    <w:rPr>
      <w:color w:val="000000"/>
      <w:sz w:val="22"/>
      <w:lang w:val="en-GB" w:eastAsia="fr-FR"/>
    </w:rPr>
  </w:style>
  <w:style w:type="character" w:customStyle="1" w:styleId="Corpsdetexte3Car">
    <w:name w:val="Corps de texte 3 Car"/>
    <w:basedOn w:val="Policepardfaut"/>
    <w:link w:val="Corpsdetexte3"/>
    <w:rsid w:val="009D0B19"/>
    <w:rPr>
      <w:color w:val="000000"/>
      <w:sz w:val="22"/>
      <w:lang w:val="en-GB" w:eastAsia="fr-FR"/>
    </w:rPr>
  </w:style>
  <w:style w:type="paragraph" w:styleId="Rvision">
    <w:name w:val="Revision"/>
    <w:hidden/>
    <w:uiPriority w:val="99"/>
    <w:semiHidden/>
    <w:rsid w:val="009D0B19"/>
    <w:pPr>
      <w:spacing w:line="240" w:lineRule="auto"/>
    </w:pPr>
    <w:rPr>
      <w:rFonts w:eastAsiaTheme="minorEastAsia"/>
      <w:kern w:val="2"/>
      <w:lang w:val="en-GB"/>
      <w14:ligatures w14:val="standardContextual"/>
    </w:rPr>
  </w:style>
  <w:style w:type="character" w:customStyle="1" w:styleId="SingleTxtGCar">
    <w:name w:val="_ Single Txt_G Car"/>
    <w:rsid w:val="009D0B19"/>
    <w:rPr>
      <w:rFonts w:ascii="Times New Roman" w:eastAsiaTheme="minorHAnsi" w:hAnsi="Times New Roman" w:cs="Times New Roman"/>
      <w:sz w:val="20"/>
      <w:szCs w:val="20"/>
      <w:lang w:eastAsia="en-US"/>
    </w:rPr>
  </w:style>
  <w:style w:type="character" w:customStyle="1" w:styleId="H23GChar">
    <w:name w:val="_ H_2/3_G Char"/>
    <w:link w:val="H23G"/>
    <w:locked/>
    <w:rsid w:val="009D0B19"/>
    <w:rPr>
      <w:b/>
    </w:rPr>
  </w:style>
  <w:style w:type="character" w:customStyle="1" w:styleId="StyleItalic">
    <w:name w:val="Style Italic"/>
    <w:rsid w:val="009D0B19"/>
    <w:rPr>
      <w:rFonts w:ascii="Times New Roman" w:hAnsi="Times New Roman" w:cs="Times New Roman" w:hint="default"/>
      <w:i/>
      <w:iCs/>
    </w:rPr>
  </w:style>
  <w:style w:type="character" w:customStyle="1" w:styleId="StyleBold">
    <w:name w:val="Style Bold"/>
    <w:rsid w:val="009D0B19"/>
    <w:rPr>
      <w:rFonts w:ascii="Times New Roman" w:hAnsi="Times New Roman" w:cs="Times New Roman" w:hint="default"/>
      <w:b/>
      <w:bCs/>
    </w:rPr>
  </w:style>
  <w:style w:type="character" w:styleId="Marquedecommentaire">
    <w:name w:val="annotation reference"/>
    <w:basedOn w:val="Policepardfaut"/>
    <w:uiPriority w:val="99"/>
    <w:semiHidden/>
    <w:unhideWhenUsed/>
    <w:rsid w:val="009D0B19"/>
    <w:rPr>
      <w:sz w:val="16"/>
      <w:szCs w:val="16"/>
    </w:rPr>
  </w:style>
  <w:style w:type="paragraph" w:styleId="Commentaire">
    <w:name w:val="annotation text"/>
    <w:basedOn w:val="Normal"/>
    <w:link w:val="CommentaireCar"/>
    <w:uiPriority w:val="99"/>
    <w:unhideWhenUsed/>
    <w:rsid w:val="009D0B19"/>
    <w:pPr>
      <w:spacing w:line="240" w:lineRule="auto"/>
    </w:pPr>
    <w:rPr>
      <w:rFonts w:eastAsiaTheme="minorEastAsia"/>
      <w:kern w:val="2"/>
      <w:lang w:val="en-GB"/>
      <w14:ligatures w14:val="standardContextual"/>
    </w:rPr>
  </w:style>
  <w:style w:type="character" w:customStyle="1" w:styleId="CommentaireCar">
    <w:name w:val="Commentaire Car"/>
    <w:basedOn w:val="Policepardfaut"/>
    <w:link w:val="Commentaire"/>
    <w:uiPriority w:val="99"/>
    <w:rsid w:val="009D0B19"/>
    <w:rPr>
      <w:rFonts w:eastAsiaTheme="minorEastAsia"/>
      <w:kern w:val="2"/>
      <w:lang w:val="en-GB"/>
      <w14:ligatures w14:val="standardContextual"/>
    </w:rPr>
  </w:style>
  <w:style w:type="paragraph" w:styleId="Objetducommentaire">
    <w:name w:val="annotation subject"/>
    <w:basedOn w:val="Commentaire"/>
    <w:next w:val="Commentaire"/>
    <w:link w:val="ObjetducommentaireCar"/>
    <w:uiPriority w:val="99"/>
    <w:semiHidden/>
    <w:unhideWhenUsed/>
    <w:rsid w:val="009D0B19"/>
    <w:rPr>
      <w:b/>
      <w:bCs/>
    </w:rPr>
  </w:style>
  <w:style w:type="character" w:customStyle="1" w:styleId="ObjetducommentaireCar">
    <w:name w:val="Objet du commentaire Car"/>
    <w:basedOn w:val="CommentaireCar"/>
    <w:link w:val="Objetducommentaire"/>
    <w:uiPriority w:val="99"/>
    <w:semiHidden/>
    <w:rsid w:val="009D0B19"/>
    <w:rPr>
      <w:rFonts w:eastAsiaTheme="minorEastAsia"/>
      <w:b/>
      <w:bCs/>
      <w:kern w:val="2"/>
      <w:lang w:val="en-GB"/>
      <w14:ligatures w14:val="standardContextual"/>
    </w:rPr>
  </w:style>
  <w:style w:type="paragraph" w:customStyle="1" w:styleId="GHSbodytext">
    <w:name w:val="GHS body text"/>
    <w:basedOn w:val="Normal"/>
    <w:link w:val="GHSbodytextChar"/>
    <w:qFormat/>
    <w:rsid w:val="00EA3414"/>
    <w:pPr>
      <w:tabs>
        <w:tab w:val="left" w:pos="1418"/>
        <w:tab w:val="left" w:pos="1985"/>
        <w:tab w:val="left" w:pos="2552"/>
        <w:tab w:val="left" w:pos="3119"/>
      </w:tabs>
      <w:spacing w:after="240" w:line="240" w:lineRule="auto"/>
      <w:jc w:val="both"/>
    </w:pPr>
    <w:rPr>
      <w:szCs w:val="24"/>
      <w:lang w:val="fr-FR" w:eastAsia="en-US"/>
    </w:rPr>
  </w:style>
  <w:style w:type="character" w:customStyle="1" w:styleId="GHSbodytextChar">
    <w:name w:val="GHS body text Char"/>
    <w:link w:val="GHSbodytext"/>
    <w:rsid w:val="00EA3414"/>
    <w:rPr>
      <w:szCs w:val="24"/>
      <w:lang w:val="fr-FR" w:eastAsia="en-US"/>
    </w:rPr>
  </w:style>
  <w:style w:type="paragraph" w:customStyle="1" w:styleId="GHS4heading">
    <w:name w:val="GHS 4 heading"/>
    <w:basedOn w:val="Normal"/>
    <w:link w:val="GHS4headingChar"/>
    <w:qFormat/>
    <w:rsid w:val="00EA3414"/>
    <w:pPr>
      <w:tabs>
        <w:tab w:val="left" w:pos="1418"/>
        <w:tab w:val="left" w:pos="1985"/>
        <w:tab w:val="left" w:pos="2552"/>
        <w:tab w:val="left" w:pos="3119"/>
      </w:tabs>
      <w:spacing w:after="240" w:line="240" w:lineRule="auto"/>
      <w:jc w:val="both"/>
    </w:pPr>
    <w:rPr>
      <w:b/>
      <w:szCs w:val="24"/>
      <w:lang w:val="en-GB" w:eastAsia="en-US"/>
    </w:rPr>
  </w:style>
  <w:style w:type="character" w:customStyle="1" w:styleId="GHS4headingChar">
    <w:name w:val="GHS 4 heading Char"/>
    <w:link w:val="GHS4heading"/>
    <w:rsid w:val="00EA3414"/>
    <w:rPr>
      <w:b/>
      <w:szCs w:val="24"/>
      <w:lang w:val="en-GB" w:eastAsia="en-US"/>
    </w:rPr>
  </w:style>
  <w:style w:type="paragraph" w:customStyle="1" w:styleId="GHSH04">
    <w:name w:val="GHSH04"/>
    <w:basedOn w:val="Normal"/>
    <w:qFormat/>
    <w:rsid w:val="00493357"/>
    <w:pPr>
      <w:keepNext/>
      <w:keepLines/>
      <w:tabs>
        <w:tab w:val="left" w:pos="1418"/>
        <w:tab w:val="left" w:pos="1985"/>
        <w:tab w:val="left" w:pos="2552"/>
        <w:tab w:val="left" w:pos="3119"/>
        <w:tab w:val="left" w:pos="3686"/>
      </w:tabs>
      <w:autoSpaceDE w:val="0"/>
      <w:autoSpaceDN w:val="0"/>
      <w:adjustRightInd w:val="0"/>
      <w:spacing w:after="240" w:line="240" w:lineRule="auto"/>
      <w:jc w:val="both"/>
    </w:pPr>
    <w:rPr>
      <w:b/>
      <w:bCs/>
      <w:i/>
      <w:color w:val="000000"/>
      <w:szCs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11.wmf"/><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33" Type="http://schemas.openxmlformats.org/officeDocument/2006/relationships/oleObject" Target="embeddings/oleObject1.bin"/><Relationship Id="rId38" Type="http://schemas.openxmlformats.org/officeDocument/2006/relationships/footer" Target="footer1.xm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32" Type="http://schemas.openxmlformats.org/officeDocument/2006/relationships/image" Target="media/image10.wmf"/><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package" Target="embeddings/Microsoft_Visio_Drawing1.vsd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10.wmf"/><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30" Type="http://schemas.openxmlformats.org/officeDocument/2006/relationships/image" Target="media/image100.wmf"/><Relationship Id="rId35" Type="http://schemas.openxmlformats.org/officeDocument/2006/relationships/image" Target="media/image12.wmf"/><Relationship Id="rId43" Type="http://schemas.openxmlformats.org/officeDocument/2006/relationships/header" Target="header3.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CFFADE9-2AEC-4624-85DE-CAAFC6EAAC12}">
  <ds:schemaRefs>
    <ds:schemaRef ds:uri="http://schemas.openxmlformats.org/officeDocument/2006/bibliography"/>
  </ds:schemaRefs>
</ds:datastoreItem>
</file>

<file path=customXml/itemProps2.xml><?xml version="1.0" encoding="utf-8"?>
<ds:datastoreItem xmlns:ds="http://schemas.openxmlformats.org/officeDocument/2006/customXml" ds:itemID="{58BBB615-AAC9-4418-B1AF-9BA74ECC3BFC}"/>
</file>

<file path=customXml/itemProps3.xml><?xml version="1.0" encoding="utf-8"?>
<ds:datastoreItem xmlns:ds="http://schemas.openxmlformats.org/officeDocument/2006/customXml" ds:itemID="{F97CFC0A-AD73-4249-8BA2-6563CF96A8BC}">
  <ds:schemaRefs>
    <ds:schemaRef ds:uri="http://schemas.microsoft.com/sharepoint/v3/contenttype/forms"/>
  </ds:schemaRefs>
</ds:datastoreItem>
</file>

<file path=customXml/itemProps4.xml><?xml version="1.0" encoding="utf-8"?>
<ds:datastoreItem xmlns:ds="http://schemas.openxmlformats.org/officeDocument/2006/customXml" ds:itemID="{B4094D0C-BAE8-409B-8569-1E606FE5DF4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SGAC10_F.dotm</Template>
  <TotalTime>14</TotalTime>
  <Pages>32</Pages>
  <Words>12191</Words>
  <Characters>67783</Characters>
  <Application>Microsoft Office Word</Application>
  <DocSecurity>0</DocSecurity>
  <Lines>1653</Lines>
  <Paragraphs>677</Paragraphs>
  <ScaleCrop>false</ScaleCrop>
  <HeadingPairs>
    <vt:vector size="6" baseType="variant">
      <vt:variant>
        <vt:lpstr>Title</vt:lpstr>
      </vt:variant>
      <vt:variant>
        <vt:i4>1</vt:i4>
      </vt:variant>
      <vt:variant>
        <vt:lpstr>Headings</vt:lpstr>
      </vt:variant>
      <vt:variant>
        <vt:i4>15</vt:i4>
      </vt:variant>
      <vt:variant>
        <vt:lpstr>Titre</vt:lpstr>
      </vt:variant>
      <vt:variant>
        <vt:i4>1</vt:i4>
      </vt:variant>
    </vt:vector>
  </HeadingPairs>
  <TitlesOfParts>
    <vt:vector size="17" baseType="lpstr">
      <vt:lpstr>ST/SG/AC.10/C.4/2024/11</vt:lpstr>
      <vt:lpstr>    Liste récapitulative des projets d’amendements adoptés par le Sous-Comité à se</vt:lpstr>
      <vt:lpstr>        Note du secrétariat*</vt:lpstr>
      <vt:lpstr>        Chapitre 1.2</vt:lpstr>
      <vt:lpstr>        </vt:lpstr>
      <vt:lpstr>        </vt:lpstr>
      <vt:lpstr>        Chapitre 4.2 </vt:lpstr>
      <vt:lpstr>        « 4.2.2	Critères de classement</vt:lpstr>
      <vt:lpstr>        « 4.2.3	Communication du danger</vt:lpstr>
      <vt:lpstr>        Modifications connexes qu’il est proposé d’apporter à l’aAnnexe 1</vt:lpstr>
      <vt:lpstr>        Modifications connexes qu’il est proposé d’apporter  à la section 1 de l’aAnne</vt:lpstr>
      <vt:lpstr>        Modifications connexes qu’il est proposé d’apporter  à la section 2 de l’aAnne</vt:lpstr>
      <vt:lpstr>        Tableau A3.2.3</vt:lpstr>
      <vt:lpstr>        Tableau A3.2.5</vt:lpstr>
      <vt:lpstr>        Modifications connexes qu’il est proposé d’apporter  à la section 3 de l’aAnne</vt:lpstr>
      <vt:lpstr>    Modifications qu’il est proposé d’apporter à l’aAnnexe 7  du SGH (exemples 1 </vt:lpstr>
      <vt:lpstr/>
    </vt:vector>
  </TitlesOfParts>
  <Company>DCM</Company>
  <LinksUpToDate>false</LinksUpToDate>
  <CharactersWithSpaces>79297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ST/SG/AC.10/C.4/2024/11</dc:title>
  <dc:subject/>
  <dc:creator>Rosa Garcia-Couto</dc:creator>
  <cp:keywords/>
  <cp:lastModifiedBy>Nathalie VITTOZ</cp:lastModifiedBy>
  <cp:revision>2</cp:revision>
  <cp:lastPrinted>2024-09-02T15:22:00Z</cp:lastPrinted>
  <dcterms:created xsi:type="dcterms:W3CDTF">2024-09-19T07:34:00Z</dcterms:created>
  <dcterms:modified xsi:type="dcterms:W3CDTF">2024-09-19T07:34:00Z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0x010100C351874580DE274AB11582BCB027F582</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