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A22868" w14:paraId="5D760E28" w14:textId="77777777" w:rsidTr="006476E1">
        <w:trPr>
          <w:trHeight w:val="851"/>
        </w:trPr>
        <w:tc>
          <w:tcPr>
            <w:tcW w:w="1259" w:type="dxa"/>
            <w:tcBorders>
              <w:top w:val="nil"/>
              <w:left w:val="nil"/>
              <w:bottom w:val="single" w:sz="4" w:space="0" w:color="auto"/>
              <w:right w:val="nil"/>
            </w:tcBorders>
          </w:tcPr>
          <w:p w14:paraId="40785269" w14:textId="3D501189" w:rsidR="0067265A" w:rsidRPr="00A22868" w:rsidRDefault="0067265A" w:rsidP="002E5AFB"/>
        </w:tc>
        <w:tc>
          <w:tcPr>
            <w:tcW w:w="2236" w:type="dxa"/>
            <w:tcBorders>
              <w:top w:val="nil"/>
              <w:left w:val="nil"/>
              <w:bottom w:val="single" w:sz="4" w:space="0" w:color="auto"/>
              <w:right w:val="nil"/>
            </w:tcBorders>
            <w:vAlign w:val="bottom"/>
          </w:tcPr>
          <w:p w14:paraId="62FE63CE" w14:textId="77777777" w:rsidR="00E52109" w:rsidRPr="00A22868" w:rsidRDefault="00E52109" w:rsidP="006476E1">
            <w:pPr>
              <w:spacing w:after="80" w:line="300" w:lineRule="exact"/>
              <w:rPr>
                <w:sz w:val="28"/>
                <w:szCs w:val="28"/>
              </w:rPr>
            </w:pPr>
            <w:r w:rsidRPr="00A22868">
              <w:rPr>
                <w:sz w:val="28"/>
                <w:szCs w:val="28"/>
              </w:rPr>
              <w:t>United Nations</w:t>
            </w:r>
          </w:p>
        </w:tc>
        <w:tc>
          <w:tcPr>
            <w:tcW w:w="6144" w:type="dxa"/>
            <w:gridSpan w:val="2"/>
            <w:tcBorders>
              <w:top w:val="nil"/>
              <w:left w:val="nil"/>
              <w:bottom w:val="single" w:sz="4" w:space="0" w:color="auto"/>
              <w:right w:val="nil"/>
            </w:tcBorders>
            <w:vAlign w:val="bottom"/>
          </w:tcPr>
          <w:p w14:paraId="5447B19F" w14:textId="0ED8F22D" w:rsidR="00E52109" w:rsidRPr="00A22868" w:rsidRDefault="00D50FD0" w:rsidP="00D50FD0">
            <w:pPr>
              <w:jc w:val="right"/>
            </w:pPr>
            <w:r w:rsidRPr="00A22868">
              <w:rPr>
                <w:sz w:val="40"/>
              </w:rPr>
              <w:t>ST</w:t>
            </w:r>
            <w:r w:rsidRPr="00A22868">
              <w:t>/SG/AC.10/C.4/2024/11</w:t>
            </w:r>
          </w:p>
        </w:tc>
      </w:tr>
      <w:tr w:rsidR="00E52109" w:rsidRPr="00A22868" w14:paraId="37B56FBC" w14:textId="77777777" w:rsidTr="006476E1">
        <w:trPr>
          <w:trHeight w:val="2835"/>
        </w:trPr>
        <w:tc>
          <w:tcPr>
            <w:tcW w:w="1259" w:type="dxa"/>
            <w:tcBorders>
              <w:top w:val="single" w:sz="4" w:space="0" w:color="auto"/>
              <w:left w:val="nil"/>
              <w:bottom w:val="single" w:sz="12" w:space="0" w:color="auto"/>
              <w:right w:val="nil"/>
            </w:tcBorders>
          </w:tcPr>
          <w:p w14:paraId="1509F5DE" w14:textId="77777777" w:rsidR="00E52109" w:rsidRPr="00A22868" w:rsidRDefault="00E52109" w:rsidP="006476E1">
            <w:pPr>
              <w:spacing w:before="120"/>
              <w:jc w:val="center"/>
            </w:pPr>
            <w:r w:rsidRPr="008B0608">
              <w:rPr>
                <w:noProof/>
                <w:lang w:eastAsia="fr-CH"/>
              </w:rPr>
              <w:drawing>
                <wp:inline distT="0" distB="0" distL="0" distR="0" wp14:anchorId="0E1F899A" wp14:editId="6AEE8EF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A29F740" w14:textId="77777777" w:rsidR="00E52109" w:rsidRPr="00A22868" w:rsidRDefault="00D94B05" w:rsidP="006476E1">
            <w:pPr>
              <w:spacing w:before="120" w:line="420" w:lineRule="exact"/>
              <w:rPr>
                <w:b/>
                <w:sz w:val="40"/>
                <w:szCs w:val="40"/>
              </w:rPr>
            </w:pPr>
            <w:r w:rsidRPr="00A22868">
              <w:rPr>
                <w:b/>
                <w:sz w:val="40"/>
                <w:szCs w:val="40"/>
              </w:rPr>
              <w:t>Secretariat</w:t>
            </w:r>
          </w:p>
        </w:tc>
        <w:tc>
          <w:tcPr>
            <w:tcW w:w="2930" w:type="dxa"/>
            <w:tcBorders>
              <w:top w:val="single" w:sz="4" w:space="0" w:color="auto"/>
              <w:left w:val="nil"/>
              <w:bottom w:val="single" w:sz="12" w:space="0" w:color="auto"/>
              <w:right w:val="nil"/>
            </w:tcBorders>
          </w:tcPr>
          <w:p w14:paraId="7CD26EFA" w14:textId="77777777" w:rsidR="00D94B05" w:rsidRPr="00A22868" w:rsidRDefault="00D50FD0" w:rsidP="00D50FD0">
            <w:pPr>
              <w:spacing w:before="240" w:line="240" w:lineRule="exact"/>
            </w:pPr>
            <w:r w:rsidRPr="00A22868">
              <w:t>Distr.: General</w:t>
            </w:r>
          </w:p>
          <w:p w14:paraId="7B9AF47B" w14:textId="3CF20631" w:rsidR="00D50FD0" w:rsidRPr="00A22868" w:rsidRDefault="00C478FB" w:rsidP="00D50FD0">
            <w:pPr>
              <w:spacing w:line="240" w:lineRule="exact"/>
            </w:pPr>
            <w:r w:rsidRPr="00C478FB">
              <w:t>18</w:t>
            </w:r>
            <w:r w:rsidR="00D50FD0" w:rsidRPr="00C478FB">
              <w:t xml:space="preserve"> </w:t>
            </w:r>
            <w:r w:rsidR="00CC5DF6" w:rsidRPr="00C478FB">
              <w:t xml:space="preserve">September </w:t>
            </w:r>
            <w:r w:rsidR="00D50FD0" w:rsidRPr="00C478FB">
              <w:t>2024</w:t>
            </w:r>
          </w:p>
          <w:p w14:paraId="1BF28049" w14:textId="77777777" w:rsidR="00D50FD0" w:rsidRPr="00A22868" w:rsidRDefault="00D50FD0" w:rsidP="00D50FD0">
            <w:pPr>
              <w:spacing w:line="240" w:lineRule="exact"/>
            </w:pPr>
          </w:p>
          <w:p w14:paraId="76FF3587" w14:textId="1EE075A9" w:rsidR="00D50FD0" w:rsidRPr="00A22868" w:rsidRDefault="00D50FD0" w:rsidP="00D50FD0">
            <w:pPr>
              <w:spacing w:line="240" w:lineRule="exact"/>
            </w:pPr>
            <w:r w:rsidRPr="00A22868">
              <w:t>Original: English</w:t>
            </w:r>
            <w:r w:rsidR="00CB573E" w:rsidRPr="00A22868">
              <w:t xml:space="preserve"> and French</w:t>
            </w:r>
          </w:p>
        </w:tc>
      </w:tr>
    </w:tbl>
    <w:p w14:paraId="696ECECC" w14:textId="77777777" w:rsidR="00D50FD0" w:rsidRPr="008B0608" w:rsidRDefault="00D50FD0" w:rsidP="004858F5">
      <w:pPr>
        <w:spacing w:before="120"/>
        <w:rPr>
          <w:b/>
          <w:sz w:val="24"/>
          <w:szCs w:val="24"/>
        </w:rPr>
      </w:pPr>
      <w:r w:rsidRPr="008B0608">
        <w:rPr>
          <w:b/>
          <w:sz w:val="24"/>
          <w:szCs w:val="24"/>
        </w:rPr>
        <w:t>Committee of Experts on the Transport of Dangerous Goods</w:t>
      </w:r>
      <w:r w:rsidRPr="008B0608">
        <w:rPr>
          <w:b/>
          <w:sz w:val="24"/>
          <w:szCs w:val="24"/>
        </w:rPr>
        <w:br/>
        <w:t>and on the Globally Harmonized System of Classification</w:t>
      </w:r>
      <w:r w:rsidRPr="008B0608">
        <w:rPr>
          <w:b/>
          <w:sz w:val="24"/>
          <w:szCs w:val="24"/>
        </w:rPr>
        <w:br/>
        <w:t>and Labelling of Chemicals</w:t>
      </w:r>
    </w:p>
    <w:p w14:paraId="5B0053A1" w14:textId="77777777" w:rsidR="00D50FD0" w:rsidRPr="008B0608" w:rsidRDefault="00D50FD0" w:rsidP="004858F5">
      <w:pPr>
        <w:spacing w:before="120"/>
        <w:rPr>
          <w:rFonts w:ascii="Helv" w:hAnsi="Helv" w:cs="Helv"/>
          <w:b/>
          <w:color w:val="000000"/>
        </w:rPr>
      </w:pPr>
      <w:r w:rsidRPr="008B0608">
        <w:rPr>
          <w:b/>
        </w:rPr>
        <w:t>Sub-Committee of Experts on the Globally Harmonized</w:t>
      </w:r>
      <w:r w:rsidRPr="008B0608">
        <w:rPr>
          <w:b/>
        </w:rPr>
        <w:br/>
        <w:t>System of Classification and Labelling of Chemicals</w:t>
      </w:r>
    </w:p>
    <w:p w14:paraId="36953A6E" w14:textId="2E1F2380" w:rsidR="00D50FD0" w:rsidRPr="00A22868" w:rsidRDefault="00CB573E" w:rsidP="004858F5">
      <w:pPr>
        <w:spacing w:before="120"/>
        <w:rPr>
          <w:b/>
        </w:rPr>
      </w:pPr>
      <w:r w:rsidRPr="00A22868">
        <w:rPr>
          <w:b/>
        </w:rPr>
        <w:t>Forty-seventh</w:t>
      </w:r>
      <w:r w:rsidR="00D50FD0" w:rsidRPr="00A22868">
        <w:rPr>
          <w:b/>
        </w:rPr>
        <w:t xml:space="preserve"> session</w:t>
      </w:r>
    </w:p>
    <w:p w14:paraId="15EF59DE" w14:textId="4BDC3DCE" w:rsidR="00D50FD0" w:rsidRPr="00A22868" w:rsidRDefault="00D50FD0" w:rsidP="004858F5">
      <w:r w:rsidRPr="00A22868">
        <w:t xml:space="preserve">Geneva, </w:t>
      </w:r>
      <w:r w:rsidR="00CB573E" w:rsidRPr="00A22868">
        <w:t>4-6 December 2024</w:t>
      </w:r>
    </w:p>
    <w:p w14:paraId="1A574D34" w14:textId="4CD25494" w:rsidR="00D50FD0" w:rsidRPr="00A22868" w:rsidRDefault="00D50FD0" w:rsidP="004858F5">
      <w:r w:rsidRPr="00A22868">
        <w:t xml:space="preserve">Item </w:t>
      </w:r>
      <w:r w:rsidR="00CB573E" w:rsidRPr="00A22868">
        <w:t>2 (a)</w:t>
      </w:r>
      <w:r w:rsidRPr="00A22868">
        <w:t xml:space="preserve"> of the provisional agenda</w:t>
      </w:r>
    </w:p>
    <w:p w14:paraId="727C4389" w14:textId="1E2CB511" w:rsidR="00CB573E" w:rsidRPr="00A22868" w:rsidRDefault="00CB573E" w:rsidP="004858F5">
      <w:pPr>
        <w:rPr>
          <w:b/>
          <w:bCs/>
        </w:rPr>
      </w:pPr>
      <w:r w:rsidRPr="00A22868">
        <w:rPr>
          <w:b/>
          <w:bCs/>
        </w:rPr>
        <w:t xml:space="preserve">Work on the Globally Harmonized System of Classification </w:t>
      </w:r>
      <w:r w:rsidRPr="00A22868">
        <w:rPr>
          <w:b/>
          <w:bCs/>
        </w:rPr>
        <w:br/>
        <w:t>and Labelling of Chemicals:</w:t>
      </w:r>
      <w:r w:rsidR="00950090">
        <w:rPr>
          <w:b/>
          <w:bCs/>
        </w:rPr>
        <w:br/>
      </w:r>
      <w:r w:rsidRPr="00A22868">
        <w:rPr>
          <w:b/>
          <w:bCs/>
        </w:rPr>
        <w:t xml:space="preserve">Recommendations made </w:t>
      </w:r>
      <w:proofErr w:type="spellStart"/>
      <w:r w:rsidRPr="00A22868">
        <w:rPr>
          <w:b/>
          <w:bCs/>
        </w:rPr>
        <w:t>bythe</w:t>
      </w:r>
      <w:proofErr w:type="spellEnd"/>
      <w:r w:rsidRPr="00A22868">
        <w:rPr>
          <w:b/>
          <w:bCs/>
        </w:rPr>
        <w:t xml:space="preserve"> Sub-Committee at its </w:t>
      </w:r>
      <w:bookmarkStart w:id="0" w:name="_Hlk172290056"/>
      <w:r w:rsidRPr="00A22868">
        <w:rPr>
          <w:b/>
          <w:bCs/>
        </w:rPr>
        <w:t>forty-fourth,</w:t>
      </w:r>
      <w:bookmarkEnd w:id="0"/>
      <w:r w:rsidRPr="00A22868">
        <w:rPr>
          <w:b/>
          <w:bCs/>
        </w:rPr>
        <w:t xml:space="preserve"> forty-fifth </w:t>
      </w:r>
      <w:r w:rsidRPr="00A22868">
        <w:rPr>
          <w:b/>
          <w:bCs/>
        </w:rPr>
        <w:br/>
        <w:t xml:space="preserve">and forty-sixth </w:t>
      </w:r>
      <w:proofErr w:type="gramStart"/>
      <w:r w:rsidRPr="00A22868">
        <w:rPr>
          <w:b/>
          <w:bCs/>
        </w:rPr>
        <w:t>sessions</w:t>
      </w:r>
      <w:proofErr w:type="gramEnd"/>
    </w:p>
    <w:p w14:paraId="6340DAB6" w14:textId="5C9DC9B7" w:rsidR="00AB65DC" w:rsidRPr="008B0608" w:rsidRDefault="00AB65DC" w:rsidP="00AB65DC">
      <w:pPr>
        <w:pStyle w:val="HChG"/>
      </w:pPr>
      <w:bookmarkStart w:id="1" w:name="_Hlk172539728"/>
      <w:r w:rsidRPr="008B0608">
        <w:tab/>
      </w:r>
      <w:r w:rsidRPr="008B0608">
        <w:tab/>
        <w:t xml:space="preserve">Consolidated list of draft </w:t>
      </w:r>
      <w:r w:rsidR="00237215" w:rsidRPr="008B0608">
        <w:t>amendments</w:t>
      </w:r>
      <w:r w:rsidRPr="008B0608">
        <w:t xml:space="preserve"> adopted by the Sub-Committee at its forty-fourth, forty-fifth and forty-sixth </w:t>
      </w:r>
      <w:proofErr w:type="gramStart"/>
      <w:r w:rsidRPr="008B0608">
        <w:t>sessions</w:t>
      </w:r>
      <w:proofErr w:type="gramEnd"/>
    </w:p>
    <w:p w14:paraId="4A1357F3" w14:textId="29BFBE32" w:rsidR="00AB65DC" w:rsidRPr="008B0608" w:rsidRDefault="00AB65DC" w:rsidP="00AB65DC">
      <w:pPr>
        <w:pStyle w:val="H1G"/>
      </w:pPr>
      <w:r w:rsidRPr="008B0608">
        <w:tab/>
      </w:r>
      <w:r w:rsidRPr="008B0608">
        <w:tab/>
        <w:t>Note by the secretariat</w:t>
      </w:r>
      <w:r w:rsidR="00AA6E93" w:rsidRPr="00915064">
        <w:rPr>
          <w:rStyle w:val="FootnoteReference"/>
          <w:sz w:val="20"/>
        </w:rPr>
        <w:footnoteReference w:customMarkFollows="1" w:id="2"/>
        <w:t>*</w:t>
      </w:r>
    </w:p>
    <w:bookmarkEnd w:id="1"/>
    <w:p w14:paraId="4063BB43" w14:textId="09970471" w:rsidR="00CB0F8F" w:rsidRPr="008B0608" w:rsidRDefault="00CB0F8F" w:rsidP="00CB0F8F">
      <w:pPr>
        <w:pStyle w:val="SingleTxtG"/>
      </w:pPr>
      <w:r w:rsidRPr="008B0608">
        <w:t>This document contains the consolidated list of draft amendments to the tenth revised edition of the Globally Harmonized System of Classification and Labelling of Chemicals (GHS) (ST/SG/AC.10/30/Rev.10) adopted by the Sub-Committee at its forty-fourth, forty-fifth and forty-sixth sessions.</w:t>
      </w:r>
    </w:p>
    <w:p w14:paraId="3B66BA32" w14:textId="77777777" w:rsidR="00CB0F8F" w:rsidRPr="00A22868" w:rsidRDefault="00CB0F8F">
      <w:pPr>
        <w:rPr>
          <w:b/>
          <w:sz w:val="24"/>
        </w:rPr>
      </w:pPr>
      <w:r w:rsidRPr="00A22868">
        <w:br w:type="page"/>
      </w:r>
    </w:p>
    <w:p w14:paraId="4D13D0C8" w14:textId="5A6BE240" w:rsidR="00CB0F8F" w:rsidRPr="008B0608" w:rsidRDefault="00CB0F8F" w:rsidP="00CB0F8F">
      <w:pPr>
        <w:pStyle w:val="H1G"/>
      </w:pPr>
      <w:r w:rsidRPr="00A22868">
        <w:lastRenderedPageBreak/>
        <w:t xml:space="preserve"> </w:t>
      </w:r>
      <w:r w:rsidR="00AA6E93">
        <w:tab/>
      </w:r>
      <w:r w:rsidR="00AA6E93">
        <w:tab/>
      </w:r>
      <w:r w:rsidRPr="00A22868">
        <w:t>Chapter 1.2</w:t>
      </w:r>
    </w:p>
    <w:p w14:paraId="0C3D6186" w14:textId="77D39FC4" w:rsidR="00CB0F8F" w:rsidRPr="00A22868" w:rsidRDefault="00CB0F8F" w:rsidP="00CB0F8F">
      <w:pPr>
        <w:pStyle w:val="SingleTxtG"/>
        <w:rPr>
          <w:bCs/>
        </w:rPr>
      </w:pPr>
      <w:r w:rsidRPr="00A22868">
        <w:rPr>
          <w:bCs/>
        </w:rPr>
        <w:t xml:space="preserve">In the definition of </w:t>
      </w:r>
      <w:r w:rsidRPr="00A22868">
        <w:rPr>
          <w:bCs/>
          <w:i/>
          <w:iCs/>
        </w:rPr>
        <w:t>“Ozone Depleting Potential”</w:t>
      </w:r>
      <w:r w:rsidRPr="00A22868">
        <w:rPr>
          <w:bCs/>
        </w:rPr>
        <w:t>, delete “(ODP)” in the first sentence and replace “ODP” with “ozone depleting potential” in the second sentence.</w:t>
      </w:r>
    </w:p>
    <w:p w14:paraId="29D3157E" w14:textId="77777777" w:rsidR="00CB0F8F" w:rsidRPr="00A22868" w:rsidRDefault="00CB0F8F" w:rsidP="00CB0F8F">
      <w:pPr>
        <w:pStyle w:val="SingleTxtG"/>
      </w:pPr>
      <w:r w:rsidRPr="00A22868">
        <w:t>Insert the following new definition in the alphabetical order:</w:t>
      </w:r>
    </w:p>
    <w:p w14:paraId="21EC4503" w14:textId="77777777" w:rsidR="00CB0F8F" w:rsidRPr="00A22868" w:rsidRDefault="00CB0F8F" w:rsidP="00CB0F8F">
      <w:pPr>
        <w:pStyle w:val="SingleTxtG"/>
      </w:pPr>
      <w:r w:rsidRPr="00A22868">
        <w:rPr>
          <w:i/>
          <w:iCs/>
        </w:rPr>
        <w:t>“Global warming potential</w:t>
      </w:r>
      <w:r w:rsidRPr="00A22868">
        <w:t xml:space="preserve"> is a metric that compares the ability of a substance or mixture to trap heat in the atmosphere as compared to a benchmark gas (generally carbon dioxide).  The formal definition of global warming potential is the cumulative radiative forcing, both direct and indirect effects, over a specified time horizon resulting from the emission of a unit mass of gas relative to that of carbon dioxide (as the reference gas).”</w:t>
      </w:r>
    </w:p>
    <w:p w14:paraId="7247E195" w14:textId="71DA5082" w:rsidR="00CB0F8F" w:rsidRPr="00A22868" w:rsidRDefault="0087153A" w:rsidP="0087153A">
      <w:pPr>
        <w:pStyle w:val="H1G"/>
      </w:pPr>
      <w:r>
        <w:tab/>
      </w:r>
      <w:r>
        <w:tab/>
      </w:r>
      <w:r w:rsidR="00CB0F8F" w:rsidRPr="00A22868">
        <w:t xml:space="preserve">Chapter 2.2 </w:t>
      </w:r>
    </w:p>
    <w:p w14:paraId="4AA602CC" w14:textId="77777777" w:rsidR="00CB0F8F" w:rsidRPr="00A22868" w:rsidRDefault="00CB0F8F" w:rsidP="00CB0F8F">
      <w:pPr>
        <w:pStyle w:val="SingleTxtG"/>
      </w:pPr>
      <w:r w:rsidRPr="008B0608">
        <w:t>2.2.2</w:t>
      </w:r>
      <w:r w:rsidRPr="00A22868">
        <w:tab/>
      </w:r>
      <w:r w:rsidRPr="00A22868">
        <w:tab/>
        <w:t>In note 2 under table 2.2.1, replace “Aerosols” with “Aerosols and chemicals under pressure”.</w:t>
      </w:r>
    </w:p>
    <w:p w14:paraId="714607D2" w14:textId="4B970D8A" w:rsidR="00CB0F8F" w:rsidRPr="00A22868" w:rsidRDefault="002E1044" w:rsidP="002E1044">
      <w:pPr>
        <w:pStyle w:val="H1G"/>
      </w:pPr>
      <w:r>
        <w:tab/>
      </w:r>
      <w:r>
        <w:tab/>
      </w:r>
      <w:r w:rsidR="00CB0F8F" w:rsidRPr="008B0608">
        <w:t>Chapter</w:t>
      </w:r>
      <w:r w:rsidR="00CB0F8F" w:rsidRPr="00A22868">
        <w:t xml:space="preserve"> 2.3 </w:t>
      </w:r>
    </w:p>
    <w:p w14:paraId="26A6E9A5" w14:textId="26A28411" w:rsidR="00CB0F8F" w:rsidRPr="00A22868" w:rsidRDefault="00CB0F8F" w:rsidP="00CB0F8F">
      <w:pPr>
        <w:pStyle w:val="SingleTxtG"/>
      </w:pPr>
      <w:r w:rsidRPr="00A22868">
        <w:t>2.3.1.1</w:t>
      </w:r>
      <w:r w:rsidR="008103A9">
        <w:tab/>
      </w:r>
      <w:r w:rsidRPr="00A22868">
        <w:tab/>
        <w:t>Amend to read as follows:</w:t>
      </w:r>
    </w:p>
    <w:p w14:paraId="6C5E1736" w14:textId="77777777" w:rsidR="00CB0F8F" w:rsidRPr="00A22868" w:rsidRDefault="00CB0F8F" w:rsidP="008B0608">
      <w:pPr>
        <w:pStyle w:val="SingleTxtG"/>
        <w:tabs>
          <w:tab w:val="clear" w:pos="1701"/>
        </w:tabs>
        <w:ind w:left="2268"/>
      </w:pPr>
      <w:r w:rsidRPr="00A22868">
        <w:t>“</w:t>
      </w:r>
      <w:r w:rsidRPr="00A22868">
        <w:rPr>
          <w:b/>
          <w:bCs/>
        </w:rPr>
        <w:t>2.3.1.1</w:t>
      </w:r>
      <w:r w:rsidRPr="00A22868">
        <w:rPr>
          <w:b/>
          <w:bCs/>
        </w:rPr>
        <w:tab/>
      </w:r>
      <w:r w:rsidRPr="00A22868">
        <w:rPr>
          <w:b/>
          <w:bCs/>
          <w:i/>
          <w:iCs/>
        </w:rPr>
        <w:t>Definition and general considerations</w:t>
      </w:r>
    </w:p>
    <w:p w14:paraId="70AD5C43" w14:textId="77777777" w:rsidR="00CB0F8F" w:rsidRPr="00A22868" w:rsidRDefault="00CB0F8F" w:rsidP="008B0608">
      <w:pPr>
        <w:pStyle w:val="SingleTxtG"/>
        <w:tabs>
          <w:tab w:val="clear" w:pos="1701"/>
        </w:tabs>
        <w:ind w:left="2268"/>
      </w:pPr>
      <w:r w:rsidRPr="00A22868">
        <w:t>2.3.1.1.1</w:t>
      </w:r>
      <w:r w:rsidRPr="00A22868">
        <w:tab/>
      </w:r>
      <w:r w:rsidRPr="00A22868">
        <w:rPr>
          <w:i/>
          <w:iCs/>
        </w:rPr>
        <w:t>Aerosols, this means aerosol dispensers</w:t>
      </w:r>
      <w:r w:rsidRPr="00A22868">
        <w:t>, are any non-refillable receptacles made of metal, glass or plastics and containing a gas compressed, liquefied or dissolved under pressure, with or without a liquid, paste or powder, and fitted with a release device allowing the contents to be ejected as solid or liquid particles in suspension in a gas, as a foam, paste or powder or in a liquid state or in a gaseous state.</w:t>
      </w:r>
    </w:p>
    <w:p w14:paraId="45B97B0A" w14:textId="77777777" w:rsidR="00CB0F8F" w:rsidRPr="008B0608" w:rsidRDefault="00CB0F8F" w:rsidP="008B0608">
      <w:pPr>
        <w:pStyle w:val="SingleTxtG"/>
        <w:tabs>
          <w:tab w:val="clear" w:pos="1701"/>
        </w:tabs>
        <w:ind w:left="2268"/>
      </w:pPr>
      <w:r w:rsidRPr="00A22868">
        <w:t>2.3.1.1.2</w:t>
      </w:r>
      <w:r w:rsidRPr="00A22868">
        <w:tab/>
        <w:t xml:space="preserve">Aerosols do not fall additionally within the scope of section 2.3.2 (chemicals under pressure), chapters 2.2 (flammable gases), 2.5 (gases under pressure), 2.6 (flammable liquids) and 2.7 (flammable solids). </w:t>
      </w:r>
      <w:r w:rsidRPr="008B0608">
        <w:t>Depending on their contents, aerosols may fall within the scope of other hazard classes.</w:t>
      </w:r>
    </w:p>
    <w:p w14:paraId="77B1FC7B" w14:textId="77777777" w:rsidR="00CB0F8F" w:rsidRPr="00A22868" w:rsidRDefault="00CB0F8F" w:rsidP="008B0608">
      <w:pPr>
        <w:pStyle w:val="SingleTxtG"/>
        <w:tabs>
          <w:tab w:val="clear" w:pos="1701"/>
        </w:tabs>
        <w:ind w:left="2268"/>
      </w:pPr>
      <w:bookmarkStart w:id="2" w:name="_Hlk156569516"/>
      <w:r w:rsidRPr="00A22868">
        <w:rPr>
          <w:b/>
          <w:bCs/>
          <w:i/>
          <w:iCs/>
        </w:rPr>
        <w:t>NOTE</w:t>
      </w:r>
      <w:r w:rsidRPr="00A22868">
        <w:rPr>
          <w:i/>
          <w:iCs/>
        </w:rPr>
        <w:t>:</w:t>
      </w:r>
      <w:r w:rsidRPr="00A22868">
        <w:rPr>
          <w:i/>
          <w:iCs/>
        </w:rPr>
        <w:tab/>
        <w:t>Some sectors, e.g. transport, may have other specific provisions regarding the applicability of additional hazard classes. For the transport of aerosols, see special provision 63 of the UN Model Regulations.</w:t>
      </w:r>
      <w:r w:rsidRPr="00A22868">
        <w:t>”.</w:t>
      </w:r>
    </w:p>
    <w:bookmarkEnd w:id="2"/>
    <w:p w14:paraId="04235A87" w14:textId="77777777" w:rsidR="00CB0F8F" w:rsidRPr="00A22868" w:rsidRDefault="00CB0F8F" w:rsidP="00CB0F8F">
      <w:pPr>
        <w:pStyle w:val="SingleTxtG"/>
      </w:pPr>
      <w:r w:rsidRPr="00A22868">
        <w:t>2.3.1.2.1</w:t>
      </w:r>
      <w:r w:rsidRPr="00A22868">
        <w:tab/>
        <w:t>Delete current notes 1 and 3 under table 2.3.1.</w:t>
      </w:r>
    </w:p>
    <w:p w14:paraId="55BC3838" w14:textId="77777777" w:rsidR="00CB0F8F" w:rsidRPr="00A22868" w:rsidRDefault="00CB0F8F" w:rsidP="00CB0F8F">
      <w:pPr>
        <w:pStyle w:val="SingleTxtG"/>
      </w:pPr>
      <w:r w:rsidRPr="00A22868">
        <w:t>2.3.1.2.2 (new)</w:t>
      </w:r>
      <w:r w:rsidRPr="00A22868">
        <w:tab/>
      </w:r>
      <w:r w:rsidRPr="00A22868">
        <w:tab/>
        <w:t>Current Note 2 under table 2.3.1 becomes new paragraph 2.3.1.2.2 as amended to read as follows:</w:t>
      </w:r>
    </w:p>
    <w:p w14:paraId="30C594AF" w14:textId="76973C11" w:rsidR="00CB0F8F" w:rsidRPr="004170F1" w:rsidRDefault="00CB0F8F" w:rsidP="008B0608">
      <w:pPr>
        <w:pStyle w:val="SingleTxtG"/>
        <w:tabs>
          <w:tab w:val="clear" w:pos="1701"/>
        </w:tabs>
        <w:ind w:left="2410"/>
      </w:pPr>
      <w:r w:rsidRPr="004170F1">
        <w:t>“</w:t>
      </w:r>
      <w:r w:rsidRPr="008B0608">
        <w:rPr>
          <w:snapToGrid w:val="0"/>
          <w:color w:val="000000"/>
          <w:szCs w:val="22"/>
        </w:rPr>
        <w:t>2.3.1.2.2</w:t>
      </w:r>
      <w:r w:rsidRPr="004170F1">
        <w:rPr>
          <w:snapToGrid w:val="0"/>
          <w:color w:val="000000"/>
          <w:szCs w:val="22"/>
        </w:rPr>
        <w:tab/>
      </w:r>
      <w:r w:rsidRPr="004170F1">
        <w:t xml:space="preserve">Aerosols containing more than 1 % flammable components or with a heat of combustion of at least 20 kJ/g </w:t>
      </w:r>
      <w:r w:rsidRPr="008B0608">
        <w:t>that have not been tested according to 2.3.1.2.1, third indent</w:t>
      </w:r>
      <w:r w:rsidR="004738C2">
        <w:t>,</w:t>
      </w:r>
      <w:r w:rsidRPr="004170F1">
        <w:t xml:space="preserve"> must be classified as aerosols, Category 1.”</w:t>
      </w:r>
    </w:p>
    <w:p w14:paraId="5B68E4F6" w14:textId="77777777" w:rsidR="00CB0F8F" w:rsidRPr="00A22868" w:rsidRDefault="00CB0F8F" w:rsidP="00CB0F8F">
      <w:pPr>
        <w:pStyle w:val="SingleTxtG"/>
      </w:pPr>
      <w:r w:rsidRPr="00A22868">
        <w:t>2.3.2.1</w:t>
      </w:r>
      <w:r w:rsidRPr="00A22868">
        <w:tab/>
      </w:r>
      <w:r w:rsidRPr="00A22868">
        <w:tab/>
        <w:t>Amend to read as follows:</w:t>
      </w:r>
    </w:p>
    <w:p w14:paraId="62249E76" w14:textId="77777777" w:rsidR="00CB0F8F" w:rsidRPr="008B0608" w:rsidRDefault="00CB0F8F" w:rsidP="008B0608">
      <w:pPr>
        <w:pStyle w:val="SingleTxtG"/>
        <w:ind w:left="2268"/>
        <w:rPr>
          <w:b/>
          <w:bCs/>
          <w:i/>
          <w:iCs/>
        </w:rPr>
      </w:pPr>
      <w:r w:rsidRPr="00A22868">
        <w:t>“</w:t>
      </w:r>
      <w:r w:rsidRPr="008B0608">
        <w:rPr>
          <w:b/>
          <w:bCs/>
        </w:rPr>
        <w:t>2.3.2.1</w:t>
      </w:r>
      <w:r w:rsidRPr="008B0608">
        <w:rPr>
          <w:b/>
          <w:bCs/>
        </w:rPr>
        <w:tab/>
      </w:r>
      <w:r w:rsidRPr="008B0608">
        <w:rPr>
          <w:b/>
          <w:bCs/>
          <w:i/>
          <w:iCs/>
        </w:rPr>
        <w:t>Definition and general considerations</w:t>
      </w:r>
    </w:p>
    <w:p w14:paraId="31E000B1" w14:textId="5DB38877" w:rsidR="00CB0F8F" w:rsidRPr="008B0608" w:rsidRDefault="00CB0F8F" w:rsidP="008B0608">
      <w:pPr>
        <w:pStyle w:val="SingleTxtG"/>
        <w:ind w:left="2268"/>
      </w:pPr>
      <w:r w:rsidRPr="00A22868">
        <w:t>2.3.2.1.1</w:t>
      </w:r>
      <w:r w:rsidRPr="008B0608">
        <w:tab/>
      </w:r>
      <w:r w:rsidRPr="008B0608">
        <w:rPr>
          <w:i/>
          <w:iCs/>
        </w:rPr>
        <w:t>Chemicals under pressure</w:t>
      </w:r>
      <w:r w:rsidRPr="008B0608">
        <w:t xml:space="preserve"> are liquids or solids (e.g. pastes or powders), pressurized with a gas at a pressure of 200 kPa (gauge) or more at 20</w:t>
      </w:r>
      <w:r w:rsidRPr="00A22868">
        <w:t> </w:t>
      </w:r>
      <w:r w:rsidRPr="008B0608">
        <w:t>°C in pressure receptacles other than aerosol dispensers and which are not classified as gases under pressure.</w:t>
      </w:r>
    </w:p>
    <w:p w14:paraId="79874862" w14:textId="77777777" w:rsidR="00CB0F8F" w:rsidRPr="00A22868" w:rsidRDefault="00CB0F8F" w:rsidP="008B0608">
      <w:pPr>
        <w:pStyle w:val="SingleTxtG"/>
        <w:ind w:left="2268"/>
        <w:rPr>
          <w:i/>
          <w:iCs/>
        </w:rPr>
      </w:pPr>
      <w:r w:rsidRPr="008B0608">
        <w:rPr>
          <w:b/>
          <w:bCs/>
          <w:i/>
          <w:iCs/>
        </w:rPr>
        <w:t>NOTE:</w:t>
      </w:r>
      <w:r w:rsidRPr="008B0608">
        <w:t xml:space="preserve"> </w:t>
      </w:r>
      <w:r w:rsidRPr="008B0608">
        <w:tab/>
      </w:r>
      <w:r w:rsidRPr="008B0608">
        <w:rPr>
          <w:i/>
          <w:iCs/>
        </w:rPr>
        <w:t>Chemicals under pressure typically contain 50 % or more by mass of liquids or solids whereas mixtures containing more than 50 % gases are typically considered as gases under pressure.</w:t>
      </w:r>
    </w:p>
    <w:p w14:paraId="55F0DFBF" w14:textId="183AF770" w:rsidR="00CB0F8F" w:rsidRPr="00A22868" w:rsidRDefault="00CB0F8F" w:rsidP="00CB0F8F">
      <w:pPr>
        <w:pStyle w:val="SingleTxtG"/>
        <w:tabs>
          <w:tab w:val="clear" w:pos="1701"/>
        </w:tabs>
        <w:ind w:left="2268"/>
      </w:pPr>
      <w:r w:rsidRPr="00A22868">
        <w:lastRenderedPageBreak/>
        <w:t>2.3.2.1.2</w:t>
      </w:r>
      <w:r w:rsidRPr="00A22868">
        <w:tab/>
        <w:t>Chemicals under pressure do not fall additionally within the scope of section 2.3.1 (aerosols)</w:t>
      </w:r>
      <w:r w:rsidR="000E7E32">
        <w:t xml:space="preserve"> and</w:t>
      </w:r>
      <w:r w:rsidRPr="00A22868">
        <w:t xml:space="preserve"> chapters 2.2 (flammable gases), 2.5 (gases under pressure), 2.6 (flammable liquids) and 2.7 (flammable solids). </w:t>
      </w:r>
      <w:r w:rsidRPr="008B0608">
        <w:t>Depending on their contents, chemicals under pressure may fall within the scope of other hazard classes.”.</w:t>
      </w:r>
    </w:p>
    <w:p w14:paraId="14C47DE1" w14:textId="1DA33814" w:rsidR="00CB0F8F" w:rsidRPr="008B0608" w:rsidRDefault="00CB0F8F" w:rsidP="008B0608">
      <w:pPr>
        <w:pStyle w:val="SingleTxtG"/>
        <w:tabs>
          <w:tab w:val="clear" w:pos="1701"/>
        </w:tabs>
        <w:ind w:left="2268"/>
      </w:pPr>
      <w:r w:rsidRPr="008B0608">
        <w:rPr>
          <w:b/>
          <w:bCs/>
          <w:i/>
          <w:iCs/>
        </w:rPr>
        <w:t>NOTE:</w:t>
      </w:r>
      <w:r w:rsidRPr="00A22868">
        <w:tab/>
      </w:r>
      <w:r w:rsidRPr="008B0608">
        <w:rPr>
          <w:i/>
          <w:iCs/>
        </w:rPr>
        <w:t>Some sectors, e.g. transport, may have specific provisions regarding the applicability of additional hazard classes differing from those in</w:t>
      </w:r>
      <w:r w:rsidR="000E7E32">
        <w:rPr>
          <w:i/>
          <w:iCs/>
        </w:rPr>
        <w:t> </w:t>
      </w:r>
      <w:r w:rsidRPr="008B0608">
        <w:rPr>
          <w:i/>
          <w:iCs/>
        </w:rPr>
        <w:t xml:space="preserve">2.3.2.1.2 and the related </w:t>
      </w:r>
      <w:r w:rsidRPr="00A22868">
        <w:rPr>
          <w:i/>
          <w:iCs/>
        </w:rPr>
        <w:t>n</w:t>
      </w:r>
      <w:r w:rsidRPr="008B0608">
        <w:rPr>
          <w:i/>
          <w:iCs/>
        </w:rPr>
        <w:t xml:space="preserve">ote. For the transport of chemicals under pressure, see special provision 362 of the </w:t>
      </w:r>
      <w:r w:rsidRPr="00A22868">
        <w:rPr>
          <w:i/>
          <w:iCs/>
        </w:rPr>
        <w:t xml:space="preserve">UN </w:t>
      </w:r>
      <w:r w:rsidRPr="008B0608">
        <w:rPr>
          <w:i/>
          <w:iCs/>
        </w:rPr>
        <w:t>Model Regulations.”</w:t>
      </w:r>
      <w:r w:rsidRPr="00A22868">
        <w:rPr>
          <w:i/>
          <w:iCs/>
        </w:rPr>
        <w:t>.</w:t>
      </w:r>
    </w:p>
    <w:p w14:paraId="7F240201" w14:textId="77777777" w:rsidR="00CB0F8F" w:rsidRPr="00A22868" w:rsidRDefault="00CB0F8F" w:rsidP="00CB0F8F">
      <w:pPr>
        <w:pStyle w:val="SingleTxtG"/>
      </w:pPr>
      <w:r w:rsidRPr="00A22868">
        <w:t>2.3.2.2.2</w:t>
      </w:r>
      <w:r w:rsidRPr="00A22868">
        <w:tab/>
        <w:t>Delete notes 1 and 2.</w:t>
      </w:r>
    </w:p>
    <w:p w14:paraId="48CB9251" w14:textId="66FB3B7A" w:rsidR="00CB0F8F" w:rsidRPr="00A22868" w:rsidRDefault="001443A5" w:rsidP="001443A5">
      <w:pPr>
        <w:pStyle w:val="H1G"/>
      </w:pPr>
      <w:r>
        <w:tab/>
      </w:r>
      <w:r>
        <w:tab/>
      </w:r>
      <w:r w:rsidR="00CB0F8F" w:rsidRPr="00A22868">
        <w:t xml:space="preserve">Chapter 2.6 </w:t>
      </w:r>
    </w:p>
    <w:p w14:paraId="44B90E62" w14:textId="323853EF" w:rsidR="00CB0F8F" w:rsidRPr="00A22868" w:rsidRDefault="00CB0F8F" w:rsidP="00CB0F8F">
      <w:pPr>
        <w:pStyle w:val="SingleTxtG"/>
      </w:pPr>
      <w:r w:rsidRPr="00A22868">
        <w:t>2.6.</w:t>
      </w:r>
      <w:r w:rsidR="0075795C">
        <w:t>2</w:t>
      </w:r>
      <w:r w:rsidRPr="00A22868">
        <w:tab/>
      </w:r>
      <w:r w:rsidRPr="00A22868">
        <w:tab/>
        <w:t>In note 4 under table 2.6.1, replace “Aerosols” with “Aerosols and chemicals under pressure”.</w:t>
      </w:r>
    </w:p>
    <w:p w14:paraId="1155C0E1" w14:textId="66028C04" w:rsidR="00CB0F8F" w:rsidRPr="00A22868" w:rsidRDefault="001443A5" w:rsidP="001443A5">
      <w:pPr>
        <w:pStyle w:val="H1G"/>
      </w:pPr>
      <w:r>
        <w:tab/>
      </w:r>
      <w:r>
        <w:tab/>
      </w:r>
      <w:r w:rsidR="00CB0F8F" w:rsidRPr="00A22868">
        <w:t xml:space="preserve">Chapter 2.7 </w:t>
      </w:r>
    </w:p>
    <w:p w14:paraId="21D54331" w14:textId="0D4EA302" w:rsidR="00CB0F8F" w:rsidRPr="00A22868" w:rsidRDefault="00CB0F8F" w:rsidP="00CB0F8F">
      <w:pPr>
        <w:pStyle w:val="SingleTxtG"/>
      </w:pPr>
      <w:r w:rsidRPr="00A22868">
        <w:t>2.7.</w:t>
      </w:r>
      <w:r w:rsidR="0075795C">
        <w:t>2</w:t>
      </w:r>
      <w:r w:rsidRPr="00A22868">
        <w:tab/>
      </w:r>
      <w:r w:rsidRPr="00A22868">
        <w:tab/>
        <w:t>In note 2 under table 2.7.1, replace “Aerosols” with “Aerosols and chemicals under pressure”.</w:t>
      </w:r>
    </w:p>
    <w:p w14:paraId="70287311" w14:textId="5BCF65AA" w:rsidR="00CB0F8F" w:rsidRPr="008B0608" w:rsidRDefault="001443A5" w:rsidP="001443A5">
      <w:pPr>
        <w:pStyle w:val="H1G"/>
      </w:pPr>
      <w:r>
        <w:tab/>
      </w:r>
      <w:r>
        <w:tab/>
      </w:r>
      <w:r w:rsidR="00CB0F8F" w:rsidRPr="008B0608">
        <w:t>Chapter 2.8</w:t>
      </w:r>
    </w:p>
    <w:p w14:paraId="5AD34C8F" w14:textId="77777777" w:rsidR="00CB0F8F" w:rsidRPr="00A22868" w:rsidRDefault="00CB0F8F" w:rsidP="008B0608">
      <w:pPr>
        <w:pStyle w:val="SingleTxtG"/>
        <w:tabs>
          <w:tab w:val="clear" w:pos="1701"/>
        </w:tabs>
      </w:pPr>
      <w:r w:rsidRPr="00A22868">
        <w:t>2.8.1.1</w:t>
      </w:r>
      <w:r w:rsidRPr="00A22868">
        <w:tab/>
        <w:t>Amend the end of the second sentence to read “… as explosives, organic peroxides, or oxidizing liquids or solids in accordance with 2.8.2.1.”</w:t>
      </w:r>
    </w:p>
    <w:p w14:paraId="4E442231" w14:textId="4A59F68B" w:rsidR="00CB0F8F" w:rsidRPr="00A22868" w:rsidRDefault="001443A5" w:rsidP="001443A5">
      <w:pPr>
        <w:pStyle w:val="H1G"/>
      </w:pPr>
      <w:r>
        <w:tab/>
      </w:r>
      <w:r>
        <w:tab/>
      </w:r>
      <w:r w:rsidR="00CB0F8F" w:rsidRPr="00A22868">
        <w:t xml:space="preserve">Chapter 2.17 </w:t>
      </w:r>
    </w:p>
    <w:p w14:paraId="26E0990E" w14:textId="77777777" w:rsidR="00CB0F8F" w:rsidRPr="00A22868" w:rsidRDefault="00CB0F8F" w:rsidP="008B0608">
      <w:pPr>
        <w:pStyle w:val="SingleTxtG"/>
      </w:pPr>
      <w:r w:rsidRPr="00A22868">
        <w:t>2.17.2.2</w:t>
      </w:r>
      <w:r w:rsidRPr="00A22868">
        <w:tab/>
        <w:t xml:space="preserve">Amend the note as follows: </w:t>
      </w:r>
    </w:p>
    <w:p w14:paraId="115C6D1B" w14:textId="77777777" w:rsidR="00CB0F8F" w:rsidRPr="00A22868" w:rsidRDefault="00CB0F8F" w:rsidP="008B0608">
      <w:pPr>
        <w:pStyle w:val="SingleTxtG"/>
        <w:ind w:left="2268"/>
        <w:rPr>
          <w:i/>
          <w:iCs/>
        </w:rPr>
      </w:pPr>
      <w:r w:rsidRPr="00A22868">
        <w:t>“</w:t>
      </w:r>
      <w:r w:rsidRPr="008B0608">
        <w:rPr>
          <w:b/>
          <w:bCs/>
          <w:i/>
          <w:iCs/>
        </w:rPr>
        <w:t>NOTE:</w:t>
      </w:r>
      <w:r w:rsidRPr="00A22868">
        <w:t xml:space="preserve">  </w:t>
      </w:r>
      <w:r w:rsidRPr="00A22868">
        <w:tab/>
      </w:r>
      <w:r w:rsidRPr="008B0608">
        <w:rPr>
          <w:i/>
          <w:iCs/>
        </w:rPr>
        <w:t xml:space="preserve">Phlegmatized explosives which do not meet the criteria of 2.17.2.2 </w:t>
      </w:r>
      <w:r w:rsidRPr="00A22868">
        <w:rPr>
          <w:i/>
          <w:iCs/>
        </w:rPr>
        <w:t>should</w:t>
      </w:r>
      <w:r w:rsidRPr="008B0608">
        <w:rPr>
          <w:i/>
          <w:iCs/>
        </w:rPr>
        <w:t xml:space="preserve"> not </w:t>
      </w:r>
      <w:r w:rsidRPr="00A22868">
        <w:rPr>
          <w:i/>
          <w:iCs/>
        </w:rPr>
        <w:t xml:space="preserve">be </w:t>
      </w:r>
      <w:r w:rsidRPr="008B0608">
        <w:rPr>
          <w:i/>
          <w:iCs/>
        </w:rPr>
        <w:t xml:space="preserve">classified as </w:t>
      </w:r>
      <w:r w:rsidRPr="00A22868">
        <w:rPr>
          <w:i/>
          <w:iCs/>
        </w:rPr>
        <w:t xml:space="preserve">a </w:t>
      </w:r>
      <w:r w:rsidRPr="008B0608">
        <w:rPr>
          <w:i/>
          <w:iCs/>
        </w:rPr>
        <w:t xml:space="preserve">desensitized explosive and should be classified </w:t>
      </w:r>
      <w:r w:rsidRPr="00A22868">
        <w:rPr>
          <w:i/>
          <w:iCs/>
        </w:rPr>
        <w:t xml:space="preserve">as an explosive </w:t>
      </w:r>
      <w:r w:rsidRPr="008B0608">
        <w:rPr>
          <w:i/>
          <w:iCs/>
        </w:rPr>
        <w:t>in accordance with chapter 2.1.”</w:t>
      </w:r>
      <w:r w:rsidRPr="00A22868">
        <w:rPr>
          <w:i/>
          <w:iCs/>
        </w:rPr>
        <w:t>.</w:t>
      </w:r>
    </w:p>
    <w:p w14:paraId="7ECBE2A3" w14:textId="7887B144" w:rsidR="00CB0F8F" w:rsidRPr="00A22868" w:rsidRDefault="001443A5" w:rsidP="001443A5">
      <w:pPr>
        <w:pStyle w:val="H1G"/>
      </w:pPr>
      <w:r>
        <w:tab/>
      </w:r>
      <w:r>
        <w:tab/>
      </w:r>
      <w:r w:rsidR="00CB0F8F" w:rsidRPr="008B0608">
        <w:t>Chapter 3.4</w:t>
      </w:r>
    </w:p>
    <w:p w14:paraId="34EC46FC" w14:textId="77777777" w:rsidR="00CB0F8F" w:rsidRPr="00A22868" w:rsidRDefault="00CB0F8F" w:rsidP="00CB0F8F">
      <w:pPr>
        <w:pStyle w:val="SingleTxtG"/>
      </w:pPr>
      <w:r w:rsidRPr="00A22868">
        <w:t>3.4.2.2.3.1</w:t>
      </w:r>
      <w:r w:rsidRPr="00A22868">
        <w:tab/>
        <w:t xml:space="preserve">In the fourth sentence, replace “in the </w:t>
      </w:r>
      <w:proofErr w:type="spellStart"/>
      <w:r w:rsidRPr="008B0608">
        <w:t>radioisotopic</w:t>
      </w:r>
      <w:proofErr w:type="spellEnd"/>
      <w:r w:rsidRPr="00A22868">
        <w:t xml:space="preserve"> local lymph node assay” with “in the radioactive local lymph node assay”.</w:t>
      </w:r>
    </w:p>
    <w:p w14:paraId="3656EE23" w14:textId="77777777" w:rsidR="00CB0F8F" w:rsidRPr="008B0608" w:rsidRDefault="00CB0F8F" w:rsidP="00CB0F8F">
      <w:pPr>
        <w:pStyle w:val="SingleTxtG"/>
        <w:spacing w:after="240" w:line="240" w:lineRule="auto"/>
      </w:pPr>
      <w:r w:rsidRPr="00A22868">
        <w:t>3.4.2.2.5.1</w:t>
      </w:r>
      <w:r w:rsidRPr="00A22868">
        <w:tab/>
        <w:t>Replace “3.4.5.3.5” with "3.4.5.3.1.5” in the last sentence.</w:t>
      </w:r>
    </w:p>
    <w:p w14:paraId="0B7DA0C7" w14:textId="77777777" w:rsidR="00CB0F8F" w:rsidRPr="00A22868" w:rsidRDefault="00CB0F8F" w:rsidP="00CB0F8F">
      <w:pPr>
        <w:pStyle w:val="SingleTxtG"/>
        <w:spacing w:after="240" w:line="240" w:lineRule="auto"/>
      </w:pPr>
      <w:r w:rsidRPr="00A22868">
        <w:t>3.4.2.2.5.3</w:t>
      </w:r>
      <w:r w:rsidRPr="00A22868">
        <w:tab/>
        <w:t>Replace “3.4.5.3.6.2” with "</w:t>
      </w:r>
      <w:r w:rsidRPr="00A22868">
        <w:rPr>
          <w:bCs/>
        </w:rPr>
        <w:t>3.4.5.3.1.6.2</w:t>
      </w:r>
      <w:r w:rsidRPr="00A22868">
        <w:t>” in the first sentence and the related footnote 4.</w:t>
      </w:r>
    </w:p>
    <w:p w14:paraId="6D8DA41E" w14:textId="77777777" w:rsidR="00CB0F8F" w:rsidRPr="00A22868" w:rsidRDefault="00CB0F8F" w:rsidP="00CB0F8F">
      <w:pPr>
        <w:pStyle w:val="SingleTxtG"/>
        <w:spacing w:after="240" w:line="240" w:lineRule="auto"/>
      </w:pPr>
      <w:r w:rsidRPr="00A22868">
        <w:t>3.4.2.2.7.2</w:t>
      </w:r>
      <w:r w:rsidRPr="00A22868">
        <w:tab/>
        <w:t>Replace “3.4.5.3.2” with "</w:t>
      </w:r>
      <w:r w:rsidRPr="00A22868">
        <w:rPr>
          <w:snapToGrid w:val="0"/>
        </w:rPr>
        <w:t>3.4.5.3.1.2</w:t>
      </w:r>
      <w:r w:rsidRPr="00A22868">
        <w:t xml:space="preserve">” in subparagraphs (a), (b) and (c). Replace </w:t>
      </w:r>
      <w:r w:rsidRPr="00A22868">
        <w:rPr>
          <w:snapToGrid w:val="0"/>
        </w:rPr>
        <w:t>“3.4.5.3.3”</w:t>
      </w:r>
      <w:r w:rsidRPr="00A22868">
        <w:t xml:space="preserve"> with “3.4.5.3.1.3” in subparagraph (d), “</w:t>
      </w:r>
      <w:r w:rsidRPr="00A22868">
        <w:rPr>
          <w:snapToGrid w:val="0"/>
        </w:rPr>
        <w:t>3.4.5.3.4”</w:t>
      </w:r>
      <w:r w:rsidRPr="00A22868">
        <w:t xml:space="preserve"> with “3.4.5.3.1.4” in subparagraph (e), and</w:t>
      </w:r>
      <w:r w:rsidRPr="00A22868">
        <w:rPr>
          <w:snapToGrid w:val="0"/>
        </w:rPr>
        <w:t xml:space="preserve"> “3.4.5.3.5” with</w:t>
      </w:r>
      <w:r w:rsidRPr="00A22868">
        <w:t xml:space="preserve"> “3.4.5.3.1.5” in subparagraph (f).</w:t>
      </w:r>
    </w:p>
    <w:p w14:paraId="6DDE0B15" w14:textId="77777777" w:rsidR="00CB0F8F" w:rsidRPr="00A22868" w:rsidRDefault="00CB0F8F" w:rsidP="00CB0F8F">
      <w:pPr>
        <w:pStyle w:val="SingleTxtG"/>
        <w:spacing w:after="240" w:line="240" w:lineRule="auto"/>
      </w:pPr>
      <w:r w:rsidRPr="00A22868">
        <w:t>3.4.2.2.7.3</w:t>
      </w:r>
      <w:r w:rsidRPr="00A22868">
        <w:tab/>
        <w:t>Replace “3.4.5.3.5” with "</w:t>
      </w:r>
      <w:r w:rsidRPr="00A22868">
        <w:rPr>
          <w:snapToGrid w:val="0"/>
        </w:rPr>
        <w:t>3.4.5.3.1.5</w:t>
      </w:r>
      <w:r w:rsidRPr="00A22868">
        <w:t>” in subparagraph (a).</w:t>
      </w:r>
    </w:p>
    <w:p w14:paraId="7A5C0BF4" w14:textId="77777777" w:rsidR="00CB0F8F" w:rsidRPr="00A22868" w:rsidRDefault="00CB0F8F" w:rsidP="00CB0F8F">
      <w:pPr>
        <w:pStyle w:val="SingleTxtG"/>
        <w:spacing w:after="240" w:line="240" w:lineRule="auto"/>
      </w:pPr>
      <w:r w:rsidRPr="00A22868">
        <w:t>3.4.3.1</w:t>
      </w:r>
      <w:r w:rsidRPr="00A22868">
        <w:tab/>
      </w:r>
      <w:r w:rsidRPr="00A22868">
        <w:tab/>
        <w:t>Replace with the following:</w:t>
      </w:r>
    </w:p>
    <w:p w14:paraId="38437C10" w14:textId="77777777" w:rsidR="00CB0F8F" w:rsidRPr="00A22868" w:rsidRDefault="00CB0F8F" w:rsidP="001443A5">
      <w:pPr>
        <w:pStyle w:val="GHSH04"/>
        <w:keepNext w:val="0"/>
        <w:keepLines w:val="0"/>
        <w:tabs>
          <w:tab w:val="clear" w:pos="1418"/>
          <w:tab w:val="clear" w:pos="1985"/>
          <w:tab w:val="left" w:pos="2268"/>
        </w:tabs>
        <w:ind w:left="2268" w:right="1134"/>
        <w:rPr>
          <w:color w:val="auto"/>
        </w:rPr>
      </w:pPr>
      <w:r w:rsidRPr="00A22868">
        <w:rPr>
          <w:i w:val="0"/>
          <w:iCs/>
          <w:color w:val="auto"/>
        </w:rPr>
        <w:t>“3.4.3.1</w:t>
      </w:r>
      <w:r w:rsidRPr="00A22868">
        <w:rPr>
          <w:color w:val="auto"/>
        </w:rPr>
        <w:tab/>
        <w:t xml:space="preserve">Classification of mixtures when data are available for the complete </w:t>
      </w:r>
      <w:proofErr w:type="gramStart"/>
      <w:r w:rsidRPr="00A22868">
        <w:rPr>
          <w:color w:val="auto"/>
        </w:rPr>
        <w:t>mixture</w:t>
      </w:r>
      <w:proofErr w:type="gramEnd"/>
    </w:p>
    <w:p w14:paraId="0FFB455C" w14:textId="77777777" w:rsidR="00CB0F8F" w:rsidRPr="00A22868" w:rsidRDefault="00CB0F8F" w:rsidP="001443A5">
      <w:pPr>
        <w:spacing w:after="240" w:line="240" w:lineRule="auto"/>
        <w:ind w:left="2268" w:right="1134"/>
        <w:jc w:val="both"/>
        <w:rPr>
          <w:rFonts w:cstheme="minorHAnsi"/>
          <w:bCs/>
        </w:rPr>
      </w:pPr>
      <w:r w:rsidRPr="00A22868">
        <w:rPr>
          <w:rFonts w:cstheme="minorHAnsi"/>
          <w:bCs/>
        </w:rPr>
        <w:lastRenderedPageBreak/>
        <w:t>3.4.3.1.1</w:t>
      </w:r>
      <w:r w:rsidRPr="00A22868">
        <w:rPr>
          <w:rFonts w:cstheme="minorHAnsi"/>
          <w:bCs/>
        </w:rPr>
        <w:tab/>
        <w:t xml:space="preserve"> In general, the mixture should be classified using the criteria for substances </w:t>
      </w:r>
      <w:proofErr w:type="gramStart"/>
      <w:r w:rsidRPr="00A22868">
        <w:rPr>
          <w:rFonts w:cstheme="minorHAnsi"/>
          <w:bCs/>
        </w:rPr>
        <w:t>taking into account</w:t>
      </w:r>
      <w:proofErr w:type="gramEnd"/>
      <w:r w:rsidRPr="00A22868">
        <w:rPr>
          <w:rFonts w:cstheme="minorHAnsi"/>
          <w:bCs/>
        </w:rPr>
        <w:t xml:space="preserve"> the tiered approach to evaluate data for this hazard class (see 3.4.3.1.2 and figure 3.4.1). If classification is not possible using the tiered approach, then the approach described in 3.4.</w:t>
      </w:r>
      <w:r w:rsidRPr="00A22868">
        <w:rPr>
          <w:rFonts w:cstheme="minorHAnsi"/>
        </w:rPr>
        <w:t>3.2 or, if that is not applicable, in 3.4.3.3, should be followed. For supplemental labelling required by some competent authorities, see the note to table 3.4.5 and 3.4.4.2.</w:t>
      </w:r>
      <w:r w:rsidRPr="00A22868">
        <w:rPr>
          <w:rFonts w:cstheme="minorHAnsi"/>
          <w:bCs/>
        </w:rPr>
        <w:t xml:space="preserve"> </w:t>
      </w:r>
    </w:p>
    <w:p w14:paraId="35A0A234" w14:textId="77777777" w:rsidR="00CB0F8F" w:rsidRPr="00A22868" w:rsidRDefault="00CB0F8F" w:rsidP="00CB0F8F">
      <w:pPr>
        <w:spacing w:before="240" w:after="120" w:line="240" w:lineRule="auto"/>
        <w:ind w:left="2268" w:right="1134"/>
        <w:jc w:val="both"/>
        <w:rPr>
          <w:rFonts w:cstheme="minorHAnsi"/>
          <w:bCs/>
        </w:rPr>
      </w:pPr>
      <w:r w:rsidRPr="00A22868">
        <w:rPr>
          <w:rFonts w:cstheme="minorHAnsi"/>
          <w:bCs/>
        </w:rPr>
        <w:t>3.4.3.1.2</w:t>
      </w:r>
      <w:r w:rsidRPr="00A22868">
        <w:rPr>
          <w:rFonts w:cstheme="minorHAnsi"/>
          <w:bCs/>
        </w:rPr>
        <w:tab/>
        <w:t xml:space="preserve">Care should be exercised in evaluating data on mixtures that the dose used does not render the results inconclusive and that the test methods used to generate such results are appropriate for predicting the skin sensitizing properties of the mixture (see 3.4.5.3.2). Further, for both standard test methods (in vivo,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 xml:space="preserve">, in vitro) and defined approaches, data can only be used for classification when all ingredients fall within their applicability domain. Specific limitations regarding applicability domains are described in the respective test methods and defined approaches and should be taken into consideration as well as any further information on such limitations from the published literature. A competent authority may decide which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/in vitro test method or defined approach may be accepted for mixtures (see 3.4.5.3.2.4 and 3.4.5.3.2.5). A more detailed overview of factors to consider in the classification of mixtures can be found in guidance section 3.4.5.3.2 and the test methods.”.</w:t>
      </w:r>
    </w:p>
    <w:p w14:paraId="496E368A" w14:textId="4B8737AA" w:rsidR="00312543" w:rsidRDefault="00CB0F8F" w:rsidP="00312543">
      <w:pPr>
        <w:pStyle w:val="SingleTxtG"/>
        <w:tabs>
          <w:tab w:val="clear" w:pos="2835"/>
          <w:tab w:val="left" w:pos="3544"/>
        </w:tabs>
        <w:spacing w:after="240" w:line="240" w:lineRule="auto"/>
      </w:pPr>
      <w:r w:rsidRPr="00A22868">
        <w:t>3.4.5.3</w:t>
      </w:r>
      <w:r w:rsidRPr="00A22868">
        <w:tab/>
      </w:r>
      <w:r w:rsidRPr="00A22868">
        <w:tab/>
        <w:t>Insert the following new heading beneath “3.4.5.3 Background guidance”:</w:t>
      </w:r>
    </w:p>
    <w:p w14:paraId="6E7B7F2D" w14:textId="516FBEF3" w:rsidR="00CB0F8F" w:rsidRPr="00A22868" w:rsidRDefault="00312543" w:rsidP="008B0608">
      <w:pPr>
        <w:pStyle w:val="SingleTxtG"/>
        <w:tabs>
          <w:tab w:val="clear" w:pos="2835"/>
          <w:tab w:val="left" w:pos="3544"/>
        </w:tabs>
        <w:spacing w:after="240" w:line="240" w:lineRule="auto"/>
        <w:rPr>
          <w:rFonts w:cstheme="minorHAnsi"/>
          <w:bCs/>
          <w:i/>
          <w:iCs/>
        </w:rPr>
      </w:pPr>
      <w:r>
        <w:tab/>
      </w:r>
      <w:r>
        <w:tab/>
      </w:r>
      <w:r w:rsidR="00CB0F8F" w:rsidRPr="00A22868">
        <w:rPr>
          <w:rFonts w:cstheme="minorHAnsi"/>
          <w:bCs/>
        </w:rPr>
        <w:t xml:space="preserve">“3.4.5.3.1 </w:t>
      </w:r>
      <w:r>
        <w:rPr>
          <w:rFonts w:cstheme="minorHAnsi"/>
          <w:bCs/>
        </w:rPr>
        <w:tab/>
      </w:r>
      <w:r w:rsidR="00CB0F8F" w:rsidRPr="00A22868">
        <w:rPr>
          <w:rFonts w:cstheme="minorHAnsi"/>
          <w:bCs/>
          <w:i/>
          <w:iCs/>
        </w:rPr>
        <w:t>Guidance on substances – skin sensitization”.</w:t>
      </w:r>
    </w:p>
    <w:p w14:paraId="12CADCD5" w14:textId="77777777" w:rsidR="00CB0F8F" w:rsidRPr="00A22868" w:rsidRDefault="00CB0F8F" w:rsidP="00CB0F8F">
      <w:pPr>
        <w:pStyle w:val="SingleTxtG"/>
        <w:tabs>
          <w:tab w:val="clear" w:pos="1701"/>
          <w:tab w:val="clear" w:pos="2268"/>
          <w:tab w:val="clear" w:pos="2835"/>
          <w:tab w:val="left" w:pos="3119"/>
        </w:tabs>
        <w:spacing w:after="240" w:line="240" w:lineRule="auto"/>
      </w:pPr>
      <w:r w:rsidRPr="00A22868">
        <w:t>3.4.5.3.1 to 3.4.5.3.2</w:t>
      </w:r>
      <w:r w:rsidRPr="00A22868">
        <w:tab/>
        <w:t>Current sections “3.4.5.3.1” to “3.4.5.3.2” become new sections “3.4.5.3.1.1” to “3.4.5.3.1.2”.</w:t>
      </w:r>
    </w:p>
    <w:p w14:paraId="0B86980C" w14:textId="77777777" w:rsidR="00CB0F8F" w:rsidRPr="00A22868" w:rsidRDefault="00CB0F8F" w:rsidP="00CB0F8F">
      <w:pPr>
        <w:pStyle w:val="SingleTxtG"/>
        <w:tabs>
          <w:tab w:val="left" w:pos="3686"/>
        </w:tabs>
        <w:spacing w:after="240" w:line="240" w:lineRule="auto"/>
      </w:pPr>
      <w:r w:rsidRPr="00A22868">
        <w:t>3.4.5.3.1.2 (former 3.4.5.3.2)</w:t>
      </w:r>
      <w:r w:rsidRPr="00A22868">
        <w:tab/>
        <w:t>Replace with the following:</w:t>
      </w:r>
    </w:p>
    <w:p w14:paraId="4583AE78" w14:textId="77777777" w:rsidR="00CB0F8F" w:rsidRPr="00A22868" w:rsidRDefault="00CB0F8F" w:rsidP="008B0608">
      <w:pPr>
        <w:pStyle w:val="GHSH05"/>
        <w:tabs>
          <w:tab w:val="clear" w:pos="1418"/>
          <w:tab w:val="clear" w:pos="2552"/>
          <w:tab w:val="clear" w:pos="3119"/>
        </w:tabs>
        <w:ind w:left="2268"/>
        <w:rPr>
          <w:i/>
          <w:iCs/>
          <w:color w:val="auto"/>
        </w:rPr>
      </w:pPr>
      <w:r w:rsidRPr="00A22868">
        <w:rPr>
          <w:color w:val="auto"/>
        </w:rPr>
        <w:t xml:space="preserve">“3.4.5.3.1.2 </w:t>
      </w:r>
      <w:r w:rsidRPr="00A22868">
        <w:rPr>
          <w:color w:val="auto"/>
        </w:rPr>
        <w:tab/>
        <w:t>Guidance on the use of human data</w:t>
      </w:r>
    </w:p>
    <w:p w14:paraId="67C90E94"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3.4.5.3.1.2.1 </w:t>
      </w:r>
      <w:r w:rsidRPr="00A22868">
        <w:rPr>
          <w:rFonts w:asciiTheme="majorBidi" w:hAnsiTheme="majorBidi" w:cstheme="majorBidi"/>
        </w:rPr>
        <w:tab/>
        <w:t>This guidance is relevant to substances and mixtures.</w:t>
      </w:r>
    </w:p>
    <w:p w14:paraId="27412D91"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3.4.5.3.1.2.2 </w:t>
      </w:r>
      <w:r w:rsidRPr="00A22868">
        <w:rPr>
          <w:rFonts w:asciiTheme="majorBidi" w:hAnsiTheme="majorBidi" w:cstheme="majorBidi"/>
        </w:rPr>
        <w:tab/>
        <w:t xml:space="preserve">The classification of substances and mixtures can be based on human evidence generated from a variety of sources.  These sources include human predictive patch testing, epidemiological studies, case studies, case reports or histories, diagnostic patch testing and medical surveillance reports, and poison control centre information.  This data may have been generated for consumers, workers, or the general population. Guidance for evaluating human evidence and the criteria in 3.4.2.2.2 is provided by some competent authorities (e.g., ECHA Guidance on the Application of the CLP Criteria, 2017). Further valuable information which should be considered for classification purposes (e.g., on use of appropriate concentrations and vehicles, as well as mixture evaluation) is also available (see U.S. </w:t>
      </w:r>
      <w:r w:rsidRPr="00A22868">
        <w:rPr>
          <w:rStyle w:val="ui-provider"/>
          <w:rFonts w:asciiTheme="majorBidi" w:hAnsiTheme="majorBidi" w:cstheme="majorBidi"/>
        </w:rPr>
        <w:t>Consumer Product Safety Commission (U.S CPSC)</w:t>
      </w:r>
      <w:r w:rsidRPr="00A22868">
        <w:rPr>
          <w:rFonts w:asciiTheme="majorBidi" w:hAnsiTheme="majorBidi" w:cstheme="majorBidi"/>
        </w:rPr>
        <w:t xml:space="preserve">, 2013; </w:t>
      </w:r>
      <w:r w:rsidRPr="00A22868">
        <w:rPr>
          <w:rStyle w:val="cf01"/>
          <w:rFonts w:asciiTheme="majorBidi" w:hAnsiTheme="majorBidi" w:cstheme="majorBidi"/>
        </w:rPr>
        <w:t>European Society of Contact Dermatitis</w:t>
      </w:r>
      <w:r w:rsidRPr="00A22868">
        <w:rPr>
          <w:rFonts w:asciiTheme="majorBidi" w:hAnsiTheme="majorBidi" w:cstheme="majorBidi"/>
        </w:rPr>
        <w:t xml:space="preserve"> guidance, 2015; Frosch et al., 2015).  </w:t>
      </w:r>
    </w:p>
    <w:p w14:paraId="0A7DD970"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3.4.5.3.1.2.3 </w:t>
      </w:r>
      <w:r w:rsidRPr="00A22868">
        <w:rPr>
          <w:rFonts w:asciiTheme="majorBidi" w:hAnsiTheme="majorBidi" w:cstheme="majorBidi"/>
        </w:rPr>
        <w:tab/>
        <w:t xml:space="preserve">When evaluating existing data, its quality should be taken into consideration. Criteria for a “well conducted” study would include validated outcomes, relevant dosing and route of administration and use of appropriate controls. Special attention should be applied to ascertain that exposure to the relevant substance or mixture is established with sufficient reliability. Studies should, where applicable, be carried out according to national and/or international test guidelines and according to good laboratory practice (GLP), compliance with good clinical practice (GCP), and good epidemiological practice (GEP) (U.S. </w:t>
      </w:r>
      <w:r w:rsidRPr="00A22868">
        <w:rPr>
          <w:rStyle w:val="ui-provider"/>
          <w:rFonts w:asciiTheme="majorBidi" w:hAnsiTheme="majorBidi" w:cstheme="majorBidi"/>
        </w:rPr>
        <w:t>CPSC</w:t>
      </w:r>
      <w:r w:rsidRPr="00A22868">
        <w:rPr>
          <w:rFonts w:asciiTheme="majorBidi" w:hAnsiTheme="majorBidi" w:cstheme="majorBidi"/>
        </w:rPr>
        <w:t xml:space="preserve">, 2013; Hoffman, 2019; Alba, 2020; World Health Organization, </w:t>
      </w:r>
      <w:r w:rsidRPr="00A22868">
        <w:rPr>
          <w:rFonts w:asciiTheme="majorBidi" w:hAnsiTheme="majorBidi" w:cstheme="majorBidi"/>
          <w:shd w:val="clear" w:color="auto" w:fill="FFFFFF"/>
        </w:rPr>
        <w:t>Council for </w:t>
      </w:r>
      <w:r w:rsidRPr="00A22868">
        <w:rPr>
          <w:rStyle w:val="Emphasis"/>
          <w:rFonts w:asciiTheme="majorBidi" w:hAnsiTheme="majorBidi" w:cstheme="majorBidi"/>
          <w:shd w:val="clear" w:color="auto" w:fill="FFFFFF"/>
        </w:rPr>
        <w:t>International</w:t>
      </w:r>
      <w:r w:rsidRPr="00A22868">
        <w:rPr>
          <w:rFonts w:asciiTheme="majorBidi" w:hAnsiTheme="majorBidi" w:cstheme="majorBidi"/>
          <w:shd w:val="clear" w:color="auto" w:fill="FFFFFF"/>
        </w:rPr>
        <w:t> Organizations of Medical Sciences</w:t>
      </w:r>
      <w:r w:rsidRPr="00A22868">
        <w:rPr>
          <w:rFonts w:asciiTheme="majorBidi" w:hAnsiTheme="majorBidi" w:cstheme="majorBidi"/>
        </w:rPr>
        <w:t xml:space="preserve"> (WHO CIOMS), 2009).</w:t>
      </w:r>
    </w:p>
    <w:p w14:paraId="190B5549"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lastRenderedPageBreak/>
        <w:t xml:space="preserve">3.4.5.3.1.2.4 </w:t>
      </w:r>
      <w:r w:rsidRPr="00A22868">
        <w:rPr>
          <w:rFonts w:asciiTheme="majorBidi" w:hAnsiTheme="majorBidi" w:cstheme="majorBidi"/>
        </w:rPr>
        <w:tab/>
        <w:t>Positive data from well-run epidemiological studies (in accordance with WHO CIOMS guidelines, 2009) can be used for classifying substances and mixtures for skin sensitization. Some examples of epidemiological studies may include case control studies, cohort studies, cross-sectional studies, or longitudinal studies. These studies should have large sample sizes with well-documented exposures to a substance or a mixture.</w:t>
      </w:r>
    </w:p>
    <w:p w14:paraId="62D3A2D1"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3.4.5.3.1.2.5 </w:t>
      </w:r>
      <w:r w:rsidRPr="00A22868">
        <w:rPr>
          <w:rFonts w:asciiTheme="majorBidi" w:hAnsiTheme="majorBidi" w:cstheme="majorBidi"/>
        </w:rPr>
        <w:tab/>
        <w:t xml:space="preserve">When using human epidemiological data for classification, consideration should be given to available data from </w:t>
      </w:r>
      <w:proofErr w:type="gramStart"/>
      <w:r w:rsidRPr="00A22868">
        <w:rPr>
          <w:rFonts w:asciiTheme="majorBidi" w:hAnsiTheme="majorBidi" w:cstheme="majorBidi"/>
        </w:rPr>
        <w:t>a number of</w:t>
      </w:r>
      <w:proofErr w:type="gramEnd"/>
      <w:r w:rsidRPr="00A22868">
        <w:rPr>
          <w:rFonts w:asciiTheme="majorBidi" w:hAnsiTheme="majorBidi" w:cstheme="majorBidi"/>
        </w:rPr>
        <w:t xml:space="preserve"> sources: (a) well-conducted clinical and diagnostic studies; (b) epidemiological studies, either general population studies or occupational studies; (c) cross-reactivity data; (d) case histories. Positive data from well-run epidemiological studies (which should also comply with WHO CIOMS guidelines, 2009) can be used for classifying substances and mixtures for skin sensitization.  </w:t>
      </w:r>
      <w:r w:rsidRPr="00A22868">
        <w:rPr>
          <w:rStyle w:val="ui-provider"/>
          <w:rFonts w:asciiTheme="majorBidi" w:hAnsiTheme="majorBidi" w:cstheme="majorBidi"/>
        </w:rPr>
        <w:t xml:space="preserve">The </w:t>
      </w:r>
      <w:r w:rsidRPr="00A22868">
        <w:rPr>
          <w:rStyle w:val="ui-provider"/>
        </w:rPr>
        <w:t>incidence and severity</w:t>
      </w:r>
      <w:r w:rsidRPr="00A22868">
        <w:rPr>
          <w:rStyle w:val="ui-provider"/>
          <w:rFonts w:asciiTheme="majorBidi" w:hAnsiTheme="majorBidi" w:cstheme="majorBidi"/>
        </w:rPr>
        <w:t xml:space="preserve"> of sensitization in occupational epidemiological studies may be higher than in general population studies due to the higher exposure levels (both in time and concentration). </w:t>
      </w:r>
      <w:r w:rsidRPr="00A22868">
        <w:rPr>
          <w:rStyle w:val="ui-provider"/>
        </w:rPr>
        <w:t xml:space="preserve">The exposure, the incidence and the severity in the study populations </w:t>
      </w:r>
      <w:r w:rsidRPr="00A22868">
        <w:rPr>
          <w:rStyle w:val="ui-provider"/>
          <w:rFonts w:asciiTheme="majorBidi" w:hAnsiTheme="majorBidi" w:cstheme="majorBidi"/>
        </w:rPr>
        <w:t xml:space="preserve">should be </w:t>
      </w:r>
      <w:proofErr w:type="gramStart"/>
      <w:r w:rsidRPr="00A22868">
        <w:rPr>
          <w:rStyle w:val="ui-provider"/>
          <w:rFonts w:asciiTheme="majorBidi" w:hAnsiTheme="majorBidi" w:cstheme="majorBidi"/>
        </w:rPr>
        <w:t>taken into account</w:t>
      </w:r>
      <w:proofErr w:type="gramEnd"/>
      <w:r w:rsidRPr="00A22868">
        <w:rPr>
          <w:rStyle w:val="ui-provider"/>
          <w:rFonts w:asciiTheme="majorBidi" w:hAnsiTheme="majorBidi" w:cstheme="majorBidi"/>
        </w:rPr>
        <w:t xml:space="preserve"> especially when deciding on the subcategory (see 3.4.2.2.2). </w:t>
      </w:r>
    </w:p>
    <w:p w14:paraId="6C1A08D6" w14:textId="5101E272"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3.4.5.3.1.2.6 </w:t>
      </w:r>
      <w:r w:rsidRPr="00A22868">
        <w:rPr>
          <w:rFonts w:asciiTheme="majorBidi" w:hAnsiTheme="majorBidi" w:cstheme="majorBidi"/>
        </w:rPr>
        <w:tab/>
        <w:t xml:space="preserve">A specific type of epidemiological study (such as randomized control studies or trials) may include information from diagnostic patch testing.  Diagnostic patch testing is considered by some competent authorities to be the gold standard in diagnosing contact allergy in dermatitis patients (Johansen et al, 2015; Frosch et al., 2015). Importantly, due consideration needs to be given to the appropriate selection of vehicle, test material composition, and patch test concentrations for the purpose of not causing false negatives, false positives, irritant reactions or inducing contact allergy (skin sensitization). Positive data from experimental, </w:t>
      </w:r>
      <w:proofErr w:type="gramStart"/>
      <w:r w:rsidRPr="00A22868">
        <w:rPr>
          <w:rFonts w:asciiTheme="majorBidi" w:hAnsiTheme="majorBidi" w:cstheme="majorBidi"/>
        </w:rPr>
        <w:t>clinical</w:t>
      </w:r>
      <w:proofErr w:type="gramEnd"/>
      <w:r w:rsidRPr="00A22868">
        <w:rPr>
          <w:rFonts w:asciiTheme="majorBidi" w:hAnsiTheme="majorBidi" w:cstheme="majorBidi"/>
        </w:rPr>
        <w:t xml:space="preserve"> or diagnostic studies in humans and/or well-documented episodes of allergic contact dermatitis may be used to classify substances and mixtures for skin sensitization, when it can be assumed with sufficient confidence that the tested substance or mixture was indeed the most likely cause for induction of sensitization. Therefore, it should be established that there is at least a general likelihood that the respective patient(s) had been previously exposed to the substance or mixture. On the other hand, negative results from such tests are not sufficient to prove that the test substance or mixture should not be classified as a skin sensitizer. </w:t>
      </w:r>
    </w:p>
    <w:p w14:paraId="3DD1DC93"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3.4.5.3.1.2.7 </w:t>
      </w:r>
      <w:r w:rsidRPr="00A22868">
        <w:rPr>
          <w:rFonts w:asciiTheme="majorBidi" w:hAnsiTheme="majorBidi" w:cstheme="majorBidi"/>
        </w:rPr>
        <w:tab/>
        <w:t xml:space="preserve">For some substances and mixtures, predictive patch test data in human volunteers are available (e.g. Strickland et al., 2023). Two test designs for predicting whether the substance or mixture will induce sensitization are the Human Maximization Test (HMT) and the Human Repeated Insult Patch Tests (HRIPT).  </w:t>
      </w:r>
    </w:p>
    <w:p w14:paraId="3707BD5C"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3.4.5.3.1.2.8 </w:t>
      </w:r>
      <w:r w:rsidRPr="00A22868">
        <w:rPr>
          <w:rFonts w:asciiTheme="majorBidi" w:hAnsiTheme="majorBidi" w:cstheme="majorBidi"/>
        </w:rPr>
        <w:tab/>
        <w:t xml:space="preserve">Positive data from predictive patch testing (HRIPT or HMT) showing allergic contact dermatitis caused by the test substance or mixture can be used to classify for skin sensitization. These studies are generally conducted in controlled clinical settings and in general the study outcome is considered more reliable the larger the test panel size. Criteria for evaluating these data are provided in 3.4.2.2.2.2 and 3.4.2.2.2.3.  When evaluating the data from HRIPT, consideration should be given to the appropriate use of vehicle as this can affect the outcome of testing (Johansen et al., 2015; Frosch et al., 2015).  </w:t>
      </w:r>
    </w:p>
    <w:p w14:paraId="3EF8309D"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3.4.5.3.1.2.9 </w:t>
      </w:r>
      <w:r w:rsidRPr="00A22868">
        <w:rPr>
          <w:rFonts w:asciiTheme="majorBidi" w:hAnsiTheme="majorBidi" w:cstheme="majorBidi"/>
        </w:rPr>
        <w:tab/>
        <w:t xml:space="preserve">The HMT is no longer in use, due to ethical concerns about its potential to create adverse health consequences for the person being tested. In cases where such data exist, they can nevertheless be used for classification. </w:t>
      </w:r>
    </w:p>
    <w:p w14:paraId="526DC7BB" w14:textId="38C117AF" w:rsidR="00CB0F8F" w:rsidRPr="00A22868" w:rsidRDefault="00CB0F8F" w:rsidP="008B0608">
      <w:pPr>
        <w:tabs>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3.4.5.3.1.2.10 </w:t>
      </w:r>
      <w:r w:rsidR="00C369AD">
        <w:rPr>
          <w:rFonts w:asciiTheme="majorBidi" w:hAnsiTheme="majorBidi" w:cstheme="majorBidi"/>
        </w:rPr>
        <w:tab/>
      </w:r>
      <w:r w:rsidRPr="00A22868">
        <w:rPr>
          <w:rFonts w:asciiTheme="majorBidi" w:hAnsiTheme="majorBidi" w:cstheme="majorBidi"/>
        </w:rPr>
        <w:t xml:space="preserve">Special consideration should be given to negative human data as full dose-response information is generally not available. For example, a negative result in an HRIPT or HMT at a low concentration may not allow </w:t>
      </w:r>
      <w:r w:rsidRPr="00A22868">
        <w:rPr>
          <w:rFonts w:asciiTheme="majorBidi" w:hAnsiTheme="majorBidi" w:cstheme="majorBidi"/>
        </w:rPr>
        <w:lastRenderedPageBreak/>
        <w:t xml:space="preserve">for the conclusion that the substance or mixture does not have skin sensitizing properties, as such effect at a higher concentration may not be excluded.  In addition, negative human data should not necessarily be used to negate positive results from animal studies and/or defined approaches but can be used as part of a weight of evidence assessment. For both animal and human data, consideration should be given to the impact of the vehicle (e.g. Wright et al, 2001 and </w:t>
      </w:r>
      <w:proofErr w:type="spellStart"/>
      <w:r w:rsidRPr="00A22868">
        <w:rPr>
          <w:rFonts w:asciiTheme="majorBidi" w:hAnsiTheme="majorBidi" w:cstheme="majorBidi"/>
        </w:rPr>
        <w:t>Kligman</w:t>
      </w:r>
      <w:proofErr w:type="spellEnd"/>
      <w:r w:rsidRPr="00A22868">
        <w:rPr>
          <w:rFonts w:asciiTheme="majorBidi" w:hAnsiTheme="majorBidi" w:cstheme="majorBidi"/>
        </w:rPr>
        <w:t xml:space="preserve">, 1966). </w:t>
      </w:r>
    </w:p>
    <w:p w14:paraId="589442D3" w14:textId="32C68C70" w:rsidR="00CB0F8F" w:rsidRPr="00A22868" w:rsidRDefault="00CB0F8F" w:rsidP="008B0608">
      <w:pPr>
        <w:tabs>
          <w:tab w:val="left" w:pos="3402"/>
          <w:tab w:val="left" w:pos="3686"/>
        </w:tabs>
        <w:spacing w:after="240" w:line="240" w:lineRule="auto"/>
        <w:ind w:left="2268" w:right="1134"/>
        <w:jc w:val="both"/>
        <w:rPr>
          <w:rFonts w:asciiTheme="majorBidi" w:hAnsiTheme="majorBidi" w:cstheme="majorBidi"/>
        </w:rPr>
      </w:pPr>
      <w:r w:rsidRPr="00A22868">
        <w:rPr>
          <w:rFonts w:asciiTheme="majorBidi" w:hAnsiTheme="majorBidi" w:cstheme="majorBidi"/>
        </w:rPr>
        <w:t xml:space="preserve">3.4.5.3.1.2.11 </w:t>
      </w:r>
      <w:r w:rsidRPr="00A22868">
        <w:rPr>
          <w:rFonts w:asciiTheme="majorBidi" w:hAnsiTheme="majorBidi" w:cstheme="majorBidi"/>
        </w:rPr>
        <w:tab/>
      </w:r>
      <w:r w:rsidRPr="008B0608">
        <w:rPr>
          <w:rFonts w:asciiTheme="majorBidi" w:hAnsiTheme="majorBidi" w:cstheme="majorBidi"/>
        </w:rPr>
        <w:t xml:space="preserve">For example, negative results from substances or mixtures tested in a predictive patch test at a DSA (dose per skin area) of &lt; 500 </w:t>
      </w:r>
      <w:proofErr w:type="spellStart"/>
      <w:r w:rsidRPr="008B0608">
        <w:rPr>
          <w:rFonts w:asciiTheme="majorBidi" w:hAnsiTheme="majorBidi" w:cstheme="majorBidi"/>
        </w:rPr>
        <w:t>μg</w:t>
      </w:r>
      <w:proofErr w:type="spellEnd"/>
      <w:r w:rsidRPr="008B0608">
        <w:rPr>
          <w:rFonts w:asciiTheme="majorBidi" w:hAnsiTheme="majorBidi" w:cstheme="majorBidi"/>
        </w:rPr>
        <w:t>/cm</w:t>
      </w:r>
      <w:r w:rsidRPr="008B0608">
        <w:rPr>
          <w:rFonts w:asciiTheme="majorBidi" w:hAnsiTheme="majorBidi" w:cstheme="majorBidi"/>
          <w:vertAlign w:val="superscript"/>
        </w:rPr>
        <w:t>2</w:t>
      </w:r>
      <w:r w:rsidRPr="008B0608">
        <w:rPr>
          <w:rFonts w:asciiTheme="majorBidi" w:hAnsiTheme="majorBidi" w:cstheme="majorBidi"/>
        </w:rPr>
        <w:t xml:space="preserve"> imply that a classification for skin sensitization might not be needed at all, however, classification as sub-category 1A or 1B cannot be ruled out, because the concentration tested was not high enough to exclude these possibilities. The same holds for test results for which it is unknown whether the test concentration corresponded to a DSA &lt; 500 </w:t>
      </w:r>
      <w:proofErr w:type="spellStart"/>
      <w:r w:rsidRPr="008B0608">
        <w:rPr>
          <w:rFonts w:asciiTheme="majorBidi" w:hAnsiTheme="majorBidi" w:cstheme="majorBidi"/>
        </w:rPr>
        <w:t>μg</w:t>
      </w:r>
      <w:proofErr w:type="spellEnd"/>
      <w:r w:rsidRPr="008B0608">
        <w:rPr>
          <w:rFonts w:asciiTheme="majorBidi" w:hAnsiTheme="majorBidi" w:cstheme="majorBidi"/>
        </w:rPr>
        <w:t>/cm</w:t>
      </w:r>
      <w:r w:rsidRPr="008B0608">
        <w:rPr>
          <w:rFonts w:asciiTheme="majorBidi" w:hAnsiTheme="majorBidi" w:cstheme="majorBidi"/>
          <w:vertAlign w:val="superscript"/>
        </w:rPr>
        <w:t>2</w:t>
      </w:r>
      <w:r w:rsidRPr="008B0608">
        <w:rPr>
          <w:rFonts w:asciiTheme="majorBidi" w:hAnsiTheme="majorBidi" w:cstheme="majorBidi"/>
        </w:rPr>
        <w:t>. Negative results from substances or mixtures tested at a DSA</w:t>
      </w:r>
      <w:r w:rsidRPr="008B0608">
        <w:rPr>
          <w:rFonts w:asciiTheme="majorBidi" w:hAnsiTheme="majorBidi" w:cstheme="majorBidi" w:hint="eastAsia"/>
        </w:rPr>
        <w:t> </w:t>
      </w:r>
      <w:r w:rsidRPr="008B0608">
        <w:rPr>
          <w:rFonts w:asciiTheme="majorBidi" w:hAnsiTheme="majorBidi" w:cstheme="majorBidi" w:hint="eastAsia"/>
        </w:rPr>
        <w:t>≥</w:t>
      </w:r>
      <w:r w:rsidRPr="008B0608">
        <w:rPr>
          <w:rFonts w:asciiTheme="majorBidi" w:hAnsiTheme="majorBidi" w:cstheme="majorBidi"/>
        </w:rPr>
        <w:t> 500 </w:t>
      </w:r>
      <w:proofErr w:type="spellStart"/>
      <w:r w:rsidRPr="008B0608">
        <w:rPr>
          <w:rFonts w:asciiTheme="majorBidi" w:hAnsiTheme="majorBidi" w:cstheme="majorBidi"/>
        </w:rPr>
        <w:t>μg</w:t>
      </w:r>
      <w:proofErr w:type="spellEnd"/>
      <w:r w:rsidRPr="008B0608">
        <w:rPr>
          <w:rFonts w:asciiTheme="majorBidi" w:hAnsiTheme="majorBidi" w:cstheme="majorBidi"/>
        </w:rPr>
        <w:t>/cm</w:t>
      </w:r>
      <w:r w:rsidRPr="008B0608">
        <w:rPr>
          <w:rFonts w:asciiTheme="majorBidi" w:hAnsiTheme="majorBidi" w:cstheme="majorBidi"/>
          <w:vertAlign w:val="superscript"/>
        </w:rPr>
        <w:t>2</w:t>
      </w:r>
      <w:r w:rsidRPr="008B0608">
        <w:rPr>
          <w:rFonts w:asciiTheme="majorBidi" w:hAnsiTheme="majorBidi" w:cstheme="majorBidi"/>
        </w:rPr>
        <w:t xml:space="preserve"> suggest that classification might not be needed. However, while classification as sub-category 1A can be ruled out, classification as sub-category 1B cannot, because a higher test concentration might have resulted in a positive test result. However, a negative test result at a concentration of 100% (i.e. the </w:t>
      </w:r>
      <w:r w:rsidRPr="008B0608">
        <w:t xml:space="preserve">undiluted substance or </w:t>
      </w:r>
      <w:r w:rsidRPr="008B0608">
        <w:rPr>
          <w:rFonts w:asciiTheme="majorBidi" w:hAnsiTheme="majorBidi" w:cstheme="majorBidi"/>
        </w:rPr>
        <w:t xml:space="preserve">mixture) can justify no classification (based on this test). </w:t>
      </w:r>
      <w:r w:rsidRPr="00A22868">
        <w:rPr>
          <w:rFonts w:asciiTheme="majorBidi" w:hAnsiTheme="majorBidi" w:cstheme="majorBidi"/>
        </w:rPr>
        <w:t>Nevertheless, negative results at low concentrations may be informative for classification of mixtures containing the substance or mixture at similar or lower concentrations.</w:t>
      </w:r>
    </w:p>
    <w:p w14:paraId="7E5F528D" w14:textId="70B6A6AF" w:rsidR="00CB0F8F" w:rsidRPr="00A22868" w:rsidRDefault="00CB0F8F" w:rsidP="008B0608">
      <w:pPr>
        <w:pStyle w:val="GHStext"/>
        <w:tabs>
          <w:tab w:val="left" w:pos="3402"/>
          <w:tab w:val="left" w:pos="3686"/>
        </w:tabs>
        <w:ind w:left="2268" w:right="1134"/>
        <w:rPr>
          <w:rFonts w:asciiTheme="majorBidi" w:hAnsiTheme="majorBidi" w:cstheme="majorBidi"/>
          <w:color w:val="auto"/>
          <w:szCs w:val="20"/>
          <w:lang w:val="en-GB"/>
        </w:rPr>
      </w:pPr>
      <w:r w:rsidRPr="00A22868">
        <w:rPr>
          <w:rFonts w:asciiTheme="majorBidi" w:hAnsiTheme="majorBidi" w:cstheme="majorBidi"/>
          <w:color w:val="auto"/>
          <w:szCs w:val="20"/>
          <w:lang w:val="en-GB"/>
        </w:rPr>
        <w:t xml:space="preserve">3.4.5.3.1.2.12 </w:t>
      </w:r>
      <w:r w:rsidR="00C369AD">
        <w:rPr>
          <w:rFonts w:asciiTheme="majorBidi" w:hAnsiTheme="majorBidi" w:cstheme="majorBidi"/>
          <w:color w:val="auto"/>
          <w:szCs w:val="20"/>
          <w:lang w:val="en-GB"/>
        </w:rPr>
        <w:tab/>
      </w:r>
      <w:r w:rsidRPr="00A22868">
        <w:rPr>
          <w:rFonts w:asciiTheme="majorBidi" w:hAnsiTheme="majorBidi" w:cstheme="majorBidi"/>
          <w:color w:val="auto"/>
          <w:szCs w:val="20"/>
          <w:lang w:val="en-GB"/>
        </w:rPr>
        <w:t>Human data not generated in controlled experiments with volunteers for the purpose of hazard classification (e.g. case studies, case reports and case histories, and poison control centre information) can be used with caution. Consideration should be given to the frequency of cases, the inherent properties of the substance</w:t>
      </w:r>
      <w:r w:rsidRPr="00A22868">
        <w:rPr>
          <w:rFonts w:asciiTheme="majorBidi" w:hAnsiTheme="majorBidi" w:cstheme="majorBidi"/>
          <w:strike/>
          <w:color w:val="auto"/>
          <w:szCs w:val="20"/>
          <w:lang w:val="en-GB"/>
        </w:rPr>
        <w:t>s</w:t>
      </w:r>
      <w:r w:rsidRPr="00A22868">
        <w:rPr>
          <w:rFonts w:asciiTheme="majorBidi" w:hAnsiTheme="majorBidi" w:cstheme="majorBidi"/>
          <w:color w:val="auto"/>
          <w:szCs w:val="20"/>
          <w:lang w:val="en-GB"/>
        </w:rPr>
        <w:t xml:space="preserve"> or mixture, as well as factors such as the exposure situation, bioavailability, individual predisposition, cross-</w:t>
      </w:r>
      <w:proofErr w:type="gramStart"/>
      <w:r w:rsidRPr="00A22868">
        <w:rPr>
          <w:rFonts w:asciiTheme="majorBidi" w:hAnsiTheme="majorBidi" w:cstheme="majorBidi"/>
          <w:color w:val="auto"/>
          <w:szCs w:val="20"/>
          <w:lang w:val="en-GB"/>
        </w:rPr>
        <w:t>reactivity</w:t>
      </w:r>
      <w:proofErr w:type="gramEnd"/>
      <w:r w:rsidRPr="00A22868">
        <w:rPr>
          <w:rFonts w:asciiTheme="majorBidi" w:hAnsiTheme="majorBidi" w:cstheme="majorBidi"/>
          <w:color w:val="auto"/>
          <w:szCs w:val="20"/>
          <w:lang w:val="en-GB"/>
        </w:rPr>
        <w:t xml:space="preserve"> and preventive measures taken.”.</w:t>
      </w:r>
    </w:p>
    <w:p w14:paraId="29EEF1CC" w14:textId="6623A81A" w:rsidR="00CB0F8F" w:rsidRPr="00A22868" w:rsidRDefault="00A2109F" w:rsidP="008B0608">
      <w:pPr>
        <w:pStyle w:val="SingleTxtG"/>
        <w:tabs>
          <w:tab w:val="clear" w:pos="1701"/>
          <w:tab w:val="clear" w:pos="2268"/>
          <w:tab w:val="clear" w:pos="2835"/>
          <w:tab w:val="left" w:pos="3119"/>
          <w:tab w:val="left" w:pos="3686"/>
        </w:tabs>
        <w:spacing w:after="240" w:line="240" w:lineRule="auto"/>
      </w:pPr>
      <w:bookmarkStart w:id="3" w:name="_Hlk154133625"/>
      <w:r>
        <w:t xml:space="preserve">3.4.5.3.1.3 to 3.4.5.3.1.6 (new, former </w:t>
      </w:r>
      <w:r w:rsidR="00CB0F8F" w:rsidRPr="00A22868">
        <w:t>3.4.5.3.3 to 3.4.5.3.6</w:t>
      </w:r>
      <w:r>
        <w:t>)</w:t>
      </w:r>
      <w:r w:rsidR="00CB0F8F" w:rsidRPr="00A22868">
        <w:tab/>
        <w:t>Current sections “3.4.5.3.3” to “3.4.5.3.6” become new sections “3.4.5.3.1.3” to “3.4.5.3.1.6”. Renumber the paragraphs within each section accordingly.</w:t>
      </w:r>
    </w:p>
    <w:bookmarkEnd w:id="3"/>
    <w:p w14:paraId="4EBEDB47" w14:textId="3BAA586E" w:rsidR="00CB0F8F" w:rsidRPr="00A22868" w:rsidRDefault="00CB0F8F" w:rsidP="008B0608">
      <w:pPr>
        <w:pStyle w:val="SingleTxtG"/>
        <w:tabs>
          <w:tab w:val="left" w:pos="3686"/>
        </w:tabs>
        <w:spacing w:after="240" w:line="240" w:lineRule="auto"/>
      </w:pPr>
      <w:r w:rsidRPr="00A22868">
        <w:t>3.4.5.3.1.5 (former 3.4.5.3.5)</w:t>
      </w:r>
      <w:r w:rsidRPr="00A22868">
        <w:tab/>
      </w:r>
      <w:r w:rsidR="000A591F" w:rsidRPr="00A22868">
        <w:t>In the second sentence, r</w:t>
      </w:r>
      <w:r w:rsidRPr="00A22868">
        <w:t>eplace “criteria” with “methods” and insert “for this purpose” at the end of the sentence.</w:t>
      </w:r>
    </w:p>
    <w:p w14:paraId="0AEF072A" w14:textId="77777777" w:rsidR="00CB0F8F" w:rsidRPr="00A22868" w:rsidRDefault="00CB0F8F" w:rsidP="008B0608">
      <w:pPr>
        <w:pStyle w:val="SingleTxtG"/>
        <w:tabs>
          <w:tab w:val="left" w:pos="3686"/>
          <w:tab w:val="left" w:pos="4111"/>
        </w:tabs>
        <w:spacing w:after="240" w:line="240" w:lineRule="auto"/>
      </w:pPr>
      <w:r w:rsidRPr="00A22868">
        <w:t>3.4.5.3.1.6.1 (former 3.4.5.3.6.1)</w:t>
      </w:r>
      <w:r w:rsidRPr="00A22868">
        <w:tab/>
        <w:t>Replace “3.4.5.3.6.2” with “3.4.5.3.1.6.2”.</w:t>
      </w:r>
    </w:p>
    <w:p w14:paraId="0EF29DF8" w14:textId="110F3DD8" w:rsidR="00CB0F8F" w:rsidRPr="00A22868" w:rsidRDefault="00CB0F8F" w:rsidP="008B0608">
      <w:pPr>
        <w:pStyle w:val="SingleTxtG"/>
        <w:tabs>
          <w:tab w:val="clear" w:pos="1701"/>
          <w:tab w:val="left" w:pos="3686"/>
        </w:tabs>
        <w:spacing w:after="240" w:line="240" w:lineRule="auto"/>
      </w:pPr>
      <w:r w:rsidRPr="00A22868">
        <w:t>3.4.5.3.2 (new)</w:t>
      </w:r>
      <w:r w:rsidRPr="00A22868">
        <w:tab/>
        <w:t xml:space="preserve">Insert the following new section </w:t>
      </w:r>
      <w:proofErr w:type="gramStart"/>
      <w:r w:rsidRPr="00A22868">
        <w:t>after  3.4.5.3.1.6</w:t>
      </w:r>
      <w:proofErr w:type="gramEnd"/>
      <w:r w:rsidRPr="00A22868">
        <w:t xml:space="preserve"> (former 3.4.5.3.6)</w:t>
      </w:r>
      <w:r w:rsidR="001F0775" w:rsidRPr="00A22868">
        <w:t>:</w:t>
      </w:r>
    </w:p>
    <w:p w14:paraId="0CA2E00E" w14:textId="77777777" w:rsidR="00CB0F8F" w:rsidRPr="00A22868" w:rsidRDefault="00CB0F8F" w:rsidP="008B0608">
      <w:pPr>
        <w:pStyle w:val="SingleTxtG"/>
        <w:tabs>
          <w:tab w:val="clear" w:pos="1701"/>
          <w:tab w:val="left" w:pos="3686"/>
        </w:tabs>
        <w:spacing w:after="240" w:line="240" w:lineRule="auto"/>
      </w:pPr>
      <w:r w:rsidRPr="00A22868">
        <w:tab/>
      </w:r>
      <w:r w:rsidRPr="00A22868">
        <w:rPr>
          <w:rFonts w:cstheme="minorHAnsi"/>
          <w:bCs/>
        </w:rPr>
        <w:t>“3.4.5.3.2</w:t>
      </w:r>
      <w:r w:rsidRPr="00A22868">
        <w:rPr>
          <w:rFonts w:cstheme="minorHAnsi"/>
          <w:bCs/>
        </w:rPr>
        <w:tab/>
      </w:r>
      <w:r w:rsidRPr="00A22868">
        <w:rPr>
          <w:rFonts w:cstheme="minorHAnsi"/>
          <w:bCs/>
          <w:i/>
          <w:iCs/>
        </w:rPr>
        <w:t>Guidance on mixtures – skin sensitization</w:t>
      </w:r>
    </w:p>
    <w:p w14:paraId="5F7A2BF6" w14:textId="77777777" w:rsidR="00CB0F8F" w:rsidRPr="00A22868" w:rsidRDefault="00CB0F8F" w:rsidP="00F76B4D">
      <w:pPr>
        <w:pStyle w:val="GHSH05"/>
        <w:tabs>
          <w:tab w:val="clear" w:pos="1418"/>
        </w:tabs>
        <w:ind w:left="2268"/>
        <w:rPr>
          <w:rFonts w:asciiTheme="majorBidi" w:hAnsiTheme="majorBidi" w:cstheme="majorBidi"/>
          <w:i/>
          <w:iCs/>
          <w:color w:val="auto"/>
          <w:szCs w:val="20"/>
        </w:rPr>
      </w:pPr>
      <w:r w:rsidRPr="00A22868">
        <w:rPr>
          <w:rFonts w:asciiTheme="majorBidi" w:hAnsiTheme="majorBidi" w:cstheme="majorBidi"/>
          <w:bCs/>
          <w:color w:val="auto"/>
          <w:szCs w:val="20"/>
        </w:rPr>
        <w:t>3.4.5.3.2.1</w:t>
      </w:r>
      <w:r w:rsidRPr="00A22868">
        <w:rPr>
          <w:rFonts w:asciiTheme="majorBidi" w:hAnsiTheme="majorBidi" w:cstheme="majorBidi"/>
          <w:bCs/>
          <w:color w:val="auto"/>
          <w:szCs w:val="20"/>
        </w:rPr>
        <w:tab/>
      </w:r>
      <w:r w:rsidRPr="00A22868">
        <w:rPr>
          <w:rFonts w:asciiTheme="majorBidi" w:hAnsiTheme="majorBidi" w:cstheme="majorBidi"/>
          <w:bCs/>
          <w:color w:val="auto"/>
          <w:szCs w:val="20"/>
        </w:rPr>
        <w:tab/>
      </w:r>
      <w:r w:rsidRPr="00A22868">
        <w:rPr>
          <w:rFonts w:asciiTheme="majorBidi" w:hAnsiTheme="majorBidi" w:cstheme="majorBidi"/>
          <w:color w:val="auto"/>
          <w:szCs w:val="20"/>
        </w:rPr>
        <w:t>General considerations</w:t>
      </w:r>
    </w:p>
    <w:p w14:paraId="6CF56304" w14:textId="7B87DA7E" w:rsidR="00CB0F8F" w:rsidRPr="00A22868" w:rsidRDefault="00CB0F8F" w:rsidP="008B0608">
      <w:pPr>
        <w:pStyle w:val="GHStext"/>
        <w:tabs>
          <w:tab w:val="left" w:pos="3686"/>
        </w:tabs>
        <w:ind w:left="2268" w:right="1134"/>
        <w:rPr>
          <w:rFonts w:asciiTheme="majorBidi" w:hAnsiTheme="majorBidi" w:cstheme="majorBidi"/>
          <w:color w:val="auto"/>
          <w:szCs w:val="20"/>
          <w:lang w:val="en-GB"/>
        </w:rPr>
      </w:pPr>
      <w:r w:rsidRPr="00A22868">
        <w:rPr>
          <w:rFonts w:asciiTheme="majorBidi" w:hAnsiTheme="majorBidi" w:cstheme="majorBidi"/>
          <w:bCs/>
          <w:color w:val="auto"/>
          <w:szCs w:val="20"/>
          <w:lang w:val="en-GB"/>
        </w:rPr>
        <w:t>3.4.5.3.2.1.1</w:t>
      </w:r>
      <w:r w:rsidRPr="00A22868">
        <w:rPr>
          <w:rFonts w:asciiTheme="majorBidi" w:hAnsiTheme="majorBidi" w:cstheme="majorBidi"/>
          <w:color w:val="auto"/>
          <w:szCs w:val="20"/>
          <w:lang w:val="en-GB"/>
        </w:rPr>
        <w:tab/>
        <w:t xml:space="preserve">Mechanistic information in the OECD document </w:t>
      </w:r>
      <w:r w:rsidRPr="008B0608">
        <w:rPr>
          <w:rStyle w:val="ui-provider"/>
          <w:rFonts w:asciiTheme="majorBidi" w:hAnsiTheme="majorBidi" w:cstheme="majorBidi"/>
          <w:color w:val="auto"/>
          <w:szCs w:val="20"/>
          <w:lang w:val="en-GB"/>
        </w:rPr>
        <w:t xml:space="preserve">on the </w:t>
      </w:r>
      <w:r w:rsidR="00AE5892" w:rsidRPr="008B0608">
        <w:rPr>
          <w:rStyle w:val="ui-provider"/>
          <w:rFonts w:asciiTheme="majorBidi" w:hAnsiTheme="majorBidi" w:cstheme="majorBidi"/>
          <w:color w:val="auto"/>
          <w:szCs w:val="20"/>
          <w:lang w:val="en-GB"/>
        </w:rPr>
        <w:t>“</w:t>
      </w:r>
      <w:r w:rsidRPr="008B0608">
        <w:rPr>
          <w:rStyle w:val="ui-provider"/>
          <w:rFonts w:asciiTheme="majorBidi" w:hAnsiTheme="majorBidi" w:cstheme="majorBidi"/>
          <w:color w:val="auto"/>
          <w:szCs w:val="20"/>
          <w:lang w:val="en-GB"/>
        </w:rPr>
        <w:t>Adverse Outcome Pathway for skin sensitization</w:t>
      </w:r>
      <w:r w:rsidR="00AE5892" w:rsidRPr="008B0608">
        <w:rPr>
          <w:rStyle w:val="ui-provider"/>
          <w:rFonts w:asciiTheme="majorBidi" w:hAnsiTheme="majorBidi" w:cstheme="majorBidi"/>
          <w:color w:val="auto"/>
          <w:szCs w:val="20"/>
          <w:lang w:val="en-GB"/>
        </w:rPr>
        <w:t>”</w:t>
      </w:r>
      <w:r w:rsidRPr="008B0608">
        <w:rPr>
          <w:rStyle w:val="ui-provider"/>
          <w:rFonts w:asciiTheme="majorBidi" w:hAnsiTheme="majorBidi" w:cstheme="majorBidi"/>
          <w:color w:val="auto"/>
          <w:szCs w:val="20"/>
          <w:lang w:val="en-GB"/>
        </w:rPr>
        <w:t xml:space="preserve"> can </w:t>
      </w:r>
      <w:proofErr w:type="gramStart"/>
      <w:r w:rsidRPr="008B0608">
        <w:rPr>
          <w:rStyle w:val="ui-provider"/>
          <w:rFonts w:asciiTheme="majorBidi" w:hAnsiTheme="majorBidi" w:cstheme="majorBidi"/>
          <w:color w:val="auto"/>
          <w:szCs w:val="20"/>
          <w:lang w:val="en-GB"/>
        </w:rPr>
        <w:t>be helpful in understanding</w:t>
      </w:r>
      <w:proofErr w:type="gramEnd"/>
      <w:r w:rsidRPr="008B0608">
        <w:rPr>
          <w:rStyle w:val="ui-provider"/>
          <w:rFonts w:asciiTheme="majorBidi" w:hAnsiTheme="majorBidi" w:cstheme="majorBidi"/>
          <w:color w:val="auto"/>
          <w:szCs w:val="20"/>
          <w:lang w:val="en-GB"/>
        </w:rPr>
        <w:t xml:space="preserve"> the value of the individual </w:t>
      </w:r>
      <w:r w:rsidRPr="008B0608">
        <w:rPr>
          <w:rStyle w:val="ui-provider"/>
          <w:rFonts w:asciiTheme="majorBidi" w:hAnsiTheme="majorBidi" w:cstheme="majorBidi"/>
          <w:i/>
          <w:iCs/>
          <w:color w:val="auto"/>
          <w:szCs w:val="20"/>
          <w:lang w:val="en-GB"/>
        </w:rPr>
        <w:t xml:space="preserve">in </w:t>
      </w:r>
      <w:proofErr w:type="spellStart"/>
      <w:r w:rsidRPr="008B0608">
        <w:rPr>
          <w:rStyle w:val="ui-provider"/>
          <w:rFonts w:asciiTheme="majorBidi" w:hAnsiTheme="majorBidi" w:cstheme="majorBidi"/>
          <w:i/>
          <w:iCs/>
          <w:color w:val="auto"/>
          <w:szCs w:val="20"/>
          <w:lang w:val="en-GB"/>
        </w:rPr>
        <w:t>chemico</w:t>
      </w:r>
      <w:proofErr w:type="spellEnd"/>
      <w:r w:rsidRPr="008B0608">
        <w:rPr>
          <w:rStyle w:val="ui-provider"/>
          <w:rFonts w:asciiTheme="majorBidi" w:hAnsiTheme="majorBidi" w:cstheme="majorBidi"/>
          <w:color w:val="auto"/>
          <w:szCs w:val="20"/>
          <w:lang w:val="en-GB"/>
        </w:rPr>
        <w:t xml:space="preserve"> and in vitro methods compared to the in vivo methods (</w:t>
      </w:r>
      <w:r w:rsidRPr="00A22868">
        <w:rPr>
          <w:rFonts w:asciiTheme="majorBidi" w:hAnsiTheme="majorBidi" w:cstheme="majorBidi"/>
          <w:color w:val="auto"/>
          <w:szCs w:val="20"/>
          <w:lang w:val="en-GB"/>
        </w:rPr>
        <w:t>see OECD (2014))</w:t>
      </w:r>
      <w:r w:rsidRPr="008B0608">
        <w:rPr>
          <w:rStyle w:val="ui-provider"/>
          <w:rFonts w:asciiTheme="majorBidi" w:hAnsiTheme="majorBidi" w:cstheme="majorBidi"/>
          <w:color w:val="auto"/>
          <w:szCs w:val="20"/>
          <w:lang w:val="en-GB"/>
        </w:rPr>
        <w:t>.</w:t>
      </w:r>
      <w:r w:rsidR="002E0EDD" w:rsidRPr="008B0608">
        <w:rPr>
          <w:rStyle w:val="ui-provider"/>
          <w:rFonts w:asciiTheme="majorBidi" w:hAnsiTheme="majorBidi" w:cstheme="majorBidi"/>
          <w:color w:val="auto"/>
          <w:szCs w:val="20"/>
          <w:lang w:val="en-GB"/>
        </w:rPr>
        <w:t xml:space="preserve"> </w:t>
      </w:r>
    </w:p>
    <w:p w14:paraId="1CE48AD0" w14:textId="10C43EB2" w:rsidR="00CB0F8F" w:rsidRPr="008B0608" w:rsidRDefault="00CB0F8F" w:rsidP="008B0608">
      <w:pPr>
        <w:pStyle w:val="GHSH05"/>
        <w:keepNext w:val="0"/>
        <w:keepLines w:val="0"/>
        <w:widowControl/>
        <w:tabs>
          <w:tab w:val="clear" w:pos="1418"/>
          <w:tab w:val="left" w:pos="3402"/>
        </w:tabs>
        <w:ind w:left="2268" w:right="1134"/>
        <w:rPr>
          <w:color w:val="auto"/>
        </w:rPr>
      </w:pPr>
      <w:r w:rsidRPr="00A22868">
        <w:rPr>
          <w:rFonts w:cstheme="minorHAnsi"/>
          <w:bCs/>
          <w:color w:val="auto"/>
        </w:rPr>
        <w:t>3.4.5.3.2.1.2</w:t>
      </w:r>
      <w:r w:rsidRPr="00A22868">
        <w:rPr>
          <w:rFonts w:cstheme="minorHAnsi"/>
          <w:bCs/>
          <w:color w:val="auto"/>
        </w:rPr>
        <w:tab/>
        <w:t xml:space="preserve">Most of the standard animal test methods, defined approaches, in vitro and </w:t>
      </w:r>
      <w:r w:rsidRPr="00A22868">
        <w:rPr>
          <w:rFonts w:cstheme="minorHAnsi"/>
          <w:bCs/>
          <w:i/>
          <w:iCs/>
          <w:color w:val="auto"/>
        </w:rPr>
        <w:t xml:space="preserve">in </w:t>
      </w:r>
      <w:proofErr w:type="spellStart"/>
      <w:r w:rsidRPr="00A22868">
        <w:rPr>
          <w:rFonts w:cstheme="minorHAnsi"/>
          <w:bCs/>
          <w:i/>
          <w:iCs/>
          <w:color w:val="auto"/>
        </w:rPr>
        <w:t>chemico</w:t>
      </w:r>
      <w:proofErr w:type="spellEnd"/>
      <w:r w:rsidRPr="00A22868">
        <w:rPr>
          <w:rFonts w:cstheme="minorHAnsi"/>
          <w:bCs/>
          <w:color w:val="auto"/>
        </w:rPr>
        <w:t xml:space="preserve"> methods were developed and formally validated for identifying sensitizing substances and not mixtures. </w:t>
      </w:r>
      <w:proofErr w:type="gramStart"/>
      <w:r w:rsidRPr="00A22868">
        <w:rPr>
          <w:rFonts w:cstheme="minorHAnsi"/>
          <w:bCs/>
          <w:color w:val="auto"/>
        </w:rPr>
        <w:t>Nevertheless</w:t>
      </w:r>
      <w:proofErr w:type="gramEnd"/>
      <w:r w:rsidRPr="00A22868">
        <w:rPr>
          <w:rFonts w:cstheme="minorHAnsi"/>
          <w:bCs/>
          <w:color w:val="auto"/>
        </w:rPr>
        <w:t xml:space="preserve"> they are technically applicable to mixtures </w:t>
      </w:r>
      <w:r w:rsidRPr="00A22868">
        <w:rPr>
          <w:rFonts w:cstheme="minorBidi"/>
          <w:color w:val="auto"/>
        </w:rPr>
        <w:t>(see 3.4.3.1.2)</w:t>
      </w:r>
      <w:r w:rsidRPr="00A22868">
        <w:rPr>
          <w:rFonts w:cstheme="minorHAnsi"/>
          <w:bCs/>
          <w:color w:val="auto"/>
        </w:rPr>
        <w:t xml:space="preserve">.  However, there is limited data indicating whether there is a difference in the predictive capacity between standard animal test methods and defined approaches for the classification of mixtures. </w:t>
      </w:r>
      <w:r w:rsidRPr="00A22868">
        <w:rPr>
          <w:rFonts w:cstheme="minorHAnsi"/>
          <w:color w:val="auto"/>
        </w:rPr>
        <w:t>Sometimes, standard animal tests (see 3.4.2.2.3)</w:t>
      </w:r>
      <w:r w:rsidRPr="00A22868">
        <w:rPr>
          <w:rFonts w:cstheme="minorHAnsi"/>
          <w:bCs/>
          <w:color w:val="auto"/>
        </w:rPr>
        <w:t xml:space="preserve"> on mixtures </w:t>
      </w:r>
      <w:r w:rsidRPr="00A22868">
        <w:rPr>
          <w:rFonts w:cstheme="minorHAnsi"/>
          <w:color w:val="auto"/>
        </w:rPr>
        <w:t xml:space="preserve">are required by competent authorities or applied voluntarily and the results are </w:t>
      </w:r>
      <w:r w:rsidRPr="00A22868">
        <w:rPr>
          <w:rFonts w:cstheme="minorHAnsi"/>
          <w:color w:val="auto"/>
        </w:rPr>
        <w:lastRenderedPageBreak/>
        <w:t xml:space="preserve">internationally accepted for classification. Therefore, the results of standard animal test methods can be used for the classification of mixtures. </w:t>
      </w:r>
      <w:r w:rsidRPr="00A22868">
        <w:rPr>
          <w:rFonts w:cstheme="minorBidi"/>
          <w:color w:val="auto"/>
        </w:rPr>
        <w:t>The defined approaches were first introduced in OECD Guideline 497 in 2021 without a clear statement on the applicability of the defined approaches for mixtures (see</w:t>
      </w:r>
      <w:r w:rsidR="00E21CAB">
        <w:rPr>
          <w:rFonts w:cstheme="minorBidi"/>
          <w:color w:val="auto"/>
        </w:rPr>
        <w:t> </w:t>
      </w:r>
      <w:r w:rsidRPr="00A22868">
        <w:rPr>
          <w:rFonts w:cstheme="minorBidi"/>
          <w:color w:val="auto"/>
        </w:rPr>
        <w:t xml:space="preserve">also 3.4.5.3.2.4.1). </w:t>
      </w:r>
      <w:r w:rsidRPr="00A22868">
        <w:rPr>
          <w:rFonts w:cstheme="minorHAnsi"/>
          <w:color w:val="auto"/>
        </w:rPr>
        <w:t xml:space="preserve"> Human data can also be used for the classification of mixtures (see 3.4.5.3.2.2).</w:t>
      </w:r>
    </w:p>
    <w:p w14:paraId="06AE18DF" w14:textId="77777777" w:rsidR="00CB0F8F" w:rsidRPr="00A22868" w:rsidRDefault="00CB0F8F" w:rsidP="008B0608">
      <w:pPr>
        <w:tabs>
          <w:tab w:val="left" w:pos="3686"/>
        </w:tabs>
        <w:spacing w:after="240"/>
        <w:ind w:left="2268" w:right="1134"/>
        <w:jc w:val="both"/>
        <w:rPr>
          <w:rFonts w:cstheme="minorHAnsi"/>
          <w:bCs/>
        </w:rPr>
      </w:pPr>
      <w:r w:rsidRPr="00A22868">
        <w:rPr>
          <w:rFonts w:cstheme="minorHAnsi"/>
          <w:bCs/>
        </w:rPr>
        <w:t>3.4.5.3.2.2</w:t>
      </w:r>
      <w:r w:rsidRPr="00A22868">
        <w:rPr>
          <w:rFonts w:cstheme="minorHAnsi"/>
          <w:bCs/>
        </w:rPr>
        <w:tab/>
        <w:t xml:space="preserve">Guidance on the use of human data </w:t>
      </w:r>
    </w:p>
    <w:p w14:paraId="5FFCC52D" w14:textId="761A0E3E" w:rsidR="00CB0F8F" w:rsidRPr="00A22868" w:rsidRDefault="00E76742" w:rsidP="00E76742">
      <w:pPr>
        <w:pStyle w:val="SingleTxtG"/>
        <w:tabs>
          <w:tab w:val="clear" w:pos="2835"/>
          <w:tab w:val="left" w:pos="3686"/>
        </w:tabs>
        <w:ind w:left="2268"/>
      </w:pPr>
      <w:r>
        <w:tab/>
      </w:r>
      <w:r w:rsidR="00CB0F8F" w:rsidRPr="00A22868">
        <w:t>See the guidance on the use of human data in 3.4.5.3.1.2 which is also applicable to mixtures.</w:t>
      </w:r>
    </w:p>
    <w:p w14:paraId="546CB146" w14:textId="77777777" w:rsidR="00CB0F8F" w:rsidRPr="00E76742" w:rsidRDefault="00CB0F8F" w:rsidP="008B0608">
      <w:pPr>
        <w:tabs>
          <w:tab w:val="left" w:pos="3686"/>
        </w:tabs>
        <w:spacing w:after="240"/>
        <w:ind w:left="2268" w:right="1134"/>
        <w:jc w:val="both"/>
        <w:rPr>
          <w:rFonts w:cstheme="minorHAnsi"/>
          <w:bCs/>
        </w:rPr>
      </w:pPr>
      <w:r w:rsidRPr="00A22868">
        <w:rPr>
          <w:rFonts w:cstheme="minorHAnsi"/>
          <w:bCs/>
        </w:rPr>
        <w:t>3.4.5.3.2.3</w:t>
      </w:r>
      <w:r w:rsidRPr="00A22868">
        <w:rPr>
          <w:rFonts w:cstheme="minorHAnsi"/>
          <w:bCs/>
        </w:rPr>
        <w:tab/>
        <w:t xml:space="preserve">Guidance on the use of </w:t>
      </w:r>
      <w:r w:rsidRPr="00E76742">
        <w:rPr>
          <w:rFonts w:cstheme="minorHAnsi"/>
          <w:bCs/>
        </w:rPr>
        <w:t xml:space="preserve">standard animal data </w:t>
      </w:r>
    </w:p>
    <w:p w14:paraId="68D9B55A" w14:textId="77777777" w:rsidR="00CB0F8F" w:rsidRPr="00A22868" w:rsidRDefault="00CB0F8F" w:rsidP="008B0608">
      <w:pPr>
        <w:tabs>
          <w:tab w:val="left" w:pos="3686"/>
        </w:tabs>
        <w:spacing w:after="240"/>
        <w:ind w:left="2268" w:right="1134"/>
        <w:jc w:val="both"/>
        <w:rPr>
          <w:rFonts w:asciiTheme="majorBidi" w:hAnsiTheme="majorBidi" w:cstheme="majorBidi"/>
          <w:bCs/>
        </w:rPr>
      </w:pPr>
      <w:r w:rsidRPr="00A22868">
        <w:rPr>
          <w:rFonts w:asciiTheme="majorBidi" w:hAnsiTheme="majorBidi" w:cstheme="majorBidi"/>
          <w:bCs/>
        </w:rPr>
        <w:t>3.4.5.3.2.3.1</w:t>
      </w:r>
      <w:r w:rsidRPr="00A22868">
        <w:rPr>
          <w:rFonts w:asciiTheme="majorBidi" w:hAnsiTheme="majorBidi" w:cstheme="majorBidi"/>
          <w:bCs/>
        </w:rPr>
        <w:tab/>
      </w:r>
      <w:r w:rsidRPr="00A22868">
        <w:rPr>
          <w:rFonts w:cstheme="minorHAnsi"/>
          <w:bCs/>
        </w:rPr>
        <w:t xml:space="preserve">Animal tests have been developed to identify sensitizing substances and not mixtures. Therefore, the results obtained on mixtures need to be evaluated with care.  The following considerations can be relevant for mixtures because of dilution effects, </w:t>
      </w:r>
      <w:proofErr w:type="gramStart"/>
      <w:r w:rsidRPr="00A22868">
        <w:rPr>
          <w:rFonts w:cstheme="minorHAnsi"/>
          <w:bCs/>
        </w:rPr>
        <w:t>in particular for</w:t>
      </w:r>
      <w:proofErr w:type="gramEnd"/>
      <w:r w:rsidRPr="00A22868">
        <w:rPr>
          <w:rFonts w:cstheme="minorHAnsi"/>
          <w:bCs/>
        </w:rPr>
        <w:t xml:space="preserve"> borderline cases, but can also be applicable for substances</w:t>
      </w:r>
      <w:r w:rsidRPr="00A22868">
        <w:rPr>
          <w:rFonts w:asciiTheme="majorBidi" w:hAnsiTheme="majorBidi" w:cstheme="majorBidi"/>
          <w:bCs/>
        </w:rPr>
        <w:t>.</w:t>
      </w:r>
    </w:p>
    <w:p w14:paraId="030F1F42" w14:textId="77777777" w:rsidR="00CB0F8F" w:rsidRPr="00A22868" w:rsidRDefault="00CB0F8F" w:rsidP="008B0608">
      <w:pPr>
        <w:tabs>
          <w:tab w:val="left" w:pos="3686"/>
        </w:tabs>
        <w:spacing w:after="240" w:line="240" w:lineRule="auto"/>
        <w:ind w:left="2268" w:right="1134"/>
        <w:jc w:val="both"/>
        <w:rPr>
          <w:rFonts w:asciiTheme="majorBidi" w:hAnsiTheme="majorBidi" w:cstheme="majorBidi"/>
          <w:bCs/>
        </w:rPr>
      </w:pPr>
      <w:r w:rsidRPr="00A22868">
        <w:rPr>
          <w:rFonts w:asciiTheme="majorBidi" w:hAnsiTheme="majorBidi" w:cstheme="majorBidi"/>
          <w:bCs/>
        </w:rPr>
        <w:t>3.4.5.3.2.3.2</w:t>
      </w:r>
      <w:r w:rsidRPr="00A22868">
        <w:rPr>
          <w:rFonts w:asciiTheme="majorBidi" w:hAnsiTheme="majorBidi" w:cstheme="majorBidi"/>
          <w:bCs/>
        </w:rPr>
        <w:tab/>
        <w:t>For example, a stimulation index of three or more in the radioactive local lymph node assay (LLNA) (OECD Test Guideline 429) should be seen as a regulatory threshold for identification of a sensitizing mixture rather than as a threshold for sensitization as such. If a sensitizing substance is present at a low concentration in a mixture, a stimulation index of three may not be reached in the LLNA, but the substance in that mixture may still act as a sensitizer at population level. For this reason, a conclusion on the absence of sensitizing potential of a mixture based on the negative outcome in a test must be taken with great caution.</w:t>
      </w:r>
    </w:p>
    <w:p w14:paraId="762EC71E" w14:textId="53A5E11E" w:rsidR="00CB0F8F" w:rsidRPr="00A22868" w:rsidRDefault="00CB0F8F" w:rsidP="008B0608">
      <w:pPr>
        <w:tabs>
          <w:tab w:val="left" w:pos="3686"/>
        </w:tabs>
        <w:spacing w:after="240" w:line="240" w:lineRule="auto"/>
        <w:ind w:left="2268" w:right="1134"/>
        <w:jc w:val="both"/>
        <w:rPr>
          <w:rFonts w:asciiTheme="majorBidi" w:hAnsiTheme="majorBidi" w:cstheme="majorBidi"/>
          <w:bCs/>
        </w:rPr>
      </w:pPr>
      <w:r w:rsidRPr="00A22868">
        <w:rPr>
          <w:rFonts w:asciiTheme="majorBidi" w:hAnsiTheme="majorBidi" w:cstheme="majorBidi"/>
          <w:bCs/>
        </w:rPr>
        <w:t xml:space="preserve">3.4.5.3.2.3.3 </w:t>
      </w:r>
      <w:r w:rsidRPr="00A22868">
        <w:rPr>
          <w:rFonts w:asciiTheme="majorBidi" w:hAnsiTheme="majorBidi" w:cstheme="majorBidi"/>
          <w:bCs/>
        </w:rPr>
        <w:tab/>
        <w:t xml:space="preserve">Where the mixture is tested undiluted, contains sensitizing ingredients and there is an increase in positive animals (Buehler, guinea pig maximisation test (GPMT)) or in the response (LLNA) which does not fulfil the criteria for a positive result, an overall weight of evidence assessment is required including the indicators included in </w:t>
      </w:r>
      <w:r w:rsidR="00F949CF">
        <w:rPr>
          <w:rFonts w:asciiTheme="majorBidi" w:hAnsiTheme="majorBidi" w:cstheme="majorBidi"/>
          <w:bCs/>
        </w:rPr>
        <w:t>t</w:t>
      </w:r>
      <w:r w:rsidR="00F949CF" w:rsidRPr="00A22868">
        <w:rPr>
          <w:rFonts w:asciiTheme="majorBidi" w:hAnsiTheme="majorBidi" w:cstheme="majorBidi"/>
          <w:bCs/>
        </w:rPr>
        <w:t xml:space="preserve">ier </w:t>
      </w:r>
      <w:r w:rsidRPr="00A22868">
        <w:rPr>
          <w:rFonts w:asciiTheme="majorBidi" w:hAnsiTheme="majorBidi" w:cstheme="majorBidi"/>
          <w:bCs/>
        </w:rPr>
        <w:t xml:space="preserve">3. This should also include available data on the sensitizing ingredient(s) regarding their potency, bioavailability, accumulation in the skin and interaction with the other ingredients. When the result is inconclusive, where applicable the bridging principles should be applied, otherwise the ingredient-based approach should be followed according to the tiered approach for mixtures (see 1.3.2.3).  </w:t>
      </w:r>
    </w:p>
    <w:p w14:paraId="7B99C72D" w14:textId="77777777" w:rsidR="00CB0F8F" w:rsidRPr="00A22868" w:rsidRDefault="00CB0F8F" w:rsidP="008B0608">
      <w:pPr>
        <w:pStyle w:val="Default"/>
        <w:tabs>
          <w:tab w:val="left" w:pos="3686"/>
        </w:tabs>
        <w:spacing w:after="240"/>
        <w:ind w:left="2268" w:right="1134"/>
        <w:jc w:val="both"/>
        <w:rPr>
          <w:rFonts w:asciiTheme="majorBidi" w:hAnsiTheme="majorBidi" w:cstheme="majorBidi"/>
          <w:color w:val="auto"/>
          <w:sz w:val="20"/>
          <w:szCs w:val="20"/>
          <w:lang w:val="en-GB"/>
        </w:rPr>
      </w:pPr>
      <w:r w:rsidRPr="00A22868">
        <w:rPr>
          <w:rFonts w:asciiTheme="majorBidi" w:hAnsiTheme="majorBidi" w:cstheme="majorBidi"/>
          <w:color w:val="auto"/>
          <w:sz w:val="20"/>
          <w:szCs w:val="20"/>
          <w:lang w:val="en-GB"/>
        </w:rPr>
        <w:t>3.4.5.3.2.3.4</w:t>
      </w:r>
      <w:r w:rsidRPr="00A22868">
        <w:rPr>
          <w:rFonts w:asciiTheme="majorBidi" w:hAnsiTheme="majorBidi" w:cstheme="majorBidi"/>
          <w:color w:val="auto"/>
          <w:sz w:val="20"/>
          <w:szCs w:val="20"/>
          <w:lang w:val="en-GB"/>
        </w:rPr>
        <w:tab/>
        <w:t xml:space="preserve">Test data on a mixture </w:t>
      </w:r>
      <w:proofErr w:type="gramStart"/>
      <w:r w:rsidRPr="00A22868">
        <w:rPr>
          <w:rFonts w:asciiTheme="majorBidi" w:hAnsiTheme="majorBidi" w:cstheme="majorBidi"/>
          <w:color w:val="auto"/>
          <w:sz w:val="20"/>
          <w:szCs w:val="20"/>
          <w:lang w:val="en-GB"/>
        </w:rPr>
        <w:t>takes into account</w:t>
      </w:r>
      <w:proofErr w:type="gramEnd"/>
      <w:r w:rsidRPr="00A22868">
        <w:rPr>
          <w:rFonts w:asciiTheme="majorBidi" w:hAnsiTheme="majorBidi" w:cstheme="majorBidi"/>
          <w:color w:val="auto"/>
          <w:sz w:val="20"/>
          <w:szCs w:val="20"/>
          <w:lang w:val="en-GB"/>
        </w:rPr>
        <w:t xml:space="preserve"> effects of possible interactions of its components. For instance, it is known that the presence of a vehicle may significantly influence the skin sensitizing potency, by altering the penetration of the sensitizing component(s) through the skin, (</w:t>
      </w:r>
      <w:proofErr w:type="spellStart"/>
      <w:r w:rsidRPr="00A22868">
        <w:rPr>
          <w:rFonts w:asciiTheme="majorBidi" w:hAnsiTheme="majorBidi" w:cstheme="majorBidi"/>
          <w:color w:val="auto"/>
          <w:sz w:val="20"/>
          <w:szCs w:val="20"/>
          <w:lang w:val="en-GB"/>
        </w:rPr>
        <w:t>Basketter</w:t>
      </w:r>
      <w:proofErr w:type="spellEnd"/>
      <w:r w:rsidRPr="00A22868">
        <w:rPr>
          <w:rFonts w:asciiTheme="majorBidi" w:hAnsiTheme="majorBidi" w:cstheme="majorBidi"/>
          <w:color w:val="auto"/>
          <w:sz w:val="20"/>
          <w:szCs w:val="20"/>
          <w:lang w:val="en-GB"/>
        </w:rPr>
        <w:t xml:space="preserve"> et al. 2001, Dearman et al. 1996, </w:t>
      </w:r>
      <w:proofErr w:type="spellStart"/>
      <w:r w:rsidRPr="00A22868">
        <w:rPr>
          <w:rFonts w:asciiTheme="majorBidi" w:hAnsiTheme="majorBidi" w:cstheme="majorBidi"/>
          <w:color w:val="auto"/>
          <w:sz w:val="20"/>
          <w:szCs w:val="20"/>
          <w:lang w:val="en-GB"/>
        </w:rPr>
        <w:t>Heylings</w:t>
      </w:r>
      <w:proofErr w:type="spellEnd"/>
      <w:r w:rsidRPr="00A22868">
        <w:rPr>
          <w:rFonts w:asciiTheme="majorBidi" w:hAnsiTheme="majorBidi" w:cstheme="majorBidi"/>
          <w:color w:val="auto"/>
          <w:sz w:val="20"/>
          <w:szCs w:val="20"/>
          <w:lang w:val="en-GB"/>
        </w:rPr>
        <w:t xml:space="preserve"> et al. 1996) or through other mechanisms involved in the induction of sensitization (Cumberbatch et al. 1993; Dearman et al. 1996). These mechanisms may differ between animals and humans. Especially where differences are known or suspected that could lead to the underestimation of sensitization, negative outcomes may not be reliable.</w:t>
      </w:r>
    </w:p>
    <w:p w14:paraId="557B153D" w14:textId="217EE58C" w:rsidR="00CB0F8F" w:rsidRPr="008B0608" w:rsidRDefault="00CB0F8F" w:rsidP="008B0608">
      <w:pPr>
        <w:pStyle w:val="Default"/>
        <w:tabs>
          <w:tab w:val="left" w:pos="3686"/>
        </w:tabs>
        <w:spacing w:after="240"/>
        <w:ind w:left="2268" w:right="1134"/>
        <w:jc w:val="both"/>
        <w:rPr>
          <w:rStyle w:val="ui-provider"/>
          <w:rFonts w:eastAsiaTheme="minorHAnsi"/>
          <w:color w:val="auto"/>
          <w:sz w:val="20"/>
          <w:szCs w:val="20"/>
          <w:lang w:val="en-GB"/>
        </w:rPr>
      </w:pPr>
      <w:r w:rsidRPr="002D4EF3">
        <w:rPr>
          <w:rFonts w:asciiTheme="majorBidi" w:hAnsiTheme="majorBidi" w:cstheme="majorBidi"/>
          <w:color w:val="auto"/>
          <w:sz w:val="20"/>
          <w:szCs w:val="20"/>
          <w:lang w:val="en-GB"/>
        </w:rPr>
        <w:t>3.4.5.3.2.3.5</w:t>
      </w:r>
      <w:r w:rsidRPr="002D4EF3">
        <w:rPr>
          <w:rFonts w:asciiTheme="majorBidi" w:hAnsiTheme="majorBidi" w:cstheme="majorBidi"/>
          <w:color w:val="auto"/>
          <w:sz w:val="20"/>
          <w:szCs w:val="20"/>
          <w:lang w:val="en-GB"/>
        </w:rPr>
        <w:tab/>
      </w:r>
      <w:r w:rsidRPr="002D4EF3">
        <w:rPr>
          <w:rStyle w:val="ui-provider"/>
          <w:rFonts w:eastAsiaTheme="minorHAnsi"/>
          <w:color w:val="auto"/>
          <w:sz w:val="20"/>
          <w:szCs w:val="20"/>
          <w:lang w:val="en-GB"/>
        </w:rPr>
        <w:t xml:space="preserve">If the classification of a mixture based on </w:t>
      </w:r>
      <w:r w:rsidR="002D4EF3" w:rsidRPr="002D4EF3">
        <w:rPr>
          <w:rStyle w:val="ui-provider"/>
          <w:rFonts w:eastAsiaTheme="minorHAnsi"/>
          <w:color w:val="auto"/>
          <w:sz w:val="20"/>
          <w:szCs w:val="20"/>
          <w:lang w:val="en-GB"/>
        </w:rPr>
        <w:t xml:space="preserve">a </w:t>
      </w:r>
      <w:r w:rsidRPr="002D4EF3">
        <w:rPr>
          <w:rStyle w:val="ui-provider"/>
          <w:rFonts w:eastAsiaTheme="minorHAnsi"/>
          <w:color w:val="auto"/>
          <w:sz w:val="20"/>
          <w:szCs w:val="20"/>
          <w:lang w:val="en-GB"/>
        </w:rPr>
        <w:t>standard animal test</w:t>
      </w:r>
      <w:r w:rsidR="002810EE" w:rsidRPr="002D4EF3">
        <w:rPr>
          <w:rStyle w:val="ui-provider"/>
          <w:rFonts w:eastAsiaTheme="minorHAnsi"/>
          <w:color w:val="auto"/>
          <w:sz w:val="20"/>
          <w:szCs w:val="20"/>
          <w:lang w:val="en-GB"/>
        </w:rPr>
        <w:t xml:space="preserve"> (or test</w:t>
      </w:r>
      <w:r w:rsidRPr="002D4EF3">
        <w:rPr>
          <w:rStyle w:val="ui-provider"/>
          <w:rFonts w:eastAsiaTheme="minorHAnsi"/>
          <w:color w:val="auto"/>
          <w:sz w:val="20"/>
          <w:szCs w:val="20"/>
          <w:lang w:val="en-GB"/>
        </w:rPr>
        <w:t>s) is inconsistent with the classification based on the concentration and potency (e.g. from standard animal test(s) or human data) of a sensitizing ingredient</w:t>
      </w:r>
      <w:r w:rsidR="002810EE" w:rsidRPr="002D4EF3">
        <w:rPr>
          <w:rStyle w:val="ui-provider"/>
          <w:rFonts w:eastAsiaTheme="minorHAnsi"/>
          <w:color w:val="auto"/>
          <w:sz w:val="20"/>
          <w:szCs w:val="20"/>
          <w:lang w:val="en-GB"/>
        </w:rPr>
        <w:t xml:space="preserve"> (or ingredients)</w:t>
      </w:r>
      <w:r w:rsidRPr="002D4EF3">
        <w:rPr>
          <w:rStyle w:val="ui-provider"/>
          <w:rFonts w:eastAsiaTheme="minorHAnsi"/>
          <w:color w:val="auto"/>
          <w:sz w:val="20"/>
          <w:szCs w:val="20"/>
          <w:lang w:val="en-GB"/>
        </w:rPr>
        <w:t xml:space="preserve"> (see table 3.4.5), additional considerations may need to be taken into account for the classification of the mixture (see OECD Test Guideline 429). This could include, for example, test concentrations, difference in vehicle and purity of the test material.</w:t>
      </w:r>
    </w:p>
    <w:p w14:paraId="5D9A8C65" w14:textId="7CD2A1C3" w:rsidR="00CB0F8F" w:rsidRPr="00A22868" w:rsidRDefault="00CB0F8F" w:rsidP="008B0608">
      <w:pPr>
        <w:tabs>
          <w:tab w:val="left" w:pos="3686"/>
        </w:tabs>
        <w:spacing w:after="240" w:line="240" w:lineRule="auto"/>
        <w:ind w:left="2268" w:right="1134"/>
        <w:jc w:val="both"/>
        <w:rPr>
          <w:rFonts w:asciiTheme="majorBidi" w:hAnsiTheme="majorBidi" w:cstheme="majorBidi"/>
          <w:bCs/>
        </w:rPr>
      </w:pPr>
      <w:r w:rsidRPr="00A22868">
        <w:rPr>
          <w:rFonts w:asciiTheme="majorBidi" w:hAnsiTheme="majorBidi" w:cstheme="majorBidi"/>
          <w:bCs/>
        </w:rPr>
        <w:t>3.4.5.3.2.3.6</w:t>
      </w:r>
      <w:r w:rsidRPr="00A22868">
        <w:rPr>
          <w:rFonts w:asciiTheme="majorBidi" w:hAnsiTheme="majorBidi" w:cstheme="majorBidi"/>
          <w:bCs/>
        </w:rPr>
        <w:tab/>
        <w:t xml:space="preserve">Where the mixture contains corrosives or potent irritants resulting in unacceptable irritation in the pilot study with the mixture, either a </w:t>
      </w:r>
      <w:r w:rsidRPr="00A22868">
        <w:rPr>
          <w:rFonts w:asciiTheme="majorBidi" w:hAnsiTheme="majorBidi" w:cstheme="majorBidi"/>
          <w:bCs/>
        </w:rPr>
        <w:lastRenderedPageBreak/>
        <w:t xml:space="preserve">dilution </w:t>
      </w:r>
      <w:proofErr w:type="gramStart"/>
      <w:r w:rsidRPr="00A22868">
        <w:rPr>
          <w:rFonts w:asciiTheme="majorBidi" w:hAnsiTheme="majorBidi" w:cstheme="majorBidi"/>
          <w:bCs/>
        </w:rPr>
        <w:t>has to</w:t>
      </w:r>
      <w:proofErr w:type="gramEnd"/>
      <w:r w:rsidRPr="00A22868">
        <w:rPr>
          <w:rFonts w:asciiTheme="majorBidi" w:hAnsiTheme="majorBidi" w:cstheme="majorBidi"/>
          <w:bCs/>
        </w:rPr>
        <w:t xml:space="preserve"> be used or the results may be a false positive. If a dilution is tested, the lower tested dose of the potential sensitizer(s) in the mixture may lead to false negative results for classification. In such cases, where applicable the bridging principles should be applied, otherwise the ingredient-based approach should be followed according to the tiered approach for mixtures (see 1.3.2.3), unless evidence is provided that the negative result is not caused by the dilution. This could for example be shown by testing the mixture without the corrosive or irritant ingredients at the actual concentration. Also, the validity of a well conducted LLNA on a mixture with a negative outcome can scientifically be confirmed by spiking the test mixture with another sensitizer (positive control) at different concentrations, or by showing a dose-response relationship.</w:t>
      </w:r>
    </w:p>
    <w:p w14:paraId="0D08DD08" w14:textId="77777777"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3.4.5.3.2.4</w:t>
      </w:r>
      <w:r w:rsidRPr="00A22868">
        <w:rPr>
          <w:rFonts w:cstheme="minorHAnsi"/>
          <w:bCs/>
        </w:rPr>
        <w:tab/>
        <w:t xml:space="preserve">Guidance on the use of defined approaches </w:t>
      </w:r>
    </w:p>
    <w:p w14:paraId="28142352" w14:textId="1976E884"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3.4.5.3.2.4.1</w:t>
      </w:r>
      <w:r w:rsidRPr="00A22868">
        <w:rPr>
          <w:rFonts w:cstheme="minorHAnsi"/>
          <w:bCs/>
        </w:rPr>
        <w:tab/>
        <w:t>Defined approaches may not have been formally validated for mixtures according to international procedures. Several defined approaches require upfront consideration to whether such testing will yield results that are predictive of the skin sensitizing properties of the mixture (see 3.4.5.3.2.4.3). This upfront consideration could include a comparison of the classification based on the results of a defined approach with existing classifications of similar mixtures. Where the comparison shows that the defined approach is predictive of certain types of mixtures, the outcome of the defined approach can be used for other mixtures of the same type for classification.</w:t>
      </w:r>
    </w:p>
    <w:p w14:paraId="1E7E826D" w14:textId="77777777"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3.4.5.3.2.4.2</w:t>
      </w:r>
      <w:r w:rsidRPr="00A22868">
        <w:rPr>
          <w:rFonts w:cstheme="minorHAnsi"/>
          <w:bCs/>
        </w:rPr>
        <w:tab/>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 xml:space="preserve"> and in vitro methods used in defined approaches do not account for dermal penetration. Therefore, results from defined approaches may lead to false positive predictions compared to the standard animal tests that account for dermal penetration.    </w:t>
      </w:r>
    </w:p>
    <w:p w14:paraId="765E47DE" w14:textId="77777777" w:rsidR="00CB0F8F" w:rsidRPr="00A22868" w:rsidRDefault="00CB0F8F" w:rsidP="008B0608">
      <w:pPr>
        <w:tabs>
          <w:tab w:val="left" w:pos="3686"/>
        </w:tabs>
        <w:spacing w:after="240" w:line="240" w:lineRule="auto"/>
        <w:ind w:left="2268" w:right="1134"/>
        <w:jc w:val="both"/>
        <w:rPr>
          <w:rStyle w:val="ui-provider"/>
        </w:rPr>
      </w:pPr>
      <w:bookmarkStart w:id="4" w:name="_Hlk153191171"/>
      <w:r w:rsidRPr="00A22868">
        <w:rPr>
          <w:rFonts w:cstheme="minorHAnsi"/>
          <w:bCs/>
        </w:rPr>
        <w:t>3.4.5.3.2.4.3</w:t>
      </w:r>
      <w:r w:rsidRPr="00A22868">
        <w:rPr>
          <w:rFonts w:cstheme="minorHAnsi"/>
          <w:bCs/>
        </w:rPr>
        <w:tab/>
      </w:r>
      <w:r w:rsidRPr="00A22868">
        <w:rPr>
          <w:rStyle w:val="normaltextrun"/>
          <w:shd w:val="clear" w:color="auto" w:fill="FFFFFF"/>
        </w:rPr>
        <w:t xml:space="preserve">Also, it is necessary to exercise care when evaluating whether the dose used will yield results that are predictive of the skin sensitizing properties of the mixture. For example, in some </w:t>
      </w:r>
      <w:r w:rsidRPr="00A22868">
        <w:rPr>
          <w:rStyle w:val="normaltextrun"/>
          <w:i/>
          <w:iCs/>
          <w:shd w:val="clear" w:color="auto" w:fill="FFFFFF"/>
        </w:rPr>
        <w:t xml:space="preserve">in </w:t>
      </w:r>
      <w:proofErr w:type="spellStart"/>
      <w:r w:rsidRPr="00A22868">
        <w:rPr>
          <w:rStyle w:val="normaltextrun"/>
          <w:i/>
          <w:iCs/>
          <w:shd w:val="clear" w:color="auto" w:fill="FFFFFF"/>
        </w:rPr>
        <w:t>chemico</w:t>
      </w:r>
      <w:proofErr w:type="spellEnd"/>
      <w:r w:rsidRPr="00A22868">
        <w:rPr>
          <w:rStyle w:val="normaltextrun"/>
          <w:shd w:val="clear" w:color="auto" w:fill="FFFFFF"/>
        </w:rPr>
        <w:t xml:space="preserve"> and in vitro methods, the limited solubility of the ingredients of the mixture </w:t>
      </w:r>
      <w:proofErr w:type="gramStart"/>
      <w:r w:rsidRPr="00A22868">
        <w:rPr>
          <w:rStyle w:val="normaltextrun"/>
          <w:shd w:val="clear" w:color="auto" w:fill="FFFFFF"/>
        </w:rPr>
        <w:t xml:space="preserve">or </w:t>
      </w:r>
      <w:r w:rsidRPr="00A22868">
        <w:rPr>
          <w:rStyle w:val="normaltextrun"/>
        </w:rPr>
        <w:t xml:space="preserve"> limited</w:t>
      </w:r>
      <w:proofErr w:type="gramEnd"/>
      <w:r w:rsidRPr="00A22868">
        <w:rPr>
          <w:rStyle w:val="normaltextrun"/>
        </w:rPr>
        <w:t xml:space="preserve"> </w:t>
      </w:r>
      <w:r w:rsidRPr="00A22868">
        <w:rPr>
          <w:rStyle w:val="normaltextrun"/>
          <w:shd w:val="clear" w:color="auto" w:fill="FFFFFF"/>
        </w:rPr>
        <w:t>stability of any suspension formed in the exposure medium or solvent may not allow testing at a dose that corresponds to the test requirements. In such a case, no valid outcome can be obtained for a negative result. Also, where the mixture is tested at lower concentrations in the in vitro methods due to the presence of cytotoxic ingredients, a positive result can be used for classification. However, a negative result is considered inconclusive as the concentration of the sensitizing ingredient(s) could have been too low unless evidence is provided that the negative result is not caused by the dilution. In such cases, where applicable the bridging principles should be applied, otherwise the ingredient-based approach should be followed according to the tiered approach for mixtures (see 1.3.2.3). Approaches to address cytotoxicity are suggested in the relevant OECD test guidelines 442D and 442E.</w:t>
      </w:r>
      <w:r w:rsidRPr="00A22868">
        <w:rPr>
          <w:rStyle w:val="ui-provider"/>
        </w:rPr>
        <w:t xml:space="preserve"> </w:t>
      </w:r>
      <w:bookmarkEnd w:id="4"/>
    </w:p>
    <w:p w14:paraId="19F7F94D" w14:textId="77777777"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 xml:space="preserve">3.4.5.3.2.4.4 </w:t>
      </w:r>
      <w:r w:rsidRPr="00A22868">
        <w:rPr>
          <w:rFonts w:cstheme="minorHAnsi"/>
          <w:bCs/>
        </w:rPr>
        <w:tab/>
        <w:t xml:space="preserve">In some methods, e.g. in silico predictions in the defined approaches for skin sensitization listed in OECD Guideline 497, all ingredients have to be assessed individually and the outcome from the </w:t>
      </w:r>
      <w:proofErr w:type="gramStart"/>
      <w:r w:rsidRPr="00A22868">
        <w:rPr>
          <w:rFonts w:cstheme="minorHAnsi"/>
          <w:bCs/>
        </w:rPr>
        <w:t>in silico</w:t>
      </w:r>
      <w:proofErr w:type="gramEnd"/>
      <w:r w:rsidRPr="00A22868">
        <w:rPr>
          <w:rFonts w:cstheme="minorHAnsi"/>
          <w:bCs/>
        </w:rPr>
        <w:t xml:space="preserve"> component of the defined approach is considered positive, if one ingredient is positive. However, it is noted that this may provide overly conservative or false positive predictions, as the </w:t>
      </w:r>
      <w:proofErr w:type="gramStart"/>
      <w:r w:rsidRPr="00A22868">
        <w:rPr>
          <w:rFonts w:cstheme="minorHAnsi"/>
          <w:bCs/>
        </w:rPr>
        <w:t>in silico</w:t>
      </w:r>
      <w:proofErr w:type="gramEnd"/>
      <w:r w:rsidRPr="00A22868">
        <w:rPr>
          <w:rFonts w:cstheme="minorHAnsi"/>
          <w:bCs/>
        </w:rPr>
        <w:t xml:space="preserve"> methods currently do not take into account the concentration at which the ingredient is present in the mixture. </w:t>
      </w:r>
      <w:r w:rsidRPr="00A22868" w:rsidDel="00C21E7E">
        <w:rPr>
          <w:rFonts w:cstheme="minorHAnsi"/>
          <w:bCs/>
        </w:rPr>
        <w:t xml:space="preserve"> </w:t>
      </w:r>
    </w:p>
    <w:p w14:paraId="5923B6F1" w14:textId="77777777"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3.4.5.3.2.5</w:t>
      </w:r>
      <w:r w:rsidRPr="00A22868">
        <w:rPr>
          <w:rFonts w:cstheme="minorHAnsi"/>
          <w:bCs/>
        </w:rPr>
        <w:tab/>
        <w:t xml:space="preserve">Guidance on the use of </w:t>
      </w:r>
      <w:proofErr w:type="spellStart"/>
      <w:proofErr w:type="gramStart"/>
      <w:r w:rsidRPr="00A22868">
        <w:rPr>
          <w:rFonts w:cstheme="minorHAnsi"/>
          <w:bCs/>
        </w:rPr>
        <w:t>non stand-alone</w:t>
      </w:r>
      <w:proofErr w:type="spellEnd"/>
      <w:proofErr w:type="gramEnd"/>
      <w:r w:rsidRPr="00A22868">
        <w:rPr>
          <w:rFonts w:cstheme="minorHAnsi"/>
          <w:bCs/>
        </w:rPr>
        <w:t xml:space="preserve">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 xml:space="preserve">/in vitro methods </w:t>
      </w:r>
    </w:p>
    <w:p w14:paraId="4A2E2FB0" w14:textId="77777777" w:rsidR="00CB0F8F" w:rsidRPr="00A22868" w:rsidRDefault="00CB0F8F" w:rsidP="008B0608">
      <w:pPr>
        <w:tabs>
          <w:tab w:val="left" w:pos="3686"/>
        </w:tabs>
        <w:spacing w:after="240" w:line="240" w:lineRule="auto"/>
        <w:ind w:left="2268" w:right="1134"/>
        <w:jc w:val="both"/>
      </w:pPr>
      <w:r w:rsidRPr="00A22868">
        <w:rPr>
          <w:rFonts w:cstheme="minorHAnsi"/>
          <w:bCs/>
        </w:rPr>
        <w:t>3.4.5.3.2.5.1</w:t>
      </w:r>
      <w:r w:rsidRPr="00A22868">
        <w:rPr>
          <w:rFonts w:cstheme="minorHAnsi"/>
          <w:bCs/>
        </w:rPr>
        <w:tab/>
      </w:r>
      <w:r w:rsidRPr="00A22868">
        <w:t xml:space="preserve">Individual </w:t>
      </w:r>
      <w:r w:rsidRPr="00A22868">
        <w:rPr>
          <w:i/>
          <w:iCs/>
        </w:rPr>
        <w:t xml:space="preserve">in </w:t>
      </w:r>
      <w:proofErr w:type="spellStart"/>
      <w:r w:rsidRPr="00A22868">
        <w:rPr>
          <w:i/>
          <w:iCs/>
        </w:rPr>
        <w:t>chemico</w:t>
      </w:r>
      <w:proofErr w:type="spellEnd"/>
      <w:r w:rsidRPr="00A22868">
        <w:t xml:space="preserve">/in vitro methods such as those reported in OECD test guidelines 442C, 442D and 442E, due to their limited mechanistic coverage, cannot be used on their own to conclude on Category 1 </w:t>
      </w:r>
      <w:r w:rsidRPr="00A22868">
        <w:lastRenderedPageBreak/>
        <w:t xml:space="preserve">or no classification. </w:t>
      </w:r>
      <w:r w:rsidRPr="00A22868">
        <w:rPr>
          <w:rStyle w:val="normaltextrun"/>
        </w:rPr>
        <w:t>In addition, although some of these methods provide quantitative information, these cannot be used for the purposes of subcategorization into sub-categories 1A and 1B since the methods have not been validated according to international procedures for this purpose. Nevertheless, such quantitative information may be accepted by a competent authority when used in a weight of evidence assessment under tier 2 for the purpose of subcategorization. This is also in line with the statement in these test guidelines that “</w:t>
      </w:r>
      <w:r w:rsidRPr="00A22868">
        <w:rPr>
          <w:rStyle w:val="normaltextrun"/>
          <w:i/>
          <w:iCs/>
        </w:rPr>
        <w:t>Depending on the regulatory framework, positive results generated with these methods may be used on their own to classify a chemical into UN GHS Category 1</w:t>
      </w:r>
      <w:r w:rsidRPr="00A22868">
        <w:rPr>
          <w:rStyle w:val="normaltextrun"/>
        </w:rPr>
        <w:t xml:space="preserve">.” Therefore, the GHS also allows a competent authority to decide that a positive result with one of these </w:t>
      </w:r>
      <w:proofErr w:type="spellStart"/>
      <w:proofErr w:type="gramStart"/>
      <w:r w:rsidRPr="00A22868">
        <w:rPr>
          <w:rStyle w:val="normaltextrun"/>
        </w:rPr>
        <w:t>non stand-alone</w:t>
      </w:r>
      <w:proofErr w:type="spellEnd"/>
      <w:proofErr w:type="gramEnd"/>
      <w:r w:rsidRPr="00A22868">
        <w:rPr>
          <w:rStyle w:val="normaltextrun"/>
        </w:rPr>
        <w:t xml:space="preserve"> </w:t>
      </w:r>
      <w:r w:rsidRPr="00A22868">
        <w:rPr>
          <w:rStyle w:val="normaltextrun"/>
          <w:i/>
          <w:iCs/>
        </w:rPr>
        <w:t xml:space="preserve">in </w:t>
      </w:r>
      <w:proofErr w:type="spellStart"/>
      <w:r w:rsidRPr="00A22868">
        <w:rPr>
          <w:rStyle w:val="normaltextrun"/>
          <w:i/>
          <w:iCs/>
        </w:rPr>
        <w:t>chemico</w:t>
      </w:r>
      <w:proofErr w:type="spellEnd"/>
      <w:r w:rsidRPr="00A22868">
        <w:rPr>
          <w:rStyle w:val="normaltextrun"/>
        </w:rPr>
        <w:t>/in vitro methods, may be used on its own to classify in Category 1 and whether test guideline 442C (Appendix III) kinetic Direct Peptide Reactivity Assay (</w:t>
      </w:r>
      <w:proofErr w:type="spellStart"/>
      <w:r w:rsidRPr="00A22868">
        <w:rPr>
          <w:rStyle w:val="normaltextrun"/>
        </w:rPr>
        <w:t>kDPRA</w:t>
      </w:r>
      <w:proofErr w:type="spellEnd"/>
      <w:r w:rsidRPr="00A22868">
        <w:rPr>
          <w:rStyle w:val="normaltextrun"/>
        </w:rPr>
        <w:t>) can be used to differentiate between sub-category 1A and no sub-category 1A.</w:t>
      </w:r>
    </w:p>
    <w:p w14:paraId="68E8619B" w14:textId="4BB991D9" w:rsidR="00CB0F8F" w:rsidRPr="008B0608" w:rsidRDefault="00CB0F8F" w:rsidP="008B0608">
      <w:pPr>
        <w:tabs>
          <w:tab w:val="left" w:pos="3686"/>
        </w:tabs>
        <w:spacing w:after="240" w:line="240" w:lineRule="auto"/>
        <w:ind w:left="2268" w:right="1134"/>
        <w:jc w:val="both"/>
        <w:rPr>
          <w:rFonts w:cstheme="minorHAnsi"/>
          <w:bCs/>
        </w:rPr>
      </w:pPr>
      <w:r w:rsidRPr="00A22868">
        <w:rPr>
          <w:rFonts w:cstheme="minorHAnsi"/>
          <w:bCs/>
        </w:rPr>
        <w:t>3.4.5.3.2.5.2</w:t>
      </w:r>
      <w:r w:rsidRPr="00A22868">
        <w:rPr>
          <w:rFonts w:cstheme="minorHAnsi"/>
          <w:bCs/>
        </w:rPr>
        <w:tab/>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 xml:space="preserve">/in vitro methods may not have been formally validated for mixtures according to international procedures. Several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/in vitro methods require upfront consideration to whether such testing will yield results that are predictive of the skin sensitizing properties of the mixture (see 3.4.5.3.2.</w:t>
      </w:r>
      <w:r w:rsidRPr="008B0608">
        <w:rPr>
          <w:rFonts w:cstheme="minorHAnsi"/>
          <w:bCs/>
        </w:rPr>
        <w:t>5.4</w:t>
      </w:r>
      <w:r w:rsidRPr="00A22868">
        <w:rPr>
          <w:rFonts w:cstheme="minorHAnsi"/>
          <w:bCs/>
        </w:rPr>
        <w:t xml:space="preserve">). This upfront consideration could include a comparison of the classification based on the results of an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 xml:space="preserve">/in vitro method with existing classifications of similar mixtures. Where the comparison shows that the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 xml:space="preserve">/in vitro method is predictive of certain types of mixtures, the outcome of the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/in vitro method may be used for other mixtures of the same type for classification.</w:t>
      </w:r>
    </w:p>
    <w:p w14:paraId="20D7BDBA" w14:textId="378AB695"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3.4.5.3.2.5.3</w:t>
      </w:r>
      <w:r w:rsidRPr="00A22868">
        <w:rPr>
          <w:rFonts w:cstheme="minorHAnsi"/>
          <w:bCs/>
        </w:rPr>
        <w:tab/>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i/>
          <w:iCs/>
        </w:rPr>
        <w:t>/</w:t>
      </w:r>
      <w:r w:rsidRPr="00A22868">
        <w:rPr>
          <w:rFonts w:cstheme="minorHAnsi"/>
          <w:bCs/>
        </w:rPr>
        <w:t xml:space="preserve">in vitro methods do not account for dermal penetration. Therefore, results from </w:t>
      </w:r>
      <w:r w:rsidRPr="00A22868">
        <w:rPr>
          <w:rFonts w:cstheme="minorHAnsi"/>
          <w:bCs/>
          <w:i/>
          <w:iCs/>
        </w:rPr>
        <w:t xml:space="preserve">in </w:t>
      </w:r>
      <w:proofErr w:type="spellStart"/>
      <w:r w:rsidRPr="00A22868">
        <w:rPr>
          <w:rFonts w:cstheme="minorHAnsi"/>
          <w:bCs/>
          <w:i/>
          <w:iCs/>
        </w:rPr>
        <w:t>chemico</w:t>
      </w:r>
      <w:proofErr w:type="spellEnd"/>
      <w:r w:rsidRPr="00A22868">
        <w:rPr>
          <w:rFonts w:cstheme="minorHAnsi"/>
          <w:bCs/>
        </w:rPr>
        <w:t>/in vitro methods may lead to false positive predictions compared to the standard animal tests that account for dermal penetration.</w:t>
      </w:r>
    </w:p>
    <w:p w14:paraId="0F964BDC" w14:textId="77777777" w:rsidR="00CB0F8F" w:rsidRPr="00A22868" w:rsidRDefault="00CB0F8F" w:rsidP="008B0608">
      <w:pPr>
        <w:tabs>
          <w:tab w:val="left" w:pos="3686"/>
        </w:tabs>
        <w:spacing w:after="240" w:line="240" w:lineRule="auto"/>
        <w:ind w:left="2268" w:right="1134"/>
        <w:jc w:val="both"/>
        <w:rPr>
          <w:rFonts w:cstheme="minorHAnsi"/>
          <w:bCs/>
        </w:rPr>
      </w:pPr>
      <w:r w:rsidRPr="00A22868">
        <w:rPr>
          <w:rFonts w:cstheme="minorHAnsi"/>
          <w:bCs/>
        </w:rPr>
        <w:t>3.4.5.3.2.5.4</w:t>
      </w:r>
      <w:r w:rsidRPr="00A22868">
        <w:rPr>
          <w:rFonts w:cstheme="minorHAnsi"/>
          <w:bCs/>
        </w:rPr>
        <w:tab/>
      </w:r>
      <w:r w:rsidRPr="00A22868">
        <w:rPr>
          <w:rStyle w:val="normaltextrun"/>
          <w:shd w:val="clear" w:color="auto" w:fill="FFFFFF"/>
        </w:rPr>
        <w:t xml:space="preserve">Also, it is necessary to exercise care when evaluating whether the dose used will yield results that are predictive of the skin sensitizing properties of the mixture. For example, in some </w:t>
      </w:r>
      <w:r w:rsidRPr="00A22868">
        <w:rPr>
          <w:rStyle w:val="normaltextrun"/>
          <w:i/>
          <w:iCs/>
          <w:shd w:val="clear" w:color="auto" w:fill="FFFFFF"/>
        </w:rPr>
        <w:t xml:space="preserve">in </w:t>
      </w:r>
      <w:proofErr w:type="spellStart"/>
      <w:r w:rsidRPr="00A22868">
        <w:rPr>
          <w:rStyle w:val="normaltextrun"/>
          <w:i/>
          <w:iCs/>
          <w:shd w:val="clear" w:color="auto" w:fill="FFFFFF"/>
        </w:rPr>
        <w:t>chemico</w:t>
      </w:r>
      <w:proofErr w:type="spellEnd"/>
      <w:r w:rsidRPr="00A22868">
        <w:rPr>
          <w:rStyle w:val="normaltextrun"/>
          <w:shd w:val="clear" w:color="auto" w:fill="FFFFFF"/>
        </w:rPr>
        <w:t xml:space="preserve"> and in vitro methods, the limited solubility of the ingredients of the mixture or </w:t>
      </w:r>
      <w:r w:rsidRPr="00A22868">
        <w:rPr>
          <w:rStyle w:val="normaltextrun"/>
        </w:rPr>
        <w:t xml:space="preserve">limited </w:t>
      </w:r>
      <w:r w:rsidRPr="00A22868">
        <w:rPr>
          <w:rStyle w:val="normaltextrun"/>
          <w:shd w:val="clear" w:color="auto" w:fill="FFFFFF"/>
        </w:rPr>
        <w:t xml:space="preserve">stability of any suspension formed in the exposure </w:t>
      </w:r>
      <w:proofErr w:type="gramStart"/>
      <w:r w:rsidRPr="00A22868">
        <w:rPr>
          <w:rStyle w:val="normaltextrun"/>
          <w:shd w:val="clear" w:color="auto" w:fill="FFFFFF"/>
        </w:rPr>
        <w:t>medium</w:t>
      </w:r>
      <w:proofErr w:type="gramEnd"/>
      <w:r w:rsidRPr="00A22868">
        <w:rPr>
          <w:rStyle w:val="normaltextrun"/>
          <w:shd w:val="clear" w:color="auto" w:fill="FFFFFF"/>
        </w:rPr>
        <w:t xml:space="preserve"> or solvent may not allow testing at a dose that corresponds to the test requirements. In such a case, no valid outcome can be obtained for a negative result. Also, where the mixture is tested at lower concentrations in the in vitro methods due to the presence of cytotoxic ingredients, a positive result can be used for classification. However, a negative result is considered inconclusive as the concentration of the sensitizing ingredient(s) could have been too low unless evidence is provided that the negative result is not caused by the dilution. In such cases, where applicable the bridging principles should be applied, otherwise the ingredient-based approach should be followed according to the tiered approach for mixtures (see 1.3.2.3). Approaches to address cytotoxicity are suggested in the relevant OECD test guidelines 442D and 442</w:t>
      </w:r>
      <w:proofErr w:type="gramStart"/>
      <w:r w:rsidRPr="00A22868">
        <w:rPr>
          <w:rStyle w:val="normaltextrun"/>
          <w:shd w:val="clear" w:color="auto" w:fill="FFFFFF"/>
        </w:rPr>
        <w:t>E.</w:t>
      </w:r>
      <w:r w:rsidRPr="00A22868">
        <w:rPr>
          <w:rStyle w:val="ui-provider"/>
        </w:rPr>
        <w:t xml:space="preserve"> </w:t>
      </w:r>
      <w:r w:rsidRPr="00A22868">
        <w:t>”</w:t>
      </w:r>
      <w:proofErr w:type="gramEnd"/>
    </w:p>
    <w:p w14:paraId="13E8EEBF" w14:textId="291D127E" w:rsidR="00CB0F8F" w:rsidRPr="008B0608" w:rsidRDefault="00CB0F8F" w:rsidP="00CB0F8F">
      <w:pPr>
        <w:pStyle w:val="SingleTxtG"/>
        <w:tabs>
          <w:tab w:val="clear" w:pos="1701"/>
          <w:tab w:val="clear" w:pos="2835"/>
        </w:tabs>
        <w:spacing w:after="240"/>
        <w:rPr>
          <w:highlight w:val="cyan"/>
        </w:rPr>
      </w:pPr>
      <w:r w:rsidRPr="00A22868">
        <w:t>3.4.5.3.</w:t>
      </w:r>
      <w:r w:rsidR="004F06E0">
        <w:t>3</w:t>
      </w:r>
      <w:r w:rsidR="002549EA">
        <w:t xml:space="preserve"> (new, former</w:t>
      </w:r>
      <w:r w:rsidR="004F06E0">
        <w:t xml:space="preserve"> 3.4.5.3.7)</w:t>
      </w:r>
      <w:r w:rsidRPr="00A22868">
        <w:tab/>
        <w:t>Current section “3.4.5.3.7” becomes new section “3.4.5.3.3”. Renumber the paragraphs within the section accordingly.</w:t>
      </w:r>
    </w:p>
    <w:p w14:paraId="6A1BD539" w14:textId="350EBBF6" w:rsidR="00CB0F8F" w:rsidRPr="00A22868" w:rsidRDefault="00CB0F8F" w:rsidP="008B0608">
      <w:pPr>
        <w:pStyle w:val="SingleTxtG"/>
      </w:pPr>
      <w:r w:rsidRPr="00A22868">
        <w:t>Insert the following references</w:t>
      </w:r>
      <w:r w:rsidR="00F3707F" w:rsidRPr="00A22868">
        <w:t xml:space="preserve"> in the alphabetical order in the</w:t>
      </w:r>
      <w:r w:rsidR="00E414B8">
        <w:t xml:space="preserve"> current</w:t>
      </w:r>
      <w:r w:rsidR="00F3707F" w:rsidRPr="00A22868">
        <w:t xml:space="preserve"> list at the end of the chapter</w:t>
      </w:r>
      <w:r w:rsidRPr="00A22868">
        <w:t>:</w:t>
      </w:r>
    </w:p>
    <w:p w14:paraId="48CFE29E" w14:textId="77777777" w:rsidR="00CB0F8F" w:rsidRPr="00A22868" w:rsidRDefault="00CB0F8F" w:rsidP="00CB0F8F">
      <w:pPr>
        <w:pStyle w:val="GHSHeading3"/>
        <w:keepNext w:val="0"/>
        <w:tabs>
          <w:tab w:val="clear" w:pos="1418"/>
          <w:tab w:val="left" w:pos="851"/>
        </w:tabs>
        <w:spacing w:before="240" w:after="240"/>
        <w:ind w:left="1134"/>
        <w:jc w:val="both"/>
        <w:rPr>
          <w:b w:val="0"/>
          <w:color w:val="auto"/>
          <w:sz w:val="20"/>
          <w:szCs w:val="20"/>
        </w:rPr>
      </w:pPr>
      <w:r w:rsidRPr="00A22868">
        <w:rPr>
          <w:color w:val="auto"/>
          <w:sz w:val="20"/>
          <w:szCs w:val="20"/>
        </w:rPr>
        <w:tab/>
        <w:t>“________________________</w:t>
      </w:r>
    </w:p>
    <w:p w14:paraId="6A35AB5A" w14:textId="77777777" w:rsidR="00CB0F8F" w:rsidRPr="008B0608" w:rsidRDefault="00CB0F8F" w:rsidP="00CB0F8F">
      <w:pPr>
        <w:pStyle w:val="GHSHeading3"/>
        <w:keepNext w:val="0"/>
        <w:spacing w:before="240" w:after="240"/>
        <w:ind w:left="1134"/>
        <w:jc w:val="both"/>
        <w:rPr>
          <w:b w:val="0"/>
          <w:i/>
          <w:color w:val="auto"/>
          <w:sz w:val="18"/>
          <w:szCs w:val="18"/>
        </w:rPr>
      </w:pPr>
      <w:r w:rsidRPr="008B0608">
        <w:rPr>
          <w:b w:val="0"/>
          <w:color w:val="auto"/>
          <w:sz w:val="18"/>
          <w:szCs w:val="18"/>
        </w:rPr>
        <w:t>*</w:t>
      </w:r>
      <w:r w:rsidRPr="008B0608">
        <w:rPr>
          <w:b w:val="0"/>
          <w:color w:val="auto"/>
          <w:sz w:val="18"/>
          <w:szCs w:val="18"/>
        </w:rPr>
        <w:tab/>
      </w:r>
      <w:r w:rsidRPr="008B0608">
        <w:rPr>
          <w:b w:val="0"/>
          <w:i/>
          <w:color w:val="auto"/>
          <w:sz w:val="18"/>
          <w:szCs w:val="18"/>
        </w:rPr>
        <w:t>References:</w:t>
      </w:r>
    </w:p>
    <w:p w14:paraId="27FB8160"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Alba, S., </w:t>
      </w:r>
      <w:proofErr w:type="spellStart"/>
      <w:r w:rsidRPr="008B0608">
        <w:rPr>
          <w:rFonts w:asciiTheme="majorBidi" w:hAnsiTheme="majorBidi" w:cstheme="majorBidi"/>
          <w:i/>
          <w:iCs/>
          <w:sz w:val="18"/>
          <w:szCs w:val="18"/>
        </w:rPr>
        <w:t>Verdonck</w:t>
      </w:r>
      <w:proofErr w:type="spellEnd"/>
      <w:r w:rsidRPr="008B0608">
        <w:rPr>
          <w:rFonts w:asciiTheme="majorBidi" w:hAnsiTheme="majorBidi" w:cstheme="majorBidi"/>
          <w:i/>
          <w:iCs/>
          <w:sz w:val="18"/>
          <w:szCs w:val="18"/>
        </w:rPr>
        <w:t xml:space="preserve">, K., </w:t>
      </w:r>
      <w:proofErr w:type="spellStart"/>
      <w:proofErr w:type="gramStart"/>
      <w:r w:rsidRPr="008B0608">
        <w:rPr>
          <w:rFonts w:asciiTheme="majorBidi" w:hAnsiTheme="majorBidi" w:cstheme="majorBidi"/>
          <w:i/>
          <w:iCs/>
          <w:sz w:val="18"/>
          <w:szCs w:val="18"/>
        </w:rPr>
        <w:t>Lenglet,A</w:t>
      </w:r>
      <w:proofErr w:type="spellEnd"/>
      <w:r w:rsidRPr="008B0608">
        <w:rPr>
          <w:rFonts w:asciiTheme="majorBidi" w:hAnsiTheme="majorBidi" w:cstheme="majorBidi"/>
          <w:i/>
          <w:iCs/>
          <w:sz w:val="18"/>
          <w:szCs w:val="18"/>
        </w:rPr>
        <w:t>.</w:t>
      </w:r>
      <w:proofErr w:type="gramEnd"/>
      <w:r w:rsidRPr="008B0608">
        <w:rPr>
          <w:rFonts w:asciiTheme="majorBidi" w:hAnsiTheme="majorBidi" w:cstheme="majorBidi"/>
          <w:i/>
          <w:iCs/>
          <w:sz w:val="18"/>
          <w:szCs w:val="18"/>
        </w:rPr>
        <w:t xml:space="preserve">, </w:t>
      </w:r>
      <w:proofErr w:type="spellStart"/>
      <w:r w:rsidRPr="008B0608">
        <w:rPr>
          <w:rFonts w:asciiTheme="majorBidi" w:hAnsiTheme="majorBidi" w:cstheme="majorBidi"/>
          <w:i/>
          <w:iCs/>
          <w:sz w:val="18"/>
          <w:szCs w:val="18"/>
        </w:rPr>
        <w:t>Rumisha</w:t>
      </w:r>
      <w:proofErr w:type="spellEnd"/>
      <w:r w:rsidRPr="008B0608">
        <w:rPr>
          <w:rFonts w:asciiTheme="majorBidi" w:hAnsiTheme="majorBidi" w:cstheme="majorBidi"/>
          <w:i/>
          <w:iCs/>
          <w:sz w:val="18"/>
          <w:szCs w:val="18"/>
        </w:rPr>
        <w:t xml:space="preserve">, S.F., </w:t>
      </w:r>
      <w:proofErr w:type="spellStart"/>
      <w:r w:rsidRPr="008B0608">
        <w:rPr>
          <w:rFonts w:asciiTheme="majorBidi" w:hAnsiTheme="majorBidi" w:cstheme="majorBidi"/>
          <w:i/>
          <w:iCs/>
          <w:sz w:val="18"/>
          <w:szCs w:val="18"/>
        </w:rPr>
        <w:t>Wienia,M</w:t>
      </w:r>
      <w:proofErr w:type="spellEnd"/>
      <w:r w:rsidRPr="008B0608">
        <w:rPr>
          <w:rFonts w:asciiTheme="majorBidi" w:hAnsiTheme="majorBidi" w:cstheme="majorBidi"/>
          <w:i/>
          <w:iCs/>
          <w:sz w:val="18"/>
          <w:szCs w:val="18"/>
        </w:rPr>
        <w:t xml:space="preserve">., </w:t>
      </w:r>
      <w:proofErr w:type="spellStart"/>
      <w:r w:rsidRPr="008B0608">
        <w:rPr>
          <w:rFonts w:asciiTheme="majorBidi" w:hAnsiTheme="majorBidi" w:cstheme="majorBidi"/>
          <w:i/>
          <w:iCs/>
          <w:sz w:val="18"/>
          <w:szCs w:val="18"/>
        </w:rPr>
        <w:t>Teunissen</w:t>
      </w:r>
      <w:proofErr w:type="spellEnd"/>
      <w:r w:rsidRPr="008B0608">
        <w:rPr>
          <w:rFonts w:asciiTheme="majorBidi" w:hAnsiTheme="majorBidi" w:cstheme="majorBidi"/>
          <w:i/>
          <w:iCs/>
          <w:sz w:val="18"/>
          <w:szCs w:val="18"/>
        </w:rPr>
        <w:t>, I.,</w:t>
      </w:r>
      <w:proofErr w:type="spellStart"/>
      <w:r w:rsidRPr="008B0608">
        <w:rPr>
          <w:rFonts w:asciiTheme="majorBidi" w:hAnsiTheme="majorBidi" w:cstheme="majorBidi"/>
          <w:i/>
          <w:iCs/>
          <w:sz w:val="18"/>
          <w:szCs w:val="18"/>
        </w:rPr>
        <w:t>Straetemans,M</w:t>
      </w:r>
      <w:proofErr w:type="spellEnd"/>
      <w:r w:rsidRPr="008B0608">
        <w:rPr>
          <w:rFonts w:asciiTheme="majorBidi" w:hAnsiTheme="majorBidi" w:cstheme="majorBidi"/>
          <w:i/>
          <w:iCs/>
          <w:sz w:val="18"/>
          <w:szCs w:val="18"/>
        </w:rPr>
        <w:t xml:space="preserve">., Mendoza, W., </w:t>
      </w:r>
      <w:proofErr w:type="spellStart"/>
      <w:r w:rsidRPr="008B0608">
        <w:rPr>
          <w:rFonts w:asciiTheme="majorBidi" w:hAnsiTheme="majorBidi" w:cstheme="majorBidi"/>
          <w:i/>
          <w:iCs/>
          <w:sz w:val="18"/>
          <w:szCs w:val="18"/>
        </w:rPr>
        <w:t>Jeannetot</w:t>
      </w:r>
      <w:proofErr w:type="spellEnd"/>
      <w:r w:rsidRPr="008B0608">
        <w:rPr>
          <w:rFonts w:asciiTheme="majorBidi" w:hAnsiTheme="majorBidi" w:cstheme="majorBidi"/>
          <w:i/>
          <w:iCs/>
          <w:sz w:val="18"/>
          <w:szCs w:val="18"/>
        </w:rPr>
        <w:t xml:space="preserve">, D.,  Weibel, D., Mayanja-Kizza, H.,  </w:t>
      </w:r>
      <w:proofErr w:type="spellStart"/>
      <w:r w:rsidRPr="008B0608">
        <w:rPr>
          <w:rFonts w:asciiTheme="majorBidi" w:hAnsiTheme="majorBidi" w:cstheme="majorBidi"/>
          <w:i/>
          <w:iCs/>
          <w:sz w:val="18"/>
          <w:szCs w:val="18"/>
        </w:rPr>
        <w:t>Juvekar</w:t>
      </w:r>
      <w:proofErr w:type="spellEnd"/>
      <w:r w:rsidRPr="008B0608">
        <w:rPr>
          <w:rFonts w:asciiTheme="majorBidi" w:hAnsiTheme="majorBidi" w:cstheme="majorBidi"/>
          <w:i/>
          <w:iCs/>
          <w:sz w:val="18"/>
          <w:szCs w:val="18"/>
        </w:rPr>
        <w:t xml:space="preserve">, S. (2020) Bridging Research </w:t>
      </w:r>
      <w:r w:rsidRPr="008B0608">
        <w:rPr>
          <w:rFonts w:asciiTheme="majorBidi" w:hAnsiTheme="majorBidi" w:cstheme="majorBidi"/>
          <w:i/>
          <w:iCs/>
          <w:sz w:val="18"/>
          <w:szCs w:val="18"/>
        </w:rPr>
        <w:lastRenderedPageBreak/>
        <w:t>Integrity and Global Health Epidemiology (BRIDGE) Statement: Guidelines for Good Epidemiological Practice. BMJ Global Health, 5(10). Doi:10.1136/bmjgh-2020-003236.</w:t>
      </w:r>
    </w:p>
    <w:p w14:paraId="769F0601"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proofErr w:type="spellStart"/>
      <w:r w:rsidRPr="008B0608">
        <w:rPr>
          <w:rFonts w:asciiTheme="majorBidi" w:hAnsiTheme="majorBidi" w:cstheme="majorBidi"/>
          <w:i/>
          <w:iCs/>
          <w:sz w:val="18"/>
          <w:szCs w:val="18"/>
        </w:rPr>
        <w:t>Basketter</w:t>
      </w:r>
      <w:proofErr w:type="spellEnd"/>
      <w:r w:rsidRPr="008B0608">
        <w:rPr>
          <w:rFonts w:asciiTheme="majorBidi" w:hAnsiTheme="majorBidi" w:cstheme="majorBidi"/>
          <w:i/>
          <w:iCs/>
          <w:sz w:val="18"/>
          <w:szCs w:val="18"/>
        </w:rPr>
        <w:t xml:space="preserve">, D.A, </w:t>
      </w:r>
      <w:proofErr w:type="spellStart"/>
      <w:r w:rsidRPr="008B0608">
        <w:rPr>
          <w:rFonts w:asciiTheme="majorBidi" w:hAnsiTheme="majorBidi" w:cstheme="majorBidi"/>
          <w:i/>
          <w:iCs/>
          <w:sz w:val="18"/>
          <w:szCs w:val="18"/>
        </w:rPr>
        <w:t>Gerberick</w:t>
      </w:r>
      <w:proofErr w:type="spellEnd"/>
      <w:r w:rsidRPr="008B0608">
        <w:rPr>
          <w:rFonts w:asciiTheme="majorBidi" w:hAnsiTheme="majorBidi" w:cstheme="majorBidi"/>
          <w:i/>
          <w:iCs/>
          <w:sz w:val="18"/>
          <w:szCs w:val="18"/>
        </w:rPr>
        <w:t xml:space="preserve">, G.F., Kimber, I. (2001) Skin Sensitisation, Vehicle </w:t>
      </w:r>
      <w:proofErr w:type="gramStart"/>
      <w:r w:rsidRPr="008B0608">
        <w:rPr>
          <w:rFonts w:asciiTheme="majorBidi" w:hAnsiTheme="majorBidi" w:cstheme="majorBidi"/>
          <w:i/>
          <w:iCs/>
          <w:sz w:val="18"/>
          <w:szCs w:val="18"/>
        </w:rPr>
        <w:t>Effects</w:t>
      </w:r>
      <w:proofErr w:type="gramEnd"/>
      <w:r w:rsidRPr="008B0608">
        <w:rPr>
          <w:rFonts w:asciiTheme="majorBidi" w:hAnsiTheme="majorBidi" w:cstheme="majorBidi"/>
          <w:i/>
          <w:iCs/>
          <w:sz w:val="18"/>
          <w:szCs w:val="18"/>
        </w:rPr>
        <w:t xml:space="preserve"> and the Local Lymph Node Assay. Food and Chemical Toxicology, 39 (6): 621-627. Doi:10.1016/S0278-6915(00)00169-1.</w:t>
      </w:r>
    </w:p>
    <w:p w14:paraId="4DB6552A"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Cumberbatch, M., Scott, R.C., </w:t>
      </w:r>
      <w:proofErr w:type="spellStart"/>
      <w:r w:rsidRPr="008B0608">
        <w:rPr>
          <w:rFonts w:asciiTheme="majorBidi" w:hAnsiTheme="majorBidi" w:cstheme="majorBidi"/>
          <w:i/>
          <w:iCs/>
          <w:sz w:val="18"/>
          <w:szCs w:val="18"/>
        </w:rPr>
        <w:t>Basketter</w:t>
      </w:r>
      <w:proofErr w:type="spellEnd"/>
      <w:r w:rsidRPr="008B0608">
        <w:rPr>
          <w:rFonts w:asciiTheme="majorBidi" w:hAnsiTheme="majorBidi" w:cstheme="majorBidi"/>
          <w:i/>
          <w:iCs/>
          <w:sz w:val="18"/>
          <w:szCs w:val="18"/>
        </w:rPr>
        <w:t xml:space="preserve">, D.A., Scholes, E.W., Hilton, J., Dearman, R.J., Kimber, I. (1993) Influence of Sodium Lauryl Sulphate on 2,4-dinitrochlorobenzene-induced Lymph Node Activation. </w:t>
      </w:r>
      <w:proofErr w:type="gramStart"/>
      <w:r w:rsidRPr="008B0608">
        <w:rPr>
          <w:rFonts w:asciiTheme="majorBidi" w:hAnsiTheme="majorBidi" w:cstheme="majorBidi"/>
          <w:i/>
          <w:iCs/>
          <w:sz w:val="18"/>
          <w:szCs w:val="18"/>
        </w:rPr>
        <w:t>Toxicology,  77</w:t>
      </w:r>
      <w:proofErr w:type="gramEnd"/>
      <w:r w:rsidRPr="008B0608">
        <w:rPr>
          <w:rFonts w:asciiTheme="majorBidi" w:hAnsiTheme="majorBidi" w:cstheme="majorBidi"/>
          <w:i/>
          <w:iCs/>
          <w:sz w:val="18"/>
          <w:szCs w:val="18"/>
        </w:rPr>
        <w:t xml:space="preserve"> (1-2): 181-191. Doi: 10.1016/0300-483</w:t>
      </w:r>
      <w:proofErr w:type="gramStart"/>
      <w:r w:rsidRPr="008B0608">
        <w:rPr>
          <w:rFonts w:asciiTheme="majorBidi" w:hAnsiTheme="majorBidi" w:cstheme="majorBidi"/>
          <w:i/>
          <w:iCs/>
          <w:sz w:val="18"/>
          <w:szCs w:val="18"/>
        </w:rPr>
        <w:t>X(</w:t>
      </w:r>
      <w:proofErr w:type="gramEnd"/>
      <w:r w:rsidRPr="008B0608">
        <w:rPr>
          <w:rFonts w:asciiTheme="majorBidi" w:hAnsiTheme="majorBidi" w:cstheme="majorBidi"/>
          <w:i/>
          <w:iCs/>
          <w:sz w:val="18"/>
          <w:szCs w:val="18"/>
        </w:rPr>
        <w:t>93)90148-L.</w:t>
      </w:r>
    </w:p>
    <w:p w14:paraId="66EE0F63"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Dearman, R., Cumberbatch, M., Hilton, J., Clowes, H.M.</w:t>
      </w:r>
      <w:proofErr w:type="gramStart"/>
      <w:r w:rsidRPr="008B0608">
        <w:rPr>
          <w:rFonts w:asciiTheme="majorBidi" w:hAnsiTheme="majorBidi" w:cstheme="majorBidi"/>
          <w:i/>
          <w:iCs/>
          <w:sz w:val="18"/>
          <w:szCs w:val="18"/>
        </w:rPr>
        <w:t>,  Fielding</w:t>
      </w:r>
      <w:proofErr w:type="gramEnd"/>
      <w:r w:rsidRPr="008B0608">
        <w:rPr>
          <w:rFonts w:asciiTheme="majorBidi" w:hAnsiTheme="majorBidi" w:cstheme="majorBidi"/>
          <w:i/>
          <w:iCs/>
          <w:sz w:val="18"/>
          <w:szCs w:val="18"/>
        </w:rPr>
        <w:t xml:space="preserve">, I.,  </w:t>
      </w:r>
      <w:proofErr w:type="spellStart"/>
      <w:r w:rsidRPr="008B0608">
        <w:rPr>
          <w:rFonts w:asciiTheme="majorBidi" w:hAnsiTheme="majorBidi" w:cstheme="majorBidi"/>
          <w:i/>
          <w:iCs/>
          <w:sz w:val="18"/>
          <w:szCs w:val="18"/>
        </w:rPr>
        <w:t>Heylings</w:t>
      </w:r>
      <w:proofErr w:type="spellEnd"/>
      <w:r w:rsidRPr="008B0608">
        <w:rPr>
          <w:rFonts w:asciiTheme="majorBidi" w:hAnsiTheme="majorBidi" w:cstheme="majorBidi"/>
          <w:i/>
          <w:iCs/>
          <w:sz w:val="18"/>
          <w:szCs w:val="18"/>
        </w:rPr>
        <w:t xml:space="preserve">, J.R., Kimber, I. (1996a) Influence of Dibutyl Phthalate on Dermal Sensitization to Fluorescein Isothiocyanate. Fundamental and Applied Toxicology: Official Journal of the Society of </w:t>
      </w:r>
      <w:proofErr w:type="gramStart"/>
      <w:r w:rsidRPr="008B0608">
        <w:rPr>
          <w:rFonts w:asciiTheme="majorBidi" w:hAnsiTheme="majorBidi" w:cstheme="majorBidi"/>
          <w:i/>
          <w:iCs/>
          <w:sz w:val="18"/>
          <w:szCs w:val="18"/>
        </w:rPr>
        <w:t>Toxicology,  33</w:t>
      </w:r>
      <w:proofErr w:type="gramEnd"/>
      <w:r w:rsidRPr="008B0608">
        <w:rPr>
          <w:rFonts w:asciiTheme="majorBidi" w:hAnsiTheme="majorBidi" w:cstheme="majorBidi"/>
          <w:i/>
          <w:iCs/>
          <w:sz w:val="18"/>
          <w:szCs w:val="18"/>
        </w:rPr>
        <w:t xml:space="preserve"> (1):24 – 30. Doi: 10.1006/faat.1996.0139.</w:t>
      </w:r>
    </w:p>
    <w:p w14:paraId="55D12EB7"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Dearman R.J., Hope J.C., Hopkins S.J., Kimber I. (1996b) Antigen-induced Unresponsiveness in Contact Sensitivity: Association of Depressed T Lymphocyte Proliferative Responses with Decreased Interleukin 6 Secretion. Immunology Letters, 50(1-2):29-34. Doi: 10.1016/0165-2478(96)02512-6.</w:t>
      </w:r>
    </w:p>
    <w:p w14:paraId="54FA15F2"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Frosch, P.J., Johansen, J.D., </w:t>
      </w:r>
      <w:proofErr w:type="spellStart"/>
      <w:r w:rsidRPr="008B0608">
        <w:rPr>
          <w:rFonts w:asciiTheme="majorBidi" w:hAnsiTheme="majorBidi" w:cstheme="majorBidi"/>
          <w:i/>
          <w:iCs/>
          <w:sz w:val="18"/>
          <w:szCs w:val="18"/>
        </w:rPr>
        <w:t>Schuttelaar</w:t>
      </w:r>
      <w:proofErr w:type="spellEnd"/>
      <w:r w:rsidRPr="008B0608">
        <w:rPr>
          <w:rFonts w:asciiTheme="majorBidi" w:hAnsiTheme="majorBidi" w:cstheme="majorBidi"/>
          <w:i/>
          <w:iCs/>
          <w:sz w:val="18"/>
          <w:szCs w:val="18"/>
        </w:rPr>
        <w:t xml:space="preserve">, M.L., Silvestre, J.F., Sanchez-Perez, J., </w:t>
      </w:r>
      <w:proofErr w:type="spellStart"/>
      <w:r w:rsidRPr="008B0608">
        <w:rPr>
          <w:rFonts w:asciiTheme="majorBidi" w:hAnsiTheme="majorBidi" w:cstheme="majorBidi"/>
          <w:i/>
          <w:iCs/>
          <w:sz w:val="18"/>
          <w:szCs w:val="18"/>
        </w:rPr>
        <w:t>Weisshaar</w:t>
      </w:r>
      <w:proofErr w:type="spellEnd"/>
      <w:r w:rsidRPr="008B0608">
        <w:rPr>
          <w:rFonts w:asciiTheme="majorBidi" w:hAnsiTheme="majorBidi" w:cstheme="majorBidi"/>
          <w:i/>
          <w:iCs/>
          <w:sz w:val="18"/>
          <w:szCs w:val="18"/>
        </w:rPr>
        <w:t xml:space="preserve">, E., </w:t>
      </w:r>
      <w:proofErr w:type="spellStart"/>
      <w:r w:rsidRPr="008B0608">
        <w:rPr>
          <w:rFonts w:asciiTheme="majorBidi" w:hAnsiTheme="majorBidi" w:cstheme="majorBidi"/>
          <w:i/>
          <w:iCs/>
          <w:sz w:val="18"/>
          <w:szCs w:val="18"/>
        </w:rPr>
        <w:t>Uter</w:t>
      </w:r>
      <w:proofErr w:type="spellEnd"/>
      <w:r w:rsidRPr="008B0608">
        <w:rPr>
          <w:rFonts w:asciiTheme="majorBidi" w:hAnsiTheme="majorBidi" w:cstheme="majorBidi"/>
          <w:i/>
          <w:iCs/>
          <w:sz w:val="18"/>
          <w:szCs w:val="18"/>
        </w:rPr>
        <w:t>, W. (2015) Patch Test Results with Fragrance Markers of the Baseline Series – Analysis of the European Surveillance System on Contact Allergies (ESSCA) Network 2009–2012 on Behalf of the ESSCA Network. Contact Dermatitis, 73: 1631-1671. Doi: 10.1111/cod.12420.</w:t>
      </w:r>
    </w:p>
    <w:p w14:paraId="1928BB3C"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proofErr w:type="spellStart"/>
      <w:r w:rsidRPr="008B0608">
        <w:rPr>
          <w:rFonts w:asciiTheme="majorBidi" w:hAnsiTheme="majorBidi" w:cstheme="majorBidi"/>
          <w:i/>
          <w:iCs/>
          <w:sz w:val="18"/>
          <w:szCs w:val="18"/>
        </w:rPr>
        <w:t>Heylings</w:t>
      </w:r>
      <w:proofErr w:type="spellEnd"/>
      <w:r w:rsidRPr="008B0608">
        <w:rPr>
          <w:rFonts w:asciiTheme="majorBidi" w:hAnsiTheme="majorBidi" w:cstheme="majorBidi"/>
          <w:i/>
          <w:iCs/>
          <w:sz w:val="18"/>
          <w:szCs w:val="18"/>
        </w:rPr>
        <w:t>, J.R., Clowes, H.M., Cumberbatch, M., Dearman, R.J., Fielding, I.</w:t>
      </w:r>
      <w:proofErr w:type="gramStart"/>
      <w:r w:rsidRPr="008B0608">
        <w:rPr>
          <w:rFonts w:asciiTheme="majorBidi" w:hAnsiTheme="majorBidi" w:cstheme="majorBidi"/>
          <w:i/>
          <w:iCs/>
          <w:sz w:val="18"/>
          <w:szCs w:val="18"/>
        </w:rPr>
        <w:t>,  Hilton</w:t>
      </w:r>
      <w:proofErr w:type="gramEnd"/>
      <w:r w:rsidRPr="008B0608">
        <w:rPr>
          <w:rFonts w:asciiTheme="majorBidi" w:hAnsiTheme="majorBidi" w:cstheme="majorBidi"/>
          <w:i/>
          <w:iCs/>
          <w:sz w:val="18"/>
          <w:szCs w:val="18"/>
        </w:rPr>
        <w:t xml:space="preserve">, J., Kimber, I. (1996) Sensitization to 2,4-dinitrochlorobenzene: Influence of Vehicle on Absorption and Lymph Node Activation. </w:t>
      </w:r>
      <w:proofErr w:type="gramStart"/>
      <w:r w:rsidRPr="008B0608">
        <w:rPr>
          <w:rFonts w:asciiTheme="majorBidi" w:hAnsiTheme="majorBidi" w:cstheme="majorBidi"/>
          <w:i/>
          <w:iCs/>
          <w:sz w:val="18"/>
          <w:szCs w:val="18"/>
        </w:rPr>
        <w:t>Toxicology,  109</w:t>
      </w:r>
      <w:proofErr w:type="gramEnd"/>
      <w:r w:rsidRPr="008B0608">
        <w:rPr>
          <w:rFonts w:asciiTheme="majorBidi" w:hAnsiTheme="majorBidi" w:cstheme="majorBidi"/>
          <w:i/>
          <w:iCs/>
          <w:sz w:val="18"/>
          <w:szCs w:val="18"/>
        </w:rPr>
        <w:t xml:space="preserve"> (1): 57-65. Doi: 10.1016/0300-483</w:t>
      </w:r>
      <w:proofErr w:type="gramStart"/>
      <w:r w:rsidRPr="008B0608">
        <w:rPr>
          <w:rFonts w:asciiTheme="majorBidi" w:hAnsiTheme="majorBidi" w:cstheme="majorBidi"/>
          <w:i/>
          <w:iCs/>
          <w:sz w:val="18"/>
          <w:szCs w:val="18"/>
        </w:rPr>
        <w:t>X(</w:t>
      </w:r>
      <w:proofErr w:type="gramEnd"/>
      <w:r w:rsidRPr="008B0608">
        <w:rPr>
          <w:rFonts w:asciiTheme="majorBidi" w:hAnsiTheme="majorBidi" w:cstheme="majorBidi"/>
          <w:i/>
          <w:iCs/>
          <w:sz w:val="18"/>
          <w:szCs w:val="18"/>
        </w:rPr>
        <w:t>96)03304-5.</w:t>
      </w:r>
    </w:p>
    <w:p w14:paraId="4AA3A9DD"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Hoffmann, W., </w:t>
      </w:r>
      <w:proofErr w:type="spellStart"/>
      <w:r w:rsidRPr="008B0608">
        <w:rPr>
          <w:rFonts w:asciiTheme="majorBidi" w:hAnsiTheme="majorBidi" w:cstheme="majorBidi"/>
          <w:i/>
          <w:iCs/>
          <w:sz w:val="18"/>
          <w:szCs w:val="18"/>
        </w:rPr>
        <w:t>Latza</w:t>
      </w:r>
      <w:proofErr w:type="spellEnd"/>
      <w:r w:rsidRPr="008B0608">
        <w:rPr>
          <w:rFonts w:asciiTheme="majorBidi" w:hAnsiTheme="majorBidi" w:cstheme="majorBidi"/>
          <w:i/>
          <w:iCs/>
          <w:sz w:val="18"/>
          <w:szCs w:val="18"/>
        </w:rPr>
        <w:t xml:space="preserve">, U., Baumeister, S.E., Hoffmann, W., </w:t>
      </w:r>
      <w:proofErr w:type="spellStart"/>
      <w:r w:rsidRPr="008B0608">
        <w:rPr>
          <w:rFonts w:asciiTheme="majorBidi" w:hAnsiTheme="majorBidi" w:cstheme="majorBidi"/>
          <w:i/>
          <w:iCs/>
          <w:sz w:val="18"/>
          <w:szCs w:val="18"/>
        </w:rPr>
        <w:t>Latza</w:t>
      </w:r>
      <w:proofErr w:type="spellEnd"/>
      <w:r w:rsidRPr="008B0608">
        <w:rPr>
          <w:rFonts w:asciiTheme="majorBidi" w:hAnsiTheme="majorBidi" w:cstheme="majorBidi"/>
          <w:i/>
          <w:iCs/>
          <w:sz w:val="18"/>
          <w:szCs w:val="18"/>
        </w:rPr>
        <w:t xml:space="preserve">, U., Baumeister, S.E., </w:t>
      </w:r>
      <w:proofErr w:type="spellStart"/>
      <w:r w:rsidRPr="008B0608">
        <w:rPr>
          <w:rFonts w:asciiTheme="majorBidi" w:hAnsiTheme="majorBidi" w:cstheme="majorBidi"/>
          <w:i/>
          <w:iCs/>
          <w:sz w:val="18"/>
          <w:szCs w:val="18"/>
        </w:rPr>
        <w:t>Brünger</w:t>
      </w:r>
      <w:proofErr w:type="spellEnd"/>
      <w:r w:rsidRPr="008B0608">
        <w:rPr>
          <w:rFonts w:asciiTheme="majorBidi" w:hAnsiTheme="majorBidi" w:cstheme="majorBidi"/>
          <w:i/>
          <w:iCs/>
          <w:sz w:val="18"/>
          <w:szCs w:val="18"/>
        </w:rPr>
        <w:t xml:space="preserve">, M., </w:t>
      </w:r>
      <w:proofErr w:type="spellStart"/>
      <w:r w:rsidRPr="008B0608">
        <w:rPr>
          <w:rFonts w:asciiTheme="majorBidi" w:hAnsiTheme="majorBidi" w:cstheme="majorBidi"/>
          <w:i/>
          <w:iCs/>
          <w:sz w:val="18"/>
          <w:szCs w:val="18"/>
        </w:rPr>
        <w:t>Buttmann</w:t>
      </w:r>
      <w:proofErr w:type="spellEnd"/>
      <w:r w:rsidRPr="008B0608">
        <w:rPr>
          <w:rFonts w:asciiTheme="majorBidi" w:hAnsiTheme="majorBidi" w:cstheme="majorBidi"/>
          <w:i/>
          <w:iCs/>
          <w:sz w:val="18"/>
          <w:szCs w:val="18"/>
        </w:rPr>
        <w:t xml:space="preserve">-Schweiger, N., Hardt, J., Hoffmann, V., </w:t>
      </w:r>
      <w:proofErr w:type="spellStart"/>
      <w:r w:rsidRPr="008B0608">
        <w:rPr>
          <w:rFonts w:asciiTheme="majorBidi" w:hAnsiTheme="majorBidi" w:cstheme="majorBidi"/>
          <w:i/>
          <w:iCs/>
          <w:sz w:val="18"/>
          <w:szCs w:val="18"/>
        </w:rPr>
        <w:t>Karch</w:t>
      </w:r>
      <w:proofErr w:type="spellEnd"/>
      <w:r w:rsidRPr="008B0608">
        <w:rPr>
          <w:rFonts w:asciiTheme="majorBidi" w:hAnsiTheme="majorBidi" w:cstheme="majorBidi"/>
          <w:i/>
          <w:iCs/>
          <w:sz w:val="18"/>
          <w:szCs w:val="18"/>
        </w:rPr>
        <w:t xml:space="preserve">, A., Richter, A., Schmidt, C.O., </w:t>
      </w:r>
      <w:proofErr w:type="spellStart"/>
      <w:r w:rsidRPr="008B0608">
        <w:rPr>
          <w:rFonts w:asciiTheme="majorBidi" w:hAnsiTheme="majorBidi" w:cstheme="majorBidi"/>
          <w:i/>
          <w:iCs/>
          <w:sz w:val="18"/>
          <w:szCs w:val="18"/>
        </w:rPr>
        <w:t>Schmidtmann</w:t>
      </w:r>
      <w:proofErr w:type="spellEnd"/>
      <w:r w:rsidRPr="008B0608">
        <w:rPr>
          <w:rFonts w:asciiTheme="majorBidi" w:hAnsiTheme="majorBidi" w:cstheme="majorBidi"/>
          <w:i/>
          <w:iCs/>
          <w:sz w:val="18"/>
          <w:szCs w:val="18"/>
        </w:rPr>
        <w:t>, I., Swart, E., van den Berg,  N. (2019) Guidelines and Recommendations for Ensuring Good Epidemiological Practice (GEP): A Guideline Developed by the German Society for Epidemiology. European Journal of Epidemiology 34: 301–317. Doi:10.1007/s10654-019-00500-x.</w:t>
      </w:r>
    </w:p>
    <w:p w14:paraId="03B85E8D"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Johansen, J.D., Aalto-Korte, K., </w:t>
      </w:r>
      <w:proofErr w:type="spellStart"/>
      <w:r w:rsidRPr="008B0608">
        <w:rPr>
          <w:rFonts w:asciiTheme="majorBidi" w:hAnsiTheme="majorBidi" w:cstheme="majorBidi"/>
          <w:i/>
          <w:iCs/>
          <w:sz w:val="18"/>
          <w:szCs w:val="18"/>
        </w:rPr>
        <w:t>Agner</w:t>
      </w:r>
      <w:proofErr w:type="spellEnd"/>
      <w:r w:rsidRPr="008B0608">
        <w:rPr>
          <w:rFonts w:asciiTheme="majorBidi" w:hAnsiTheme="majorBidi" w:cstheme="majorBidi"/>
          <w:i/>
          <w:iCs/>
          <w:sz w:val="18"/>
          <w:szCs w:val="18"/>
        </w:rPr>
        <w:t xml:space="preserve">, T., Andersen, K.E., Bircher, A., </w:t>
      </w:r>
      <w:proofErr w:type="spellStart"/>
      <w:r w:rsidRPr="008B0608">
        <w:rPr>
          <w:rFonts w:asciiTheme="majorBidi" w:hAnsiTheme="majorBidi" w:cstheme="majorBidi"/>
          <w:i/>
          <w:iCs/>
          <w:sz w:val="18"/>
          <w:szCs w:val="18"/>
        </w:rPr>
        <w:t>Bruze</w:t>
      </w:r>
      <w:proofErr w:type="spellEnd"/>
      <w:r w:rsidRPr="008B0608">
        <w:rPr>
          <w:rFonts w:asciiTheme="majorBidi" w:hAnsiTheme="majorBidi" w:cstheme="majorBidi"/>
          <w:i/>
          <w:iCs/>
          <w:sz w:val="18"/>
          <w:szCs w:val="18"/>
        </w:rPr>
        <w:t xml:space="preserve">, M., </w:t>
      </w:r>
      <w:proofErr w:type="spellStart"/>
      <w:r w:rsidRPr="008B0608">
        <w:rPr>
          <w:rFonts w:asciiTheme="majorBidi" w:hAnsiTheme="majorBidi" w:cstheme="majorBidi"/>
          <w:i/>
          <w:iCs/>
          <w:sz w:val="18"/>
          <w:szCs w:val="18"/>
        </w:rPr>
        <w:t>Cannavó</w:t>
      </w:r>
      <w:proofErr w:type="spellEnd"/>
      <w:r w:rsidRPr="008B0608">
        <w:rPr>
          <w:rFonts w:asciiTheme="majorBidi" w:hAnsiTheme="majorBidi" w:cstheme="majorBidi"/>
          <w:i/>
          <w:iCs/>
          <w:sz w:val="18"/>
          <w:szCs w:val="18"/>
        </w:rPr>
        <w:t xml:space="preserve">, A., </w:t>
      </w:r>
      <w:proofErr w:type="spellStart"/>
      <w:r w:rsidRPr="008B0608">
        <w:rPr>
          <w:rFonts w:asciiTheme="majorBidi" w:hAnsiTheme="majorBidi" w:cstheme="majorBidi"/>
          <w:i/>
          <w:iCs/>
          <w:sz w:val="18"/>
          <w:szCs w:val="18"/>
        </w:rPr>
        <w:t>Giménez-Arnau</w:t>
      </w:r>
      <w:proofErr w:type="spellEnd"/>
      <w:r w:rsidRPr="008B0608">
        <w:rPr>
          <w:rFonts w:asciiTheme="majorBidi" w:hAnsiTheme="majorBidi" w:cstheme="majorBidi"/>
          <w:i/>
          <w:iCs/>
          <w:sz w:val="18"/>
          <w:szCs w:val="18"/>
        </w:rPr>
        <w:t xml:space="preserve">, A., </w:t>
      </w:r>
      <w:proofErr w:type="spellStart"/>
      <w:r w:rsidRPr="008B0608">
        <w:rPr>
          <w:rFonts w:asciiTheme="majorBidi" w:hAnsiTheme="majorBidi" w:cstheme="majorBidi"/>
          <w:i/>
          <w:iCs/>
          <w:sz w:val="18"/>
          <w:szCs w:val="18"/>
        </w:rPr>
        <w:t>Gonçalo</w:t>
      </w:r>
      <w:proofErr w:type="spellEnd"/>
      <w:r w:rsidRPr="008B0608">
        <w:rPr>
          <w:rFonts w:asciiTheme="majorBidi" w:hAnsiTheme="majorBidi" w:cstheme="majorBidi"/>
          <w:i/>
          <w:iCs/>
          <w:sz w:val="18"/>
          <w:szCs w:val="18"/>
        </w:rPr>
        <w:t xml:space="preserve">, M., </w:t>
      </w:r>
      <w:proofErr w:type="spellStart"/>
      <w:r w:rsidRPr="008B0608">
        <w:rPr>
          <w:rFonts w:asciiTheme="majorBidi" w:hAnsiTheme="majorBidi" w:cstheme="majorBidi"/>
          <w:i/>
          <w:iCs/>
          <w:sz w:val="18"/>
          <w:szCs w:val="18"/>
        </w:rPr>
        <w:t>Goossens</w:t>
      </w:r>
      <w:proofErr w:type="spellEnd"/>
      <w:r w:rsidRPr="008B0608">
        <w:rPr>
          <w:rFonts w:asciiTheme="majorBidi" w:hAnsiTheme="majorBidi" w:cstheme="majorBidi"/>
          <w:i/>
          <w:iCs/>
          <w:sz w:val="18"/>
          <w:szCs w:val="18"/>
        </w:rPr>
        <w:t xml:space="preserve">, A., John, S.M., </w:t>
      </w:r>
      <w:proofErr w:type="spellStart"/>
      <w:r w:rsidRPr="008B0608">
        <w:rPr>
          <w:rFonts w:asciiTheme="majorBidi" w:hAnsiTheme="majorBidi" w:cstheme="majorBidi"/>
          <w:i/>
          <w:iCs/>
          <w:sz w:val="18"/>
          <w:szCs w:val="18"/>
        </w:rPr>
        <w:t>Lidén</w:t>
      </w:r>
      <w:proofErr w:type="spellEnd"/>
      <w:r w:rsidRPr="008B0608">
        <w:rPr>
          <w:rFonts w:asciiTheme="majorBidi" w:hAnsiTheme="majorBidi" w:cstheme="majorBidi"/>
          <w:i/>
          <w:iCs/>
          <w:sz w:val="18"/>
          <w:szCs w:val="18"/>
        </w:rPr>
        <w:t xml:space="preserve">, C., Lindberg, M., Mahler, V., Matura, M., </w:t>
      </w:r>
      <w:proofErr w:type="spellStart"/>
      <w:r w:rsidRPr="008B0608">
        <w:rPr>
          <w:rFonts w:asciiTheme="majorBidi" w:hAnsiTheme="majorBidi" w:cstheme="majorBidi"/>
          <w:i/>
          <w:iCs/>
          <w:sz w:val="18"/>
          <w:szCs w:val="18"/>
        </w:rPr>
        <w:t>Rustemeyer</w:t>
      </w:r>
      <w:proofErr w:type="spellEnd"/>
      <w:r w:rsidRPr="008B0608">
        <w:rPr>
          <w:rFonts w:asciiTheme="majorBidi" w:hAnsiTheme="majorBidi" w:cstheme="majorBidi"/>
          <w:i/>
          <w:iCs/>
          <w:sz w:val="18"/>
          <w:szCs w:val="18"/>
        </w:rPr>
        <w:t xml:space="preserve">, T., </w:t>
      </w:r>
      <w:proofErr w:type="spellStart"/>
      <w:r w:rsidRPr="008B0608">
        <w:rPr>
          <w:rFonts w:asciiTheme="majorBidi" w:hAnsiTheme="majorBidi" w:cstheme="majorBidi"/>
          <w:i/>
          <w:iCs/>
          <w:sz w:val="18"/>
          <w:szCs w:val="18"/>
        </w:rPr>
        <w:t>Serup</w:t>
      </w:r>
      <w:proofErr w:type="spellEnd"/>
      <w:r w:rsidRPr="008B0608">
        <w:rPr>
          <w:rFonts w:asciiTheme="majorBidi" w:hAnsiTheme="majorBidi" w:cstheme="majorBidi"/>
          <w:i/>
          <w:iCs/>
          <w:sz w:val="18"/>
          <w:szCs w:val="18"/>
        </w:rPr>
        <w:t xml:space="preserve">, J., </w:t>
      </w:r>
      <w:proofErr w:type="spellStart"/>
      <w:r w:rsidRPr="008B0608">
        <w:rPr>
          <w:rFonts w:asciiTheme="majorBidi" w:hAnsiTheme="majorBidi" w:cstheme="majorBidi"/>
          <w:i/>
          <w:iCs/>
          <w:sz w:val="18"/>
          <w:szCs w:val="18"/>
        </w:rPr>
        <w:t>Spiewak</w:t>
      </w:r>
      <w:proofErr w:type="spellEnd"/>
      <w:r w:rsidRPr="008B0608">
        <w:rPr>
          <w:rFonts w:asciiTheme="majorBidi" w:hAnsiTheme="majorBidi" w:cstheme="majorBidi"/>
          <w:i/>
          <w:iCs/>
          <w:sz w:val="18"/>
          <w:szCs w:val="18"/>
        </w:rPr>
        <w:t xml:space="preserve">, R., Thyssen, J.P., Vigan, M., White, I.R., Wilkinson, M., </w:t>
      </w:r>
      <w:proofErr w:type="spellStart"/>
      <w:r w:rsidRPr="008B0608">
        <w:rPr>
          <w:rFonts w:asciiTheme="majorBidi" w:hAnsiTheme="majorBidi" w:cstheme="majorBidi"/>
          <w:i/>
          <w:iCs/>
          <w:sz w:val="18"/>
          <w:szCs w:val="18"/>
        </w:rPr>
        <w:t>Uter</w:t>
      </w:r>
      <w:proofErr w:type="spellEnd"/>
      <w:r w:rsidRPr="008B0608">
        <w:rPr>
          <w:rFonts w:asciiTheme="majorBidi" w:hAnsiTheme="majorBidi" w:cstheme="majorBidi"/>
          <w:i/>
          <w:iCs/>
          <w:sz w:val="18"/>
          <w:szCs w:val="18"/>
        </w:rPr>
        <w:t>, W. (2015) European Society of Contact Dermatitis Guideline for Diagnostic Patch Testing – Recommendations on Best Practice. Contact Dermatitis, 73(4):195-221. Doi: 10.1111/cod.12432.</w:t>
      </w:r>
    </w:p>
    <w:p w14:paraId="531003D7"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 xml:space="preserve">OECD (2010) Skin Sensitisation: Local Lymph Node Assay, OECD Guidelines for the Testing of Chemicals, </w:t>
      </w:r>
      <w:proofErr w:type="gramStart"/>
      <w:r w:rsidRPr="008B0608">
        <w:rPr>
          <w:i/>
          <w:iCs/>
          <w:sz w:val="18"/>
          <w:szCs w:val="18"/>
        </w:rPr>
        <w:t>Section :</w:t>
      </w:r>
      <w:proofErr w:type="gramEnd"/>
      <w:r w:rsidRPr="008B0608">
        <w:rPr>
          <w:i/>
          <w:iCs/>
          <w:sz w:val="18"/>
          <w:szCs w:val="18"/>
        </w:rPr>
        <w:t xml:space="preserve"> Health Effects, No. 429:  OECD Publishing, Paris. Doi:10.1787/9789264071100-en.</w:t>
      </w:r>
    </w:p>
    <w:p w14:paraId="287026EC"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(2010) Skin Sensitization: Local Lymph Node Assay: DA, OECD Guidelines for the Testing of Chemicals, Section 4, Health Effects, No. 442A. OECD Publishing, Paris. Doi: 10.1787/9789264090972-en.</w:t>
      </w:r>
    </w:p>
    <w:p w14:paraId="71920113"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 xml:space="preserve">OECD (2016) Guidance Document on the Reporting of Defined Approaches to be Used Within Integrated Approaches to Testing and </w:t>
      </w:r>
      <w:proofErr w:type="gramStart"/>
      <w:r w:rsidRPr="008B0608">
        <w:rPr>
          <w:i/>
          <w:iCs/>
          <w:sz w:val="18"/>
          <w:szCs w:val="18"/>
        </w:rPr>
        <w:t>Assessment,  Series</w:t>
      </w:r>
      <w:proofErr w:type="gramEnd"/>
      <w:r w:rsidRPr="008B0608">
        <w:rPr>
          <w:i/>
          <w:iCs/>
          <w:sz w:val="18"/>
          <w:szCs w:val="18"/>
        </w:rPr>
        <w:t xml:space="preserve"> on Testing &amp; Assessment No. 255. ENV/JM/</w:t>
      </w:r>
      <w:proofErr w:type="gramStart"/>
      <w:r w:rsidRPr="008B0608">
        <w:rPr>
          <w:i/>
          <w:iCs/>
          <w:sz w:val="18"/>
          <w:szCs w:val="18"/>
        </w:rPr>
        <w:t>MONO(</w:t>
      </w:r>
      <w:proofErr w:type="gramEnd"/>
      <w:r w:rsidRPr="008B0608">
        <w:rPr>
          <w:i/>
          <w:iCs/>
          <w:sz w:val="18"/>
          <w:szCs w:val="18"/>
        </w:rPr>
        <w:t>2016)28.</w:t>
      </w:r>
    </w:p>
    <w:p w14:paraId="094031D6"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(2016) Guidance Document on the Reporting of Defined Approaches and Individual Information Sources to be Used Within Integrated Approaches to Testing and Assessment (IATA) for Skin Sensitisation, Series on Testing &amp; Assessment, No. 256. ENV/JM/</w:t>
      </w:r>
      <w:proofErr w:type="gramStart"/>
      <w:r w:rsidRPr="008B0608">
        <w:rPr>
          <w:i/>
          <w:iCs/>
          <w:sz w:val="18"/>
          <w:szCs w:val="18"/>
        </w:rPr>
        <w:t>MONO(</w:t>
      </w:r>
      <w:proofErr w:type="gramEnd"/>
      <w:r w:rsidRPr="008B0608">
        <w:rPr>
          <w:i/>
          <w:iCs/>
          <w:sz w:val="18"/>
          <w:szCs w:val="18"/>
        </w:rPr>
        <w:t>2016)29.</w:t>
      </w:r>
    </w:p>
    <w:p w14:paraId="7EC4A300"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(2022), In Vitro Skin Sensitisation: ARE-Nrf2 Luciferase Test Method, OECD Guidelines for the Testing of Chemicals, Section 4, Health Effects, No. 442D: OECD Publishing, Paris, Doi:10.1787/9789264229822-en.</w:t>
      </w:r>
    </w:p>
    <w:p w14:paraId="58AE230C"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(2022).  Skin Sensitisation, OECD Guidelines for the Testing of Chemicals, Section 4: Health Effects, No. 406. OECD Publishing, Paris. Doi:10.1787/9789264070660-en.</w:t>
      </w:r>
    </w:p>
    <w:p w14:paraId="2B835A81"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Guideline (2023</w:t>
      </w:r>
      <w:proofErr w:type="gramStart"/>
      <w:r w:rsidRPr="008B0608">
        <w:rPr>
          <w:i/>
          <w:iCs/>
          <w:sz w:val="18"/>
          <w:szCs w:val="18"/>
        </w:rPr>
        <w:t>),:</w:t>
      </w:r>
      <w:proofErr w:type="gramEnd"/>
      <w:r w:rsidRPr="008B0608">
        <w:rPr>
          <w:i/>
          <w:iCs/>
          <w:sz w:val="18"/>
          <w:szCs w:val="18"/>
        </w:rPr>
        <w:t xml:space="preserve"> Defined Approaches on Skin Sensitisation, OECD Guidelines for the Testing of Chemicals, Section 4, Health Effects. No. 497. OECD Publishing, Paris. Doi:</w:t>
      </w:r>
      <w:hyperlink r:id="rId12" w:history="1">
        <w:r w:rsidRPr="008B0608">
          <w:rPr>
            <w:rStyle w:val="Hyperlink"/>
            <w:rFonts w:eastAsiaTheme="minorHAnsi"/>
            <w:i/>
            <w:iCs/>
            <w:sz w:val="18"/>
            <w:szCs w:val="18"/>
          </w:rPr>
          <w:t>10.1787/b92879a4-en</w:t>
        </w:r>
      </w:hyperlink>
      <w:r w:rsidRPr="008B0608">
        <w:rPr>
          <w:rStyle w:val="Hyperlink"/>
          <w:rFonts w:eastAsiaTheme="minorHAnsi"/>
          <w:i/>
          <w:iCs/>
          <w:sz w:val="18"/>
          <w:szCs w:val="18"/>
        </w:rPr>
        <w:t>.</w:t>
      </w:r>
    </w:p>
    <w:p w14:paraId="6933C3DA"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(2023) Supporting Document to the OECD Guideline 497 on Defined Approaches for Skin Sensitisation, Series on Testing &amp; Assessment No. 336. ENV/CBC/</w:t>
      </w:r>
      <w:proofErr w:type="gramStart"/>
      <w:r w:rsidRPr="008B0608">
        <w:rPr>
          <w:i/>
          <w:iCs/>
          <w:sz w:val="18"/>
          <w:szCs w:val="18"/>
        </w:rPr>
        <w:t>MONO(</w:t>
      </w:r>
      <w:proofErr w:type="gramEnd"/>
      <w:r w:rsidRPr="008B0608">
        <w:rPr>
          <w:i/>
          <w:iCs/>
          <w:sz w:val="18"/>
          <w:szCs w:val="18"/>
        </w:rPr>
        <w:t>2021)11.</w:t>
      </w:r>
    </w:p>
    <w:p w14:paraId="01ED7CDB"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OECD (2023</w:t>
      </w:r>
      <w:proofErr w:type="gramStart"/>
      <w:r w:rsidRPr="008B0608">
        <w:rPr>
          <w:i/>
          <w:iCs/>
          <w:sz w:val="18"/>
          <w:szCs w:val="18"/>
        </w:rPr>
        <w:t>),:</w:t>
      </w:r>
      <w:proofErr w:type="gramEnd"/>
      <w:r w:rsidRPr="008B0608">
        <w:rPr>
          <w:i/>
          <w:iCs/>
          <w:sz w:val="18"/>
          <w:szCs w:val="18"/>
        </w:rPr>
        <w:t xml:space="preserve"> In </w:t>
      </w:r>
      <w:proofErr w:type="spellStart"/>
      <w:r w:rsidRPr="008B0608">
        <w:rPr>
          <w:i/>
          <w:iCs/>
          <w:sz w:val="18"/>
          <w:szCs w:val="18"/>
        </w:rPr>
        <w:t>Chemico</w:t>
      </w:r>
      <w:proofErr w:type="spellEnd"/>
      <w:r w:rsidRPr="008B0608">
        <w:rPr>
          <w:i/>
          <w:iCs/>
          <w:sz w:val="18"/>
          <w:szCs w:val="18"/>
        </w:rPr>
        <w:t xml:space="preserve"> Skin Sensitisation: Assays addressing the Adverse Outcome Pathway key event on covalent binding to proteins, OECD Guidelines for the Testing of Chemicals, Section 4, Health Effects, No. 442C OECD Publishing, Paris, Doi:10.1787/9789264229709-en.</w:t>
      </w:r>
    </w:p>
    <w:p w14:paraId="0EDB9E4D" w14:textId="77777777" w:rsidR="00CB0F8F" w:rsidRPr="008B0608" w:rsidRDefault="00CB0F8F" w:rsidP="00CB0F8F">
      <w:pPr>
        <w:spacing w:after="60" w:line="240" w:lineRule="auto"/>
        <w:ind w:left="1418" w:right="1134"/>
        <w:jc w:val="both"/>
        <w:rPr>
          <w:i/>
          <w:iCs/>
          <w:sz w:val="18"/>
          <w:szCs w:val="18"/>
        </w:rPr>
      </w:pPr>
      <w:r w:rsidRPr="008B0608">
        <w:rPr>
          <w:i/>
          <w:iCs/>
          <w:sz w:val="18"/>
          <w:szCs w:val="18"/>
        </w:rPr>
        <w:t xml:space="preserve">OECD (2023), In Vitro Skin Sensitisation: In Vitro Skin Sensitisation assays addressing the Key Event on activation of dendritic cells on the Adverse Outcome Pathway for Skin Sensitisation, </w:t>
      </w:r>
      <w:r w:rsidRPr="008B0608">
        <w:rPr>
          <w:i/>
          <w:iCs/>
          <w:sz w:val="18"/>
          <w:szCs w:val="18"/>
        </w:rPr>
        <w:lastRenderedPageBreak/>
        <w:t>OECD Guidelines for the Testing of Chemicals, Section 4, Health Effects, No. 442E: OECD Publishing, Paris, Doi:10.1787/9789264264359-en.</w:t>
      </w:r>
    </w:p>
    <w:p w14:paraId="1A54A10E" w14:textId="77777777" w:rsidR="00CB0F8F" w:rsidRPr="008B0608" w:rsidRDefault="00CB0F8F" w:rsidP="00CB0F8F">
      <w:pPr>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Strickland, J., </w:t>
      </w:r>
      <w:proofErr w:type="spellStart"/>
      <w:r w:rsidRPr="008B0608">
        <w:rPr>
          <w:rFonts w:asciiTheme="majorBidi" w:hAnsiTheme="majorBidi" w:cstheme="majorBidi"/>
          <w:i/>
          <w:iCs/>
          <w:sz w:val="18"/>
          <w:szCs w:val="18"/>
        </w:rPr>
        <w:t>Abedini</w:t>
      </w:r>
      <w:proofErr w:type="spellEnd"/>
      <w:r w:rsidRPr="008B0608">
        <w:rPr>
          <w:rFonts w:asciiTheme="majorBidi" w:hAnsiTheme="majorBidi" w:cstheme="majorBidi"/>
          <w:i/>
          <w:iCs/>
          <w:sz w:val="18"/>
          <w:szCs w:val="18"/>
        </w:rPr>
        <w:t xml:space="preserve">, J., Allen, D.G., Gordon, J., Hull, V., </w:t>
      </w:r>
      <w:proofErr w:type="spellStart"/>
      <w:r w:rsidRPr="008B0608">
        <w:rPr>
          <w:rFonts w:asciiTheme="majorBidi" w:hAnsiTheme="majorBidi" w:cstheme="majorBidi"/>
          <w:i/>
          <w:iCs/>
          <w:sz w:val="18"/>
          <w:szCs w:val="18"/>
        </w:rPr>
        <w:t>Kleinstreuer</w:t>
      </w:r>
      <w:proofErr w:type="spellEnd"/>
      <w:r w:rsidRPr="008B0608">
        <w:rPr>
          <w:rFonts w:asciiTheme="majorBidi" w:hAnsiTheme="majorBidi" w:cstheme="majorBidi"/>
          <w:i/>
          <w:iCs/>
          <w:sz w:val="18"/>
          <w:szCs w:val="18"/>
        </w:rPr>
        <w:t xml:space="preserve">, N.C., Ko, H.S., Matheson, J., </w:t>
      </w:r>
      <w:proofErr w:type="spellStart"/>
      <w:r w:rsidRPr="008B0608">
        <w:rPr>
          <w:rFonts w:asciiTheme="majorBidi" w:hAnsiTheme="majorBidi" w:cstheme="majorBidi"/>
          <w:i/>
          <w:iCs/>
          <w:sz w:val="18"/>
          <w:szCs w:val="18"/>
        </w:rPr>
        <w:t>Thierse</w:t>
      </w:r>
      <w:proofErr w:type="spellEnd"/>
      <w:r w:rsidRPr="008B0608">
        <w:rPr>
          <w:rFonts w:asciiTheme="majorBidi" w:hAnsiTheme="majorBidi" w:cstheme="majorBidi"/>
          <w:i/>
          <w:iCs/>
          <w:sz w:val="18"/>
          <w:szCs w:val="18"/>
        </w:rPr>
        <w:t xml:space="preserve">, H.J., Truax, J., </w:t>
      </w:r>
      <w:proofErr w:type="spellStart"/>
      <w:r w:rsidRPr="008B0608">
        <w:rPr>
          <w:rFonts w:asciiTheme="majorBidi" w:hAnsiTheme="majorBidi" w:cstheme="majorBidi"/>
          <w:i/>
          <w:iCs/>
          <w:sz w:val="18"/>
          <w:szCs w:val="18"/>
        </w:rPr>
        <w:t>Vanselow</w:t>
      </w:r>
      <w:proofErr w:type="spellEnd"/>
      <w:r w:rsidRPr="008B0608">
        <w:rPr>
          <w:rFonts w:asciiTheme="majorBidi" w:hAnsiTheme="majorBidi" w:cstheme="majorBidi"/>
          <w:i/>
          <w:iCs/>
          <w:sz w:val="18"/>
          <w:szCs w:val="18"/>
        </w:rPr>
        <w:t xml:space="preserve">, J.T., </w:t>
      </w:r>
      <w:proofErr w:type="spellStart"/>
      <w:r w:rsidRPr="008B0608">
        <w:rPr>
          <w:rFonts w:asciiTheme="majorBidi" w:hAnsiTheme="majorBidi" w:cstheme="majorBidi"/>
          <w:i/>
          <w:iCs/>
          <w:sz w:val="18"/>
          <w:szCs w:val="18"/>
        </w:rPr>
        <w:t>Herzler</w:t>
      </w:r>
      <w:proofErr w:type="spellEnd"/>
      <w:r w:rsidRPr="008B0608">
        <w:rPr>
          <w:rFonts w:asciiTheme="majorBidi" w:hAnsiTheme="majorBidi" w:cstheme="majorBidi"/>
          <w:i/>
          <w:iCs/>
          <w:sz w:val="18"/>
          <w:szCs w:val="18"/>
        </w:rPr>
        <w:t>, M. (2023) A Database of Human Predictive Patch Test Data for Skin Sensitization. Archives of Toxicology, 97(11):2825-2837. Doi: 10.1007/s00204-023-03530-3.</w:t>
      </w:r>
    </w:p>
    <w:p w14:paraId="3BB35F97" w14:textId="77777777" w:rsidR="00CB0F8F" w:rsidRPr="008B0608" w:rsidRDefault="00CB0F8F" w:rsidP="00CB0F8F">
      <w:pPr>
        <w:spacing w:after="60" w:line="240" w:lineRule="auto"/>
        <w:ind w:left="1418" w:right="1134"/>
        <w:rPr>
          <w:rFonts w:asciiTheme="majorBidi" w:hAnsiTheme="majorBidi" w:cstheme="majorBidi"/>
          <w:i/>
          <w:iCs/>
          <w:sz w:val="18"/>
          <w:szCs w:val="18"/>
        </w:rPr>
      </w:pPr>
      <w:r w:rsidRPr="008B0608">
        <w:rPr>
          <w:rStyle w:val="ui-provider"/>
          <w:rFonts w:asciiTheme="majorBidi" w:hAnsiTheme="majorBidi" w:cstheme="majorBidi"/>
          <w:i/>
          <w:iCs/>
          <w:sz w:val="18"/>
          <w:szCs w:val="18"/>
        </w:rPr>
        <w:t>U.S. Consumer Product Safety Commission (U</w:t>
      </w:r>
      <w:r w:rsidRPr="008B0608">
        <w:rPr>
          <w:rFonts w:asciiTheme="majorBidi" w:hAnsiTheme="majorBidi" w:cstheme="majorBidi"/>
          <w:i/>
          <w:iCs/>
          <w:sz w:val="18"/>
          <w:szCs w:val="18"/>
        </w:rPr>
        <w:t>.S. CPSC) (2013) CPSC Staff’s Strong Sensitizer Guidance Document.</w:t>
      </w:r>
    </w:p>
    <w:p w14:paraId="6B6704F6" w14:textId="77777777" w:rsidR="00CB0F8F" w:rsidRPr="008B0608" w:rsidRDefault="00CB0F8F" w:rsidP="008B0608">
      <w:pPr>
        <w:tabs>
          <w:tab w:val="left" w:pos="1985"/>
        </w:tabs>
        <w:spacing w:after="60" w:line="240" w:lineRule="auto"/>
        <w:ind w:left="1418" w:right="1134"/>
        <w:jc w:val="both"/>
        <w:rPr>
          <w:rFonts w:asciiTheme="majorBidi" w:hAnsiTheme="majorBidi" w:cstheme="majorBidi"/>
          <w:i/>
          <w:iCs/>
          <w:sz w:val="18"/>
          <w:szCs w:val="18"/>
        </w:rPr>
      </w:pPr>
      <w:r w:rsidRPr="008B0608">
        <w:rPr>
          <w:rFonts w:asciiTheme="majorBidi" w:hAnsiTheme="majorBidi" w:cstheme="majorBidi"/>
          <w:i/>
          <w:iCs/>
          <w:sz w:val="18"/>
          <w:szCs w:val="18"/>
        </w:rPr>
        <w:t xml:space="preserve">World Health Organization, </w:t>
      </w:r>
      <w:r w:rsidRPr="008B0608">
        <w:rPr>
          <w:rFonts w:asciiTheme="majorBidi" w:hAnsiTheme="majorBidi" w:cstheme="majorBidi"/>
          <w:i/>
          <w:iCs/>
          <w:sz w:val="18"/>
          <w:szCs w:val="18"/>
          <w:shd w:val="clear" w:color="auto" w:fill="FFFFFF"/>
        </w:rPr>
        <w:t>Council for </w:t>
      </w:r>
      <w:r w:rsidRPr="008B0608">
        <w:rPr>
          <w:rStyle w:val="Emphasis"/>
          <w:rFonts w:asciiTheme="majorBidi" w:hAnsiTheme="majorBidi" w:cstheme="majorBidi"/>
          <w:sz w:val="18"/>
          <w:szCs w:val="18"/>
          <w:shd w:val="clear" w:color="auto" w:fill="FFFFFF"/>
        </w:rPr>
        <w:t>International</w:t>
      </w:r>
      <w:r w:rsidRPr="008B0608">
        <w:rPr>
          <w:rFonts w:asciiTheme="majorBidi" w:hAnsiTheme="majorBidi" w:cstheme="majorBidi"/>
          <w:i/>
          <w:iCs/>
          <w:sz w:val="18"/>
          <w:szCs w:val="18"/>
          <w:shd w:val="clear" w:color="auto" w:fill="FFFFFF"/>
        </w:rPr>
        <w:t> Organizations of Medical Sciences</w:t>
      </w:r>
      <w:r w:rsidRPr="008B0608">
        <w:rPr>
          <w:rFonts w:asciiTheme="majorBidi" w:hAnsiTheme="majorBidi" w:cstheme="majorBidi"/>
          <w:sz w:val="18"/>
          <w:szCs w:val="18"/>
          <w:shd w:val="clear" w:color="auto" w:fill="FFFFFF"/>
        </w:rPr>
        <w:t xml:space="preserve"> (</w:t>
      </w:r>
      <w:r w:rsidRPr="008B0608">
        <w:rPr>
          <w:rFonts w:asciiTheme="majorBidi" w:hAnsiTheme="majorBidi" w:cstheme="majorBidi"/>
          <w:i/>
          <w:iCs/>
          <w:sz w:val="18"/>
          <w:szCs w:val="18"/>
        </w:rPr>
        <w:t>WHO, CIOMS). International Ethical Guidelines for Epidemiological Studies. (2009</w:t>
      </w:r>
      <w:proofErr w:type="gramStart"/>
      <w:r w:rsidRPr="008B0608">
        <w:rPr>
          <w:rFonts w:asciiTheme="majorBidi" w:hAnsiTheme="majorBidi" w:cstheme="majorBidi"/>
          <w:i/>
          <w:iCs/>
          <w:sz w:val="18"/>
          <w:szCs w:val="18"/>
        </w:rPr>
        <w:t>),  ISBN</w:t>
      </w:r>
      <w:proofErr w:type="gramEnd"/>
      <w:r w:rsidRPr="008B0608">
        <w:rPr>
          <w:rFonts w:asciiTheme="majorBidi" w:hAnsiTheme="majorBidi" w:cstheme="majorBidi"/>
          <w:i/>
          <w:iCs/>
          <w:sz w:val="18"/>
          <w:szCs w:val="18"/>
        </w:rPr>
        <w:t xml:space="preserve"> 92 9036 081 X.</w:t>
      </w:r>
    </w:p>
    <w:p w14:paraId="3D7A471A" w14:textId="77777777" w:rsidR="00CB0F8F" w:rsidRPr="00A22868" w:rsidRDefault="00CB0F8F" w:rsidP="008B0608">
      <w:pPr>
        <w:pStyle w:val="H1G"/>
      </w:pPr>
      <w:r w:rsidRPr="00A22868">
        <w:tab/>
      </w:r>
      <w:r w:rsidRPr="00A22868">
        <w:tab/>
        <w:t>Chapter 4.2</w:t>
      </w:r>
    </w:p>
    <w:p w14:paraId="1706839E" w14:textId="407EAE85" w:rsidR="00CB0F8F" w:rsidRPr="00A22868" w:rsidRDefault="00CB0F8F" w:rsidP="00AB1ADD">
      <w:pPr>
        <w:spacing w:after="120" w:line="240" w:lineRule="auto"/>
        <w:ind w:left="1134"/>
      </w:pPr>
      <w:r w:rsidRPr="00A22868">
        <w:t xml:space="preserve">Chapter title </w:t>
      </w:r>
      <w:r w:rsidRPr="00A22868">
        <w:tab/>
        <w:t xml:space="preserve">Amend to read </w:t>
      </w:r>
      <w:r w:rsidRPr="00A22868">
        <w:rPr>
          <w:b/>
          <w:bCs/>
        </w:rPr>
        <w:t>“HAZARDOUS TO THE ATMOSPHERIC SYSTEM</w:t>
      </w:r>
      <w:r w:rsidRPr="00A22868">
        <w:t>”</w:t>
      </w:r>
    </w:p>
    <w:p w14:paraId="6FF40FB3" w14:textId="77777777" w:rsidR="00CB0F8F" w:rsidRPr="00A22868" w:rsidRDefault="00CB0F8F" w:rsidP="00CB0F8F">
      <w:pPr>
        <w:tabs>
          <w:tab w:val="left" w:pos="1985"/>
        </w:tabs>
        <w:spacing w:after="120" w:line="240" w:lineRule="auto"/>
        <w:ind w:left="1134"/>
      </w:pPr>
      <w:r w:rsidRPr="00A22868">
        <w:t>4.2.1</w:t>
      </w:r>
      <w:r w:rsidRPr="00A22868">
        <w:tab/>
        <w:t>Amend the heading to read “</w:t>
      </w:r>
      <w:r w:rsidRPr="00A22868">
        <w:rPr>
          <w:b/>
          <w:bCs/>
        </w:rPr>
        <w:t>Definitions</w:t>
      </w:r>
      <w:r w:rsidRPr="00A22868">
        <w:t xml:space="preserve"> </w:t>
      </w:r>
      <w:r w:rsidRPr="00A22868">
        <w:rPr>
          <w:b/>
          <w:bCs/>
        </w:rPr>
        <w:t>and general considerations</w:t>
      </w:r>
      <w:r w:rsidRPr="00A22868">
        <w:t>”.</w:t>
      </w:r>
    </w:p>
    <w:p w14:paraId="010B34ED" w14:textId="56F9EB33" w:rsidR="00CB0F8F" w:rsidRPr="00A22868" w:rsidRDefault="00CB0F8F" w:rsidP="00CB0F8F">
      <w:pPr>
        <w:tabs>
          <w:tab w:val="left" w:pos="1440"/>
        </w:tabs>
        <w:spacing w:after="120" w:line="240" w:lineRule="auto"/>
        <w:ind w:left="1985"/>
        <w:jc w:val="both"/>
        <w:rPr>
          <w:bCs/>
        </w:rPr>
      </w:pPr>
      <w:r w:rsidRPr="00A22868">
        <w:rPr>
          <w:bCs/>
        </w:rPr>
        <w:t>Insert a new paragraph beneath the amended title to read:</w:t>
      </w:r>
    </w:p>
    <w:p w14:paraId="25FA14FB" w14:textId="77777777" w:rsidR="00CB0F8F" w:rsidRPr="00A22868" w:rsidRDefault="00CB0F8F" w:rsidP="00CB0F8F">
      <w:pPr>
        <w:pStyle w:val="SingleTxtG"/>
        <w:ind w:left="1985"/>
      </w:pPr>
      <w:bookmarkStart w:id="5" w:name="_Hlk132622256"/>
      <w:r w:rsidRPr="00A22868">
        <w:t>“This chapter covers substances and mixtures that are hazardous to the atmospheric system due to their ozone depleting and/or global warming potential. For the purposes of this chapter, the following definitions apply:”</w:t>
      </w:r>
    </w:p>
    <w:bookmarkEnd w:id="5"/>
    <w:p w14:paraId="0603B376" w14:textId="567973E4" w:rsidR="00CB0F8F" w:rsidRPr="00A22868" w:rsidRDefault="00CB0F8F" w:rsidP="00CB0F8F">
      <w:pPr>
        <w:pStyle w:val="SingleTxtG"/>
        <w:tabs>
          <w:tab w:val="clear" w:pos="1701"/>
        </w:tabs>
        <w:ind w:left="1985"/>
      </w:pPr>
      <w:r w:rsidRPr="00A22868">
        <w:t>Move the existing definition “</w:t>
      </w:r>
      <w:r w:rsidRPr="00A22868">
        <w:rPr>
          <w:i/>
          <w:iCs/>
        </w:rPr>
        <w:t>Montreal Protocol</w:t>
      </w:r>
      <w:r w:rsidRPr="00A22868">
        <w:t xml:space="preserve"> is …” to place it before the </w:t>
      </w:r>
      <w:r w:rsidR="00017311">
        <w:t>e</w:t>
      </w:r>
      <w:r w:rsidRPr="00A22868">
        <w:t>xisting definition for “</w:t>
      </w:r>
      <w:r w:rsidRPr="00A22868">
        <w:rPr>
          <w:i/>
          <w:iCs/>
        </w:rPr>
        <w:t xml:space="preserve">Ozone Depleting </w:t>
      </w:r>
      <w:proofErr w:type="gramStart"/>
      <w:r w:rsidRPr="00A22868">
        <w:rPr>
          <w:i/>
          <w:iCs/>
        </w:rPr>
        <w:t>Potential</w:t>
      </w:r>
      <w:r w:rsidRPr="00A22868">
        <w:t>”</w:t>
      </w:r>
      <w:proofErr w:type="gramEnd"/>
    </w:p>
    <w:p w14:paraId="57085F6A" w14:textId="77777777" w:rsidR="00CB0F8F" w:rsidRPr="00A22868" w:rsidRDefault="00CB0F8F" w:rsidP="00CB0F8F">
      <w:pPr>
        <w:pStyle w:val="SingleTxtG"/>
        <w:tabs>
          <w:tab w:val="clear" w:pos="1701"/>
        </w:tabs>
        <w:ind w:left="1985"/>
        <w:rPr>
          <w:bCs/>
        </w:rPr>
      </w:pPr>
      <w:r w:rsidRPr="00A22868">
        <w:t>In the existing definition of “Ozone Depleting Potential” delete: “(ODP)” in the first sentence and replace “ODP” with “ozone depleting potential” in the second sentence</w:t>
      </w:r>
      <w:r w:rsidRPr="00A22868">
        <w:rPr>
          <w:bCs/>
        </w:rPr>
        <w:t>.</w:t>
      </w:r>
    </w:p>
    <w:p w14:paraId="774147C6" w14:textId="77777777" w:rsidR="00CB0F8F" w:rsidRPr="00A22868" w:rsidRDefault="00CB0F8F" w:rsidP="00CB0F8F">
      <w:pPr>
        <w:pStyle w:val="SingleTxtG"/>
        <w:ind w:left="1985"/>
      </w:pPr>
      <w:r w:rsidRPr="00A22868">
        <w:t>Insert the following new definition for “</w:t>
      </w:r>
      <w:r w:rsidRPr="00A22868">
        <w:rPr>
          <w:i/>
          <w:iCs/>
        </w:rPr>
        <w:t>Global warming potential</w:t>
      </w:r>
      <w:r w:rsidRPr="00A22868">
        <w:t>” after the definition for “</w:t>
      </w:r>
      <w:r w:rsidRPr="00A22868">
        <w:rPr>
          <w:i/>
          <w:iCs/>
        </w:rPr>
        <w:t>Ozone Depleting Potential</w:t>
      </w:r>
      <w:r w:rsidRPr="00A22868">
        <w:t>” to read:</w:t>
      </w:r>
    </w:p>
    <w:p w14:paraId="1E6B6C6B" w14:textId="77777777" w:rsidR="00CB0F8F" w:rsidRPr="00A22868" w:rsidRDefault="00CB0F8F" w:rsidP="00CB0F8F">
      <w:pPr>
        <w:pStyle w:val="SingleTxtG"/>
        <w:ind w:left="1985"/>
      </w:pPr>
      <w:r w:rsidRPr="00A22868">
        <w:t>“</w:t>
      </w:r>
      <w:bookmarkStart w:id="6" w:name="_Hlk126325711"/>
      <w:bookmarkStart w:id="7" w:name="_Hlk132622443"/>
      <w:r w:rsidRPr="00A22868">
        <w:rPr>
          <w:i/>
          <w:iCs/>
        </w:rPr>
        <w:t xml:space="preserve">Global warming potential </w:t>
      </w:r>
      <w:r w:rsidRPr="00A22868">
        <w:t>is a metric that compares the ability of a substance or mixture to trap heat in the atmosphere as compared to a benchmark gas (generally carbon dioxide).</w:t>
      </w:r>
      <w:r w:rsidRPr="00A22868">
        <w:rPr>
          <w:i/>
          <w:iCs/>
        </w:rPr>
        <w:t xml:space="preserve">  </w:t>
      </w:r>
      <w:r w:rsidRPr="00A22868">
        <w:t>The formal definition of global warming potential is the cumulative radiative forcing, both direct and indirect effects, over a specified time horizon resulting from the emission of a unit mass of gas relative to that of carbon dioxide (as the reference gas</w:t>
      </w:r>
      <w:bookmarkEnd w:id="6"/>
      <w:r w:rsidRPr="00A22868">
        <w:t>).”</w:t>
      </w:r>
      <w:bookmarkEnd w:id="7"/>
    </w:p>
    <w:p w14:paraId="02320A35" w14:textId="2C99D6CD" w:rsidR="00CB0F8F" w:rsidRPr="00A22868" w:rsidRDefault="00CB0F8F" w:rsidP="00A20939">
      <w:pPr>
        <w:pStyle w:val="SingleTxtG"/>
        <w:tabs>
          <w:tab w:val="clear" w:pos="1701"/>
          <w:tab w:val="left" w:pos="1985"/>
        </w:tabs>
      </w:pPr>
      <w:r w:rsidRPr="00D84400">
        <w:t>4.2.2</w:t>
      </w:r>
      <w:r w:rsidRPr="00D84400">
        <w:tab/>
        <w:t xml:space="preserve">Move footnote reference “1” </w:t>
      </w:r>
      <w:r w:rsidR="002E344B" w:rsidRPr="00D84400">
        <w:t>from</w:t>
      </w:r>
      <w:r w:rsidRPr="00D84400">
        <w:t xml:space="preserve"> the heading </w:t>
      </w:r>
      <w:r w:rsidR="002E344B" w:rsidRPr="00D84400">
        <w:t xml:space="preserve">of 4.2.2, </w:t>
      </w:r>
      <w:r w:rsidRPr="00D84400">
        <w:t xml:space="preserve">to the </w:t>
      </w:r>
      <w:r w:rsidR="002E344B" w:rsidRPr="00D84400">
        <w:t xml:space="preserve">end of the </w:t>
      </w:r>
      <w:r w:rsidRPr="00D84400">
        <w:t xml:space="preserve">first sentence under the new heading for 4.2.2.2 (see </w:t>
      </w:r>
      <w:r w:rsidR="002E344B" w:rsidRPr="00D84400">
        <w:t xml:space="preserve">amendment to 4.2.2.2 </w:t>
      </w:r>
      <w:r w:rsidRPr="00D84400">
        <w:t>below).</w:t>
      </w:r>
      <w:r w:rsidRPr="00A22868">
        <w:t xml:space="preserve"> </w:t>
      </w:r>
    </w:p>
    <w:p w14:paraId="54BE5245" w14:textId="70E5A26B" w:rsidR="00CB0F8F" w:rsidRPr="00A22868" w:rsidRDefault="00CB0F8F" w:rsidP="00E20732">
      <w:pPr>
        <w:pStyle w:val="SingleTxtG"/>
        <w:ind w:left="1985"/>
      </w:pPr>
      <w:r w:rsidRPr="00A22868">
        <w:t xml:space="preserve">Insert a new paragraph 4.2.2.1 under the heading “Classification criteria” to read as follows: </w:t>
      </w:r>
    </w:p>
    <w:p w14:paraId="1C52EEDE" w14:textId="77777777" w:rsidR="00CB0F8F" w:rsidRPr="00A22868" w:rsidRDefault="00CB0F8F" w:rsidP="008B0608">
      <w:pPr>
        <w:keepNext/>
        <w:tabs>
          <w:tab w:val="left" w:pos="1418"/>
        </w:tabs>
        <w:autoSpaceDE w:val="0"/>
        <w:autoSpaceDN w:val="0"/>
        <w:adjustRightInd w:val="0"/>
        <w:spacing w:before="240" w:after="240" w:line="240" w:lineRule="auto"/>
        <w:ind w:left="1985" w:right="1134"/>
        <w:jc w:val="both"/>
        <w:outlineLvl w:val="2"/>
      </w:pPr>
      <w:r w:rsidRPr="00A22868">
        <w:t>“4.2.2.1</w:t>
      </w:r>
      <w:r w:rsidRPr="00A22868">
        <w:tab/>
        <w:t>Substances and mixtures are classified into the hazardous to the ozone layer hazard class due to their ozone depleting potential in accordance with 4.2.2.2 and/or hazardous by contributing to global warming hazard class by their global warming potential in accordance with 4.2.2.3, independently.”</w:t>
      </w:r>
    </w:p>
    <w:p w14:paraId="5633D5A0" w14:textId="6B0264F8" w:rsidR="00CB0F8F" w:rsidRPr="00A22868" w:rsidRDefault="00CB0F8F" w:rsidP="00014045">
      <w:pPr>
        <w:pStyle w:val="SingleTxtG"/>
        <w:tabs>
          <w:tab w:val="clear" w:pos="1701"/>
        </w:tabs>
      </w:pPr>
      <w:r w:rsidRPr="00A22868">
        <w:t>4.2.2.2</w:t>
      </w:r>
      <w:r w:rsidRPr="00A22868">
        <w:tab/>
        <w:t>Place the existing sentence under “</w:t>
      </w:r>
      <w:r w:rsidR="00985D3F">
        <w:t>C</w:t>
      </w:r>
      <w:r w:rsidRPr="00A22868">
        <w:t xml:space="preserve">lassification criteria” (“A substance or mixture…”) under a new heading 4.2.2.2 and amend as follows: </w:t>
      </w:r>
    </w:p>
    <w:p w14:paraId="1D9731F8" w14:textId="77777777" w:rsidR="00CB0F8F" w:rsidRPr="00A22868" w:rsidRDefault="00CB0F8F" w:rsidP="00CB0F8F">
      <w:pPr>
        <w:pStyle w:val="GHS1stline"/>
        <w:tabs>
          <w:tab w:val="clear" w:pos="1418"/>
          <w:tab w:val="clear" w:pos="1985"/>
          <w:tab w:val="clear" w:pos="2552"/>
          <w:tab w:val="clear" w:pos="3119"/>
          <w:tab w:val="clear" w:pos="3686"/>
          <w:tab w:val="left" w:pos="2835"/>
        </w:tabs>
        <w:spacing w:after="120"/>
        <w:ind w:left="1985" w:firstLine="0"/>
        <w:rPr>
          <w:b/>
          <w:bCs/>
          <w:i/>
          <w:iCs/>
        </w:rPr>
      </w:pPr>
      <w:r w:rsidRPr="00A22868">
        <w:t>“</w:t>
      </w:r>
      <w:r w:rsidRPr="00A22868">
        <w:rPr>
          <w:b/>
          <w:bCs/>
        </w:rPr>
        <w:t>4.2.2.2</w:t>
      </w:r>
      <w:r w:rsidRPr="00A22868">
        <w:rPr>
          <w:b/>
          <w:bCs/>
          <w:i/>
          <w:iCs/>
        </w:rPr>
        <w:tab/>
      </w:r>
      <w:bookmarkStart w:id="8" w:name="_Hlk132622665"/>
      <w:r w:rsidRPr="00A22868">
        <w:rPr>
          <w:b/>
          <w:bCs/>
          <w:i/>
          <w:iCs/>
        </w:rPr>
        <w:t xml:space="preserve">Hazardous to the ozone layer </w:t>
      </w:r>
      <w:bookmarkEnd w:id="8"/>
    </w:p>
    <w:p w14:paraId="4C64BE93" w14:textId="4F670694" w:rsidR="00CB0F8F" w:rsidRPr="00A22868" w:rsidRDefault="00CB0F8F" w:rsidP="00CB0F8F">
      <w:pPr>
        <w:pStyle w:val="SingleTxtG"/>
        <w:ind w:left="1985"/>
      </w:pPr>
      <w:r w:rsidRPr="00A22868">
        <w:tab/>
      </w:r>
      <w:r w:rsidR="00257693">
        <w:tab/>
      </w:r>
      <w:r w:rsidRPr="00A22868">
        <w:t xml:space="preserve">A substance or mixture shall be classified in Category 1 </w:t>
      </w:r>
      <w:bookmarkStart w:id="9" w:name="_Hlk132622897"/>
      <w:r w:rsidRPr="00A22868">
        <w:t xml:space="preserve">hazardous to the ozone layer </w:t>
      </w:r>
      <w:bookmarkEnd w:id="9"/>
      <w:r w:rsidRPr="00A22868">
        <w:t>according to the following table</w:t>
      </w:r>
      <w:bookmarkStart w:id="10" w:name="_Hlk132622705"/>
      <w:r w:rsidRPr="00A22868">
        <w:rPr>
          <w:vertAlign w:val="superscript"/>
        </w:rPr>
        <w:t>1</w:t>
      </w:r>
      <w:bookmarkEnd w:id="10"/>
      <w:r w:rsidRPr="00A22868">
        <w:t>:”</w:t>
      </w:r>
    </w:p>
    <w:p w14:paraId="4FEFF22E" w14:textId="376FC346" w:rsidR="00CB0F8F" w:rsidRPr="00A22868" w:rsidRDefault="00A312CF" w:rsidP="00624566">
      <w:pPr>
        <w:pStyle w:val="SingleTxtG"/>
        <w:ind w:left="1985"/>
      </w:pPr>
      <w:r w:rsidRPr="00A22868">
        <w:t>In the t</w:t>
      </w:r>
      <w:r w:rsidR="00CB0F8F" w:rsidRPr="00A22868">
        <w:t>ext of footnote 1 (previously assigned to 4.2.2) replace “ozone layer” with “atmospheric system”.</w:t>
      </w:r>
    </w:p>
    <w:p w14:paraId="300B7A09" w14:textId="700997DC" w:rsidR="00257693" w:rsidRDefault="00CB0F8F" w:rsidP="002C2E8A">
      <w:pPr>
        <w:pStyle w:val="SingleTxtG"/>
        <w:keepNext/>
        <w:keepLines/>
        <w:ind w:left="1985"/>
      </w:pPr>
      <w:r w:rsidRPr="00A22868">
        <w:lastRenderedPageBreak/>
        <w:t>Table 4.2.1, column “Criteria”</w:t>
      </w:r>
      <w:r w:rsidR="00257693">
        <w:t>:</w:t>
      </w:r>
    </w:p>
    <w:p w14:paraId="3424ED6B" w14:textId="008EFBDC" w:rsidR="00CB0F8F" w:rsidRPr="00A22868" w:rsidRDefault="00CB0F8F" w:rsidP="002C2E8A">
      <w:pPr>
        <w:pStyle w:val="SingleTxtG"/>
        <w:keepNext/>
        <w:keepLines/>
        <w:ind w:left="1985"/>
        <w:rPr>
          <w:bCs/>
        </w:rPr>
      </w:pPr>
      <w:r w:rsidRPr="00A22868">
        <w:t xml:space="preserve">Replace “listed in annexes to” with “listed with an ozone depleting potential in annexes to” and </w:t>
      </w:r>
      <w:r w:rsidRPr="00A22868">
        <w:rPr>
          <w:bCs/>
        </w:rPr>
        <w:t>“listed in the annexes to the” with “</w:t>
      </w:r>
      <w:r w:rsidRPr="00A22868">
        <w:rPr>
          <w:bCs/>
          <w:iCs/>
        </w:rPr>
        <w:t xml:space="preserve">listed with an </w:t>
      </w:r>
      <w:r w:rsidRPr="00A22868">
        <w:rPr>
          <w:bCs/>
        </w:rPr>
        <w:t>ozone depleting potential</w:t>
      </w:r>
      <w:r w:rsidRPr="00A22868">
        <w:rPr>
          <w:bCs/>
          <w:iCs/>
        </w:rPr>
        <w:t xml:space="preserve"> in the annexes</w:t>
      </w:r>
      <w:r w:rsidRPr="00A22868">
        <w:rPr>
          <w:bCs/>
        </w:rPr>
        <w:t>”.</w:t>
      </w:r>
    </w:p>
    <w:p w14:paraId="40BCB9BE" w14:textId="77777777" w:rsidR="00CB0F8F" w:rsidRPr="00A22868" w:rsidRDefault="00CB0F8F" w:rsidP="00CB0F8F">
      <w:pPr>
        <w:pStyle w:val="SingleTxtG"/>
        <w:keepNext/>
        <w:keepLines/>
        <w:tabs>
          <w:tab w:val="clear" w:pos="2268"/>
          <w:tab w:val="left" w:pos="1985"/>
        </w:tabs>
      </w:pPr>
      <w:r w:rsidRPr="00A22868">
        <w:t>4.2.2.3</w:t>
      </w:r>
      <w:r w:rsidRPr="00A22868">
        <w:tab/>
      </w:r>
      <w:r w:rsidRPr="00A22868">
        <w:tab/>
        <w:t xml:space="preserve">Insert the following new section after table 4.2.1: </w:t>
      </w:r>
    </w:p>
    <w:p w14:paraId="232E93DA" w14:textId="77777777" w:rsidR="00CB0F8F" w:rsidRPr="00A22868" w:rsidRDefault="00CB0F8F" w:rsidP="00CB0F8F">
      <w:pPr>
        <w:pStyle w:val="SingleTxtG"/>
        <w:keepNext/>
        <w:keepLines/>
        <w:tabs>
          <w:tab w:val="clear" w:pos="2268"/>
          <w:tab w:val="left" w:pos="1985"/>
        </w:tabs>
        <w:ind w:firstLine="851"/>
        <w:rPr>
          <w:b/>
          <w:bCs/>
        </w:rPr>
      </w:pPr>
      <w:bookmarkStart w:id="11" w:name="_Hlk132623002"/>
      <w:r w:rsidRPr="00A22868">
        <w:t>“</w:t>
      </w:r>
      <w:r w:rsidRPr="00A22868">
        <w:rPr>
          <w:b/>
          <w:bCs/>
        </w:rPr>
        <w:t>4.2.2.3</w:t>
      </w:r>
      <w:r w:rsidRPr="00A22868">
        <w:rPr>
          <w:b/>
          <w:bCs/>
        </w:rPr>
        <w:tab/>
      </w:r>
      <w:r w:rsidRPr="00A22868">
        <w:rPr>
          <w:b/>
          <w:bCs/>
          <w:i/>
          <w:iCs/>
        </w:rPr>
        <w:t xml:space="preserve">Hazardous by contributing to global </w:t>
      </w:r>
      <w:proofErr w:type="gramStart"/>
      <w:r w:rsidRPr="00A22868">
        <w:rPr>
          <w:b/>
          <w:bCs/>
          <w:i/>
          <w:iCs/>
        </w:rPr>
        <w:t>warming</w:t>
      </w:r>
      <w:proofErr w:type="gramEnd"/>
    </w:p>
    <w:p w14:paraId="4CEAE644" w14:textId="7614CBF4" w:rsidR="00CB0F8F" w:rsidRPr="00A22868" w:rsidRDefault="00CB0F8F" w:rsidP="00CB0F8F">
      <w:pPr>
        <w:pStyle w:val="SingleTxtG"/>
        <w:keepNext/>
        <w:keepLines/>
        <w:tabs>
          <w:tab w:val="clear" w:pos="2268"/>
        </w:tabs>
        <w:ind w:left="1985"/>
      </w:pPr>
      <w:r w:rsidRPr="00A22868">
        <w:tab/>
      </w:r>
      <w:r w:rsidRPr="00A22868">
        <w:tab/>
        <w:t>A substance or mixture shall be classified in Category 1 hazardous to global warming according to the following table</w:t>
      </w:r>
      <w:r w:rsidR="00B01700">
        <w:t> </w:t>
      </w:r>
      <w:r w:rsidRPr="00A22868">
        <w:rPr>
          <w:vertAlign w:val="superscript"/>
        </w:rPr>
        <w:t>1</w:t>
      </w:r>
      <w:r w:rsidRPr="00A22868">
        <w:t>:</w:t>
      </w:r>
    </w:p>
    <w:p w14:paraId="6A9090E6" w14:textId="77777777" w:rsidR="00CB0F8F" w:rsidRPr="00A22868" w:rsidRDefault="00CB0F8F" w:rsidP="00CB0F8F">
      <w:pPr>
        <w:pStyle w:val="SingleTxtG"/>
        <w:keepNext/>
        <w:keepLines/>
        <w:ind w:left="1985"/>
        <w:jc w:val="center"/>
        <w:rPr>
          <w:b/>
          <w:bCs/>
        </w:rPr>
      </w:pPr>
      <w:r w:rsidRPr="00A22868">
        <w:rPr>
          <w:b/>
          <w:bCs/>
        </w:rPr>
        <w:t xml:space="preserve">Table 4.2.2:  Criteria for substances and mixtures that are hazardous by contributing to global </w:t>
      </w:r>
      <w:proofErr w:type="gramStart"/>
      <w:r w:rsidRPr="00A22868">
        <w:rPr>
          <w:b/>
          <w:bCs/>
        </w:rPr>
        <w:t>warming</w:t>
      </w:r>
      <w:proofErr w:type="gramEnd"/>
    </w:p>
    <w:tbl>
      <w:tblPr>
        <w:tblW w:w="652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386"/>
      </w:tblGrid>
      <w:tr w:rsidR="00CB0F8F" w:rsidRPr="00A22868" w14:paraId="5055D9A2" w14:textId="77777777" w:rsidTr="009D2487">
        <w:tc>
          <w:tcPr>
            <w:tcW w:w="1134" w:type="dxa"/>
            <w:shd w:val="clear" w:color="auto" w:fill="auto"/>
          </w:tcPr>
          <w:p w14:paraId="4713AB5C" w14:textId="77777777" w:rsidR="00CB0F8F" w:rsidRPr="00A22868" w:rsidRDefault="00CB0F8F" w:rsidP="009D2487">
            <w:pPr>
              <w:keepNext/>
              <w:keepLines/>
              <w:tabs>
                <w:tab w:val="left" w:pos="1026"/>
              </w:tabs>
              <w:spacing w:before="40" w:after="40"/>
              <w:jc w:val="center"/>
              <w:rPr>
                <w:b/>
              </w:rPr>
            </w:pPr>
            <w:r w:rsidRPr="00A22868">
              <w:rPr>
                <w:b/>
              </w:rPr>
              <w:t>Category</w:t>
            </w:r>
          </w:p>
        </w:tc>
        <w:tc>
          <w:tcPr>
            <w:tcW w:w="5386" w:type="dxa"/>
            <w:shd w:val="clear" w:color="auto" w:fill="auto"/>
          </w:tcPr>
          <w:p w14:paraId="58A1C029" w14:textId="77777777" w:rsidR="00CB0F8F" w:rsidRPr="00A22868" w:rsidRDefault="00CB0F8F" w:rsidP="009D2487">
            <w:pPr>
              <w:keepNext/>
              <w:keepLines/>
              <w:tabs>
                <w:tab w:val="left" w:pos="1026"/>
              </w:tabs>
              <w:spacing w:before="40" w:after="40"/>
              <w:jc w:val="center"/>
              <w:rPr>
                <w:b/>
              </w:rPr>
            </w:pPr>
            <w:r w:rsidRPr="00A22868">
              <w:rPr>
                <w:b/>
              </w:rPr>
              <w:t>Criteria</w:t>
            </w:r>
          </w:p>
        </w:tc>
      </w:tr>
      <w:tr w:rsidR="00CB0F8F" w:rsidRPr="00A22868" w14:paraId="09D54E12" w14:textId="77777777" w:rsidTr="009D2487">
        <w:trPr>
          <w:trHeight w:val="700"/>
        </w:trPr>
        <w:tc>
          <w:tcPr>
            <w:tcW w:w="1134" w:type="dxa"/>
            <w:shd w:val="clear" w:color="auto" w:fill="auto"/>
            <w:vAlign w:val="center"/>
          </w:tcPr>
          <w:p w14:paraId="088AF58B" w14:textId="77777777" w:rsidR="00CB0F8F" w:rsidRPr="00A22868" w:rsidRDefault="00CB0F8F" w:rsidP="009D2487">
            <w:pPr>
              <w:tabs>
                <w:tab w:val="left" w:pos="1026"/>
              </w:tabs>
              <w:spacing w:before="40" w:after="40"/>
              <w:jc w:val="center"/>
              <w:rPr>
                <w:b/>
              </w:rPr>
            </w:pPr>
            <w:r w:rsidRPr="00A22868">
              <w:rPr>
                <w:b/>
              </w:rPr>
              <w:t>1</w:t>
            </w:r>
          </w:p>
        </w:tc>
        <w:tc>
          <w:tcPr>
            <w:tcW w:w="5386" w:type="dxa"/>
            <w:shd w:val="clear" w:color="auto" w:fill="auto"/>
          </w:tcPr>
          <w:p w14:paraId="55FA993B" w14:textId="77777777" w:rsidR="00CB0F8F" w:rsidRPr="00A22868" w:rsidRDefault="00CB0F8F" w:rsidP="009D2487">
            <w:pPr>
              <w:tabs>
                <w:tab w:val="left" w:pos="1026"/>
              </w:tabs>
              <w:spacing w:before="40" w:after="40"/>
            </w:pPr>
            <w:r w:rsidRPr="00A22868">
              <w:t>Any of the controlled substances listed with a global warming potential in annexes to the Montreal Protocol; or</w:t>
            </w:r>
            <w:r w:rsidRPr="00A22868">
              <w:br/>
              <w:t>Any mixture containing at least one</w:t>
            </w:r>
            <w:r w:rsidRPr="00A22868">
              <w:rPr>
                <w:bCs/>
                <w:iCs/>
              </w:rPr>
              <w:t xml:space="preserve"> ingredient listed with a </w:t>
            </w:r>
            <w:r w:rsidRPr="00A22868">
              <w:t>global warming potential</w:t>
            </w:r>
            <w:r w:rsidRPr="00A22868">
              <w:rPr>
                <w:bCs/>
                <w:iCs/>
              </w:rPr>
              <w:t xml:space="preserve"> in the annexes to the Montreal Protocol, at a concentration ≥ 0.1 %</w:t>
            </w:r>
          </w:p>
        </w:tc>
      </w:tr>
    </w:tbl>
    <w:bookmarkEnd w:id="11"/>
    <w:p w14:paraId="5720AFA7" w14:textId="77777777" w:rsidR="00CB0F8F" w:rsidRPr="00A22868" w:rsidRDefault="00CB0F8F" w:rsidP="00CB0F8F">
      <w:pPr>
        <w:pStyle w:val="GHS1stline"/>
        <w:tabs>
          <w:tab w:val="clear" w:pos="1418"/>
          <w:tab w:val="clear" w:pos="2552"/>
          <w:tab w:val="clear" w:pos="3119"/>
          <w:tab w:val="clear" w:pos="3686"/>
        </w:tabs>
        <w:spacing w:after="120"/>
        <w:ind w:right="1134" w:firstLine="0"/>
        <w:jc w:val="right"/>
      </w:pPr>
      <w:r w:rsidRPr="00A22868">
        <w:t>”</w:t>
      </w:r>
    </w:p>
    <w:p w14:paraId="1BFF6C77" w14:textId="657C4233" w:rsidR="00CB0F8F" w:rsidRPr="00A22868" w:rsidRDefault="00765037" w:rsidP="008B0608">
      <w:pPr>
        <w:pStyle w:val="GHS1stline"/>
        <w:spacing w:after="120"/>
        <w:ind w:right="1134"/>
        <w:jc w:val="left"/>
      </w:pPr>
      <w:r>
        <w:tab/>
      </w:r>
      <w:r w:rsidR="00B51995" w:rsidRPr="00A22868">
        <w:t>F</w:t>
      </w:r>
      <w:r w:rsidR="00637530" w:rsidRPr="00A22868">
        <w:t xml:space="preserve">ootnote 1: </w:t>
      </w:r>
      <w:r>
        <w:tab/>
      </w:r>
      <w:r w:rsidR="00637530" w:rsidRPr="00A22868">
        <w:t xml:space="preserve">Reproduce the text of </w:t>
      </w:r>
      <w:r w:rsidR="00CB0F8F" w:rsidRPr="00A22868">
        <w:t xml:space="preserve">footnote 1 </w:t>
      </w:r>
      <w:r w:rsidR="00637530" w:rsidRPr="00A22868">
        <w:t xml:space="preserve">assigned to </w:t>
      </w:r>
      <w:r w:rsidR="00CB0F8F" w:rsidRPr="00A22868">
        <w:t>4.2.2.2</w:t>
      </w:r>
      <w:r w:rsidR="005D43B9" w:rsidRPr="00A22868">
        <w:t xml:space="preserve">, as amended. </w:t>
      </w:r>
    </w:p>
    <w:p w14:paraId="507CCB26" w14:textId="21330C6F" w:rsidR="00CB0F8F" w:rsidRPr="00A22868" w:rsidRDefault="00CB0F8F" w:rsidP="00A20939">
      <w:pPr>
        <w:pStyle w:val="SingleTxtG"/>
        <w:keepNext/>
        <w:keepLines/>
        <w:tabs>
          <w:tab w:val="clear" w:pos="2268"/>
          <w:tab w:val="left" w:pos="1985"/>
        </w:tabs>
      </w:pPr>
      <w:r w:rsidRPr="00A22868">
        <w:t>4.2.3</w:t>
      </w:r>
      <w:r w:rsidR="00A20939">
        <w:tab/>
      </w:r>
      <w:r w:rsidR="00B51995" w:rsidRPr="00A22868">
        <w:tab/>
      </w:r>
      <w:r w:rsidRPr="00A22868">
        <w:t>Renumber the paragraph preceding the table as “4.2.3.1”</w:t>
      </w:r>
      <w:r w:rsidR="00F72C61" w:rsidRPr="00A22868">
        <w:t xml:space="preserve">. In </w:t>
      </w:r>
      <w:r w:rsidRPr="00A22868">
        <w:t>the last sentence of that paragraph, replace “</w:t>
      </w:r>
      <w:r w:rsidR="00EB3C86" w:rsidRPr="00A22868">
        <w:t>T</w:t>
      </w:r>
      <w:r w:rsidRPr="00A22868">
        <w:t>able 4.2.2” with “</w:t>
      </w:r>
      <w:r w:rsidR="00A93CF5" w:rsidRPr="00A22868">
        <w:t>T</w:t>
      </w:r>
      <w:r w:rsidRPr="00A22868">
        <w:t>able 4.2.3”.</w:t>
      </w:r>
    </w:p>
    <w:p w14:paraId="5E8A616C" w14:textId="760561F0" w:rsidR="00CB0F8F" w:rsidRPr="00A22868" w:rsidRDefault="00CB0F8F" w:rsidP="00624566">
      <w:pPr>
        <w:pStyle w:val="SingleTxtG"/>
        <w:keepNext/>
        <w:keepLines/>
        <w:tabs>
          <w:tab w:val="clear" w:pos="2268"/>
          <w:tab w:val="left" w:pos="1985"/>
        </w:tabs>
        <w:ind w:left="1985" w:hanging="851"/>
      </w:pPr>
      <w:r w:rsidRPr="00A22868">
        <w:tab/>
      </w:r>
      <w:r w:rsidR="00201655">
        <w:tab/>
      </w:r>
      <w:r w:rsidRPr="00A22868">
        <w:t xml:space="preserve">Amend current table 4.2.2 </w:t>
      </w:r>
      <w:r w:rsidR="006638E5">
        <w:t xml:space="preserve">(renumbered 4.2.3) </w:t>
      </w:r>
      <w:r w:rsidRPr="00A22868">
        <w:t>and insert a new paragraph</w:t>
      </w:r>
      <w:r w:rsidR="00BF071D">
        <w:t> </w:t>
      </w:r>
      <w:r w:rsidRPr="00A22868">
        <w:t>4.2.3.2 to read as follows:</w:t>
      </w:r>
    </w:p>
    <w:p w14:paraId="65CFD689" w14:textId="77777777" w:rsidR="00CB0F8F" w:rsidRPr="00A22868" w:rsidRDefault="00CB0F8F" w:rsidP="00CB0F8F">
      <w:pPr>
        <w:pStyle w:val="SingleTxtG"/>
        <w:ind w:left="1843"/>
        <w:jc w:val="center"/>
        <w:rPr>
          <w:b/>
          <w:bCs/>
        </w:rPr>
      </w:pPr>
      <w:r w:rsidRPr="00A22868">
        <w:rPr>
          <w:b/>
          <w:bCs/>
        </w:rPr>
        <w:t>“Table 4.2.3:  Label elements for substances and mixtures hazardous to the atmospheric system</w:t>
      </w:r>
    </w:p>
    <w:tbl>
      <w:tblPr>
        <w:tblW w:w="652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2551"/>
        <w:gridCol w:w="2693"/>
      </w:tblGrid>
      <w:tr w:rsidR="00CB0F8F" w:rsidRPr="00A22868" w14:paraId="311247E1" w14:textId="77777777" w:rsidTr="009D2487">
        <w:tc>
          <w:tcPr>
            <w:tcW w:w="1276" w:type="dxa"/>
          </w:tcPr>
          <w:p w14:paraId="71664273" w14:textId="77777777" w:rsidR="00CB0F8F" w:rsidRPr="00A22868" w:rsidRDefault="00CB0F8F" w:rsidP="009D2487">
            <w:pPr>
              <w:keepNext/>
              <w:keepLines/>
              <w:spacing w:before="40" w:after="40"/>
            </w:pPr>
          </w:p>
        </w:tc>
        <w:tc>
          <w:tcPr>
            <w:tcW w:w="2551" w:type="dxa"/>
          </w:tcPr>
          <w:p w14:paraId="7B101934" w14:textId="77777777" w:rsidR="00CB0F8F" w:rsidRPr="00A22868" w:rsidRDefault="00CB0F8F" w:rsidP="009D2487">
            <w:pPr>
              <w:keepNext/>
              <w:keepLines/>
              <w:spacing w:before="40" w:after="40"/>
              <w:jc w:val="center"/>
              <w:rPr>
                <w:b/>
                <w:bCs/>
              </w:rPr>
            </w:pPr>
            <w:r w:rsidRPr="00A22868">
              <w:rPr>
                <w:b/>
                <w:bCs/>
              </w:rPr>
              <w:t>Category 1</w:t>
            </w:r>
          </w:p>
        </w:tc>
        <w:tc>
          <w:tcPr>
            <w:tcW w:w="2693" w:type="dxa"/>
          </w:tcPr>
          <w:p w14:paraId="33A3E198" w14:textId="77777777" w:rsidR="00CB0F8F" w:rsidRPr="00A22868" w:rsidRDefault="00CB0F8F" w:rsidP="009D2487">
            <w:pPr>
              <w:keepNext/>
              <w:keepLines/>
              <w:spacing w:before="40" w:after="40"/>
              <w:jc w:val="center"/>
              <w:rPr>
                <w:b/>
                <w:bCs/>
              </w:rPr>
            </w:pPr>
            <w:r w:rsidRPr="00A22868">
              <w:rPr>
                <w:b/>
                <w:bCs/>
              </w:rPr>
              <w:t>Category 1</w:t>
            </w:r>
          </w:p>
        </w:tc>
      </w:tr>
      <w:tr w:rsidR="00CB0F8F" w:rsidRPr="00A22868" w14:paraId="1B921CB9" w14:textId="77777777" w:rsidTr="009D2487">
        <w:tc>
          <w:tcPr>
            <w:tcW w:w="1276" w:type="dxa"/>
          </w:tcPr>
          <w:p w14:paraId="255C5D67" w14:textId="77777777" w:rsidR="00CB0F8F" w:rsidRPr="00A22868" w:rsidRDefault="00CB0F8F" w:rsidP="009D2487">
            <w:pPr>
              <w:keepNext/>
              <w:keepLines/>
              <w:spacing w:before="40" w:after="40"/>
              <w:jc w:val="center"/>
            </w:pPr>
          </w:p>
        </w:tc>
        <w:tc>
          <w:tcPr>
            <w:tcW w:w="2551" w:type="dxa"/>
          </w:tcPr>
          <w:p w14:paraId="63780A03" w14:textId="77777777" w:rsidR="00CB0F8F" w:rsidRPr="00A22868" w:rsidRDefault="00CB0F8F" w:rsidP="009D2487">
            <w:pPr>
              <w:keepNext/>
              <w:keepLines/>
              <w:spacing w:before="40" w:after="40"/>
              <w:jc w:val="center"/>
              <w:rPr>
                <w:b/>
                <w:bCs/>
              </w:rPr>
            </w:pPr>
            <w:r w:rsidRPr="00A22868">
              <w:rPr>
                <w:b/>
                <w:bCs/>
              </w:rPr>
              <w:t>Hazardous to the ozone layer</w:t>
            </w:r>
          </w:p>
        </w:tc>
        <w:tc>
          <w:tcPr>
            <w:tcW w:w="2693" w:type="dxa"/>
          </w:tcPr>
          <w:p w14:paraId="0F250DE1" w14:textId="77777777" w:rsidR="00CB0F8F" w:rsidRPr="00A22868" w:rsidRDefault="00CB0F8F" w:rsidP="009D2487">
            <w:pPr>
              <w:keepNext/>
              <w:keepLines/>
              <w:spacing w:before="40" w:after="40"/>
              <w:jc w:val="center"/>
              <w:rPr>
                <w:b/>
                <w:bCs/>
              </w:rPr>
            </w:pPr>
            <w:r w:rsidRPr="00A22868">
              <w:rPr>
                <w:b/>
                <w:bCs/>
              </w:rPr>
              <w:t>Hazardous by contributing to global warming</w:t>
            </w:r>
          </w:p>
        </w:tc>
      </w:tr>
      <w:tr w:rsidR="00CB0F8F" w:rsidRPr="00A22868" w14:paraId="22C1DFB4" w14:textId="77777777" w:rsidTr="009D2487">
        <w:tc>
          <w:tcPr>
            <w:tcW w:w="1276" w:type="dxa"/>
            <w:vAlign w:val="center"/>
          </w:tcPr>
          <w:p w14:paraId="4F64B096" w14:textId="77777777" w:rsidR="00CB0F8F" w:rsidRPr="00A22868" w:rsidRDefault="00CB0F8F" w:rsidP="009D2487">
            <w:pPr>
              <w:keepNext/>
              <w:keepLines/>
              <w:spacing w:before="40" w:after="40"/>
              <w:rPr>
                <w:b/>
                <w:bCs/>
              </w:rPr>
            </w:pPr>
            <w:r w:rsidRPr="00A22868">
              <w:rPr>
                <w:b/>
                <w:bCs/>
              </w:rPr>
              <w:t>Symbol</w:t>
            </w:r>
          </w:p>
        </w:tc>
        <w:tc>
          <w:tcPr>
            <w:tcW w:w="2551" w:type="dxa"/>
          </w:tcPr>
          <w:p w14:paraId="64D739FD" w14:textId="77777777" w:rsidR="00CB0F8F" w:rsidRPr="00A22868" w:rsidRDefault="00CB0F8F" w:rsidP="009D2487">
            <w:pPr>
              <w:keepNext/>
              <w:keepLines/>
              <w:spacing w:before="40" w:after="40"/>
              <w:jc w:val="center"/>
            </w:pPr>
            <w:r w:rsidRPr="00A22868">
              <w:t>Exclamation mark</w:t>
            </w:r>
          </w:p>
        </w:tc>
        <w:tc>
          <w:tcPr>
            <w:tcW w:w="2693" w:type="dxa"/>
          </w:tcPr>
          <w:p w14:paraId="2FD89466" w14:textId="77777777" w:rsidR="00CB0F8F" w:rsidRPr="00A22868" w:rsidRDefault="00CB0F8F" w:rsidP="009D2487">
            <w:pPr>
              <w:keepNext/>
              <w:keepLines/>
              <w:spacing w:before="40" w:after="40"/>
              <w:jc w:val="center"/>
            </w:pPr>
            <w:r w:rsidRPr="00A22868">
              <w:t>Exclamation mark</w:t>
            </w:r>
          </w:p>
        </w:tc>
      </w:tr>
      <w:tr w:rsidR="00CB0F8F" w:rsidRPr="00A22868" w14:paraId="4F57463C" w14:textId="77777777" w:rsidTr="009D2487">
        <w:tc>
          <w:tcPr>
            <w:tcW w:w="1276" w:type="dxa"/>
            <w:vAlign w:val="center"/>
          </w:tcPr>
          <w:p w14:paraId="02AFBD48" w14:textId="77777777" w:rsidR="00CB0F8F" w:rsidRPr="00A22868" w:rsidRDefault="00CB0F8F" w:rsidP="009D2487">
            <w:pPr>
              <w:keepNext/>
              <w:keepLines/>
              <w:spacing w:before="40" w:after="40"/>
              <w:rPr>
                <w:b/>
                <w:bCs/>
              </w:rPr>
            </w:pPr>
            <w:r w:rsidRPr="00A22868">
              <w:rPr>
                <w:b/>
                <w:bCs/>
              </w:rPr>
              <w:t>Signal word</w:t>
            </w:r>
          </w:p>
        </w:tc>
        <w:tc>
          <w:tcPr>
            <w:tcW w:w="2551" w:type="dxa"/>
          </w:tcPr>
          <w:p w14:paraId="2AFD322C" w14:textId="77777777" w:rsidR="00CB0F8F" w:rsidRPr="00A22868" w:rsidRDefault="00CB0F8F" w:rsidP="009D2487">
            <w:pPr>
              <w:keepNext/>
              <w:keepLines/>
              <w:spacing w:before="40" w:after="40"/>
              <w:jc w:val="center"/>
            </w:pPr>
            <w:r w:rsidRPr="00A22868">
              <w:t>Warning</w:t>
            </w:r>
          </w:p>
        </w:tc>
        <w:tc>
          <w:tcPr>
            <w:tcW w:w="2693" w:type="dxa"/>
          </w:tcPr>
          <w:p w14:paraId="4E7A929C" w14:textId="77777777" w:rsidR="00CB0F8F" w:rsidRPr="00A22868" w:rsidRDefault="00CB0F8F" w:rsidP="009D2487">
            <w:pPr>
              <w:keepNext/>
              <w:keepLines/>
              <w:spacing w:before="40" w:after="40"/>
              <w:jc w:val="center"/>
            </w:pPr>
            <w:r w:rsidRPr="00A22868">
              <w:t>Warning</w:t>
            </w:r>
          </w:p>
        </w:tc>
      </w:tr>
      <w:tr w:rsidR="00CB0F8F" w:rsidRPr="00A22868" w14:paraId="35774C23" w14:textId="77777777" w:rsidTr="009D2487">
        <w:tc>
          <w:tcPr>
            <w:tcW w:w="1276" w:type="dxa"/>
            <w:vAlign w:val="center"/>
          </w:tcPr>
          <w:p w14:paraId="622E4449" w14:textId="77777777" w:rsidR="00CB0F8F" w:rsidRPr="00A22868" w:rsidRDefault="00CB0F8F" w:rsidP="009D2487">
            <w:pPr>
              <w:spacing w:before="40" w:after="40"/>
              <w:rPr>
                <w:b/>
                <w:bCs/>
              </w:rPr>
            </w:pPr>
            <w:r w:rsidRPr="00A22868">
              <w:rPr>
                <w:b/>
                <w:bCs/>
              </w:rPr>
              <w:t>Hazard statement</w:t>
            </w:r>
          </w:p>
        </w:tc>
        <w:tc>
          <w:tcPr>
            <w:tcW w:w="2551" w:type="dxa"/>
          </w:tcPr>
          <w:p w14:paraId="23FE9237" w14:textId="77777777" w:rsidR="00CB0F8F" w:rsidRPr="00A22868" w:rsidRDefault="00CB0F8F" w:rsidP="009D2487">
            <w:pPr>
              <w:spacing w:before="40" w:after="40"/>
              <w:jc w:val="center"/>
            </w:pPr>
            <w:r w:rsidRPr="00A22868">
              <w:t>Harms public health and the environment by destroying ozone in the upper atmosphere</w:t>
            </w:r>
          </w:p>
        </w:tc>
        <w:tc>
          <w:tcPr>
            <w:tcW w:w="2693" w:type="dxa"/>
          </w:tcPr>
          <w:p w14:paraId="783C1ED2" w14:textId="77777777" w:rsidR="00CB0F8F" w:rsidRPr="00A22868" w:rsidRDefault="00CB0F8F" w:rsidP="009D2487">
            <w:pPr>
              <w:spacing w:before="40" w:after="40"/>
              <w:jc w:val="center"/>
            </w:pPr>
            <w:r w:rsidRPr="008B0608">
              <w:t>Harms public health and the environment by contributing to global warming</w:t>
            </w:r>
          </w:p>
        </w:tc>
      </w:tr>
    </w:tbl>
    <w:p w14:paraId="3CB09948" w14:textId="420A0474" w:rsidR="00CB0F8F" w:rsidRPr="00A22868" w:rsidRDefault="00CB0F8F" w:rsidP="00CB0F8F">
      <w:pPr>
        <w:pStyle w:val="SingleTxtG"/>
        <w:tabs>
          <w:tab w:val="clear" w:pos="1701"/>
        </w:tabs>
        <w:spacing w:before="120"/>
        <w:ind w:left="1985"/>
      </w:pPr>
      <w:bookmarkStart w:id="12" w:name="_Hlk132623264"/>
      <w:r w:rsidRPr="00A22868">
        <w:t>4.2.3.2</w:t>
      </w:r>
      <w:r w:rsidRPr="00A22868">
        <w:tab/>
      </w:r>
      <w:r w:rsidRPr="00A22868">
        <w:tab/>
        <w:t xml:space="preserve">Some substances and mixtures meet the criteria for classification as hazardous to the ozone layer and hazardous by contributing to global warming.  In these cases, the principles outlined in A3.1.2.5 for combining hazard statements can be used to combine the hazard statements for both hazard classes into a single hazard statement (i.e. </w:t>
      </w:r>
      <w:r w:rsidR="00964573" w:rsidRPr="00A22868">
        <w:t>“</w:t>
      </w:r>
      <w:r w:rsidRPr="00A22868">
        <w:t>Harms public health and the environment by contributing to global warming and destroying ozone in the upper atmosphere.</w:t>
      </w:r>
      <w:r w:rsidR="00964573" w:rsidRPr="00A22868">
        <w:t>”</w:t>
      </w:r>
      <w:r w:rsidRPr="00A22868">
        <w:t xml:space="preserve">).” </w:t>
      </w:r>
    </w:p>
    <w:bookmarkEnd w:id="12"/>
    <w:p w14:paraId="21B2962B" w14:textId="77777777" w:rsidR="00CB0F8F" w:rsidRPr="00A22868" w:rsidRDefault="00CB0F8F" w:rsidP="00CB0F8F">
      <w:pPr>
        <w:pStyle w:val="GHS1stline"/>
        <w:tabs>
          <w:tab w:val="clear" w:pos="1418"/>
          <w:tab w:val="clear" w:pos="2552"/>
          <w:tab w:val="clear" w:pos="3119"/>
          <w:tab w:val="clear" w:pos="3686"/>
          <w:tab w:val="left" w:pos="5954"/>
        </w:tabs>
        <w:spacing w:after="120"/>
        <w:ind w:left="1134" w:firstLine="0"/>
      </w:pPr>
      <w:r w:rsidRPr="00A22868">
        <w:t xml:space="preserve">4.2.4 </w:t>
      </w:r>
      <w:r w:rsidRPr="00A22868">
        <w:tab/>
        <w:t xml:space="preserve">Amend to read as follows: </w:t>
      </w:r>
    </w:p>
    <w:p w14:paraId="5B37A891" w14:textId="77777777" w:rsidR="00CB0F8F" w:rsidRPr="00A22868" w:rsidRDefault="00CB0F8F" w:rsidP="00CB0F8F">
      <w:pPr>
        <w:ind w:left="1985" w:right="567"/>
      </w:pPr>
      <w:r w:rsidRPr="00A22868">
        <w:rPr>
          <w:b/>
          <w:bCs/>
        </w:rPr>
        <w:t>“4.2.4</w:t>
      </w:r>
      <w:r w:rsidRPr="00A22868">
        <w:tab/>
      </w:r>
      <w:r w:rsidRPr="00A22868">
        <w:rPr>
          <w:b/>
          <w:bCs/>
        </w:rPr>
        <w:t xml:space="preserve">Decision logics for substances and mixtures hazardous to the </w:t>
      </w:r>
      <w:bookmarkStart w:id="13" w:name="_Hlk132623326"/>
      <w:r w:rsidRPr="00A22868">
        <w:rPr>
          <w:b/>
          <w:bCs/>
        </w:rPr>
        <w:t>atmospheric system</w:t>
      </w:r>
      <w:bookmarkEnd w:id="13"/>
    </w:p>
    <w:p w14:paraId="014A9E51" w14:textId="1DAD5071" w:rsidR="00CB0F8F" w:rsidRPr="00A22868" w:rsidRDefault="003F77A7" w:rsidP="003F77A7">
      <w:pPr>
        <w:pStyle w:val="SingleTxtG"/>
        <w:tabs>
          <w:tab w:val="clear" w:pos="2268"/>
        </w:tabs>
        <w:spacing w:before="240"/>
        <w:ind w:left="1985"/>
      </w:pPr>
      <w:bookmarkStart w:id="14" w:name="_Hlk132623352"/>
      <w:r>
        <w:tab/>
      </w:r>
      <w:r w:rsidR="00CB0F8F" w:rsidRPr="00A22868">
        <w:t xml:space="preserve">The decision logics for hazardous to the ozone layer (see 4.2.2.2) and hazardous by contributing to global warming (see 4.2.2.3) </w:t>
      </w:r>
      <w:bookmarkEnd w:id="14"/>
      <w:r w:rsidR="00CB0F8F" w:rsidRPr="00A22868">
        <w:t>which follow are not part of the harmonized classification system but are provided as additional guidance. It is strongly recommended that the person responsible for classification study the criteria before and during use of these decision logics.</w:t>
      </w:r>
    </w:p>
    <w:p w14:paraId="26A84286" w14:textId="77777777" w:rsidR="00CB0F8F" w:rsidRPr="00A22868" w:rsidRDefault="00CB0F8F" w:rsidP="00624566">
      <w:pPr>
        <w:pStyle w:val="SingleTxtG"/>
        <w:keepNext/>
        <w:keepLines/>
        <w:ind w:left="1985"/>
        <w:rPr>
          <w:b/>
          <w:bCs/>
          <w:i/>
          <w:iCs/>
        </w:rPr>
      </w:pPr>
      <w:r w:rsidRPr="00A22868">
        <w:rPr>
          <w:b/>
          <w:bCs/>
          <w:i/>
          <w:iCs/>
        </w:rPr>
        <w:lastRenderedPageBreak/>
        <w:t>Decision logic 4.2.1 for</w:t>
      </w:r>
      <w:bookmarkStart w:id="15" w:name="_Hlk132623377"/>
      <w:r w:rsidRPr="00A22868">
        <w:rPr>
          <w:b/>
          <w:bCs/>
          <w:i/>
          <w:iCs/>
        </w:rPr>
        <w:t xml:space="preserve"> hazardous to the ozone layer</w:t>
      </w:r>
      <w:bookmarkEnd w:id="15"/>
    </w:p>
    <w:p w14:paraId="200CD1E5" w14:textId="77777777" w:rsidR="00CB0F8F" w:rsidRPr="00A22868" w:rsidRDefault="00CB0F8F" w:rsidP="00624566">
      <w:pPr>
        <w:keepNext/>
        <w:keepLines/>
        <w:jc w:val="center"/>
        <w:rPr>
          <w:b/>
          <w:bCs/>
          <w:i/>
          <w:iCs/>
        </w:rPr>
      </w:pPr>
    </w:p>
    <w:p w14:paraId="26DCFA8C" w14:textId="77777777" w:rsidR="00CB0F8F" w:rsidRPr="00A22868" w:rsidRDefault="00CB0F8F" w:rsidP="00CB0F8F">
      <w:pPr>
        <w:jc w:val="center"/>
      </w:pPr>
      <w:r w:rsidRPr="00A22868">
        <w:object w:dxaOrig="7635" w:dyaOrig="2896" w14:anchorId="26446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44.8pt" o:ole="">
            <v:imagedata r:id="rId13" o:title=""/>
          </v:shape>
          <o:OLEObject Type="Embed" ProgID="Visio.Drawing.15" ShapeID="_x0000_i1025" DrawAspect="Content" ObjectID="_1788246881" r:id="rId14"/>
        </w:object>
      </w:r>
    </w:p>
    <w:p w14:paraId="06849F79" w14:textId="77777777" w:rsidR="00CB0F8F" w:rsidRPr="00A22868" w:rsidRDefault="00CB0F8F" w:rsidP="00CB0F8F">
      <w:pPr>
        <w:keepNext/>
        <w:keepLines/>
        <w:jc w:val="center"/>
        <w:rPr>
          <w:noProof/>
        </w:rPr>
      </w:pPr>
    </w:p>
    <w:p w14:paraId="28E68F2E" w14:textId="77777777" w:rsidR="00CB0F8F" w:rsidRPr="00A22868" w:rsidRDefault="00CB0F8F" w:rsidP="00CB0F8F">
      <w:pPr>
        <w:pStyle w:val="SingleTxtG"/>
        <w:keepNext/>
        <w:keepLines/>
        <w:ind w:left="1985"/>
        <w:rPr>
          <w:b/>
          <w:bCs/>
          <w:i/>
          <w:iCs/>
        </w:rPr>
      </w:pPr>
      <w:bookmarkStart w:id="16" w:name="_Hlk132623472"/>
      <w:r w:rsidRPr="00A22868">
        <w:rPr>
          <w:b/>
          <w:bCs/>
          <w:i/>
          <w:iCs/>
        </w:rPr>
        <w:t xml:space="preserve">Decision logic 4.2.2 for hazardous by contributing to global </w:t>
      </w:r>
      <w:proofErr w:type="gramStart"/>
      <w:r w:rsidRPr="00A22868">
        <w:rPr>
          <w:b/>
          <w:bCs/>
          <w:i/>
          <w:iCs/>
        </w:rPr>
        <w:t>warming</w:t>
      </w:r>
      <w:proofErr w:type="gramEnd"/>
    </w:p>
    <w:p w14:paraId="300FABF8" w14:textId="77777777" w:rsidR="00CB0F8F" w:rsidRPr="00A22868" w:rsidRDefault="00CB0F8F" w:rsidP="00CB0F8F">
      <w:pPr>
        <w:keepNext/>
        <w:keepLines/>
        <w:tabs>
          <w:tab w:val="left" w:pos="1418"/>
        </w:tabs>
        <w:jc w:val="center"/>
      </w:pPr>
    </w:p>
    <w:p w14:paraId="64451987" w14:textId="77777777" w:rsidR="00CB0F8F" w:rsidRPr="00A22868" w:rsidRDefault="00CB0F8F" w:rsidP="00CB0F8F">
      <w:pPr>
        <w:keepNext/>
        <w:keepLines/>
        <w:tabs>
          <w:tab w:val="left" w:pos="1418"/>
        </w:tabs>
        <w:jc w:val="center"/>
        <w:rPr>
          <w:rFonts w:eastAsia="Times New Roman"/>
          <w:noProof/>
          <w:lang w:eastAsia="en-US"/>
        </w:rPr>
      </w:pPr>
      <w:r w:rsidRPr="00A22868">
        <w:object w:dxaOrig="7635" w:dyaOrig="2896" w14:anchorId="2925A8EA">
          <v:shape id="_x0000_i1026" type="#_x0000_t75" style="width:382pt;height:144.8pt" o:ole="">
            <v:imagedata r:id="rId15" o:title=""/>
          </v:shape>
          <o:OLEObject Type="Embed" ProgID="Visio.Drawing.15" ShapeID="_x0000_i1026" DrawAspect="Content" ObjectID="_1788246882" r:id="rId16"/>
        </w:object>
      </w:r>
      <w:r w:rsidRPr="00A22868">
        <w:rPr>
          <w:rFonts w:eastAsia="Times New Roman"/>
          <w:noProof/>
          <w:lang w:eastAsia="en-US"/>
        </w:rPr>
        <w:t>”</w:t>
      </w:r>
      <w:bookmarkEnd w:id="16"/>
    </w:p>
    <w:p w14:paraId="46B38449" w14:textId="6D66646B" w:rsidR="00CB0F8F" w:rsidRPr="00A22868" w:rsidRDefault="00CB0F8F" w:rsidP="00CB0F8F">
      <w:pPr>
        <w:pStyle w:val="H1G"/>
        <w:rPr>
          <w:b w:val="0"/>
        </w:rPr>
      </w:pPr>
      <w:r w:rsidRPr="00A22868">
        <w:tab/>
      </w:r>
      <w:r w:rsidRPr="00A22868">
        <w:tab/>
        <w:t>Annex 1</w:t>
      </w:r>
    </w:p>
    <w:p w14:paraId="6FE6C0C1" w14:textId="77777777" w:rsidR="00CB0F8F" w:rsidRPr="00A22868" w:rsidRDefault="00CB0F8F" w:rsidP="00CB0F8F">
      <w:pPr>
        <w:pStyle w:val="SingleTxtG"/>
        <w:keepNext/>
        <w:keepLines/>
        <w:rPr>
          <w:b/>
          <w:bCs/>
        </w:rPr>
      </w:pPr>
      <w:r w:rsidRPr="00A22868">
        <w:rPr>
          <w:b/>
          <w:bCs/>
        </w:rPr>
        <w:t xml:space="preserve">Table A1.30 </w:t>
      </w:r>
    </w:p>
    <w:p w14:paraId="027D9CF6" w14:textId="77777777" w:rsidR="00CB0F8F" w:rsidRPr="00A22868" w:rsidRDefault="00CB0F8F" w:rsidP="00CB0F8F">
      <w:pPr>
        <w:keepNext/>
        <w:keepLines/>
        <w:spacing w:after="120" w:line="240" w:lineRule="auto"/>
        <w:ind w:left="1134"/>
      </w:pPr>
      <w:r w:rsidRPr="00A22868">
        <w:t>Amend to read as follows:</w:t>
      </w:r>
    </w:p>
    <w:p w14:paraId="27FB2BC3" w14:textId="77777777" w:rsidR="00CB0F8F" w:rsidRPr="00890BC9" w:rsidRDefault="00CB0F8F" w:rsidP="00CB0F8F">
      <w:pPr>
        <w:pStyle w:val="SingleTxtG"/>
        <w:rPr>
          <w:noProof/>
        </w:rPr>
      </w:pPr>
      <w:r w:rsidRPr="00A22868">
        <w:rPr>
          <w:b/>
          <w:bCs/>
        </w:rPr>
        <w:t xml:space="preserve">“A1.30 </w:t>
      </w:r>
      <w:r w:rsidRPr="00A22868">
        <w:rPr>
          <w:b/>
          <w:bCs/>
        </w:rPr>
        <w:tab/>
        <w:t xml:space="preserve">Hazardous to the atmospheric system </w:t>
      </w:r>
      <w:r w:rsidRPr="008B0608">
        <w:t>(see chapter 4.2 for classification criteria)</w:t>
      </w:r>
    </w:p>
    <w:p w14:paraId="69CA99A1" w14:textId="77777777" w:rsidR="00CB0F8F" w:rsidRPr="00A22868" w:rsidRDefault="00CB0F8F" w:rsidP="00CB0F8F">
      <w:pPr>
        <w:spacing w:line="240" w:lineRule="auto"/>
        <w:ind w:left="284"/>
        <w:jc w:val="both"/>
        <w:rPr>
          <w:noProof/>
          <w:sz w:val="6"/>
          <w:szCs w:val="6"/>
        </w:rPr>
      </w:pP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98"/>
        <w:gridCol w:w="782"/>
        <w:gridCol w:w="1230"/>
        <w:gridCol w:w="1243"/>
        <w:gridCol w:w="1134"/>
        <w:gridCol w:w="834"/>
        <w:gridCol w:w="1473"/>
        <w:gridCol w:w="811"/>
      </w:tblGrid>
      <w:tr w:rsidR="00CB0F8F" w:rsidRPr="006D25B2" w14:paraId="0DE2808F" w14:textId="77777777" w:rsidTr="000F0D22">
        <w:trPr>
          <w:cantSplit/>
          <w:trHeight w:val="285"/>
          <w:tblHeader/>
        </w:trPr>
        <w:tc>
          <w:tcPr>
            <w:tcW w:w="30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49267" w14:textId="77777777" w:rsidR="00CB0F8F" w:rsidRPr="006D25B2" w:rsidRDefault="00CB0F8F" w:rsidP="009D2487">
            <w:pPr>
              <w:keepNext/>
              <w:keepLines/>
              <w:tabs>
                <w:tab w:val="left" w:pos="1425"/>
              </w:tabs>
              <w:spacing w:before="80" w:after="80"/>
              <w:jc w:val="center"/>
              <w:rPr>
                <w:b/>
                <w:sz w:val="16"/>
                <w:szCs w:val="16"/>
              </w:rPr>
            </w:pPr>
            <w:r w:rsidRPr="006D25B2">
              <w:rPr>
                <w:b/>
                <w:sz w:val="16"/>
                <w:szCs w:val="16"/>
              </w:rPr>
              <w:t>Classification</w:t>
            </w:r>
          </w:p>
        </w:tc>
        <w:tc>
          <w:tcPr>
            <w:tcW w:w="4684" w:type="dxa"/>
            <w:gridSpan w:val="4"/>
            <w:tcBorders>
              <w:top w:val="single" w:sz="4" w:space="0" w:color="auto"/>
              <w:left w:val="single" w:sz="4" w:space="0" w:color="auto"/>
              <w:bottom w:val="single" w:sz="4" w:space="0" w:color="auto"/>
              <w:right w:val="single" w:sz="4" w:space="0" w:color="auto"/>
            </w:tcBorders>
            <w:shd w:val="clear" w:color="auto" w:fill="auto"/>
          </w:tcPr>
          <w:p w14:paraId="3F2135E3" w14:textId="77777777" w:rsidR="00CB0F8F" w:rsidRPr="006D25B2" w:rsidRDefault="00CB0F8F" w:rsidP="009D2487">
            <w:pPr>
              <w:keepNext/>
              <w:keepLines/>
              <w:tabs>
                <w:tab w:val="left" w:pos="1425"/>
              </w:tabs>
              <w:spacing w:before="80" w:after="80"/>
              <w:jc w:val="center"/>
              <w:rPr>
                <w:b/>
                <w:sz w:val="16"/>
                <w:szCs w:val="16"/>
              </w:rPr>
            </w:pPr>
            <w:r w:rsidRPr="006D25B2">
              <w:rPr>
                <w:b/>
                <w:sz w:val="16"/>
                <w:szCs w:val="16"/>
              </w:rPr>
              <w:t>Labelling</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auto"/>
          </w:tcPr>
          <w:p w14:paraId="781D0F57" w14:textId="77777777" w:rsidR="00CB0F8F" w:rsidRPr="006D25B2" w:rsidRDefault="00CB0F8F" w:rsidP="009D2487">
            <w:pPr>
              <w:pStyle w:val="Heading5"/>
              <w:tabs>
                <w:tab w:val="left" w:pos="1425"/>
              </w:tabs>
              <w:spacing w:before="80" w:after="80"/>
              <w:jc w:val="center"/>
              <w:rPr>
                <w:b/>
                <w:bCs/>
                <w:iCs/>
                <w:sz w:val="16"/>
                <w:szCs w:val="16"/>
              </w:rPr>
            </w:pPr>
            <w:r w:rsidRPr="006D25B2">
              <w:rPr>
                <w:b/>
                <w:sz w:val="16"/>
                <w:szCs w:val="16"/>
              </w:rPr>
              <w:t>GHS hazard statement code</w:t>
            </w:r>
          </w:p>
        </w:tc>
      </w:tr>
      <w:tr w:rsidR="00CB0F8F" w:rsidRPr="006D25B2" w14:paraId="18400352" w14:textId="77777777" w:rsidTr="000F0D22">
        <w:trPr>
          <w:cantSplit/>
          <w:trHeight w:val="380"/>
          <w:tblHeader/>
        </w:trPr>
        <w:tc>
          <w:tcPr>
            <w:tcW w:w="998" w:type="dxa"/>
            <w:tcBorders>
              <w:bottom w:val="single" w:sz="4" w:space="0" w:color="auto"/>
            </w:tcBorders>
            <w:shd w:val="clear" w:color="auto" w:fill="auto"/>
            <w:vAlign w:val="center"/>
          </w:tcPr>
          <w:p w14:paraId="456A9C7B" w14:textId="77777777" w:rsidR="00CB0F8F" w:rsidRPr="006D25B2" w:rsidRDefault="00CB0F8F" w:rsidP="009D2487">
            <w:pPr>
              <w:keepNext/>
              <w:keepLines/>
              <w:tabs>
                <w:tab w:val="left" w:pos="1425"/>
              </w:tabs>
              <w:spacing w:before="80" w:after="80"/>
              <w:jc w:val="center"/>
              <w:rPr>
                <w:b/>
                <w:sz w:val="16"/>
                <w:szCs w:val="16"/>
              </w:rPr>
            </w:pPr>
            <w:r w:rsidRPr="006D25B2">
              <w:rPr>
                <w:b/>
                <w:sz w:val="16"/>
                <w:szCs w:val="16"/>
              </w:rPr>
              <w:t>GHS hazard class</w:t>
            </w:r>
          </w:p>
        </w:tc>
        <w:tc>
          <w:tcPr>
            <w:tcW w:w="782" w:type="dxa"/>
            <w:tcBorders>
              <w:bottom w:val="single" w:sz="4" w:space="0" w:color="auto"/>
            </w:tcBorders>
            <w:shd w:val="clear" w:color="auto" w:fill="auto"/>
            <w:vAlign w:val="center"/>
          </w:tcPr>
          <w:p w14:paraId="2601ECCF" w14:textId="77777777" w:rsidR="00CB0F8F" w:rsidRPr="006D25B2" w:rsidRDefault="00CB0F8F" w:rsidP="009D2487">
            <w:pPr>
              <w:keepNext/>
              <w:keepLines/>
              <w:tabs>
                <w:tab w:val="left" w:pos="1425"/>
              </w:tabs>
              <w:spacing w:before="80" w:after="80"/>
              <w:jc w:val="center"/>
              <w:rPr>
                <w:b/>
                <w:sz w:val="16"/>
                <w:szCs w:val="16"/>
              </w:rPr>
            </w:pPr>
            <w:r w:rsidRPr="006D25B2">
              <w:rPr>
                <w:b/>
                <w:sz w:val="16"/>
                <w:szCs w:val="16"/>
              </w:rPr>
              <w:t>GHS hazard category</w:t>
            </w:r>
          </w:p>
        </w:tc>
        <w:tc>
          <w:tcPr>
            <w:tcW w:w="1230" w:type="dxa"/>
            <w:tcBorders>
              <w:bottom w:val="single" w:sz="4" w:space="0" w:color="auto"/>
            </w:tcBorders>
          </w:tcPr>
          <w:p w14:paraId="32E677AC" w14:textId="77777777" w:rsidR="00CB0F8F" w:rsidRPr="006D25B2" w:rsidRDefault="00CB0F8F" w:rsidP="009D2487">
            <w:pPr>
              <w:pStyle w:val="Heading5"/>
              <w:tabs>
                <w:tab w:val="left" w:pos="1425"/>
              </w:tabs>
              <w:spacing w:before="80" w:after="80"/>
              <w:jc w:val="center"/>
              <w:rPr>
                <w:b/>
                <w:bCs/>
                <w:iCs/>
                <w:sz w:val="16"/>
                <w:szCs w:val="16"/>
              </w:rPr>
            </w:pPr>
            <w:r w:rsidRPr="006D25B2">
              <w:rPr>
                <w:b/>
                <w:sz w:val="16"/>
                <w:szCs w:val="16"/>
              </w:rPr>
              <w:t>UN Model Regulations class or division</w:t>
            </w:r>
          </w:p>
        </w:tc>
        <w:tc>
          <w:tcPr>
            <w:tcW w:w="1243" w:type="dxa"/>
            <w:tcBorders>
              <w:bottom w:val="single" w:sz="4" w:space="0" w:color="auto"/>
            </w:tcBorders>
            <w:shd w:val="clear" w:color="auto" w:fill="auto"/>
            <w:vAlign w:val="center"/>
          </w:tcPr>
          <w:p w14:paraId="4E89DD59" w14:textId="77777777" w:rsidR="00CB0F8F" w:rsidRPr="006D25B2" w:rsidRDefault="00CB0F8F" w:rsidP="009D2487">
            <w:pPr>
              <w:pStyle w:val="Heading5"/>
              <w:tabs>
                <w:tab w:val="left" w:pos="1425"/>
              </w:tabs>
              <w:spacing w:before="80" w:after="80"/>
              <w:jc w:val="center"/>
              <w:rPr>
                <w:b/>
                <w:bCs/>
                <w:iCs/>
                <w:sz w:val="16"/>
                <w:szCs w:val="16"/>
              </w:rPr>
            </w:pPr>
            <w:r w:rsidRPr="006D25B2">
              <w:rPr>
                <w:b/>
                <w:noProof/>
                <w:sz w:val="16"/>
                <w:szCs w:val="16"/>
                <w:lang w:eastAsia="sv-SE"/>
              </w:rPr>
              <w:t>GHS p</w:t>
            </w:r>
            <w:proofErr w:type="spellStart"/>
            <w:r w:rsidRPr="006D25B2">
              <w:rPr>
                <w:b/>
                <w:sz w:val="16"/>
                <w:szCs w:val="16"/>
              </w:rPr>
              <w:t>ictogram</w:t>
            </w:r>
            <w:proofErr w:type="spellEnd"/>
          </w:p>
        </w:tc>
        <w:tc>
          <w:tcPr>
            <w:tcW w:w="1134" w:type="dxa"/>
            <w:tcBorders>
              <w:bottom w:val="single" w:sz="4" w:space="0" w:color="auto"/>
            </w:tcBorders>
            <w:shd w:val="clear" w:color="auto" w:fill="auto"/>
            <w:vAlign w:val="center"/>
          </w:tcPr>
          <w:p w14:paraId="19FD6D56" w14:textId="77777777" w:rsidR="00CB0F8F" w:rsidRPr="006D25B2" w:rsidRDefault="00CB0F8F" w:rsidP="009D2487">
            <w:pPr>
              <w:keepNext/>
              <w:keepLines/>
              <w:tabs>
                <w:tab w:val="left" w:pos="1425"/>
              </w:tabs>
              <w:spacing w:before="40" w:after="40"/>
              <w:jc w:val="center"/>
              <w:rPr>
                <w:b/>
                <w:bCs/>
                <w:iCs/>
                <w:sz w:val="16"/>
                <w:szCs w:val="16"/>
              </w:rPr>
            </w:pPr>
            <w:r w:rsidRPr="006D25B2">
              <w:rPr>
                <w:b/>
                <w:bCs/>
                <w:sz w:val="16"/>
                <w:szCs w:val="16"/>
              </w:rPr>
              <w:t>UN Model Regulations pictograms</w:t>
            </w:r>
          </w:p>
        </w:tc>
        <w:tc>
          <w:tcPr>
            <w:tcW w:w="834" w:type="dxa"/>
            <w:tcBorders>
              <w:bottom w:val="single" w:sz="4" w:space="0" w:color="auto"/>
            </w:tcBorders>
            <w:shd w:val="clear" w:color="auto" w:fill="auto"/>
            <w:vAlign w:val="center"/>
          </w:tcPr>
          <w:p w14:paraId="2A583317" w14:textId="77777777" w:rsidR="00CB0F8F" w:rsidRPr="006D25B2" w:rsidRDefault="00CB0F8F" w:rsidP="009D2487">
            <w:pPr>
              <w:pStyle w:val="Heading5"/>
              <w:tabs>
                <w:tab w:val="left" w:pos="1425"/>
              </w:tabs>
              <w:spacing w:before="80" w:after="80"/>
              <w:jc w:val="center"/>
              <w:rPr>
                <w:b/>
                <w:bCs/>
                <w:iCs/>
                <w:sz w:val="16"/>
                <w:szCs w:val="16"/>
              </w:rPr>
            </w:pPr>
            <w:r w:rsidRPr="006D25B2">
              <w:rPr>
                <w:b/>
                <w:sz w:val="16"/>
                <w:szCs w:val="16"/>
              </w:rPr>
              <w:t>GHS signal word</w:t>
            </w:r>
          </w:p>
        </w:tc>
        <w:tc>
          <w:tcPr>
            <w:tcW w:w="1473" w:type="dxa"/>
            <w:tcBorders>
              <w:bottom w:val="single" w:sz="4" w:space="0" w:color="auto"/>
              <w:right w:val="single" w:sz="4" w:space="0" w:color="auto"/>
            </w:tcBorders>
            <w:shd w:val="clear" w:color="auto" w:fill="auto"/>
            <w:vAlign w:val="center"/>
          </w:tcPr>
          <w:p w14:paraId="14ACD1B3" w14:textId="77777777" w:rsidR="00CB0F8F" w:rsidRPr="006D25B2" w:rsidRDefault="00CB0F8F" w:rsidP="009D2487">
            <w:pPr>
              <w:pStyle w:val="Heading5"/>
              <w:tabs>
                <w:tab w:val="left" w:pos="1425"/>
              </w:tabs>
              <w:spacing w:before="80" w:after="80"/>
              <w:rPr>
                <w:b/>
                <w:bCs/>
                <w:iCs/>
                <w:sz w:val="16"/>
                <w:szCs w:val="16"/>
              </w:rPr>
            </w:pPr>
            <w:r w:rsidRPr="006D25B2">
              <w:rPr>
                <w:b/>
                <w:sz w:val="16"/>
                <w:szCs w:val="16"/>
              </w:rPr>
              <w:t>GHS hazard statement</w:t>
            </w:r>
          </w:p>
        </w:tc>
        <w:tc>
          <w:tcPr>
            <w:tcW w:w="811" w:type="dxa"/>
            <w:vMerge/>
            <w:tcBorders>
              <w:left w:val="single" w:sz="4" w:space="0" w:color="auto"/>
              <w:bottom w:val="single" w:sz="4" w:space="0" w:color="auto"/>
              <w:right w:val="single" w:sz="4" w:space="0" w:color="auto"/>
            </w:tcBorders>
            <w:shd w:val="clear" w:color="auto" w:fill="auto"/>
            <w:vAlign w:val="center"/>
          </w:tcPr>
          <w:p w14:paraId="44F5796C" w14:textId="77777777" w:rsidR="00CB0F8F" w:rsidRPr="006D25B2" w:rsidRDefault="00CB0F8F" w:rsidP="009D2487">
            <w:pPr>
              <w:pStyle w:val="Heading5"/>
              <w:tabs>
                <w:tab w:val="left" w:pos="1425"/>
              </w:tabs>
              <w:spacing w:before="80" w:after="80"/>
              <w:rPr>
                <w:b/>
                <w:bCs/>
                <w:sz w:val="16"/>
                <w:szCs w:val="16"/>
              </w:rPr>
            </w:pPr>
          </w:p>
        </w:tc>
      </w:tr>
      <w:tr w:rsidR="00CB0F8F" w:rsidRPr="006D25B2" w14:paraId="75FC83A2" w14:textId="77777777" w:rsidTr="000F0D22">
        <w:trPr>
          <w:cantSplit/>
          <w:trHeight w:val="459"/>
        </w:trPr>
        <w:tc>
          <w:tcPr>
            <w:tcW w:w="998" w:type="dxa"/>
            <w:tcBorders>
              <w:top w:val="single" w:sz="4" w:space="0" w:color="auto"/>
              <w:bottom w:val="single" w:sz="4" w:space="0" w:color="auto"/>
            </w:tcBorders>
            <w:shd w:val="clear" w:color="auto" w:fill="auto"/>
            <w:vAlign w:val="center"/>
          </w:tcPr>
          <w:p w14:paraId="6ACC2785" w14:textId="77777777" w:rsidR="00CB0F8F" w:rsidRPr="006D25B2" w:rsidRDefault="00CB0F8F" w:rsidP="009D2487">
            <w:pPr>
              <w:keepNext/>
              <w:keepLines/>
              <w:tabs>
                <w:tab w:val="left" w:pos="1425"/>
              </w:tabs>
              <w:spacing w:before="40" w:after="40" w:line="240" w:lineRule="auto"/>
              <w:jc w:val="center"/>
              <w:rPr>
                <w:b/>
                <w:bCs/>
                <w:sz w:val="16"/>
                <w:szCs w:val="16"/>
              </w:rPr>
            </w:pPr>
            <w:r w:rsidRPr="006D25B2">
              <w:rPr>
                <w:b/>
                <w:bCs/>
                <w:sz w:val="16"/>
                <w:szCs w:val="16"/>
              </w:rPr>
              <w:t>Hazardous to the ozone layer</w:t>
            </w:r>
          </w:p>
        </w:tc>
        <w:tc>
          <w:tcPr>
            <w:tcW w:w="782" w:type="dxa"/>
            <w:tcBorders>
              <w:top w:val="single" w:sz="4" w:space="0" w:color="auto"/>
              <w:bottom w:val="single" w:sz="4" w:space="0" w:color="auto"/>
            </w:tcBorders>
            <w:shd w:val="clear" w:color="auto" w:fill="auto"/>
            <w:vAlign w:val="center"/>
          </w:tcPr>
          <w:p w14:paraId="35150524" w14:textId="77777777" w:rsidR="00CB0F8F" w:rsidRPr="006D25B2" w:rsidRDefault="00CB0F8F" w:rsidP="009D2487">
            <w:pPr>
              <w:keepNext/>
              <w:keepLines/>
              <w:tabs>
                <w:tab w:val="left" w:pos="1425"/>
              </w:tabs>
              <w:spacing w:before="40" w:after="40"/>
              <w:jc w:val="center"/>
              <w:rPr>
                <w:b/>
                <w:sz w:val="16"/>
                <w:szCs w:val="16"/>
              </w:rPr>
            </w:pPr>
            <w:r w:rsidRPr="006D25B2">
              <w:rPr>
                <w:b/>
                <w:sz w:val="16"/>
                <w:szCs w:val="16"/>
              </w:rPr>
              <w:t>1</w:t>
            </w:r>
          </w:p>
        </w:tc>
        <w:tc>
          <w:tcPr>
            <w:tcW w:w="1230" w:type="dxa"/>
            <w:vMerge w:val="restart"/>
            <w:tcBorders>
              <w:top w:val="single" w:sz="4" w:space="0" w:color="auto"/>
            </w:tcBorders>
            <w:vAlign w:val="center"/>
          </w:tcPr>
          <w:p w14:paraId="0272F83E" w14:textId="77777777" w:rsidR="00CB0F8F" w:rsidRPr="006D25B2" w:rsidRDefault="00CB0F8F" w:rsidP="009D2487">
            <w:pPr>
              <w:keepNext/>
              <w:keepLines/>
              <w:tabs>
                <w:tab w:val="left" w:pos="1425"/>
              </w:tabs>
              <w:spacing w:before="40" w:after="40"/>
              <w:jc w:val="center"/>
              <w:rPr>
                <w:i/>
                <w:sz w:val="16"/>
                <w:szCs w:val="16"/>
              </w:rPr>
            </w:pPr>
            <w:r w:rsidRPr="006D25B2">
              <w:rPr>
                <w:i/>
                <w:sz w:val="16"/>
                <w:szCs w:val="16"/>
              </w:rPr>
              <w:t>Not applicable</w:t>
            </w:r>
          </w:p>
        </w:tc>
        <w:tc>
          <w:tcPr>
            <w:tcW w:w="1243" w:type="dxa"/>
            <w:vMerge w:val="restart"/>
            <w:tcBorders>
              <w:top w:val="single" w:sz="4" w:space="0" w:color="auto"/>
            </w:tcBorders>
            <w:shd w:val="clear" w:color="auto" w:fill="auto"/>
            <w:vAlign w:val="center"/>
          </w:tcPr>
          <w:p w14:paraId="0FAA24EA" w14:textId="77777777" w:rsidR="00CB0F8F" w:rsidRPr="006D25B2" w:rsidRDefault="00CB0F8F" w:rsidP="009D2487">
            <w:pPr>
              <w:keepNext/>
              <w:keepLines/>
              <w:tabs>
                <w:tab w:val="left" w:pos="1425"/>
              </w:tabs>
              <w:spacing w:before="40" w:after="40"/>
              <w:jc w:val="center"/>
              <w:rPr>
                <w:noProof/>
                <w:sz w:val="16"/>
                <w:szCs w:val="16"/>
              </w:rPr>
            </w:pPr>
            <w:r w:rsidRPr="006D25B2">
              <w:rPr>
                <w:noProof/>
                <w:sz w:val="16"/>
                <w:szCs w:val="16"/>
              </w:rPr>
              <w:drawing>
                <wp:inline distT="0" distB="0" distL="0" distR="0" wp14:anchorId="279C62DF" wp14:editId="3589D0EA">
                  <wp:extent cx="628015" cy="62801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a:ln>
                            <a:noFill/>
                          </a:ln>
                        </pic:spPr>
                      </pic:pic>
                    </a:graphicData>
                  </a:graphic>
                </wp:inline>
              </w:drawing>
            </w:r>
          </w:p>
        </w:tc>
        <w:tc>
          <w:tcPr>
            <w:tcW w:w="1134" w:type="dxa"/>
            <w:vMerge w:val="restart"/>
            <w:tcBorders>
              <w:top w:val="single" w:sz="4" w:space="0" w:color="auto"/>
            </w:tcBorders>
            <w:shd w:val="clear" w:color="auto" w:fill="auto"/>
            <w:vAlign w:val="center"/>
          </w:tcPr>
          <w:p w14:paraId="0D56D5F1" w14:textId="77777777" w:rsidR="00CB0F8F" w:rsidRPr="006D25B2" w:rsidRDefault="00CB0F8F" w:rsidP="009D2487">
            <w:pPr>
              <w:keepNext/>
              <w:keepLines/>
              <w:tabs>
                <w:tab w:val="left" w:pos="1425"/>
              </w:tabs>
              <w:spacing w:before="40" w:after="40"/>
              <w:jc w:val="center"/>
              <w:rPr>
                <w:i/>
                <w:sz w:val="16"/>
                <w:szCs w:val="16"/>
              </w:rPr>
            </w:pPr>
            <w:r w:rsidRPr="006D25B2">
              <w:rPr>
                <w:i/>
                <w:sz w:val="16"/>
                <w:szCs w:val="16"/>
              </w:rPr>
              <w:t>Not applicable</w:t>
            </w:r>
          </w:p>
        </w:tc>
        <w:tc>
          <w:tcPr>
            <w:tcW w:w="834" w:type="dxa"/>
            <w:vMerge w:val="restart"/>
            <w:tcBorders>
              <w:top w:val="single" w:sz="4" w:space="0" w:color="auto"/>
            </w:tcBorders>
            <w:shd w:val="clear" w:color="auto" w:fill="auto"/>
            <w:vAlign w:val="center"/>
          </w:tcPr>
          <w:p w14:paraId="575A3A1E" w14:textId="77777777" w:rsidR="00CB0F8F" w:rsidRPr="006D25B2" w:rsidRDefault="00CB0F8F" w:rsidP="009D2487">
            <w:pPr>
              <w:keepNext/>
              <w:keepLines/>
              <w:tabs>
                <w:tab w:val="left" w:pos="1425"/>
              </w:tabs>
              <w:spacing w:before="40" w:after="40"/>
              <w:ind w:left="-69" w:right="-15"/>
              <w:jc w:val="center"/>
              <w:rPr>
                <w:b/>
                <w:sz w:val="16"/>
                <w:szCs w:val="16"/>
              </w:rPr>
            </w:pPr>
            <w:r w:rsidRPr="006D25B2">
              <w:rPr>
                <w:b/>
                <w:sz w:val="16"/>
                <w:szCs w:val="16"/>
              </w:rPr>
              <w:t>Warning</w:t>
            </w:r>
          </w:p>
        </w:tc>
        <w:tc>
          <w:tcPr>
            <w:tcW w:w="1473" w:type="dxa"/>
            <w:tcBorders>
              <w:top w:val="single" w:sz="4" w:space="0" w:color="auto"/>
              <w:bottom w:val="single" w:sz="4" w:space="0" w:color="auto"/>
            </w:tcBorders>
            <w:shd w:val="clear" w:color="auto" w:fill="auto"/>
            <w:vAlign w:val="center"/>
          </w:tcPr>
          <w:p w14:paraId="3B747A40" w14:textId="77777777" w:rsidR="00CB0F8F" w:rsidRPr="006D25B2" w:rsidRDefault="00CB0F8F" w:rsidP="009D2487">
            <w:pPr>
              <w:keepNext/>
              <w:keepLines/>
              <w:tabs>
                <w:tab w:val="left" w:pos="1425"/>
              </w:tabs>
              <w:spacing w:before="40" w:after="40" w:line="240" w:lineRule="auto"/>
              <w:rPr>
                <w:sz w:val="16"/>
                <w:szCs w:val="16"/>
              </w:rPr>
            </w:pPr>
            <w:r w:rsidRPr="006D25B2">
              <w:rPr>
                <w:sz w:val="16"/>
                <w:szCs w:val="16"/>
              </w:rPr>
              <w:t>Harms public health and the environment by destroying ozone in the upper atmosphere</w:t>
            </w:r>
          </w:p>
        </w:tc>
        <w:tc>
          <w:tcPr>
            <w:tcW w:w="811" w:type="dxa"/>
            <w:tcBorders>
              <w:top w:val="single" w:sz="4" w:space="0" w:color="auto"/>
              <w:bottom w:val="single" w:sz="4" w:space="0" w:color="auto"/>
            </w:tcBorders>
            <w:shd w:val="clear" w:color="auto" w:fill="auto"/>
            <w:vAlign w:val="center"/>
          </w:tcPr>
          <w:p w14:paraId="7E82AB8F" w14:textId="77777777" w:rsidR="00CB0F8F" w:rsidRPr="006D25B2" w:rsidRDefault="00CB0F8F" w:rsidP="009D2487">
            <w:pPr>
              <w:keepNext/>
              <w:keepLines/>
              <w:tabs>
                <w:tab w:val="left" w:pos="1425"/>
              </w:tabs>
              <w:spacing w:before="40" w:after="40"/>
              <w:jc w:val="center"/>
              <w:rPr>
                <w:sz w:val="16"/>
                <w:szCs w:val="16"/>
              </w:rPr>
            </w:pPr>
            <w:r w:rsidRPr="006D25B2">
              <w:rPr>
                <w:sz w:val="16"/>
                <w:szCs w:val="16"/>
              </w:rPr>
              <w:t>H420</w:t>
            </w:r>
          </w:p>
        </w:tc>
      </w:tr>
      <w:tr w:rsidR="00CB0F8F" w:rsidRPr="006D25B2" w14:paraId="4113E7F0" w14:textId="77777777" w:rsidTr="000F0D22">
        <w:trPr>
          <w:cantSplit/>
          <w:trHeight w:val="459"/>
        </w:trPr>
        <w:tc>
          <w:tcPr>
            <w:tcW w:w="998" w:type="dxa"/>
            <w:tcBorders>
              <w:top w:val="single" w:sz="4" w:space="0" w:color="auto"/>
              <w:bottom w:val="single" w:sz="4" w:space="0" w:color="auto"/>
            </w:tcBorders>
            <w:shd w:val="clear" w:color="auto" w:fill="auto"/>
            <w:vAlign w:val="center"/>
          </w:tcPr>
          <w:p w14:paraId="7352D343" w14:textId="77777777" w:rsidR="00CB0F8F" w:rsidRPr="006D25B2" w:rsidRDefault="00CB0F8F" w:rsidP="009D2487">
            <w:pPr>
              <w:keepNext/>
              <w:keepLines/>
              <w:tabs>
                <w:tab w:val="left" w:pos="1425"/>
              </w:tabs>
              <w:spacing w:before="40" w:after="40" w:line="240" w:lineRule="auto"/>
              <w:jc w:val="center"/>
              <w:rPr>
                <w:b/>
                <w:sz w:val="16"/>
                <w:szCs w:val="16"/>
              </w:rPr>
            </w:pPr>
            <w:r w:rsidRPr="006D25B2">
              <w:rPr>
                <w:b/>
                <w:bCs/>
                <w:sz w:val="16"/>
                <w:szCs w:val="16"/>
              </w:rPr>
              <w:t xml:space="preserve">Hazardous by contributing to global warming  </w:t>
            </w:r>
          </w:p>
        </w:tc>
        <w:tc>
          <w:tcPr>
            <w:tcW w:w="782" w:type="dxa"/>
            <w:tcBorders>
              <w:top w:val="single" w:sz="4" w:space="0" w:color="auto"/>
            </w:tcBorders>
            <w:shd w:val="clear" w:color="auto" w:fill="auto"/>
            <w:vAlign w:val="center"/>
          </w:tcPr>
          <w:p w14:paraId="4B7FA375" w14:textId="77777777" w:rsidR="00CB0F8F" w:rsidRPr="006D25B2" w:rsidRDefault="00CB0F8F" w:rsidP="009D2487">
            <w:pPr>
              <w:keepNext/>
              <w:keepLines/>
              <w:tabs>
                <w:tab w:val="left" w:pos="1425"/>
              </w:tabs>
              <w:spacing w:before="40" w:after="40"/>
              <w:jc w:val="center"/>
              <w:rPr>
                <w:b/>
                <w:sz w:val="16"/>
                <w:szCs w:val="16"/>
              </w:rPr>
            </w:pPr>
            <w:r w:rsidRPr="006D25B2">
              <w:rPr>
                <w:b/>
                <w:sz w:val="16"/>
                <w:szCs w:val="16"/>
              </w:rPr>
              <w:t>1</w:t>
            </w:r>
          </w:p>
        </w:tc>
        <w:tc>
          <w:tcPr>
            <w:tcW w:w="1230" w:type="dxa"/>
            <w:vMerge/>
            <w:vAlign w:val="center"/>
          </w:tcPr>
          <w:p w14:paraId="7AAE8B8E" w14:textId="77777777" w:rsidR="00CB0F8F" w:rsidRPr="006D25B2" w:rsidRDefault="00CB0F8F" w:rsidP="009D2487">
            <w:pPr>
              <w:keepNext/>
              <w:keepLines/>
              <w:tabs>
                <w:tab w:val="left" w:pos="1425"/>
              </w:tabs>
              <w:spacing w:before="40" w:after="40"/>
              <w:jc w:val="center"/>
              <w:rPr>
                <w:noProof/>
                <w:sz w:val="16"/>
                <w:szCs w:val="16"/>
              </w:rPr>
            </w:pPr>
          </w:p>
        </w:tc>
        <w:tc>
          <w:tcPr>
            <w:tcW w:w="1243" w:type="dxa"/>
            <w:vMerge/>
            <w:shd w:val="clear" w:color="auto" w:fill="auto"/>
            <w:vAlign w:val="center"/>
          </w:tcPr>
          <w:p w14:paraId="152CAE71" w14:textId="77777777" w:rsidR="00CB0F8F" w:rsidRPr="006D25B2" w:rsidRDefault="00CB0F8F" w:rsidP="009D2487">
            <w:pPr>
              <w:keepNext/>
              <w:keepLines/>
              <w:tabs>
                <w:tab w:val="left" w:pos="1425"/>
              </w:tabs>
              <w:spacing w:before="40" w:after="40"/>
              <w:jc w:val="center"/>
              <w:rPr>
                <w:sz w:val="16"/>
                <w:szCs w:val="16"/>
              </w:rPr>
            </w:pPr>
          </w:p>
        </w:tc>
        <w:tc>
          <w:tcPr>
            <w:tcW w:w="1134" w:type="dxa"/>
            <w:vMerge/>
            <w:shd w:val="clear" w:color="auto" w:fill="auto"/>
            <w:vAlign w:val="center"/>
          </w:tcPr>
          <w:p w14:paraId="6E2CCF3C" w14:textId="77777777" w:rsidR="00CB0F8F" w:rsidRPr="006D25B2" w:rsidRDefault="00CB0F8F" w:rsidP="009D2487">
            <w:pPr>
              <w:keepNext/>
              <w:keepLines/>
              <w:tabs>
                <w:tab w:val="left" w:pos="1425"/>
              </w:tabs>
              <w:spacing w:before="40" w:after="40"/>
              <w:jc w:val="center"/>
              <w:rPr>
                <w:sz w:val="16"/>
                <w:szCs w:val="16"/>
              </w:rPr>
            </w:pPr>
          </w:p>
        </w:tc>
        <w:tc>
          <w:tcPr>
            <w:tcW w:w="834" w:type="dxa"/>
            <w:vMerge/>
            <w:shd w:val="clear" w:color="auto" w:fill="auto"/>
            <w:vAlign w:val="center"/>
          </w:tcPr>
          <w:p w14:paraId="481714C0" w14:textId="77777777" w:rsidR="00CB0F8F" w:rsidRPr="006D25B2" w:rsidRDefault="00CB0F8F" w:rsidP="009D2487">
            <w:pPr>
              <w:keepNext/>
              <w:keepLines/>
              <w:tabs>
                <w:tab w:val="left" w:pos="1425"/>
              </w:tabs>
              <w:spacing w:before="40" w:after="40"/>
              <w:ind w:left="-69" w:right="-15"/>
              <w:jc w:val="center"/>
              <w:rPr>
                <w:sz w:val="16"/>
                <w:szCs w:val="16"/>
              </w:rPr>
            </w:pPr>
          </w:p>
        </w:tc>
        <w:tc>
          <w:tcPr>
            <w:tcW w:w="1473" w:type="dxa"/>
            <w:tcBorders>
              <w:top w:val="single" w:sz="4" w:space="0" w:color="auto"/>
              <w:bottom w:val="single" w:sz="4" w:space="0" w:color="auto"/>
            </w:tcBorders>
            <w:shd w:val="clear" w:color="auto" w:fill="auto"/>
            <w:vAlign w:val="center"/>
          </w:tcPr>
          <w:p w14:paraId="3883EF94" w14:textId="77777777" w:rsidR="00CB0F8F" w:rsidRPr="006D25B2" w:rsidRDefault="00CB0F8F" w:rsidP="009D2487">
            <w:pPr>
              <w:keepNext/>
              <w:keepLines/>
              <w:tabs>
                <w:tab w:val="left" w:pos="1425"/>
              </w:tabs>
              <w:spacing w:before="40" w:after="40" w:line="240" w:lineRule="auto"/>
              <w:rPr>
                <w:noProof/>
                <w:sz w:val="16"/>
                <w:szCs w:val="16"/>
                <w:lang w:eastAsia="sv-SE"/>
              </w:rPr>
            </w:pPr>
            <w:r w:rsidRPr="006D25B2">
              <w:rPr>
                <w:sz w:val="16"/>
                <w:szCs w:val="16"/>
              </w:rPr>
              <w:t xml:space="preserve">Harms public health and the environment by contributing to global warming </w:t>
            </w:r>
          </w:p>
        </w:tc>
        <w:tc>
          <w:tcPr>
            <w:tcW w:w="811" w:type="dxa"/>
            <w:tcBorders>
              <w:top w:val="single" w:sz="4" w:space="0" w:color="auto"/>
              <w:bottom w:val="single" w:sz="4" w:space="0" w:color="auto"/>
            </w:tcBorders>
            <w:shd w:val="clear" w:color="auto" w:fill="auto"/>
            <w:vAlign w:val="center"/>
          </w:tcPr>
          <w:p w14:paraId="388AD4D6" w14:textId="77777777" w:rsidR="00CB0F8F" w:rsidRPr="006D25B2" w:rsidRDefault="00CB0F8F" w:rsidP="009D2487">
            <w:pPr>
              <w:keepNext/>
              <w:keepLines/>
              <w:tabs>
                <w:tab w:val="left" w:pos="1425"/>
              </w:tabs>
              <w:spacing w:before="40" w:after="40"/>
              <w:jc w:val="center"/>
              <w:rPr>
                <w:sz w:val="16"/>
                <w:szCs w:val="16"/>
              </w:rPr>
            </w:pPr>
            <w:r w:rsidRPr="006D25B2">
              <w:rPr>
                <w:sz w:val="16"/>
                <w:szCs w:val="16"/>
              </w:rPr>
              <w:t>H421</w:t>
            </w:r>
          </w:p>
        </w:tc>
      </w:tr>
    </w:tbl>
    <w:p w14:paraId="33B5C5FE" w14:textId="77777777" w:rsidR="00CB0F8F" w:rsidRPr="00A22868" w:rsidRDefault="00CB0F8F" w:rsidP="00CB0F8F">
      <w:pPr>
        <w:spacing w:line="240" w:lineRule="auto"/>
        <w:ind w:left="1418"/>
        <w:jc w:val="right"/>
        <w:rPr>
          <w:rFonts w:asciiTheme="majorBidi" w:hAnsiTheme="majorBidi" w:cstheme="majorBidi"/>
          <w:noProof/>
        </w:rPr>
      </w:pPr>
      <w:r w:rsidRPr="00A22868">
        <w:rPr>
          <w:rFonts w:asciiTheme="majorBidi" w:hAnsiTheme="majorBidi" w:cstheme="majorBidi"/>
          <w:noProof/>
        </w:rPr>
        <w:t>”</w:t>
      </w:r>
    </w:p>
    <w:p w14:paraId="52245CD4" w14:textId="5CA079DB" w:rsidR="00CB0F8F" w:rsidRPr="00A22868" w:rsidRDefault="001F4B2E" w:rsidP="003F77A7">
      <w:pPr>
        <w:pStyle w:val="H1G"/>
      </w:pPr>
      <w:r>
        <w:lastRenderedPageBreak/>
        <w:tab/>
      </w:r>
      <w:r w:rsidR="00C23863">
        <w:tab/>
      </w:r>
      <w:r w:rsidR="00CB0F8F" w:rsidRPr="00A22868">
        <w:t>Annex 3,</w:t>
      </w:r>
      <w:r w:rsidR="00C23863">
        <w:t xml:space="preserve"> </w:t>
      </w:r>
      <w:r w:rsidR="00CB0F8F" w:rsidRPr="00A22868">
        <w:t>section 1</w:t>
      </w:r>
    </w:p>
    <w:p w14:paraId="580A0AB4" w14:textId="77777777" w:rsidR="00CB0F8F" w:rsidRPr="008B0608" w:rsidRDefault="00CB0F8F" w:rsidP="003F77A7">
      <w:pPr>
        <w:pStyle w:val="SingleTxtG"/>
        <w:keepNext/>
        <w:keepLines/>
        <w:rPr>
          <w:b/>
          <w:bCs/>
          <w:noProof/>
        </w:rPr>
      </w:pPr>
      <w:r w:rsidRPr="008B0608">
        <w:rPr>
          <w:b/>
          <w:bCs/>
        </w:rPr>
        <w:t xml:space="preserve">Table A3.1.3 </w:t>
      </w:r>
    </w:p>
    <w:p w14:paraId="1449857E" w14:textId="3E494521" w:rsidR="00CB0F8F" w:rsidRPr="00A22868" w:rsidRDefault="00CB0F8F" w:rsidP="00CB0F8F">
      <w:pPr>
        <w:spacing w:after="240" w:line="240" w:lineRule="auto"/>
        <w:ind w:left="1134"/>
        <w:jc w:val="both"/>
      </w:pPr>
      <w:r w:rsidRPr="00A22868">
        <w:rPr>
          <w:noProof/>
        </w:rPr>
        <w:t>Insert the following</w:t>
      </w:r>
      <w:r w:rsidRPr="00A22868">
        <w:t xml:space="preserve"> new entry </w:t>
      </w:r>
      <w:r w:rsidR="00296FA0">
        <w:t>under</w:t>
      </w:r>
      <w:r w:rsidR="00296FA0" w:rsidRPr="00A22868">
        <w:t xml:space="preserve"> </w:t>
      </w:r>
      <w:r w:rsidRPr="00A22868">
        <w:t>H420:</w:t>
      </w:r>
    </w:p>
    <w:tbl>
      <w:tblPr>
        <w:tblStyle w:val="TableGrid"/>
        <w:tblW w:w="8050" w:type="dxa"/>
        <w:tblInd w:w="1129" w:type="dxa"/>
        <w:tblLook w:val="04A0" w:firstRow="1" w:lastRow="0" w:firstColumn="1" w:lastColumn="0" w:noHBand="0" w:noVBand="1"/>
      </w:tblPr>
      <w:tblGrid>
        <w:gridCol w:w="709"/>
        <w:gridCol w:w="3827"/>
        <w:gridCol w:w="2845"/>
        <w:gridCol w:w="669"/>
      </w:tblGrid>
      <w:tr w:rsidR="00CB0F8F" w:rsidRPr="00A22868" w14:paraId="1F3D8753" w14:textId="77777777" w:rsidTr="009D2487">
        <w:tc>
          <w:tcPr>
            <w:tcW w:w="709" w:type="dxa"/>
            <w:tcBorders>
              <w:bottom w:val="single" w:sz="4" w:space="0" w:color="auto"/>
            </w:tcBorders>
          </w:tcPr>
          <w:p w14:paraId="6392EE0A" w14:textId="77777777" w:rsidR="00CB0F8F" w:rsidRPr="008B0608" w:rsidRDefault="00CB0F8F" w:rsidP="009D2487">
            <w:pPr>
              <w:pStyle w:val="SingleTxtG"/>
              <w:spacing w:before="20" w:after="20" w:line="240" w:lineRule="auto"/>
              <w:ind w:left="0" w:right="2"/>
              <w:jc w:val="center"/>
              <w:rPr>
                <w:b/>
                <w:bCs/>
                <w:sz w:val="16"/>
                <w:szCs w:val="16"/>
                <w:lang w:val="en-GB"/>
              </w:rPr>
            </w:pPr>
            <w:r w:rsidRPr="00A22868">
              <w:rPr>
                <w:b/>
                <w:bCs/>
                <w:sz w:val="16"/>
                <w:szCs w:val="16"/>
              </w:rPr>
              <w:t>(1)</w:t>
            </w:r>
          </w:p>
        </w:tc>
        <w:tc>
          <w:tcPr>
            <w:tcW w:w="3827" w:type="dxa"/>
            <w:tcBorders>
              <w:bottom w:val="single" w:sz="4" w:space="0" w:color="auto"/>
            </w:tcBorders>
          </w:tcPr>
          <w:p w14:paraId="16C2E97A"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(2)</w:t>
            </w:r>
          </w:p>
        </w:tc>
        <w:tc>
          <w:tcPr>
            <w:tcW w:w="2845" w:type="dxa"/>
          </w:tcPr>
          <w:p w14:paraId="4E8399C1"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(3)</w:t>
            </w:r>
          </w:p>
        </w:tc>
        <w:tc>
          <w:tcPr>
            <w:tcW w:w="669" w:type="dxa"/>
          </w:tcPr>
          <w:p w14:paraId="29AE4FF1" w14:textId="77777777" w:rsidR="00CB0F8F" w:rsidRPr="008B0608" w:rsidRDefault="00CB0F8F" w:rsidP="009D2487">
            <w:pPr>
              <w:pStyle w:val="SingleTxtG"/>
              <w:spacing w:before="20" w:after="20" w:line="240" w:lineRule="auto"/>
              <w:ind w:left="0" w:right="5"/>
              <w:jc w:val="center"/>
              <w:rPr>
                <w:b/>
                <w:bCs/>
                <w:sz w:val="16"/>
                <w:szCs w:val="16"/>
                <w:lang w:val="en-GB"/>
              </w:rPr>
            </w:pPr>
            <w:r w:rsidRPr="00A22868">
              <w:rPr>
                <w:b/>
                <w:bCs/>
                <w:sz w:val="16"/>
                <w:szCs w:val="16"/>
              </w:rPr>
              <w:t>(4)</w:t>
            </w:r>
          </w:p>
        </w:tc>
      </w:tr>
      <w:tr w:rsidR="00CB0F8F" w:rsidRPr="00A22868" w14:paraId="6B99D35E" w14:textId="77777777" w:rsidTr="009D2487">
        <w:trPr>
          <w:trHeight w:val="328"/>
        </w:trPr>
        <w:tc>
          <w:tcPr>
            <w:tcW w:w="709" w:type="dxa"/>
            <w:tcBorders>
              <w:bottom w:val="single" w:sz="4" w:space="0" w:color="auto"/>
              <w:right w:val="single" w:sz="4" w:space="0" w:color="auto"/>
            </w:tcBorders>
          </w:tcPr>
          <w:p w14:paraId="167D4C87" w14:textId="77777777" w:rsidR="00CB0F8F" w:rsidRPr="008B0608" w:rsidRDefault="00CB0F8F" w:rsidP="009D2487">
            <w:pPr>
              <w:jc w:val="center"/>
              <w:rPr>
                <w:sz w:val="18"/>
                <w:szCs w:val="18"/>
                <w:lang w:val="en-GB"/>
              </w:rPr>
            </w:pPr>
            <w:r w:rsidRPr="00A22868">
              <w:rPr>
                <w:sz w:val="18"/>
                <w:szCs w:val="18"/>
              </w:rPr>
              <w:t>H421</w:t>
            </w:r>
          </w:p>
        </w:tc>
        <w:tc>
          <w:tcPr>
            <w:tcW w:w="3827" w:type="dxa"/>
            <w:tcBorders>
              <w:left w:val="single" w:sz="4" w:space="0" w:color="auto"/>
              <w:bottom w:val="single" w:sz="4" w:space="0" w:color="auto"/>
            </w:tcBorders>
          </w:tcPr>
          <w:p w14:paraId="5FED948F" w14:textId="77777777" w:rsidR="00CB0F8F" w:rsidRPr="008B0608" w:rsidRDefault="00CB0F8F" w:rsidP="009D2487">
            <w:pPr>
              <w:rPr>
                <w:b/>
                <w:bCs/>
                <w:sz w:val="18"/>
                <w:szCs w:val="18"/>
                <w:lang w:val="en-GB"/>
              </w:rPr>
            </w:pPr>
            <w:r w:rsidRPr="00A22868">
              <w:rPr>
                <w:b/>
                <w:bCs/>
                <w:sz w:val="18"/>
                <w:szCs w:val="18"/>
              </w:rPr>
              <w:t>Harms public health and the environment by contributing to global warming</w:t>
            </w:r>
          </w:p>
        </w:tc>
        <w:tc>
          <w:tcPr>
            <w:tcW w:w="2845" w:type="dxa"/>
          </w:tcPr>
          <w:p w14:paraId="386910A9" w14:textId="77777777" w:rsidR="00CB0F8F" w:rsidRPr="008B0608" w:rsidRDefault="00CB0F8F" w:rsidP="009D2487">
            <w:pPr>
              <w:rPr>
                <w:sz w:val="18"/>
                <w:szCs w:val="18"/>
                <w:lang w:val="en-GB"/>
              </w:rPr>
            </w:pPr>
            <w:r w:rsidRPr="00A22868">
              <w:rPr>
                <w:sz w:val="18"/>
                <w:szCs w:val="18"/>
              </w:rPr>
              <w:t>Hazardous by contributing to global warming (chapter 4.2)</w:t>
            </w:r>
          </w:p>
        </w:tc>
        <w:tc>
          <w:tcPr>
            <w:tcW w:w="669" w:type="dxa"/>
          </w:tcPr>
          <w:p w14:paraId="31B0EDA6" w14:textId="77777777" w:rsidR="00CB0F8F" w:rsidRPr="008B0608" w:rsidRDefault="00CB0F8F" w:rsidP="009D2487">
            <w:pPr>
              <w:jc w:val="center"/>
              <w:rPr>
                <w:sz w:val="18"/>
                <w:szCs w:val="18"/>
                <w:lang w:val="en-GB"/>
              </w:rPr>
            </w:pPr>
            <w:r w:rsidRPr="00A22868">
              <w:rPr>
                <w:sz w:val="18"/>
                <w:szCs w:val="18"/>
              </w:rPr>
              <w:t>1</w:t>
            </w:r>
          </w:p>
        </w:tc>
      </w:tr>
    </w:tbl>
    <w:p w14:paraId="6A8A13CD" w14:textId="0AABCA99" w:rsidR="00CB0F8F" w:rsidRPr="00A22868" w:rsidRDefault="003E5E29" w:rsidP="00CB0F8F">
      <w:pPr>
        <w:pStyle w:val="H1G"/>
      </w:pPr>
      <w:r w:rsidRPr="00A22868">
        <w:tab/>
      </w:r>
      <w:r w:rsidRPr="00A22868">
        <w:tab/>
      </w:r>
      <w:r w:rsidR="00CB0F8F" w:rsidRPr="00A22868">
        <w:t>Annex 3, section 2</w:t>
      </w:r>
    </w:p>
    <w:p w14:paraId="4E2682E7" w14:textId="77777777" w:rsidR="00CB0F8F" w:rsidRPr="00A22868" w:rsidRDefault="00CB0F8F" w:rsidP="00CB0F8F">
      <w:pPr>
        <w:pStyle w:val="H23G"/>
      </w:pPr>
      <w:r w:rsidRPr="00A22868">
        <w:tab/>
      </w:r>
      <w:r w:rsidRPr="00A22868">
        <w:tab/>
        <w:t>Table A3.2.2</w:t>
      </w:r>
    </w:p>
    <w:p w14:paraId="3678B32E" w14:textId="77777777" w:rsidR="00CB0F8F" w:rsidRPr="00A22868" w:rsidRDefault="00CB0F8F" w:rsidP="00CB0F8F">
      <w:pPr>
        <w:pStyle w:val="H23G"/>
      </w:pPr>
      <w:r w:rsidRPr="00A22868">
        <w:tab/>
      </w:r>
      <w:r w:rsidRPr="00A22868">
        <w:tab/>
        <w:t>P260, column (4)</w:t>
      </w:r>
    </w:p>
    <w:p w14:paraId="4F7ECEB1" w14:textId="77777777" w:rsidR="00CB0F8F" w:rsidRPr="00A22868" w:rsidRDefault="00CB0F8F" w:rsidP="00CB0F8F">
      <w:pPr>
        <w:pStyle w:val="SingleTxtG"/>
      </w:pPr>
      <w:r w:rsidRPr="00A22868">
        <w:t>For “Acute toxicity, inhalation (chapter 3.1)”: Insert “, 3” after “1, 2”.</w:t>
      </w:r>
    </w:p>
    <w:p w14:paraId="4ECC341E" w14:textId="77777777" w:rsidR="00CB0F8F" w:rsidRPr="00A22868" w:rsidRDefault="00CB0F8F" w:rsidP="00CB0F8F">
      <w:pPr>
        <w:pStyle w:val="SingleTxtG"/>
      </w:pPr>
      <w:r w:rsidRPr="00A22868">
        <w:t>For “Specific target organ toxicity, single exposure (chapter 3.8)” and “Specific target organ toxicity, repeated exposure (chapter 3.9)”: Delete: “, 2”.</w:t>
      </w:r>
    </w:p>
    <w:p w14:paraId="6F927817" w14:textId="77777777" w:rsidR="00CB0F8F" w:rsidRPr="00A22868" w:rsidRDefault="00CB0F8F" w:rsidP="00CB0F8F">
      <w:pPr>
        <w:pStyle w:val="H23G"/>
      </w:pPr>
      <w:r w:rsidRPr="00A22868">
        <w:tab/>
      </w:r>
      <w:r w:rsidRPr="00A22868">
        <w:tab/>
        <w:t>P261</w:t>
      </w:r>
    </w:p>
    <w:p w14:paraId="6115F4D4" w14:textId="7B8800CE" w:rsidR="00CB0F8F" w:rsidRPr="00A22868" w:rsidRDefault="00CB0F8F" w:rsidP="00CB0F8F">
      <w:pPr>
        <w:pStyle w:val="SingleTxtG"/>
      </w:pPr>
      <w:r w:rsidRPr="00A22868">
        <w:t>For “Acute toxicity, inhalation (chapter 3.1)”, column (4):  delete “3,”.</w:t>
      </w:r>
    </w:p>
    <w:p w14:paraId="225E4734" w14:textId="64D19DEE" w:rsidR="00CB0F8F" w:rsidRPr="00A22868" w:rsidRDefault="00CB0F8F" w:rsidP="00ED18C5">
      <w:pPr>
        <w:pStyle w:val="SingleTxtG"/>
      </w:pPr>
      <w:r w:rsidRPr="00A22868">
        <w:t>Insert the following new row below the entry for “Skin sensitization</w:t>
      </w:r>
      <w:r w:rsidR="006314E3">
        <w:t xml:space="preserve"> (chapter 3.4)</w:t>
      </w:r>
      <w:r w:rsidRPr="00A22868">
        <w:t>”:</w:t>
      </w:r>
    </w:p>
    <w:tbl>
      <w:tblPr>
        <w:tblStyle w:val="TableGrid"/>
        <w:tblW w:w="0" w:type="auto"/>
        <w:tblInd w:w="1134" w:type="dxa"/>
        <w:tblLook w:val="04A0" w:firstRow="1" w:lastRow="0" w:firstColumn="1" w:lastColumn="0" w:noHBand="0" w:noVBand="1"/>
      </w:tblPr>
      <w:tblGrid>
        <w:gridCol w:w="846"/>
        <w:gridCol w:w="850"/>
        <w:gridCol w:w="3261"/>
        <w:gridCol w:w="708"/>
        <w:gridCol w:w="1701"/>
      </w:tblGrid>
      <w:tr w:rsidR="00CB0F8F" w:rsidRPr="00A22868" w14:paraId="445A6BE9" w14:textId="77777777" w:rsidTr="008B0608">
        <w:tc>
          <w:tcPr>
            <w:tcW w:w="846" w:type="dxa"/>
          </w:tcPr>
          <w:p w14:paraId="0D8BB77C" w14:textId="77777777" w:rsidR="00CB0F8F" w:rsidRPr="008B0608" w:rsidRDefault="00CB0F8F" w:rsidP="009D2487">
            <w:pPr>
              <w:pStyle w:val="SingleTxtG"/>
              <w:spacing w:before="20" w:after="20" w:line="240" w:lineRule="auto"/>
              <w:ind w:left="0" w:right="2"/>
              <w:jc w:val="center"/>
              <w:rPr>
                <w:b/>
                <w:bCs/>
                <w:sz w:val="18"/>
                <w:szCs w:val="18"/>
                <w:lang w:val="en-GB"/>
              </w:rPr>
            </w:pPr>
            <w:r w:rsidRPr="00A22868">
              <w:rPr>
                <w:b/>
                <w:bCs/>
                <w:sz w:val="18"/>
                <w:szCs w:val="18"/>
              </w:rPr>
              <w:t>(1)</w:t>
            </w:r>
          </w:p>
        </w:tc>
        <w:tc>
          <w:tcPr>
            <w:tcW w:w="850" w:type="dxa"/>
          </w:tcPr>
          <w:p w14:paraId="440ACDA3"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(2)</w:t>
            </w:r>
          </w:p>
        </w:tc>
        <w:tc>
          <w:tcPr>
            <w:tcW w:w="3261" w:type="dxa"/>
          </w:tcPr>
          <w:p w14:paraId="6D7FCBE4"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(3)</w:t>
            </w:r>
          </w:p>
        </w:tc>
        <w:tc>
          <w:tcPr>
            <w:tcW w:w="708" w:type="dxa"/>
          </w:tcPr>
          <w:p w14:paraId="5ABDD653" w14:textId="77777777" w:rsidR="00CB0F8F" w:rsidRPr="008B0608" w:rsidRDefault="00CB0F8F" w:rsidP="009D2487">
            <w:pPr>
              <w:pStyle w:val="SingleTxtG"/>
              <w:spacing w:before="20" w:after="20" w:line="240" w:lineRule="auto"/>
              <w:ind w:left="0" w:right="5"/>
              <w:jc w:val="center"/>
              <w:rPr>
                <w:b/>
                <w:bCs/>
                <w:sz w:val="18"/>
                <w:szCs w:val="18"/>
                <w:lang w:val="en-GB"/>
              </w:rPr>
            </w:pPr>
            <w:r w:rsidRPr="00A22868">
              <w:rPr>
                <w:b/>
                <w:bCs/>
                <w:sz w:val="18"/>
                <w:szCs w:val="18"/>
              </w:rPr>
              <w:t>(4)</w:t>
            </w:r>
          </w:p>
        </w:tc>
        <w:tc>
          <w:tcPr>
            <w:tcW w:w="1701" w:type="dxa"/>
          </w:tcPr>
          <w:p w14:paraId="3FD40897"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(5)</w:t>
            </w:r>
          </w:p>
        </w:tc>
      </w:tr>
      <w:tr w:rsidR="00CB0F8F" w:rsidRPr="00A22868" w14:paraId="0A499EA1" w14:textId="77777777" w:rsidTr="009D2487">
        <w:tc>
          <w:tcPr>
            <w:tcW w:w="846" w:type="dxa"/>
            <w:tcBorders>
              <w:bottom w:val="single" w:sz="4" w:space="0" w:color="auto"/>
            </w:tcBorders>
          </w:tcPr>
          <w:p w14:paraId="5BEAA86D" w14:textId="77777777" w:rsidR="00CB0F8F" w:rsidRPr="008B0608" w:rsidRDefault="00CB0F8F" w:rsidP="009D2487">
            <w:pPr>
              <w:pStyle w:val="SingleTxtG"/>
              <w:spacing w:before="20" w:after="20" w:line="240" w:lineRule="auto"/>
              <w:ind w:left="0" w:right="2"/>
              <w:jc w:val="center"/>
              <w:rPr>
                <w:b/>
                <w:bCs/>
                <w:sz w:val="18"/>
                <w:szCs w:val="18"/>
                <w:lang w:val="en-GB"/>
              </w:rPr>
            </w:pPr>
          </w:p>
        </w:tc>
        <w:tc>
          <w:tcPr>
            <w:tcW w:w="850" w:type="dxa"/>
            <w:tcBorders>
              <w:bottom w:val="single" w:sz="4" w:space="0" w:color="auto"/>
            </w:tcBorders>
          </w:tcPr>
          <w:p w14:paraId="544C552F" w14:textId="77777777" w:rsidR="00CB0F8F" w:rsidRPr="008B0608" w:rsidRDefault="00CB0F8F" w:rsidP="009D2487">
            <w:pPr>
              <w:pStyle w:val="SingleTxtG"/>
              <w:spacing w:before="20" w:after="20" w:line="240" w:lineRule="auto"/>
              <w:ind w:left="0" w:right="0"/>
              <w:jc w:val="center"/>
              <w:rPr>
                <w:b/>
                <w:bCs/>
                <w:sz w:val="18"/>
                <w:szCs w:val="18"/>
                <w:lang w:val="en-GB"/>
              </w:rPr>
            </w:pPr>
          </w:p>
        </w:tc>
        <w:tc>
          <w:tcPr>
            <w:tcW w:w="3261" w:type="dxa"/>
          </w:tcPr>
          <w:p w14:paraId="0F6CC205" w14:textId="77777777" w:rsidR="00CB0F8F" w:rsidRPr="008B0608" w:rsidRDefault="00CB0F8F" w:rsidP="008B0608">
            <w:pPr>
              <w:pStyle w:val="SingleTxtG"/>
              <w:spacing w:before="20" w:after="20" w:line="240" w:lineRule="auto"/>
              <w:ind w:left="0" w:right="0"/>
              <w:jc w:val="left"/>
              <w:rPr>
                <w:b/>
                <w:bCs/>
                <w:sz w:val="18"/>
                <w:szCs w:val="18"/>
                <w:lang w:val="en-GB"/>
              </w:rPr>
            </w:pPr>
            <w:r w:rsidRPr="00A22868">
              <w:rPr>
                <w:sz w:val="18"/>
                <w:szCs w:val="18"/>
              </w:rPr>
              <w:t>Specific target organ toxicity, single exposure (chapter 3.8)</w:t>
            </w:r>
          </w:p>
        </w:tc>
        <w:tc>
          <w:tcPr>
            <w:tcW w:w="708" w:type="dxa"/>
          </w:tcPr>
          <w:p w14:paraId="5A5BFA67" w14:textId="77777777" w:rsidR="00CB0F8F" w:rsidRPr="008B0608" w:rsidRDefault="00CB0F8F" w:rsidP="009D2487">
            <w:pPr>
              <w:pStyle w:val="SingleTxtG"/>
              <w:spacing w:before="20" w:after="20" w:line="240" w:lineRule="auto"/>
              <w:ind w:left="0" w:right="5"/>
              <w:jc w:val="center"/>
              <w:rPr>
                <w:b/>
                <w:bCs/>
                <w:sz w:val="18"/>
                <w:szCs w:val="18"/>
                <w:lang w:val="en-GB"/>
              </w:rPr>
            </w:pPr>
            <w:r w:rsidRPr="00A22868">
              <w:rPr>
                <w:sz w:val="18"/>
                <w:szCs w:val="18"/>
              </w:rPr>
              <w:t>2</w:t>
            </w:r>
          </w:p>
        </w:tc>
        <w:tc>
          <w:tcPr>
            <w:tcW w:w="1701" w:type="dxa"/>
            <w:tcBorders>
              <w:bottom w:val="single" w:sz="4" w:space="0" w:color="auto"/>
            </w:tcBorders>
          </w:tcPr>
          <w:p w14:paraId="15A2314A" w14:textId="77777777" w:rsidR="00CB0F8F" w:rsidRPr="008B0608" w:rsidRDefault="00CB0F8F" w:rsidP="009D2487">
            <w:pPr>
              <w:pStyle w:val="SingleTxtG"/>
              <w:spacing w:before="20" w:after="20" w:line="240" w:lineRule="auto"/>
              <w:ind w:left="0" w:right="0"/>
              <w:jc w:val="center"/>
              <w:rPr>
                <w:b/>
                <w:bCs/>
                <w:sz w:val="18"/>
                <w:szCs w:val="18"/>
                <w:lang w:val="en-GB"/>
              </w:rPr>
            </w:pPr>
          </w:p>
        </w:tc>
      </w:tr>
    </w:tbl>
    <w:p w14:paraId="7A52CFF4" w14:textId="77777777" w:rsidR="00CB0F8F" w:rsidRPr="00A22868" w:rsidRDefault="00CB0F8F" w:rsidP="001A6A46">
      <w:pPr>
        <w:pStyle w:val="SingleTxtG"/>
        <w:spacing w:before="240"/>
      </w:pPr>
      <w:r w:rsidRPr="00A22868">
        <w:t>Insert the following new row below the entry for “Specific target organ toxicity, single exposure, narcotic effects (chapter 3.8)”:</w:t>
      </w:r>
    </w:p>
    <w:tbl>
      <w:tblPr>
        <w:tblStyle w:val="TableGrid"/>
        <w:tblW w:w="0" w:type="auto"/>
        <w:tblInd w:w="1134" w:type="dxa"/>
        <w:tblLook w:val="04A0" w:firstRow="1" w:lastRow="0" w:firstColumn="1" w:lastColumn="0" w:noHBand="0" w:noVBand="1"/>
      </w:tblPr>
      <w:tblGrid>
        <w:gridCol w:w="846"/>
        <w:gridCol w:w="850"/>
        <w:gridCol w:w="3261"/>
        <w:gridCol w:w="708"/>
        <w:gridCol w:w="1701"/>
      </w:tblGrid>
      <w:tr w:rsidR="00CB0F8F" w:rsidRPr="00A22868" w14:paraId="7E908724" w14:textId="77777777" w:rsidTr="008B0608">
        <w:tc>
          <w:tcPr>
            <w:tcW w:w="846" w:type="dxa"/>
          </w:tcPr>
          <w:p w14:paraId="5600BF32" w14:textId="77777777" w:rsidR="00CB0F8F" w:rsidRPr="008B0608" w:rsidRDefault="00CB0F8F" w:rsidP="009D2487">
            <w:pPr>
              <w:pStyle w:val="SingleTxtG"/>
              <w:spacing w:before="20" w:after="20" w:line="240" w:lineRule="auto"/>
              <w:ind w:left="0" w:right="2"/>
              <w:jc w:val="center"/>
              <w:rPr>
                <w:b/>
                <w:bCs/>
                <w:sz w:val="18"/>
                <w:szCs w:val="18"/>
                <w:lang w:val="en-GB"/>
              </w:rPr>
            </w:pPr>
            <w:r w:rsidRPr="00A22868">
              <w:rPr>
                <w:b/>
                <w:bCs/>
                <w:sz w:val="18"/>
                <w:szCs w:val="18"/>
              </w:rPr>
              <w:t>(1)</w:t>
            </w:r>
          </w:p>
        </w:tc>
        <w:tc>
          <w:tcPr>
            <w:tcW w:w="850" w:type="dxa"/>
          </w:tcPr>
          <w:p w14:paraId="75B3CF3B"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(2)</w:t>
            </w:r>
          </w:p>
        </w:tc>
        <w:tc>
          <w:tcPr>
            <w:tcW w:w="3261" w:type="dxa"/>
          </w:tcPr>
          <w:p w14:paraId="0E22041F"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(3)</w:t>
            </w:r>
          </w:p>
        </w:tc>
        <w:tc>
          <w:tcPr>
            <w:tcW w:w="708" w:type="dxa"/>
          </w:tcPr>
          <w:p w14:paraId="4A04CC23" w14:textId="77777777" w:rsidR="00CB0F8F" w:rsidRPr="008B0608" w:rsidRDefault="00CB0F8F" w:rsidP="009D2487">
            <w:pPr>
              <w:pStyle w:val="SingleTxtG"/>
              <w:spacing w:before="20" w:after="20" w:line="240" w:lineRule="auto"/>
              <w:ind w:left="0" w:right="5"/>
              <w:jc w:val="center"/>
              <w:rPr>
                <w:b/>
                <w:bCs/>
                <w:sz w:val="18"/>
                <w:szCs w:val="18"/>
                <w:lang w:val="en-GB"/>
              </w:rPr>
            </w:pPr>
            <w:r w:rsidRPr="00A22868">
              <w:rPr>
                <w:b/>
                <w:bCs/>
                <w:sz w:val="18"/>
                <w:szCs w:val="18"/>
              </w:rPr>
              <w:t>(4)</w:t>
            </w:r>
          </w:p>
        </w:tc>
        <w:tc>
          <w:tcPr>
            <w:tcW w:w="1701" w:type="dxa"/>
          </w:tcPr>
          <w:p w14:paraId="3518415E"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(5)</w:t>
            </w:r>
          </w:p>
        </w:tc>
      </w:tr>
      <w:tr w:rsidR="00CB0F8F" w:rsidRPr="00A22868" w14:paraId="3229A4D6" w14:textId="77777777" w:rsidTr="009D2487">
        <w:tc>
          <w:tcPr>
            <w:tcW w:w="846" w:type="dxa"/>
            <w:tcBorders>
              <w:bottom w:val="single" w:sz="4" w:space="0" w:color="auto"/>
            </w:tcBorders>
          </w:tcPr>
          <w:p w14:paraId="099D61AC" w14:textId="77777777" w:rsidR="00CB0F8F" w:rsidRPr="008B0608" w:rsidRDefault="00CB0F8F" w:rsidP="009D2487">
            <w:pPr>
              <w:pStyle w:val="SingleTxtG"/>
              <w:spacing w:before="20" w:after="20" w:line="240" w:lineRule="auto"/>
              <w:ind w:left="0" w:right="2"/>
              <w:jc w:val="center"/>
              <w:rPr>
                <w:b/>
                <w:bCs/>
                <w:sz w:val="18"/>
                <w:szCs w:val="18"/>
                <w:lang w:val="en-GB"/>
              </w:rPr>
            </w:pPr>
          </w:p>
        </w:tc>
        <w:tc>
          <w:tcPr>
            <w:tcW w:w="850" w:type="dxa"/>
            <w:tcBorders>
              <w:bottom w:val="single" w:sz="4" w:space="0" w:color="auto"/>
            </w:tcBorders>
          </w:tcPr>
          <w:p w14:paraId="75B8C50B" w14:textId="77777777" w:rsidR="00CB0F8F" w:rsidRPr="008B0608" w:rsidRDefault="00CB0F8F" w:rsidP="009D2487">
            <w:pPr>
              <w:pStyle w:val="SingleTxtG"/>
              <w:spacing w:before="20" w:after="20" w:line="240" w:lineRule="auto"/>
              <w:ind w:left="0" w:right="0"/>
              <w:jc w:val="center"/>
              <w:rPr>
                <w:b/>
                <w:bCs/>
                <w:sz w:val="18"/>
                <w:szCs w:val="18"/>
                <w:lang w:val="en-GB"/>
              </w:rPr>
            </w:pPr>
          </w:p>
        </w:tc>
        <w:tc>
          <w:tcPr>
            <w:tcW w:w="3261" w:type="dxa"/>
          </w:tcPr>
          <w:p w14:paraId="4C6C34BA" w14:textId="77777777" w:rsidR="00CB0F8F" w:rsidRPr="008B0608" w:rsidRDefault="00CB0F8F" w:rsidP="008B0608">
            <w:pPr>
              <w:pStyle w:val="SingleTxtG"/>
              <w:spacing w:before="20" w:after="20" w:line="240" w:lineRule="auto"/>
              <w:ind w:left="0" w:right="0"/>
              <w:jc w:val="left"/>
              <w:rPr>
                <w:b/>
                <w:bCs/>
                <w:sz w:val="18"/>
                <w:szCs w:val="18"/>
                <w:lang w:val="en-GB"/>
              </w:rPr>
            </w:pPr>
            <w:r w:rsidRPr="00A22868">
              <w:rPr>
                <w:sz w:val="18"/>
                <w:szCs w:val="18"/>
              </w:rPr>
              <w:t>Specific target organ toxicity, repeated exposure (chapter 3.9)</w:t>
            </w:r>
          </w:p>
        </w:tc>
        <w:tc>
          <w:tcPr>
            <w:tcW w:w="708" w:type="dxa"/>
          </w:tcPr>
          <w:p w14:paraId="6E2F959D" w14:textId="77777777" w:rsidR="00CB0F8F" w:rsidRPr="008B0608" w:rsidRDefault="00CB0F8F" w:rsidP="009D2487">
            <w:pPr>
              <w:pStyle w:val="SingleTxtG"/>
              <w:spacing w:before="20" w:after="20" w:line="240" w:lineRule="auto"/>
              <w:ind w:left="0" w:right="5"/>
              <w:jc w:val="center"/>
              <w:rPr>
                <w:sz w:val="18"/>
                <w:szCs w:val="18"/>
                <w:lang w:val="en-GB"/>
              </w:rPr>
            </w:pPr>
            <w:r w:rsidRPr="008B0608">
              <w:rPr>
                <w:sz w:val="18"/>
                <w:szCs w:val="18"/>
              </w:rPr>
              <w:t>2</w:t>
            </w:r>
          </w:p>
        </w:tc>
        <w:tc>
          <w:tcPr>
            <w:tcW w:w="1701" w:type="dxa"/>
            <w:tcBorders>
              <w:bottom w:val="single" w:sz="4" w:space="0" w:color="auto"/>
            </w:tcBorders>
          </w:tcPr>
          <w:p w14:paraId="328BA444" w14:textId="77777777" w:rsidR="00CB0F8F" w:rsidRPr="008B0608" w:rsidRDefault="00CB0F8F" w:rsidP="009D2487">
            <w:pPr>
              <w:pStyle w:val="SingleTxtG"/>
              <w:spacing w:before="20" w:after="20" w:line="240" w:lineRule="auto"/>
              <w:ind w:left="0" w:right="0"/>
              <w:jc w:val="center"/>
              <w:rPr>
                <w:b/>
                <w:bCs/>
                <w:sz w:val="18"/>
                <w:szCs w:val="18"/>
                <w:lang w:val="en-GB"/>
              </w:rPr>
            </w:pPr>
          </w:p>
        </w:tc>
      </w:tr>
    </w:tbl>
    <w:p w14:paraId="02A5814F" w14:textId="77777777" w:rsidR="00CB0F8F" w:rsidRPr="001A6A46" w:rsidRDefault="00CB0F8F" w:rsidP="001A6A46">
      <w:pPr>
        <w:pStyle w:val="SingleTxtG"/>
        <w:spacing w:before="240"/>
      </w:pPr>
      <w:r w:rsidRPr="00A22868">
        <w:t xml:space="preserve">In column (5), at the end of the current condition for use (applicable to all entries), replace </w:t>
      </w:r>
      <w:r w:rsidRPr="001A6A46">
        <w:t>“applicable conditions” with “applicable physical state(s).”</w:t>
      </w:r>
    </w:p>
    <w:p w14:paraId="1A753D5A" w14:textId="0CF144E8" w:rsidR="00CB0F8F" w:rsidRPr="00A22868" w:rsidRDefault="00CB0F8F" w:rsidP="00CB0F8F">
      <w:pPr>
        <w:pStyle w:val="H23G"/>
      </w:pPr>
      <w:r w:rsidRPr="00A22868">
        <w:tab/>
      </w:r>
      <w:r w:rsidRPr="00A22868">
        <w:tab/>
        <w:t xml:space="preserve">P284, </w:t>
      </w:r>
      <w:r w:rsidR="000F38D4">
        <w:t>row</w:t>
      </w:r>
      <w:r w:rsidR="001D6A8A" w:rsidRPr="00A22868">
        <w:t xml:space="preserve"> </w:t>
      </w:r>
      <w:r w:rsidR="00E37592" w:rsidRPr="00A22868">
        <w:t xml:space="preserve">“Acute toxicity, inhalation (chapter 3.1)”, </w:t>
      </w:r>
      <w:r w:rsidRPr="00A22868">
        <w:t>column (4)</w:t>
      </w:r>
    </w:p>
    <w:p w14:paraId="1EBF6D2E" w14:textId="3E2099E0" w:rsidR="00CB0F8F" w:rsidRPr="00A22868" w:rsidRDefault="00074556" w:rsidP="00CB0F8F">
      <w:pPr>
        <w:pStyle w:val="SingleTxtG"/>
      </w:pPr>
      <w:r w:rsidRPr="00A22868">
        <w:t>I</w:t>
      </w:r>
      <w:r w:rsidR="00CB0F8F" w:rsidRPr="00A22868">
        <w:t>nsert “, 3” after “1, 2”.</w:t>
      </w:r>
    </w:p>
    <w:p w14:paraId="262B7D3B" w14:textId="77777777" w:rsidR="00CB0F8F" w:rsidRPr="00A22868" w:rsidRDefault="00CB0F8F" w:rsidP="00CB0F8F">
      <w:pPr>
        <w:pStyle w:val="H23G"/>
      </w:pPr>
      <w:r w:rsidRPr="00A22868">
        <w:tab/>
      </w:r>
      <w:r w:rsidRPr="00A22868">
        <w:tab/>
        <w:t>Table A3.2.3</w:t>
      </w:r>
    </w:p>
    <w:p w14:paraId="6D6FFF98" w14:textId="77777777" w:rsidR="00CB0F8F" w:rsidRPr="00A22868" w:rsidRDefault="00CB0F8F" w:rsidP="00CB0F8F">
      <w:pPr>
        <w:pStyle w:val="H23G"/>
      </w:pPr>
      <w:r w:rsidRPr="00A22868">
        <w:tab/>
      </w:r>
      <w:r w:rsidRPr="00A22868">
        <w:tab/>
        <w:t>P320</w:t>
      </w:r>
    </w:p>
    <w:p w14:paraId="7CAD6F23" w14:textId="03BBF6B4" w:rsidR="00CB0F8F" w:rsidRPr="00A22868" w:rsidRDefault="00CB0F8F" w:rsidP="00CB0F8F">
      <w:pPr>
        <w:pStyle w:val="SingleTxtG"/>
      </w:pPr>
      <w:r w:rsidRPr="00A22868">
        <w:t>In column (2), replace “</w:t>
      </w:r>
      <w:r w:rsidRPr="00A22868">
        <w:rPr>
          <w:b/>
        </w:rPr>
        <w:t>(see … on this label)</w:t>
      </w:r>
      <w:r w:rsidRPr="00A22868">
        <w:rPr>
          <w:bCs/>
        </w:rPr>
        <w:t>” with “</w:t>
      </w:r>
      <w:r w:rsidRPr="00A22868">
        <w:rPr>
          <w:b/>
        </w:rPr>
        <w:t>(see information on this label and safety data sheet)</w:t>
      </w:r>
      <w:r w:rsidRPr="00A22868">
        <w:rPr>
          <w:bCs/>
        </w:rPr>
        <w:t xml:space="preserve">”. </w:t>
      </w:r>
    </w:p>
    <w:p w14:paraId="248D9AE9" w14:textId="5CF40013" w:rsidR="00CB0F8F" w:rsidRPr="00A22868" w:rsidRDefault="00CB0F8F" w:rsidP="008B0608">
      <w:pPr>
        <w:pStyle w:val="SingleTxtG"/>
      </w:pPr>
      <w:r w:rsidRPr="00A22868">
        <w:t>Insert the following rows before the existing entry for “Acute toxicity, inhalation (chapter</w:t>
      </w:r>
      <w:r w:rsidR="00074556" w:rsidRPr="00A22868">
        <w:t> </w:t>
      </w:r>
      <w:r w:rsidRPr="00A22868">
        <w:t>3.1)”:</w:t>
      </w:r>
    </w:p>
    <w:tbl>
      <w:tblPr>
        <w:tblStyle w:val="TableGrid"/>
        <w:tblW w:w="0" w:type="auto"/>
        <w:tblInd w:w="1134" w:type="dxa"/>
        <w:tblLook w:val="04A0" w:firstRow="1" w:lastRow="0" w:firstColumn="1" w:lastColumn="0" w:noHBand="0" w:noVBand="1"/>
      </w:tblPr>
      <w:tblGrid>
        <w:gridCol w:w="846"/>
        <w:gridCol w:w="850"/>
        <w:gridCol w:w="3261"/>
        <w:gridCol w:w="708"/>
        <w:gridCol w:w="1701"/>
      </w:tblGrid>
      <w:tr w:rsidR="00CB0F8F" w:rsidRPr="00A22868" w14:paraId="516C8DA3" w14:textId="77777777" w:rsidTr="009D2487">
        <w:tc>
          <w:tcPr>
            <w:tcW w:w="846" w:type="dxa"/>
            <w:tcBorders>
              <w:bottom w:val="single" w:sz="4" w:space="0" w:color="auto"/>
            </w:tcBorders>
          </w:tcPr>
          <w:p w14:paraId="677CA699" w14:textId="77777777" w:rsidR="00CB0F8F" w:rsidRPr="008B0608" w:rsidRDefault="00CB0F8F" w:rsidP="009D2487">
            <w:pPr>
              <w:pStyle w:val="SingleTxtG"/>
              <w:spacing w:before="20" w:after="20" w:line="240" w:lineRule="auto"/>
              <w:ind w:left="0" w:right="2"/>
              <w:jc w:val="center"/>
              <w:rPr>
                <w:b/>
                <w:bCs/>
                <w:sz w:val="16"/>
                <w:szCs w:val="16"/>
                <w:lang w:val="en-GB"/>
              </w:rPr>
            </w:pPr>
            <w:r w:rsidRPr="00A22868">
              <w:rPr>
                <w:b/>
                <w:bCs/>
                <w:sz w:val="16"/>
                <w:szCs w:val="16"/>
              </w:rPr>
              <w:t>(1)</w:t>
            </w:r>
          </w:p>
        </w:tc>
        <w:tc>
          <w:tcPr>
            <w:tcW w:w="850" w:type="dxa"/>
            <w:tcBorders>
              <w:bottom w:val="single" w:sz="4" w:space="0" w:color="auto"/>
            </w:tcBorders>
          </w:tcPr>
          <w:p w14:paraId="34102023"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(2)</w:t>
            </w:r>
          </w:p>
        </w:tc>
        <w:tc>
          <w:tcPr>
            <w:tcW w:w="3261" w:type="dxa"/>
          </w:tcPr>
          <w:p w14:paraId="69ADAF69"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(3)</w:t>
            </w:r>
          </w:p>
        </w:tc>
        <w:tc>
          <w:tcPr>
            <w:tcW w:w="708" w:type="dxa"/>
          </w:tcPr>
          <w:p w14:paraId="472F4109" w14:textId="77777777" w:rsidR="00CB0F8F" w:rsidRPr="008B0608" w:rsidRDefault="00CB0F8F" w:rsidP="009D2487">
            <w:pPr>
              <w:pStyle w:val="SingleTxtG"/>
              <w:spacing w:before="20" w:after="20" w:line="240" w:lineRule="auto"/>
              <w:ind w:left="0" w:right="5"/>
              <w:jc w:val="center"/>
              <w:rPr>
                <w:b/>
                <w:bCs/>
                <w:sz w:val="16"/>
                <w:szCs w:val="16"/>
                <w:lang w:val="en-GB"/>
              </w:rPr>
            </w:pPr>
            <w:r w:rsidRPr="00A22868">
              <w:rPr>
                <w:b/>
                <w:bCs/>
                <w:sz w:val="16"/>
                <w:szCs w:val="16"/>
              </w:rPr>
              <w:t>(4)</w:t>
            </w:r>
          </w:p>
        </w:tc>
        <w:tc>
          <w:tcPr>
            <w:tcW w:w="1701" w:type="dxa"/>
            <w:tcBorders>
              <w:bottom w:val="single" w:sz="4" w:space="0" w:color="auto"/>
            </w:tcBorders>
          </w:tcPr>
          <w:p w14:paraId="7ADED3B4"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(5)</w:t>
            </w:r>
          </w:p>
        </w:tc>
      </w:tr>
      <w:tr w:rsidR="00CB0F8F" w:rsidRPr="00A22868" w14:paraId="5E2CD5D3" w14:textId="77777777" w:rsidTr="009D2487">
        <w:tc>
          <w:tcPr>
            <w:tcW w:w="846" w:type="dxa"/>
            <w:tcBorders>
              <w:bottom w:val="nil"/>
              <w:right w:val="single" w:sz="4" w:space="0" w:color="auto"/>
            </w:tcBorders>
          </w:tcPr>
          <w:p w14:paraId="4C8279C2" w14:textId="77777777" w:rsidR="00CB0F8F" w:rsidRPr="008B0608" w:rsidRDefault="00CB0F8F" w:rsidP="009D2487">
            <w:pPr>
              <w:pStyle w:val="SingleTxtG"/>
              <w:spacing w:before="20" w:after="20" w:line="240" w:lineRule="auto"/>
              <w:ind w:left="0" w:right="2"/>
              <w:jc w:val="left"/>
              <w:rPr>
                <w:b/>
                <w:bCs/>
                <w:sz w:val="16"/>
                <w:szCs w:val="16"/>
                <w:lang w:val="en-GB"/>
              </w:rPr>
            </w:pPr>
          </w:p>
        </w:tc>
        <w:tc>
          <w:tcPr>
            <w:tcW w:w="850" w:type="dxa"/>
            <w:tcBorders>
              <w:left w:val="single" w:sz="4" w:space="0" w:color="auto"/>
              <w:bottom w:val="nil"/>
            </w:tcBorders>
          </w:tcPr>
          <w:p w14:paraId="4485F59F" w14:textId="77777777" w:rsidR="00CB0F8F" w:rsidRPr="008B0608" w:rsidRDefault="00CB0F8F" w:rsidP="00A479CD">
            <w:pPr>
              <w:pStyle w:val="SingleTxtG"/>
              <w:spacing w:before="20" w:after="20" w:line="240" w:lineRule="auto"/>
              <w:ind w:left="0" w:right="0"/>
              <w:jc w:val="left"/>
              <w:rPr>
                <w:b/>
                <w:bCs/>
                <w:sz w:val="16"/>
                <w:szCs w:val="16"/>
                <w:lang w:val="en-GB"/>
              </w:rPr>
            </w:pPr>
          </w:p>
        </w:tc>
        <w:tc>
          <w:tcPr>
            <w:tcW w:w="3261" w:type="dxa"/>
          </w:tcPr>
          <w:p w14:paraId="622CAF0C" w14:textId="77777777" w:rsidR="00CB0F8F" w:rsidRPr="008B0608" w:rsidRDefault="00CB0F8F" w:rsidP="009D2487">
            <w:pPr>
              <w:pStyle w:val="SingleTxtG"/>
              <w:spacing w:before="20" w:after="20" w:line="240" w:lineRule="auto"/>
              <w:ind w:left="0" w:right="0"/>
              <w:jc w:val="left"/>
              <w:rPr>
                <w:b/>
                <w:bCs/>
                <w:sz w:val="18"/>
                <w:szCs w:val="18"/>
                <w:lang w:val="en-GB"/>
              </w:rPr>
            </w:pPr>
            <w:r w:rsidRPr="00A22868">
              <w:rPr>
                <w:sz w:val="18"/>
                <w:szCs w:val="18"/>
              </w:rPr>
              <w:t>Acute toxicity, oral (chapter 3.1)</w:t>
            </w:r>
          </w:p>
        </w:tc>
        <w:tc>
          <w:tcPr>
            <w:tcW w:w="708" w:type="dxa"/>
          </w:tcPr>
          <w:p w14:paraId="67445AD7"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1, 2, 3</w:t>
            </w:r>
          </w:p>
        </w:tc>
        <w:tc>
          <w:tcPr>
            <w:tcW w:w="1701" w:type="dxa"/>
            <w:vMerge w:val="restart"/>
          </w:tcPr>
          <w:p w14:paraId="445DD122" w14:textId="77777777" w:rsidR="00CB0F8F" w:rsidRPr="008B0608" w:rsidRDefault="00CB0F8F" w:rsidP="009D2487">
            <w:pPr>
              <w:pStyle w:val="SingleTxtG"/>
              <w:spacing w:before="20" w:after="20" w:line="240" w:lineRule="auto"/>
              <w:ind w:left="144" w:right="0"/>
              <w:jc w:val="left"/>
              <w:rPr>
                <w:lang w:val="en-GB"/>
              </w:rPr>
            </w:pPr>
          </w:p>
        </w:tc>
      </w:tr>
      <w:tr w:rsidR="00CB0F8F" w:rsidRPr="00A22868" w14:paraId="3ADFD0CD" w14:textId="77777777" w:rsidTr="009D2487">
        <w:tc>
          <w:tcPr>
            <w:tcW w:w="846" w:type="dxa"/>
            <w:tcBorders>
              <w:top w:val="nil"/>
              <w:right w:val="single" w:sz="4" w:space="0" w:color="auto"/>
            </w:tcBorders>
          </w:tcPr>
          <w:p w14:paraId="7913DCA3" w14:textId="77777777" w:rsidR="00CB0F8F" w:rsidRPr="008B0608" w:rsidRDefault="00CB0F8F" w:rsidP="009D2487">
            <w:pPr>
              <w:pStyle w:val="SingleTxtG"/>
              <w:spacing w:before="20" w:after="20" w:line="240" w:lineRule="auto"/>
              <w:ind w:left="0"/>
              <w:rPr>
                <w:sz w:val="16"/>
                <w:szCs w:val="16"/>
                <w:lang w:val="en-GB"/>
              </w:rPr>
            </w:pPr>
          </w:p>
        </w:tc>
        <w:tc>
          <w:tcPr>
            <w:tcW w:w="850" w:type="dxa"/>
            <w:tcBorders>
              <w:top w:val="nil"/>
              <w:left w:val="single" w:sz="4" w:space="0" w:color="auto"/>
            </w:tcBorders>
          </w:tcPr>
          <w:p w14:paraId="0A044304" w14:textId="77777777" w:rsidR="00CB0F8F" w:rsidRPr="008B0608" w:rsidRDefault="00CB0F8F" w:rsidP="009D2487">
            <w:pPr>
              <w:pStyle w:val="SingleTxtG"/>
              <w:spacing w:before="20" w:after="20" w:line="240" w:lineRule="auto"/>
              <w:ind w:left="0"/>
              <w:rPr>
                <w:sz w:val="16"/>
                <w:szCs w:val="16"/>
                <w:lang w:val="en-GB"/>
              </w:rPr>
            </w:pPr>
          </w:p>
        </w:tc>
        <w:tc>
          <w:tcPr>
            <w:tcW w:w="3261" w:type="dxa"/>
          </w:tcPr>
          <w:p w14:paraId="608BB636" w14:textId="77777777" w:rsidR="00CB0F8F" w:rsidRPr="008B0608" w:rsidRDefault="00CB0F8F" w:rsidP="009D2487">
            <w:pPr>
              <w:pStyle w:val="SingleTxtG"/>
              <w:spacing w:before="20" w:after="20" w:line="240" w:lineRule="auto"/>
              <w:ind w:left="0" w:right="139"/>
              <w:rPr>
                <w:sz w:val="18"/>
                <w:szCs w:val="18"/>
                <w:lang w:val="en-GB"/>
              </w:rPr>
            </w:pPr>
            <w:r w:rsidRPr="00A22868">
              <w:rPr>
                <w:sz w:val="18"/>
                <w:szCs w:val="18"/>
              </w:rPr>
              <w:t>Acute toxicity, dermal (chapter 3.1)</w:t>
            </w:r>
          </w:p>
        </w:tc>
        <w:tc>
          <w:tcPr>
            <w:tcW w:w="708" w:type="dxa"/>
          </w:tcPr>
          <w:p w14:paraId="6ADA1393"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1, 2, 3</w:t>
            </w:r>
          </w:p>
        </w:tc>
        <w:tc>
          <w:tcPr>
            <w:tcW w:w="1701" w:type="dxa"/>
            <w:vMerge/>
          </w:tcPr>
          <w:p w14:paraId="4B2DE610" w14:textId="77777777" w:rsidR="00CB0F8F" w:rsidRPr="008B0608" w:rsidRDefault="00CB0F8F" w:rsidP="009D2487">
            <w:pPr>
              <w:pStyle w:val="SingleTxtG"/>
              <w:spacing w:before="20" w:after="20" w:line="240" w:lineRule="auto"/>
              <w:ind w:left="0"/>
              <w:rPr>
                <w:lang w:val="en-GB"/>
              </w:rPr>
            </w:pPr>
          </w:p>
        </w:tc>
      </w:tr>
    </w:tbl>
    <w:p w14:paraId="375A0BE9" w14:textId="7EB32345" w:rsidR="00CB0F8F" w:rsidRPr="00A22868" w:rsidRDefault="00CB0F8F" w:rsidP="008B0608">
      <w:pPr>
        <w:pStyle w:val="SingleTxtG"/>
        <w:spacing w:before="240"/>
      </w:pPr>
      <w:r w:rsidRPr="00A22868">
        <w:t>For “Acute toxicity, inhalation (chapter 3.1)”</w:t>
      </w:r>
      <w:r w:rsidR="00A93218">
        <w:t>, column (4)</w:t>
      </w:r>
      <w:r w:rsidR="008B7995">
        <w:t>:</w:t>
      </w:r>
      <w:r w:rsidR="00A93218">
        <w:t xml:space="preserve"> </w:t>
      </w:r>
      <w:r w:rsidRPr="00A22868">
        <w:t>insert “, 3” after “1, 2”</w:t>
      </w:r>
      <w:r w:rsidR="00613F08">
        <w:t>.</w:t>
      </w:r>
      <w:r w:rsidRPr="00A22868">
        <w:t xml:space="preserve"> </w:t>
      </w:r>
    </w:p>
    <w:p w14:paraId="1487AF68" w14:textId="517BC4BD" w:rsidR="00CB0F8F" w:rsidRPr="00A22868" w:rsidRDefault="00A93218" w:rsidP="00F92152">
      <w:pPr>
        <w:pStyle w:val="SingleTxtG"/>
        <w:keepNext/>
        <w:keepLines/>
      </w:pPr>
      <w:r>
        <w:lastRenderedPageBreak/>
        <w:t>In column (5)</w:t>
      </w:r>
      <w:r w:rsidR="0056426B">
        <w:t xml:space="preserve"> a</w:t>
      </w:r>
      <w:r w:rsidR="00CB0F8F" w:rsidRPr="00A22868">
        <w:t xml:space="preserve">mend the current condition for use (applicable to all entries) to read as follows: </w:t>
      </w:r>
    </w:p>
    <w:p w14:paraId="3460E061" w14:textId="77777777" w:rsidR="00CB0F8F" w:rsidRPr="00A22868" w:rsidRDefault="00CB0F8F" w:rsidP="00F92152">
      <w:pPr>
        <w:pStyle w:val="SingleTxtG"/>
        <w:keepNext/>
        <w:keepLines/>
        <w:ind w:left="1701"/>
        <w:rPr>
          <w:rStyle w:val="StyleItalic"/>
          <w:rFonts w:cstheme="minorBidi"/>
        </w:rPr>
      </w:pPr>
      <w:r w:rsidRPr="00A22868">
        <w:rPr>
          <w:rStyle w:val="StyleItalic"/>
        </w:rPr>
        <w:t>“- if immediate measures that can be easily applied, such as the administration of antidote or other specific treatment are required. T</w:t>
      </w:r>
      <w:r w:rsidRPr="00A22868">
        <w:rPr>
          <w:rStyle w:val="StyleItalic"/>
          <w:rFonts w:asciiTheme="majorBidi" w:hAnsiTheme="majorBidi" w:cstheme="majorBidi"/>
        </w:rPr>
        <w:t>hese measures must be specified on the label and safety data sheet, recognizing additional detail</w:t>
      </w:r>
      <w:r w:rsidRPr="00A22868">
        <w:rPr>
          <w:rStyle w:val="StyleItalic"/>
        </w:rPr>
        <w:t>ed instructions, including any training requirements,</w:t>
      </w:r>
      <w:r w:rsidRPr="00A22868">
        <w:rPr>
          <w:rStyle w:val="StyleItalic"/>
          <w:rFonts w:asciiTheme="majorBidi" w:hAnsiTheme="majorBidi" w:cstheme="majorBidi"/>
        </w:rPr>
        <w:t xml:space="preserve"> should be provided on the safety data sheet, if appropriate</w:t>
      </w:r>
      <w:proofErr w:type="gramStart"/>
      <w:r w:rsidRPr="00A22868">
        <w:rPr>
          <w:rStyle w:val="StyleItalic"/>
          <w:rFonts w:asciiTheme="majorBidi" w:hAnsiTheme="majorBidi" w:cstheme="majorBidi"/>
        </w:rPr>
        <w:t>.</w:t>
      </w:r>
      <w:r w:rsidRPr="00A22868" w:rsidDel="00BF35DA">
        <w:rPr>
          <w:rStyle w:val="StyleItalic"/>
          <w:rFonts w:asciiTheme="majorBidi" w:hAnsiTheme="majorBidi" w:cstheme="majorBidi"/>
        </w:rPr>
        <w:t xml:space="preserve"> </w:t>
      </w:r>
      <w:r w:rsidRPr="00A22868">
        <w:rPr>
          <w:rStyle w:val="StyleItalic"/>
          <w:rFonts w:cstheme="minorBidi"/>
        </w:rPr>
        <w:t>”</w:t>
      </w:r>
      <w:proofErr w:type="gramEnd"/>
    </w:p>
    <w:p w14:paraId="48DCF6AE" w14:textId="77777777" w:rsidR="00CB0F8F" w:rsidRPr="00A22868" w:rsidRDefault="00CB0F8F" w:rsidP="00CB0F8F">
      <w:pPr>
        <w:pStyle w:val="H23G"/>
        <w:rPr>
          <w:b w:val="0"/>
        </w:rPr>
      </w:pPr>
      <w:r w:rsidRPr="00A22868">
        <w:tab/>
      </w:r>
      <w:r w:rsidRPr="00A22868">
        <w:tab/>
        <w:t>P321</w:t>
      </w:r>
    </w:p>
    <w:p w14:paraId="5FF0540A" w14:textId="14375ACF" w:rsidR="00CB0F8F" w:rsidRPr="00A22868" w:rsidRDefault="00CB0F8F" w:rsidP="00CB0F8F">
      <w:pPr>
        <w:pStyle w:val="SingleTxtG"/>
      </w:pPr>
      <w:r w:rsidRPr="00A22868">
        <w:t>In column (2) replace “</w:t>
      </w:r>
      <w:r w:rsidRPr="00A22868">
        <w:rPr>
          <w:b/>
        </w:rPr>
        <w:t>(see … on this label)</w:t>
      </w:r>
      <w:r w:rsidRPr="00A22868">
        <w:rPr>
          <w:bCs/>
        </w:rPr>
        <w:t>” with “</w:t>
      </w:r>
      <w:r w:rsidRPr="00A22868">
        <w:rPr>
          <w:b/>
        </w:rPr>
        <w:t>(see information on this label and safety data sheet)</w:t>
      </w:r>
      <w:r w:rsidRPr="00A22868">
        <w:rPr>
          <w:bCs/>
        </w:rPr>
        <w:t xml:space="preserve">”. </w:t>
      </w:r>
    </w:p>
    <w:p w14:paraId="21D4F3E1" w14:textId="77777777" w:rsidR="00CB0F8F" w:rsidRPr="00A22868" w:rsidRDefault="00CB0F8F" w:rsidP="008B0608">
      <w:pPr>
        <w:pStyle w:val="SingleTxtG"/>
      </w:pPr>
      <w:r w:rsidRPr="00A22868">
        <w:t>In column (4):</w:t>
      </w:r>
    </w:p>
    <w:p w14:paraId="019CB5F7" w14:textId="2AA36A01" w:rsidR="00CB0F8F" w:rsidRPr="00A22868" w:rsidRDefault="00CB0F8F" w:rsidP="00CB0F8F">
      <w:pPr>
        <w:pStyle w:val="Bullet1G"/>
        <w:numPr>
          <w:ilvl w:val="0"/>
          <w:numId w:val="8"/>
        </w:numPr>
        <w:tabs>
          <w:tab w:val="clear" w:pos="1701"/>
        </w:tabs>
        <w:suppressAutoHyphens/>
        <w:kinsoku w:val="0"/>
        <w:overflowPunct w:val="0"/>
        <w:autoSpaceDE w:val="0"/>
        <w:autoSpaceDN w:val="0"/>
        <w:adjustRightInd w:val="0"/>
        <w:snapToGrid w:val="0"/>
        <w:ind w:left="1985" w:hanging="284"/>
      </w:pPr>
      <w:r w:rsidRPr="00A22868">
        <w:t>For “Acute toxicity, oral (chapter 3.1)”</w:t>
      </w:r>
      <w:r w:rsidR="00F071F0" w:rsidRPr="00A22868">
        <w:t>:</w:t>
      </w:r>
      <w:r w:rsidRPr="00A22868">
        <w:t xml:space="preserve"> replace “1, 2, 3” with “4”.</w:t>
      </w:r>
    </w:p>
    <w:p w14:paraId="73FD732F" w14:textId="0D7E4EB1" w:rsidR="00CB0F8F" w:rsidRPr="00A22868" w:rsidRDefault="00CB0F8F" w:rsidP="00CB0F8F">
      <w:pPr>
        <w:pStyle w:val="Bullet1G"/>
        <w:numPr>
          <w:ilvl w:val="0"/>
          <w:numId w:val="8"/>
        </w:numPr>
        <w:tabs>
          <w:tab w:val="clear" w:pos="1701"/>
        </w:tabs>
        <w:suppressAutoHyphens/>
        <w:kinsoku w:val="0"/>
        <w:overflowPunct w:val="0"/>
        <w:autoSpaceDE w:val="0"/>
        <w:autoSpaceDN w:val="0"/>
        <w:adjustRightInd w:val="0"/>
        <w:snapToGrid w:val="0"/>
        <w:ind w:left="1985" w:hanging="284"/>
      </w:pPr>
      <w:r w:rsidRPr="00A22868">
        <w:t>For “Acute toxicity, dermal (chapter 3.1)”</w:t>
      </w:r>
      <w:r w:rsidR="00F071F0" w:rsidRPr="00A22868">
        <w:t>:</w:t>
      </w:r>
      <w:r w:rsidRPr="00A22868">
        <w:t xml:space="preserve"> delete “1, 2, 3”.</w:t>
      </w:r>
    </w:p>
    <w:p w14:paraId="5D38C397" w14:textId="690811E3" w:rsidR="00CB0F8F" w:rsidRPr="00A22868" w:rsidRDefault="00CB0F8F" w:rsidP="00CB0F8F">
      <w:pPr>
        <w:pStyle w:val="Bullet1G"/>
        <w:numPr>
          <w:ilvl w:val="0"/>
          <w:numId w:val="8"/>
        </w:numPr>
        <w:tabs>
          <w:tab w:val="clear" w:pos="1701"/>
        </w:tabs>
        <w:suppressAutoHyphens/>
        <w:kinsoku w:val="0"/>
        <w:overflowPunct w:val="0"/>
        <w:autoSpaceDE w:val="0"/>
        <w:autoSpaceDN w:val="0"/>
        <w:adjustRightInd w:val="0"/>
        <w:snapToGrid w:val="0"/>
        <w:ind w:left="1985" w:hanging="284"/>
      </w:pPr>
      <w:r w:rsidRPr="00A22868">
        <w:t>For “Acute toxicity, inhalation (chapter 3.1)”</w:t>
      </w:r>
      <w:r w:rsidR="00F071F0" w:rsidRPr="00A22868">
        <w:t>:</w:t>
      </w:r>
      <w:r w:rsidRPr="00A22868">
        <w:t xml:space="preserve"> replace </w:t>
      </w:r>
      <w:proofErr w:type="gramStart"/>
      <w:r w:rsidRPr="00A22868">
        <w:t>“ 3</w:t>
      </w:r>
      <w:proofErr w:type="gramEnd"/>
      <w:r w:rsidRPr="00A22868">
        <w:t>” with “4”.</w:t>
      </w:r>
    </w:p>
    <w:p w14:paraId="65B4646D" w14:textId="77777777" w:rsidR="00CB0F8F" w:rsidRPr="00A22868" w:rsidRDefault="00CB0F8F" w:rsidP="008B0608">
      <w:pPr>
        <w:pStyle w:val="SingleTxtG"/>
      </w:pPr>
      <w:r w:rsidRPr="00A22868">
        <w:t>In column (5), replace all conditions for use with the following (applicable to all entries):</w:t>
      </w:r>
    </w:p>
    <w:p w14:paraId="547D8B01" w14:textId="77777777" w:rsidR="00CB0F8F" w:rsidRPr="00A22868" w:rsidRDefault="00CB0F8F" w:rsidP="00CB0F8F">
      <w:pPr>
        <w:pStyle w:val="SingleTxtG"/>
        <w:ind w:left="1701"/>
        <w:rPr>
          <w:rStyle w:val="StyleItalic"/>
          <w:rFonts w:asciiTheme="majorBidi" w:hAnsiTheme="majorBidi" w:cstheme="majorBidi"/>
        </w:rPr>
      </w:pPr>
      <w:r w:rsidRPr="00A22868">
        <w:rPr>
          <w:rStyle w:val="StyleItalic"/>
        </w:rPr>
        <w:t>“- if immediate measures that can be easily applied, such as the administration of antidote or other specific treatment are required. T</w:t>
      </w:r>
      <w:r w:rsidRPr="00A22868">
        <w:rPr>
          <w:rStyle w:val="StyleItalic"/>
          <w:rFonts w:asciiTheme="majorBidi" w:hAnsiTheme="majorBidi" w:cstheme="majorBidi"/>
        </w:rPr>
        <w:t>hese measures must be specified on the label and safety data sheet, recognizing additional detail</w:t>
      </w:r>
      <w:r w:rsidRPr="00A22868">
        <w:rPr>
          <w:rStyle w:val="StyleItalic"/>
        </w:rPr>
        <w:t>ed instructions, including any training requirements,</w:t>
      </w:r>
      <w:r w:rsidRPr="00A22868">
        <w:rPr>
          <w:rStyle w:val="StyleItalic"/>
          <w:rFonts w:asciiTheme="majorBidi" w:hAnsiTheme="majorBidi" w:cstheme="majorBidi"/>
        </w:rPr>
        <w:t xml:space="preserve"> should be provided on the safety data sheet, if appropriate.</w:t>
      </w:r>
    </w:p>
    <w:p w14:paraId="6F4A844B" w14:textId="77777777" w:rsidR="00CB0F8F" w:rsidRPr="00A22868" w:rsidRDefault="00CB0F8F" w:rsidP="00CB0F8F">
      <w:pPr>
        <w:spacing w:before="120" w:after="120"/>
        <w:ind w:left="1701" w:right="1134"/>
        <w:rPr>
          <w:rStyle w:val="StyleItalic"/>
          <w:rFonts w:cstheme="minorBidi"/>
        </w:rPr>
      </w:pPr>
      <w:r w:rsidRPr="00A22868">
        <w:rPr>
          <w:rStyle w:val="StyleItalic"/>
          <w:rFonts w:cstheme="minorBidi"/>
        </w:rPr>
        <w:t>- may be omitted if P320 is given on the label.”</w:t>
      </w:r>
    </w:p>
    <w:p w14:paraId="6DBBF16A" w14:textId="73259052" w:rsidR="00CB0F8F" w:rsidRPr="00A22868" w:rsidRDefault="00CB0F8F" w:rsidP="00CB0F8F">
      <w:pPr>
        <w:pStyle w:val="H23G"/>
      </w:pPr>
      <w:r w:rsidRPr="00A22868">
        <w:tab/>
      </w:r>
      <w:r w:rsidRPr="00A22868">
        <w:tab/>
        <w:t xml:space="preserve">P322 </w:t>
      </w:r>
      <w:r w:rsidR="001F4CC7">
        <w:t>and P3</w:t>
      </w:r>
      <w:r w:rsidR="00131CEE">
        <w:t>2</w:t>
      </w:r>
      <w:r w:rsidR="001F4CC7">
        <w:t xml:space="preserve">3 </w:t>
      </w:r>
      <w:r w:rsidRPr="00A22868">
        <w:t>(new)</w:t>
      </w:r>
    </w:p>
    <w:p w14:paraId="5E296525" w14:textId="58226E9D" w:rsidR="00CB0F8F" w:rsidRPr="00A22868" w:rsidRDefault="00CB0F8F" w:rsidP="00CB0F8F">
      <w:pPr>
        <w:pStyle w:val="SingleTxtG"/>
        <w:ind w:left="1701" w:hanging="567"/>
      </w:pPr>
      <w:r w:rsidRPr="00A22868">
        <w:t>Insert the following new precautionary statement</w:t>
      </w:r>
      <w:r w:rsidR="00FE0169">
        <w:t>s</w:t>
      </w:r>
      <w:r w:rsidRPr="00A22868">
        <w:t xml:space="preserve"> after P321: </w:t>
      </w:r>
    </w:p>
    <w:tbl>
      <w:tblPr>
        <w:tblStyle w:val="TableGrid"/>
        <w:tblW w:w="0" w:type="auto"/>
        <w:tblInd w:w="1134" w:type="dxa"/>
        <w:tblLook w:val="04A0" w:firstRow="1" w:lastRow="0" w:firstColumn="1" w:lastColumn="0" w:noHBand="0" w:noVBand="1"/>
      </w:tblPr>
      <w:tblGrid>
        <w:gridCol w:w="562"/>
        <w:gridCol w:w="1701"/>
        <w:gridCol w:w="2127"/>
        <w:gridCol w:w="1134"/>
        <w:gridCol w:w="1842"/>
      </w:tblGrid>
      <w:tr w:rsidR="00CB0F8F" w:rsidRPr="00A22868" w14:paraId="67282188" w14:textId="77777777" w:rsidTr="008B0608">
        <w:tc>
          <w:tcPr>
            <w:tcW w:w="562" w:type="dxa"/>
            <w:tcBorders>
              <w:bottom w:val="single" w:sz="4" w:space="0" w:color="auto"/>
            </w:tcBorders>
          </w:tcPr>
          <w:p w14:paraId="751A1D2C" w14:textId="77777777" w:rsidR="00CB0F8F" w:rsidRPr="008B0608" w:rsidRDefault="00CB0F8F" w:rsidP="009D2487">
            <w:pPr>
              <w:pStyle w:val="SingleTxtG"/>
              <w:spacing w:before="20" w:after="20" w:line="240" w:lineRule="auto"/>
              <w:ind w:left="0" w:right="2"/>
              <w:jc w:val="center"/>
              <w:rPr>
                <w:b/>
                <w:bCs/>
                <w:sz w:val="18"/>
                <w:szCs w:val="18"/>
                <w:lang w:val="en-GB"/>
              </w:rPr>
            </w:pPr>
            <w:r w:rsidRPr="00A22868">
              <w:rPr>
                <w:b/>
                <w:bCs/>
                <w:sz w:val="18"/>
                <w:szCs w:val="18"/>
              </w:rPr>
              <w:t>(1)</w:t>
            </w:r>
          </w:p>
        </w:tc>
        <w:tc>
          <w:tcPr>
            <w:tcW w:w="1701" w:type="dxa"/>
            <w:tcBorders>
              <w:bottom w:val="single" w:sz="4" w:space="0" w:color="auto"/>
            </w:tcBorders>
          </w:tcPr>
          <w:p w14:paraId="05DE0DEF"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(2)</w:t>
            </w:r>
          </w:p>
        </w:tc>
        <w:tc>
          <w:tcPr>
            <w:tcW w:w="2127" w:type="dxa"/>
          </w:tcPr>
          <w:p w14:paraId="32C9417F"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(3)</w:t>
            </w:r>
          </w:p>
        </w:tc>
        <w:tc>
          <w:tcPr>
            <w:tcW w:w="1134" w:type="dxa"/>
          </w:tcPr>
          <w:p w14:paraId="6DE27D66" w14:textId="77777777" w:rsidR="00CB0F8F" w:rsidRPr="008B0608" w:rsidRDefault="00CB0F8F" w:rsidP="009D2487">
            <w:pPr>
              <w:pStyle w:val="SingleTxtG"/>
              <w:spacing w:before="20" w:after="20" w:line="240" w:lineRule="auto"/>
              <w:ind w:left="0" w:right="5"/>
              <w:jc w:val="center"/>
              <w:rPr>
                <w:b/>
                <w:bCs/>
                <w:sz w:val="18"/>
                <w:szCs w:val="18"/>
                <w:lang w:val="en-GB"/>
              </w:rPr>
            </w:pPr>
            <w:r w:rsidRPr="00A22868">
              <w:rPr>
                <w:b/>
                <w:bCs/>
                <w:sz w:val="18"/>
                <w:szCs w:val="18"/>
              </w:rPr>
              <w:t>(4)</w:t>
            </w:r>
          </w:p>
        </w:tc>
        <w:tc>
          <w:tcPr>
            <w:tcW w:w="1842" w:type="dxa"/>
            <w:tcBorders>
              <w:bottom w:val="single" w:sz="4" w:space="0" w:color="auto"/>
            </w:tcBorders>
          </w:tcPr>
          <w:p w14:paraId="24F1B136" w14:textId="77777777" w:rsidR="00CB0F8F" w:rsidRPr="008B0608" w:rsidRDefault="00CB0F8F" w:rsidP="009D2487">
            <w:pPr>
              <w:pStyle w:val="SingleTxtG"/>
              <w:spacing w:before="20" w:after="20" w:line="240" w:lineRule="auto"/>
              <w:ind w:left="0" w:right="0"/>
              <w:jc w:val="center"/>
              <w:rPr>
                <w:b/>
                <w:bCs/>
                <w:sz w:val="18"/>
                <w:szCs w:val="18"/>
                <w:lang w:val="en-GB"/>
              </w:rPr>
            </w:pPr>
            <w:r w:rsidRPr="00A22868">
              <w:rPr>
                <w:b/>
                <w:bCs/>
                <w:sz w:val="18"/>
                <w:szCs w:val="18"/>
              </w:rPr>
              <w:t>(5)</w:t>
            </w:r>
          </w:p>
        </w:tc>
      </w:tr>
      <w:tr w:rsidR="00CB0F8F" w:rsidRPr="00A22868" w14:paraId="0AFF760E" w14:textId="77777777" w:rsidTr="008B0608">
        <w:tc>
          <w:tcPr>
            <w:tcW w:w="562" w:type="dxa"/>
            <w:vMerge w:val="restart"/>
            <w:tcBorders>
              <w:right w:val="single" w:sz="4" w:space="0" w:color="auto"/>
            </w:tcBorders>
          </w:tcPr>
          <w:p w14:paraId="099B5219" w14:textId="77777777" w:rsidR="00CB0F8F" w:rsidRPr="008B0608" w:rsidRDefault="00CB0F8F" w:rsidP="009D2487">
            <w:pPr>
              <w:pStyle w:val="SingleTxtG"/>
              <w:spacing w:before="20" w:after="20" w:line="240" w:lineRule="auto"/>
              <w:ind w:left="0" w:right="2"/>
              <w:jc w:val="center"/>
              <w:rPr>
                <w:sz w:val="18"/>
                <w:szCs w:val="18"/>
                <w:lang w:val="en-GB"/>
              </w:rPr>
            </w:pPr>
            <w:r w:rsidRPr="00A22868">
              <w:rPr>
                <w:sz w:val="18"/>
                <w:szCs w:val="18"/>
              </w:rPr>
              <w:t>P322</w:t>
            </w:r>
          </w:p>
        </w:tc>
        <w:tc>
          <w:tcPr>
            <w:tcW w:w="1701" w:type="dxa"/>
            <w:vMerge w:val="restart"/>
            <w:tcBorders>
              <w:left w:val="single" w:sz="4" w:space="0" w:color="auto"/>
            </w:tcBorders>
          </w:tcPr>
          <w:p w14:paraId="26A94DF1" w14:textId="77777777" w:rsidR="00CB0F8F" w:rsidRPr="008B0608" w:rsidRDefault="00CB0F8F" w:rsidP="009D2487">
            <w:pPr>
              <w:pStyle w:val="SingleTxtG"/>
              <w:spacing w:before="20" w:after="20" w:line="240" w:lineRule="auto"/>
              <w:ind w:left="0" w:right="0"/>
              <w:jc w:val="left"/>
              <w:rPr>
                <w:b/>
                <w:bCs/>
                <w:sz w:val="18"/>
                <w:szCs w:val="18"/>
                <w:lang w:val="en-GB"/>
              </w:rPr>
            </w:pPr>
            <w:r w:rsidRPr="00A22868">
              <w:rPr>
                <w:b/>
                <w:bCs/>
                <w:sz w:val="18"/>
                <w:szCs w:val="18"/>
              </w:rPr>
              <w:t>Specific treatment is urgent (see information on the safety data sheet).</w:t>
            </w:r>
          </w:p>
        </w:tc>
        <w:tc>
          <w:tcPr>
            <w:tcW w:w="2127" w:type="dxa"/>
          </w:tcPr>
          <w:p w14:paraId="481FED9E" w14:textId="77777777" w:rsidR="00CB0F8F" w:rsidRPr="008B0608" w:rsidRDefault="00CB0F8F" w:rsidP="009D2487">
            <w:pPr>
              <w:pStyle w:val="SingleTxtG"/>
              <w:spacing w:before="20" w:after="20" w:line="240" w:lineRule="auto"/>
              <w:ind w:left="0" w:right="0"/>
              <w:jc w:val="left"/>
              <w:rPr>
                <w:b/>
                <w:bCs/>
                <w:sz w:val="18"/>
                <w:szCs w:val="18"/>
                <w:lang w:val="en-GB"/>
              </w:rPr>
            </w:pPr>
            <w:r w:rsidRPr="00A22868">
              <w:rPr>
                <w:sz w:val="18"/>
                <w:szCs w:val="18"/>
              </w:rPr>
              <w:t>Acute toxicity, oral (chapter 3.1)</w:t>
            </w:r>
          </w:p>
        </w:tc>
        <w:tc>
          <w:tcPr>
            <w:tcW w:w="1134" w:type="dxa"/>
          </w:tcPr>
          <w:p w14:paraId="0BEBA2CA"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1, 2, 3</w:t>
            </w:r>
          </w:p>
        </w:tc>
        <w:tc>
          <w:tcPr>
            <w:tcW w:w="1842" w:type="dxa"/>
            <w:vMerge w:val="restart"/>
          </w:tcPr>
          <w:p w14:paraId="69D0D16F" w14:textId="3BFA6902" w:rsidR="00CB0F8F" w:rsidRPr="008B0608" w:rsidRDefault="00CB0F8F" w:rsidP="009D2487">
            <w:pPr>
              <w:keepLines/>
              <w:tabs>
                <w:tab w:val="left" w:pos="178"/>
              </w:tabs>
              <w:spacing w:before="20" w:after="20" w:line="240" w:lineRule="auto"/>
              <w:ind w:left="40"/>
              <w:rPr>
                <w:sz w:val="18"/>
                <w:szCs w:val="18"/>
                <w:lang w:val="en-GB"/>
              </w:rPr>
            </w:pPr>
            <w:r w:rsidRPr="008B0608">
              <w:rPr>
                <w:rStyle w:val="StyleItalic"/>
                <w:rFonts w:cstheme="minorBidi"/>
                <w:i w:val="0"/>
                <w:iCs w:val="0"/>
                <w:sz w:val="18"/>
                <w:szCs w:val="18"/>
              </w:rPr>
              <w:t>Manufacturer/supplier</w:t>
            </w:r>
            <w:r w:rsidR="007E464F" w:rsidRPr="008B0608">
              <w:rPr>
                <w:rStyle w:val="StyleItalic"/>
                <w:rFonts w:cstheme="minorBidi"/>
                <w:i w:val="0"/>
                <w:iCs w:val="0"/>
                <w:sz w:val="18"/>
                <w:szCs w:val="18"/>
              </w:rPr>
              <w:t xml:space="preserve"> </w:t>
            </w:r>
            <w:r w:rsidRPr="008B0608">
              <w:rPr>
                <w:rStyle w:val="StyleItalic"/>
                <w:rFonts w:cstheme="minorBidi"/>
                <w:i w:val="0"/>
                <w:iCs w:val="0"/>
                <w:sz w:val="18"/>
                <w:szCs w:val="18"/>
              </w:rPr>
              <w:t>to reference on the safety data sheet detailed instructions, i</w:t>
            </w:r>
            <w:r w:rsidRPr="008B0608">
              <w:rPr>
                <w:rStyle w:val="StyleItalic"/>
                <w:i w:val="0"/>
                <w:iCs w:val="0"/>
                <w:sz w:val="18"/>
                <w:szCs w:val="18"/>
              </w:rPr>
              <w:t>ncluding</w:t>
            </w:r>
            <w:r w:rsidRPr="008B0608">
              <w:rPr>
                <w:rStyle w:val="StyleItalic"/>
                <w:rFonts w:cstheme="minorBidi"/>
                <w:i w:val="0"/>
                <w:iCs w:val="0"/>
                <w:sz w:val="18"/>
                <w:szCs w:val="18"/>
              </w:rPr>
              <w:t xml:space="preserve"> any training requirements, to administer an antidote or other specific treatment.</w:t>
            </w:r>
            <w:r w:rsidRPr="008B0608">
              <w:rPr>
                <w:rStyle w:val="StyleItalic"/>
                <w:rFonts w:cstheme="minorBidi"/>
                <w:i w:val="0"/>
                <w:iCs w:val="0"/>
                <w:sz w:val="18"/>
                <w:szCs w:val="18"/>
              </w:rPr>
              <w:br/>
            </w:r>
            <w:r w:rsidRPr="00A22868">
              <w:rPr>
                <w:rStyle w:val="StyleItalic"/>
                <w:rFonts w:cstheme="minorBidi"/>
                <w:sz w:val="18"/>
                <w:szCs w:val="18"/>
              </w:rPr>
              <w:t>- may be omitted if P320 is given on the label.</w:t>
            </w:r>
          </w:p>
        </w:tc>
      </w:tr>
      <w:tr w:rsidR="00CB0F8F" w:rsidRPr="00A22868" w14:paraId="10FC67DD" w14:textId="77777777" w:rsidTr="008B0608">
        <w:tc>
          <w:tcPr>
            <w:tcW w:w="562" w:type="dxa"/>
            <w:vMerge/>
            <w:tcBorders>
              <w:right w:val="single" w:sz="4" w:space="0" w:color="auto"/>
            </w:tcBorders>
          </w:tcPr>
          <w:p w14:paraId="0560ABB1" w14:textId="77777777" w:rsidR="00CB0F8F" w:rsidRPr="008B0608" w:rsidRDefault="00CB0F8F" w:rsidP="009D2487">
            <w:pPr>
              <w:pStyle w:val="SingleTxtG"/>
              <w:spacing w:before="20" w:after="20" w:line="240" w:lineRule="auto"/>
              <w:ind w:left="0" w:right="2"/>
              <w:jc w:val="left"/>
              <w:rPr>
                <w:b/>
                <w:bCs/>
                <w:sz w:val="16"/>
                <w:szCs w:val="16"/>
                <w:lang w:val="en-GB"/>
              </w:rPr>
            </w:pPr>
          </w:p>
        </w:tc>
        <w:tc>
          <w:tcPr>
            <w:tcW w:w="1701" w:type="dxa"/>
            <w:vMerge/>
            <w:tcBorders>
              <w:left w:val="single" w:sz="4" w:space="0" w:color="auto"/>
            </w:tcBorders>
          </w:tcPr>
          <w:p w14:paraId="68A7460B" w14:textId="77777777" w:rsidR="00CB0F8F" w:rsidRPr="008B0608" w:rsidRDefault="00CB0F8F" w:rsidP="009D2487">
            <w:pPr>
              <w:pStyle w:val="SingleTxtG"/>
              <w:spacing w:before="20" w:after="20" w:line="240" w:lineRule="auto"/>
              <w:ind w:left="0" w:right="0"/>
              <w:jc w:val="left"/>
              <w:rPr>
                <w:b/>
                <w:bCs/>
                <w:sz w:val="16"/>
                <w:szCs w:val="16"/>
                <w:lang w:val="en-GB"/>
              </w:rPr>
            </w:pPr>
          </w:p>
        </w:tc>
        <w:tc>
          <w:tcPr>
            <w:tcW w:w="2127" w:type="dxa"/>
          </w:tcPr>
          <w:p w14:paraId="7436FC4B" w14:textId="77777777" w:rsidR="00CB0F8F" w:rsidRPr="008B0608" w:rsidRDefault="00CB0F8F" w:rsidP="009D2487">
            <w:pPr>
              <w:pStyle w:val="SingleTxtG"/>
              <w:spacing w:before="20" w:after="20" w:line="240" w:lineRule="auto"/>
              <w:ind w:left="0" w:right="0"/>
              <w:jc w:val="left"/>
              <w:rPr>
                <w:sz w:val="18"/>
                <w:szCs w:val="18"/>
                <w:lang w:val="en-GB"/>
              </w:rPr>
            </w:pPr>
            <w:r w:rsidRPr="00A22868">
              <w:rPr>
                <w:sz w:val="18"/>
                <w:szCs w:val="18"/>
              </w:rPr>
              <w:t>Acute toxicity, dermal (chapter 3.1)</w:t>
            </w:r>
          </w:p>
        </w:tc>
        <w:tc>
          <w:tcPr>
            <w:tcW w:w="1134" w:type="dxa"/>
          </w:tcPr>
          <w:p w14:paraId="7C79C373"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1, 2, 3</w:t>
            </w:r>
          </w:p>
        </w:tc>
        <w:tc>
          <w:tcPr>
            <w:tcW w:w="1842" w:type="dxa"/>
            <w:vMerge/>
          </w:tcPr>
          <w:p w14:paraId="664C1CDE" w14:textId="77777777" w:rsidR="00CB0F8F" w:rsidRPr="008B0608" w:rsidRDefault="00CB0F8F" w:rsidP="009D2487">
            <w:pPr>
              <w:keepLines/>
              <w:tabs>
                <w:tab w:val="left" w:pos="178"/>
              </w:tabs>
              <w:spacing w:before="20" w:after="20" w:line="240" w:lineRule="auto"/>
              <w:ind w:left="40"/>
              <w:rPr>
                <w:rStyle w:val="StyleItalic"/>
                <w:rFonts w:cstheme="minorBidi"/>
                <w:b/>
                <w:bCs/>
                <w:color w:val="0070C0"/>
                <w:sz w:val="16"/>
                <w:szCs w:val="16"/>
                <w:lang w:val="en-GB"/>
              </w:rPr>
            </w:pPr>
          </w:p>
        </w:tc>
      </w:tr>
      <w:tr w:rsidR="00CB0F8F" w:rsidRPr="00A22868" w14:paraId="17B31B27" w14:textId="77777777" w:rsidTr="008B0608">
        <w:tc>
          <w:tcPr>
            <w:tcW w:w="562" w:type="dxa"/>
            <w:vMerge/>
            <w:tcBorders>
              <w:right w:val="single" w:sz="4" w:space="0" w:color="auto"/>
            </w:tcBorders>
          </w:tcPr>
          <w:p w14:paraId="3E293C63" w14:textId="77777777" w:rsidR="00CB0F8F" w:rsidRPr="008B0608" w:rsidRDefault="00CB0F8F" w:rsidP="009D2487">
            <w:pPr>
              <w:pStyle w:val="SingleTxtG"/>
              <w:spacing w:before="20" w:after="20" w:line="240" w:lineRule="auto"/>
              <w:ind w:left="0"/>
              <w:rPr>
                <w:sz w:val="16"/>
                <w:szCs w:val="16"/>
                <w:lang w:val="en-GB"/>
              </w:rPr>
            </w:pPr>
          </w:p>
        </w:tc>
        <w:tc>
          <w:tcPr>
            <w:tcW w:w="1701" w:type="dxa"/>
            <w:vMerge/>
            <w:tcBorders>
              <w:left w:val="single" w:sz="4" w:space="0" w:color="auto"/>
            </w:tcBorders>
          </w:tcPr>
          <w:p w14:paraId="4EFE7728" w14:textId="77777777" w:rsidR="00CB0F8F" w:rsidRPr="008B0608" w:rsidRDefault="00CB0F8F" w:rsidP="009D2487">
            <w:pPr>
              <w:pStyle w:val="SingleTxtG"/>
              <w:spacing w:before="20" w:after="20" w:line="240" w:lineRule="auto"/>
              <w:ind w:left="0"/>
              <w:rPr>
                <w:sz w:val="16"/>
                <w:szCs w:val="16"/>
                <w:lang w:val="en-GB"/>
              </w:rPr>
            </w:pPr>
          </w:p>
        </w:tc>
        <w:tc>
          <w:tcPr>
            <w:tcW w:w="2127" w:type="dxa"/>
          </w:tcPr>
          <w:p w14:paraId="132E2787" w14:textId="77777777" w:rsidR="00CB0F8F" w:rsidRPr="008B0608" w:rsidRDefault="00CB0F8F" w:rsidP="009D2487">
            <w:pPr>
              <w:pStyle w:val="SingleTxtG"/>
              <w:spacing w:before="20" w:after="20" w:line="240" w:lineRule="auto"/>
              <w:ind w:left="0" w:right="142"/>
              <w:jc w:val="left"/>
              <w:rPr>
                <w:sz w:val="18"/>
                <w:szCs w:val="18"/>
                <w:lang w:val="en-GB"/>
              </w:rPr>
            </w:pPr>
            <w:r w:rsidRPr="008B0608">
              <w:rPr>
                <w:sz w:val="18"/>
                <w:szCs w:val="18"/>
              </w:rPr>
              <w:t>Acute toxicity, inhalation (</w:t>
            </w:r>
            <w:r w:rsidRPr="00A22868">
              <w:rPr>
                <w:rFonts w:eastAsia="Times New Roman"/>
                <w:sz w:val="18"/>
                <w:szCs w:val="18"/>
              </w:rPr>
              <w:t>chapter</w:t>
            </w:r>
            <w:r w:rsidRPr="00A22868">
              <w:rPr>
                <w:sz w:val="18"/>
                <w:szCs w:val="18"/>
              </w:rPr>
              <w:t xml:space="preserve"> 3.1)</w:t>
            </w:r>
          </w:p>
        </w:tc>
        <w:tc>
          <w:tcPr>
            <w:tcW w:w="1134" w:type="dxa"/>
          </w:tcPr>
          <w:p w14:paraId="6CAF3264"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1, 2, 3</w:t>
            </w:r>
          </w:p>
        </w:tc>
        <w:tc>
          <w:tcPr>
            <w:tcW w:w="1842" w:type="dxa"/>
            <w:vMerge/>
          </w:tcPr>
          <w:p w14:paraId="182D2A0E" w14:textId="77777777" w:rsidR="00CB0F8F" w:rsidRPr="008B0608" w:rsidRDefault="00CB0F8F" w:rsidP="009D2487">
            <w:pPr>
              <w:pStyle w:val="SingleTxtG"/>
              <w:spacing w:before="20" w:after="20" w:line="240" w:lineRule="auto"/>
              <w:ind w:left="0"/>
              <w:rPr>
                <w:sz w:val="16"/>
                <w:szCs w:val="16"/>
                <w:lang w:val="en-GB"/>
              </w:rPr>
            </w:pPr>
          </w:p>
        </w:tc>
      </w:tr>
      <w:tr w:rsidR="00CB0F8F" w:rsidRPr="00A22868" w14:paraId="61AA6B7E" w14:textId="77777777" w:rsidTr="009D2487">
        <w:tc>
          <w:tcPr>
            <w:tcW w:w="562" w:type="dxa"/>
            <w:vMerge w:val="restart"/>
            <w:tcBorders>
              <w:right w:val="single" w:sz="4" w:space="0" w:color="auto"/>
            </w:tcBorders>
          </w:tcPr>
          <w:p w14:paraId="685B0BAB" w14:textId="77777777" w:rsidR="00CB0F8F" w:rsidRPr="008B0608" w:rsidRDefault="00CB0F8F" w:rsidP="009D2487">
            <w:pPr>
              <w:pStyle w:val="SingleTxtG"/>
              <w:spacing w:before="20" w:after="20" w:line="240" w:lineRule="auto"/>
              <w:ind w:left="0" w:right="2"/>
              <w:jc w:val="center"/>
              <w:rPr>
                <w:sz w:val="18"/>
                <w:szCs w:val="18"/>
                <w:lang w:val="en-GB"/>
              </w:rPr>
            </w:pPr>
            <w:r w:rsidRPr="00A22868">
              <w:rPr>
                <w:sz w:val="18"/>
                <w:szCs w:val="18"/>
              </w:rPr>
              <w:t>P323</w:t>
            </w:r>
          </w:p>
        </w:tc>
        <w:tc>
          <w:tcPr>
            <w:tcW w:w="1701" w:type="dxa"/>
            <w:vMerge w:val="restart"/>
            <w:tcBorders>
              <w:left w:val="single" w:sz="4" w:space="0" w:color="auto"/>
            </w:tcBorders>
          </w:tcPr>
          <w:p w14:paraId="07DB8148" w14:textId="77777777" w:rsidR="00CB0F8F" w:rsidRPr="008B0608" w:rsidRDefault="00CB0F8F" w:rsidP="009D2487">
            <w:pPr>
              <w:pStyle w:val="SingleTxtG"/>
              <w:spacing w:before="20" w:after="20" w:line="240" w:lineRule="auto"/>
              <w:ind w:left="0" w:right="0"/>
              <w:jc w:val="left"/>
              <w:rPr>
                <w:b/>
                <w:bCs/>
                <w:sz w:val="18"/>
                <w:szCs w:val="18"/>
                <w:lang w:val="en-GB"/>
              </w:rPr>
            </w:pPr>
            <w:r w:rsidRPr="00A22868">
              <w:rPr>
                <w:rStyle w:val="StyleBold"/>
                <w:sz w:val="18"/>
                <w:szCs w:val="18"/>
              </w:rPr>
              <w:t xml:space="preserve">Specific treatment (see </w:t>
            </w:r>
            <w:r w:rsidRPr="00A22868">
              <w:rPr>
                <w:b/>
                <w:bCs/>
                <w:sz w:val="18"/>
                <w:szCs w:val="18"/>
              </w:rPr>
              <w:t>information on the safety data sheet).</w:t>
            </w:r>
          </w:p>
        </w:tc>
        <w:tc>
          <w:tcPr>
            <w:tcW w:w="2127" w:type="dxa"/>
          </w:tcPr>
          <w:p w14:paraId="0AFB58B0" w14:textId="77777777" w:rsidR="00CB0F8F" w:rsidRPr="008B0608" w:rsidRDefault="00CB0F8F" w:rsidP="009D2487">
            <w:pPr>
              <w:pStyle w:val="SingleTxtG"/>
              <w:spacing w:before="20" w:after="20" w:line="240" w:lineRule="auto"/>
              <w:ind w:left="0" w:right="0"/>
              <w:jc w:val="left"/>
              <w:rPr>
                <w:b/>
                <w:bCs/>
                <w:sz w:val="18"/>
                <w:szCs w:val="18"/>
                <w:lang w:val="en-GB"/>
              </w:rPr>
            </w:pPr>
            <w:r w:rsidRPr="00A22868">
              <w:rPr>
                <w:sz w:val="18"/>
                <w:szCs w:val="18"/>
              </w:rPr>
              <w:t xml:space="preserve">Acute toxicity, oral </w:t>
            </w:r>
            <w:r w:rsidRPr="00A22868">
              <w:rPr>
                <w:sz w:val="18"/>
                <w:szCs w:val="18"/>
              </w:rPr>
              <w:br/>
              <w:t>(chapter 3.1)</w:t>
            </w:r>
          </w:p>
        </w:tc>
        <w:tc>
          <w:tcPr>
            <w:tcW w:w="1134" w:type="dxa"/>
          </w:tcPr>
          <w:p w14:paraId="67860DE2"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4</w:t>
            </w:r>
          </w:p>
        </w:tc>
        <w:tc>
          <w:tcPr>
            <w:tcW w:w="1842" w:type="dxa"/>
            <w:vMerge w:val="restart"/>
          </w:tcPr>
          <w:p w14:paraId="1CCF8EEA" w14:textId="77777777" w:rsidR="00CB0F8F" w:rsidRPr="008B0608" w:rsidRDefault="00CB0F8F" w:rsidP="009D2487">
            <w:pPr>
              <w:keepLines/>
              <w:tabs>
                <w:tab w:val="left" w:pos="178"/>
              </w:tabs>
              <w:spacing w:before="20" w:after="20" w:line="240" w:lineRule="auto"/>
              <w:rPr>
                <w:sz w:val="18"/>
                <w:szCs w:val="18"/>
                <w:lang w:val="en-GB"/>
              </w:rPr>
            </w:pPr>
            <w:r w:rsidRPr="008B0608">
              <w:rPr>
                <w:rStyle w:val="StyleItalic"/>
                <w:rFonts w:cstheme="minorBidi"/>
                <w:i w:val="0"/>
                <w:iCs w:val="0"/>
                <w:sz w:val="18"/>
                <w:szCs w:val="18"/>
              </w:rPr>
              <w:t>Manufacturer/supplier to reference on the safety data sheet detailed instructions, including any training requirements, to administer an antidote or other specific treatment.</w:t>
            </w:r>
            <w:r w:rsidRPr="008B0608">
              <w:rPr>
                <w:rStyle w:val="StyleItalic"/>
                <w:rFonts w:cstheme="minorBidi"/>
                <w:i w:val="0"/>
                <w:iCs w:val="0"/>
                <w:sz w:val="18"/>
                <w:szCs w:val="18"/>
              </w:rPr>
              <w:br/>
            </w:r>
            <w:proofErr w:type="gramStart"/>
            <w:r w:rsidRPr="00A22868">
              <w:rPr>
                <w:rStyle w:val="StyleItalic"/>
                <w:rFonts w:cstheme="minorBidi"/>
                <w:sz w:val="18"/>
                <w:szCs w:val="18"/>
              </w:rPr>
              <w:t>-  may</w:t>
            </w:r>
            <w:proofErr w:type="gramEnd"/>
            <w:r w:rsidRPr="00A22868">
              <w:rPr>
                <w:rStyle w:val="StyleItalic"/>
                <w:rFonts w:cstheme="minorBidi"/>
                <w:sz w:val="18"/>
                <w:szCs w:val="18"/>
              </w:rPr>
              <w:t xml:space="preserve"> be omitted if P321 or P322 is given on the label.</w:t>
            </w:r>
          </w:p>
        </w:tc>
      </w:tr>
      <w:tr w:rsidR="00CB0F8F" w:rsidRPr="00A22868" w14:paraId="16F4E8AA" w14:textId="77777777" w:rsidTr="009D2487">
        <w:tc>
          <w:tcPr>
            <w:tcW w:w="562" w:type="dxa"/>
            <w:vMerge/>
            <w:tcBorders>
              <w:right w:val="single" w:sz="4" w:space="0" w:color="auto"/>
            </w:tcBorders>
          </w:tcPr>
          <w:p w14:paraId="61EA9B5C" w14:textId="77777777" w:rsidR="00CB0F8F" w:rsidRPr="008B0608" w:rsidRDefault="00CB0F8F" w:rsidP="009D2487">
            <w:pPr>
              <w:pStyle w:val="SingleTxtG"/>
              <w:spacing w:before="20" w:after="20" w:line="240" w:lineRule="auto"/>
              <w:ind w:left="0" w:right="2"/>
              <w:jc w:val="left"/>
              <w:rPr>
                <w:b/>
                <w:bCs/>
                <w:sz w:val="16"/>
                <w:szCs w:val="16"/>
                <w:lang w:val="en-GB"/>
              </w:rPr>
            </w:pPr>
          </w:p>
        </w:tc>
        <w:tc>
          <w:tcPr>
            <w:tcW w:w="1701" w:type="dxa"/>
            <w:vMerge/>
            <w:tcBorders>
              <w:left w:val="single" w:sz="4" w:space="0" w:color="auto"/>
            </w:tcBorders>
          </w:tcPr>
          <w:p w14:paraId="0057096B" w14:textId="77777777" w:rsidR="00CB0F8F" w:rsidRPr="008B0608" w:rsidRDefault="00CB0F8F" w:rsidP="009D2487">
            <w:pPr>
              <w:pStyle w:val="SingleTxtG"/>
              <w:spacing w:before="20" w:after="20" w:line="240" w:lineRule="auto"/>
              <w:ind w:left="0" w:right="0"/>
              <w:jc w:val="left"/>
              <w:rPr>
                <w:b/>
                <w:bCs/>
                <w:sz w:val="16"/>
                <w:szCs w:val="16"/>
                <w:lang w:val="en-GB"/>
              </w:rPr>
            </w:pPr>
          </w:p>
        </w:tc>
        <w:tc>
          <w:tcPr>
            <w:tcW w:w="2127" w:type="dxa"/>
          </w:tcPr>
          <w:p w14:paraId="2610FE0D" w14:textId="77777777" w:rsidR="00CB0F8F" w:rsidRPr="008B0608" w:rsidRDefault="00CB0F8F" w:rsidP="009D2487">
            <w:pPr>
              <w:pStyle w:val="SingleTxtG"/>
              <w:spacing w:before="20" w:after="20" w:line="240" w:lineRule="auto"/>
              <w:ind w:left="0" w:right="0"/>
              <w:jc w:val="left"/>
              <w:rPr>
                <w:sz w:val="18"/>
                <w:szCs w:val="18"/>
                <w:lang w:val="en-GB"/>
              </w:rPr>
            </w:pPr>
            <w:r w:rsidRPr="00A22868">
              <w:rPr>
                <w:sz w:val="18"/>
                <w:szCs w:val="18"/>
              </w:rPr>
              <w:t xml:space="preserve">Acute toxicity, dermal </w:t>
            </w:r>
            <w:r w:rsidRPr="00A22868">
              <w:rPr>
                <w:sz w:val="18"/>
                <w:szCs w:val="18"/>
              </w:rPr>
              <w:br/>
              <w:t>(chapter 3.1)</w:t>
            </w:r>
          </w:p>
        </w:tc>
        <w:tc>
          <w:tcPr>
            <w:tcW w:w="1134" w:type="dxa"/>
          </w:tcPr>
          <w:p w14:paraId="74EF0AB1"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4</w:t>
            </w:r>
          </w:p>
        </w:tc>
        <w:tc>
          <w:tcPr>
            <w:tcW w:w="1842" w:type="dxa"/>
            <w:vMerge/>
          </w:tcPr>
          <w:p w14:paraId="117A2BF4" w14:textId="77777777" w:rsidR="00CB0F8F" w:rsidRPr="008B0608" w:rsidRDefault="00CB0F8F" w:rsidP="009D2487">
            <w:pPr>
              <w:keepLines/>
              <w:tabs>
                <w:tab w:val="left" w:pos="178"/>
              </w:tabs>
              <w:spacing w:before="20" w:after="20" w:line="240" w:lineRule="auto"/>
              <w:ind w:left="40"/>
              <w:rPr>
                <w:rStyle w:val="StyleItalic"/>
                <w:rFonts w:eastAsia="SimSun" w:cstheme="minorBidi"/>
                <w:b/>
                <w:bCs/>
                <w:color w:val="0070C0"/>
                <w:sz w:val="16"/>
                <w:szCs w:val="16"/>
                <w:lang w:val="en-GB"/>
              </w:rPr>
            </w:pPr>
          </w:p>
        </w:tc>
      </w:tr>
      <w:tr w:rsidR="00CB0F8F" w:rsidRPr="00A22868" w14:paraId="5CDB219B" w14:textId="77777777" w:rsidTr="009D2487">
        <w:tc>
          <w:tcPr>
            <w:tcW w:w="562" w:type="dxa"/>
            <w:vMerge/>
            <w:tcBorders>
              <w:right w:val="single" w:sz="4" w:space="0" w:color="auto"/>
            </w:tcBorders>
          </w:tcPr>
          <w:p w14:paraId="4C8E7E00" w14:textId="77777777" w:rsidR="00CB0F8F" w:rsidRPr="008B0608" w:rsidRDefault="00CB0F8F" w:rsidP="009D2487">
            <w:pPr>
              <w:pStyle w:val="SingleTxtG"/>
              <w:spacing w:before="20" w:after="20" w:line="240" w:lineRule="auto"/>
              <w:ind w:left="0"/>
              <w:rPr>
                <w:sz w:val="16"/>
                <w:szCs w:val="16"/>
                <w:lang w:val="en-GB"/>
              </w:rPr>
            </w:pPr>
          </w:p>
        </w:tc>
        <w:tc>
          <w:tcPr>
            <w:tcW w:w="1701" w:type="dxa"/>
            <w:vMerge/>
            <w:tcBorders>
              <w:left w:val="single" w:sz="4" w:space="0" w:color="auto"/>
            </w:tcBorders>
          </w:tcPr>
          <w:p w14:paraId="1184A157" w14:textId="77777777" w:rsidR="00CB0F8F" w:rsidRPr="008B0608" w:rsidRDefault="00CB0F8F" w:rsidP="009D2487">
            <w:pPr>
              <w:pStyle w:val="SingleTxtG"/>
              <w:spacing w:before="20" w:after="20" w:line="240" w:lineRule="auto"/>
              <w:ind w:left="0"/>
              <w:rPr>
                <w:sz w:val="16"/>
                <w:szCs w:val="16"/>
                <w:lang w:val="en-GB"/>
              </w:rPr>
            </w:pPr>
          </w:p>
        </w:tc>
        <w:tc>
          <w:tcPr>
            <w:tcW w:w="2127" w:type="dxa"/>
          </w:tcPr>
          <w:p w14:paraId="282E4A31" w14:textId="77777777" w:rsidR="00CB0F8F" w:rsidRPr="008B0608" w:rsidRDefault="00CB0F8F" w:rsidP="009D2487">
            <w:pPr>
              <w:pStyle w:val="SingleTxtG"/>
              <w:spacing w:before="20" w:after="20" w:line="240" w:lineRule="auto"/>
              <w:ind w:left="0" w:right="142"/>
              <w:jc w:val="left"/>
              <w:rPr>
                <w:sz w:val="18"/>
                <w:szCs w:val="18"/>
                <w:lang w:val="en-GB"/>
              </w:rPr>
            </w:pPr>
            <w:r w:rsidRPr="008B0608">
              <w:rPr>
                <w:sz w:val="18"/>
                <w:szCs w:val="18"/>
              </w:rPr>
              <w:t>Acute toxicity, inhalation (</w:t>
            </w:r>
            <w:r w:rsidRPr="00A22868">
              <w:rPr>
                <w:rFonts w:eastAsia="Times New Roman"/>
                <w:sz w:val="18"/>
                <w:szCs w:val="18"/>
              </w:rPr>
              <w:t>chapter</w:t>
            </w:r>
            <w:r w:rsidRPr="00A22868">
              <w:rPr>
                <w:sz w:val="18"/>
                <w:szCs w:val="18"/>
              </w:rPr>
              <w:t xml:space="preserve"> 3.1)</w:t>
            </w:r>
          </w:p>
        </w:tc>
        <w:tc>
          <w:tcPr>
            <w:tcW w:w="1134" w:type="dxa"/>
          </w:tcPr>
          <w:p w14:paraId="12E10D80"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4</w:t>
            </w:r>
          </w:p>
        </w:tc>
        <w:tc>
          <w:tcPr>
            <w:tcW w:w="1842" w:type="dxa"/>
            <w:vMerge/>
          </w:tcPr>
          <w:p w14:paraId="5ECF96DA" w14:textId="77777777" w:rsidR="00CB0F8F" w:rsidRPr="008B0608" w:rsidRDefault="00CB0F8F" w:rsidP="009D2487">
            <w:pPr>
              <w:pStyle w:val="SingleTxtG"/>
              <w:spacing w:before="20" w:after="20" w:line="240" w:lineRule="auto"/>
              <w:ind w:left="0"/>
              <w:rPr>
                <w:sz w:val="16"/>
                <w:szCs w:val="16"/>
                <w:lang w:val="en-GB"/>
              </w:rPr>
            </w:pPr>
          </w:p>
        </w:tc>
      </w:tr>
      <w:tr w:rsidR="00CB0F8F" w:rsidRPr="00A22868" w14:paraId="186FC304" w14:textId="77777777" w:rsidTr="009D2487">
        <w:tc>
          <w:tcPr>
            <w:tcW w:w="562" w:type="dxa"/>
            <w:vMerge/>
            <w:tcBorders>
              <w:right w:val="single" w:sz="4" w:space="0" w:color="auto"/>
            </w:tcBorders>
          </w:tcPr>
          <w:p w14:paraId="5DA50D2D" w14:textId="77777777" w:rsidR="00CB0F8F" w:rsidRPr="008B0608" w:rsidRDefault="00CB0F8F" w:rsidP="009D2487">
            <w:pPr>
              <w:pStyle w:val="SingleTxtG"/>
              <w:spacing w:before="20" w:after="20" w:line="240" w:lineRule="auto"/>
              <w:ind w:left="0"/>
              <w:rPr>
                <w:sz w:val="16"/>
                <w:szCs w:val="16"/>
                <w:lang w:val="en-GB"/>
              </w:rPr>
            </w:pPr>
          </w:p>
        </w:tc>
        <w:tc>
          <w:tcPr>
            <w:tcW w:w="1701" w:type="dxa"/>
            <w:vMerge/>
            <w:tcBorders>
              <w:left w:val="single" w:sz="4" w:space="0" w:color="auto"/>
            </w:tcBorders>
          </w:tcPr>
          <w:p w14:paraId="1FF75755" w14:textId="77777777" w:rsidR="00CB0F8F" w:rsidRPr="008B0608" w:rsidRDefault="00CB0F8F" w:rsidP="009D2487">
            <w:pPr>
              <w:pStyle w:val="SingleTxtG"/>
              <w:spacing w:before="20" w:after="20" w:line="240" w:lineRule="auto"/>
              <w:ind w:left="0"/>
              <w:rPr>
                <w:sz w:val="16"/>
                <w:szCs w:val="16"/>
                <w:lang w:val="en-GB"/>
              </w:rPr>
            </w:pPr>
          </w:p>
        </w:tc>
        <w:tc>
          <w:tcPr>
            <w:tcW w:w="2127" w:type="dxa"/>
          </w:tcPr>
          <w:p w14:paraId="6EDE2581" w14:textId="77777777" w:rsidR="00CB0F8F" w:rsidRPr="008B0608" w:rsidRDefault="00CB0F8F" w:rsidP="009D2487">
            <w:pPr>
              <w:pStyle w:val="SingleTxtG"/>
              <w:spacing w:before="20" w:after="20" w:line="240" w:lineRule="auto"/>
              <w:ind w:left="0" w:right="142"/>
              <w:jc w:val="left"/>
              <w:rPr>
                <w:sz w:val="18"/>
                <w:szCs w:val="18"/>
                <w:lang w:val="en-GB"/>
              </w:rPr>
            </w:pPr>
            <w:r w:rsidRPr="00A22868">
              <w:rPr>
                <w:sz w:val="18"/>
                <w:szCs w:val="18"/>
              </w:rPr>
              <w:t xml:space="preserve">Skin corrosion </w:t>
            </w:r>
            <w:r w:rsidRPr="00A22868">
              <w:rPr>
                <w:sz w:val="18"/>
                <w:szCs w:val="18"/>
              </w:rPr>
              <w:br/>
              <w:t>(chapter 3.2)</w:t>
            </w:r>
          </w:p>
        </w:tc>
        <w:tc>
          <w:tcPr>
            <w:tcW w:w="1134" w:type="dxa"/>
          </w:tcPr>
          <w:p w14:paraId="5B51A698"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1A, 1B, 1C</w:t>
            </w:r>
          </w:p>
        </w:tc>
        <w:tc>
          <w:tcPr>
            <w:tcW w:w="1842" w:type="dxa"/>
            <w:vMerge/>
          </w:tcPr>
          <w:p w14:paraId="6671023D" w14:textId="77777777" w:rsidR="00CB0F8F" w:rsidRPr="008B0608" w:rsidRDefault="00CB0F8F" w:rsidP="009D2487">
            <w:pPr>
              <w:pStyle w:val="SingleTxtG"/>
              <w:spacing w:before="20" w:after="20" w:line="240" w:lineRule="auto"/>
              <w:ind w:left="0"/>
              <w:rPr>
                <w:sz w:val="16"/>
                <w:szCs w:val="16"/>
                <w:lang w:val="en-GB"/>
              </w:rPr>
            </w:pPr>
          </w:p>
        </w:tc>
      </w:tr>
      <w:tr w:rsidR="00CB0F8F" w:rsidRPr="00A22868" w14:paraId="192656F4" w14:textId="77777777" w:rsidTr="009D2487">
        <w:tc>
          <w:tcPr>
            <w:tcW w:w="562" w:type="dxa"/>
            <w:vMerge/>
            <w:tcBorders>
              <w:right w:val="single" w:sz="4" w:space="0" w:color="auto"/>
            </w:tcBorders>
          </w:tcPr>
          <w:p w14:paraId="129936AA" w14:textId="77777777" w:rsidR="00CB0F8F" w:rsidRPr="008B0608" w:rsidRDefault="00CB0F8F" w:rsidP="009D2487">
            <w:pPr>
              <w:pStyle w:val="SingleTxtG"/>
              <w:spacing w:before="20" w:after="20" w:line="240" w:lineRule="auto"/>
              <w:ind w:left="0"/>
              <w:rPr>
                <w:sz w:val="16"/>
                <w:szCs w:val="16"/>
                <w:lang w:val="en-GB"/>
              </w:rPr>
            </w:pPr>
          </w:p>
        </w:tc>
        <w:tc>
          <w:tcPr>
            <w:tcW w:w="1701" w:type="dxa"/>
            <w:vMerge/>
            <w:tcBorders>
              <w:left w:val="single" w:sz="4" w:space="0" w:color="auto"/>
            </w:tcBorders>
          </w:tcPr>
          <w:p w14:paraId="1AD2D2CE" w14:textId="77777777" w:rsidR="00CB0F8F" w:rsidRPr="008B0608" w:rsidRDefault="00CB0F8F" w:rsidP="009D2487">
            <w:pPr>
              <w:pStyle w:val="SingleTxtG"/>
              <w:spacing w:before="20" w:after="20" w:line="240" w:lineRule="auto"/>
              <w:ind w:left="0"/>
              <w:rPr>
                <w:sz w:val="16"/>
                <w:szCs w:val="16"/>
                <w:lang w:val="en-GB"/>
              </w:rPr>
            </w:pPr>
          </w:p>
        </w:tc>
        <w:tc>
          <w:tcPr>
            <w:tcW w:w="2127" w:type="dxa"/>
          </w:tcPr>
          <w:p w14:paraId="24EDE169" w14:textId="77777777" w:rsidR="00CB0F8F" w:rsidRPr="008B0608" w:rsidRDefault="00CB0F8F" w:rsidP="009D2487">
            <w:pPr>
              <w:pStyle w:val="SingleTxtG"/>
              <w:spacing w:before="20" w:after="20" w:line="240" w:lineRule="auto"/>
              <w:ind w:left="0" w:right="142"/>
              <w:jc w:val="left"/>
              <w:rPr>
                <w:sz w:val="18"/>
                <w:szCs w:val="18"/>
                <w:lang w:val="en-GB"/>
              </w:rPr>
            </w:pPr>
            <w:r w:rsidRPr="00A22868">
              <w:rPr>
                <w:sz w:val="18"/>
                <w:szCs w:val="18"/>
              </w:rPr>
              <w:t>Skin irritation (chapter 3.2)</w:t>
            </w:r>
          </w:p>
        </w:tc>
        <w:tc>
          <w:tcPr>
            <w:tcW w:w="1134" w:type="dxa"/>
          </w:tcPr>
          <w:p w14:paraId="54ED31F0"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2</w:t>
            </w:r>
          </w:p>
        </w:tc>
        <w:tc>
          <w:tcPr>
            <w:tcW w:w="1842" w:type="dxa"/>
            <w:vMerge/>
          </w:tcPr>
          <w:p w14:paraId="2AA1B841" w14:textId="77777777" w:rsidR="00CB0F8F" w:rsidRPr="008B0608" w:rsidRDefault="00CB0F8F" w:rsidP="009D2487">
            <w:pPr>
              <w:pStyle w:val="SingleTxtG"/>
              <w:spacing w:before="20" w:after="20" w:line="240" w:lineRule="auto"/>
              <w:ind w:left="0"/>
              <w:rPr>
                <w:sz w:val="16"/>
                <w:szCs w:val="16"/>
                <w:lang w:val="en-GB"/>
              </w:rPr>
            </w:pPr>
          </w:p>
        </w:tc>
      </w:tr>
      <w:tr w:rsidR="00CB0F8F" w:rsidRPr="00A22868" w14:paraId="01831838" w14:textId="77777777" w:rsidTr="009D2487">
        <w:tc>
          <w:tcPr>
            <w:tcW w:w="562" w:type="dxa"/>
            <w:vMerge/>
            <w:tcBorders>
              <w:right w:val="single" w:sz="4" w:space="0" w:color="auto"/>
            </w:tcBorders>
          </w:tcPr>
          <w:p w14:paraId="6EE29119" w14:textId="77777777" w:rsidR="00CB0F8F" w:rsidRPr="008B0608" w:rsidRDefault="00CB0F8F" w:rsidP="009D2487">
            <w:pPr>
              <w:pStyle w:val="SingleTxtG"/>
              <w:spacing w:before="20" w:after="20" w:line="240" w:lineRule="auto"/>
              <w:ind w:left="0"/>
              <w:rPr>
                <w:sz w:val="16"/>
                <w:szCs w:val="16"/>
                <w:lang w:val="en-GB"/>
              </w:rPr>
            </w:pPr>
          </w:p>
        </w:tc>
        <w:tc>
          <w:tcPr>
            <w:tcW w:w="1701" w:type="dxa"/>
            <w:vMerge/>
            <w:tcBorders>
              <w:left w:val="single" w:sz="4" w:space="0" w:color="auto"/>
            </w:tcBorders>
          </w:tcPr>
          <w:p w14:paraId="04E570B6" w14:textId="77777777" w:rsidR="00CB0F8F" w:rsidRPr="008B0608" w:rsidRDefault="00CB0F8F" w:rsidP="009D2487">
            <w:pPr>
              <w:pStyle w:val="SingleTxtG"/>
              <w:spacing w:before="20" w:after="20" w:line="240" w:lineRule="auto"/>
              <w:ind w:left="0"/>
              <w:rPr>
                <w:sz w:val="16"/>
                <w:szCs w:val="16"/>
                <w:lang w:val="en-GB"/>
              </w:rPr>
            </w:pPr>
          </w:p>
        </w:tc>
        <w:tc>
          <w:tcPr>
            <w:tcW w:w="2127" w:type="dxa"/>
          </w:tcPr>
          <w:p w14:paraId="712196B5" w14:textId="77777777" w:rsidR="00CB0F8F" w:rsidRPr="008B0608" w:rsidRDefault="00CB0F8F" w:rsidP="009D2487">
            <w:pPr>
              <w:pStyle w:val="SingleTxtG"/>
              <w:spacing w:before="20" w:after="20" w:line="240" w:lineRule="auto"/>
              <w:ind w:left="0" w:right="142"/>
              <w:jc w:val="left"/>
              <w:rPr>
                <w:sz w:val="18"/>
                <w:szCs w:val="18"/>
                <w:lang w:val="en-GB"/>
              </w:rPr>
            </w:pPr>
            <w:r w:rsidRPr="00A22868">
              <w:rPr>
                <w:sz w:val="18"/>
                <w:szCs w:val="18"/>
              </w:rPr>
              <w:t xml:space="preserve">Skin sensitization </w:t>
            </w:r>
            <w:r w:rsidRPr="00A22868">
              <w:rPr>
                <w:sz w:val="18"/>
                <w:szCs w:val="18"/>
              </w:rPr>
              <w:br/>
              <w:t>(chapter 3.4)</w:t>
            </w:r>
          </w:p>
        </w:tc>
        <w:tc>
          <w:tcPr>
            <w:tcW w:w="1134" w:type="dxa"/>
          </w:tcPr>
          <w:p w14:paraId="309F9E7B"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 1A, 1B</w:t>
            </w:r>
          </w:p>
        </w:tc>
        <w:tc>
          <w:tcPr>
            <w:tcW w:w="1842" w:type="dxa"/>
            <w:vMerge/>
          </w:tcPr>
          <w:p w14:paraId="768FB0EB" w14:textId="77777777" w:rsidR="00CB0F8F" w:rsidRPr="008B0608" w:rsidRDefault="00CB0F8F" w:rsidP="009D2487">
            <w:pPr>
              <w:pStyle w:val="SingleTxtG"/>
              <w:spacing w:before="20" w:after="20" w:line="240" w:lineRule="auto"/>
              <w:ind w:left="0"/>
              <w:rPr>
                <w:sz w:val="16"/>
                <w:szCs w:val="16"/>
                <w:lang w:val="en-GB"/>
              </w:rPr>
            </w:pPr>
          </w:p>
        </w:tc>
      </w:tr>
      <w:tr w:rsidR="00CB0F8F" w:rsidRPr="00A22868" w14:paraId="7602B1B5" w14:textId="77777777" w:rsidTr="009D2487">
        <w:tc>
          <w:tcPr>
            <w:tcW w:w="562" w:type="dxa"/>
            <w:vMerge/>
            <w:tcBorders>
              <w:right w:val="single" w:sz="4" w:space="0" w:color="auto"/>
            </w:tcBorders>
          </w:tcPr>
          <w:p w14:paraId="1D44BEBD" w14:textId="77777777" w:rsidR="00CB0F8F" w:rsidRPr="008B0608" w:rsidRDefault="00CB0F8F" w:rsidP="009D2487">
            <w:pPr>
              <w:pStyle w:val="SingleTxtG"/>
              <w:spacing w:before="20" w:after="20" w:line="240" w:lineRule="auto"/>
              <w:ind w:left="0"/>
              <w:rPr>
                <w:sz w:val="16"/>
                <w:szCs w:val="16"/>
                <w:lang w:val="en-GB"/>
              </w:rPr>
            </w:pPr>
          </w:p>
        </w:tc>
        <w:tc>
          <w:tcPr>
            <w:tcW w:w="1701" w:type="dxa"/>
            <w:vMerge/>
            <w:tcBorders>
              <w:left w:val="single" w:sz="4" w:space="0" w:color="auto"/>
            </w:tcBorders>
          </w:tcPr>
          <w:p w14:paraId="71561A72" w14:textId="77777777" w:rsidR="00CB0F8F" w:rsidRPr="008B0608" w:rsidRDefault="00CB0F8F" w:rsidP="009D2487">
            <w:pPr>
              <w:pStyle w:val="SingleTxtG"/>
              <w:spacing w:before="20" w:after="20" w:line="240" w:lineRule="auto"/>
              <w:ind w:left="0"/>
              <w:rPr>
                <w:sz w:val="16"/>
                <w:szCs w:val="16"/>
                <w:lang w:val="en-GB"/>
              </w:rPr>
            </w:pPr>
          </w:p>
        </w:tc>
        <w:tc>
          <w:tcPr>
            <w:tcW w:w="2127" w:type="dxa"/>
          </w:tcPr>
          <w:p w14:paraId="0F417F31" w14:textId="77777777" w:rsidR="00CB0F8F" w:rsidRPr="008B0608" w:rsidRDefault="00CB0F8F" w:rsidP="009D2487">
            <w:pPr>
              <w:pStyle w:val="SingleTxtG"/>
              <w:spacing w:before="20" w:after="20" w:line="240" w:lineRule="auto"/>
              <w:ind w:left="0" w:right="142"/>
              <w:jc w:val="left"/>
              <w:rPr>
                <w:sz w:val="18"/>
                <w:szCs w:val="18"/>
                <w:lang w:val="en-GB"/>
              </w:rPr>
            </w:pPr>
            <w:r w:rsidRPr="00A22868">
              <w:rPr>
                <w:sz w:val="18"/>
                <w:szCs w:val="18"/>
              </w:rPr>
              <w:t>Specific target organ toxicity, single exposure (chapter 3.8)</w:t>
            </w:r>
          </w:p>
        </w:tc>
        <w:tc>
          <w:tcPr>
            <w:tcW w:w="1134" w:type="dxa"/>
          </w:tcPr>
          <w:p w14:paraId="5EB928BB"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w:t>
            </w:r>
          </w:p>
        </w:tc>
        <w:tc>
          <w:tcPr>
            <w:tcW w:w="1842" w:type="dxa"/>
            <w:vMerge/>
          </w:tcPr>
          <w:p w14:paraId="005C750A" w14:textId="77777777" w:rsidR="00CB0F8F" w:rsidRPr="008B0608" w:rsidRDefault="00CB0F8F" w:rsidP="009D2487">
            <w:pPr>
              <w:pStyle w:val="SingleTxtG"/>
              <w:spacing w:before="20" w:after="20" w:line="240" w:lineRule="auto"/>
              <w:ind w:left="0"/>
              <w:rPr>
                <w:sz w:val="16"/>
                <w:szCs w:val="16"/>
                <w:lang w:val="en-GB"/>
              </w:rPr>
            </w:pPr>
          </w:p>
        </w:tc>
      </w:tr>
    </w:tbl>
    <w:p w14:paraId="210374BF" w14:textId="1293AD8C" w:rsidR="00CB0F8F" w:rsidRPr="00A22868" w:rsidRDefault="00CB0F8F" w:rsidP="006969E1">
      <w:pPr>
        <w:pStyle w:val="H23G"/>
        <w:rPr>
          <w:b w:val="0"/>
        </w:rPr>
      </w:pPr>
      <w:r w:rsidRPr="00A22868">
        <w:lastRenderedPageBreak/>
        <w:tab/>
      </w:r>
      <w:r w:rsidRPr="00A22868">
        <w:tab/>
        <w:t xml:space="preserve">P340, </w:t>
      </w:r>
      <w:r w:rsidR="00335185">
        <w:t>row</w:t>
      </w:r>
      <w:r w:rsidR="000D699B" w:rsidRPr="00A22868">
        <w:t xml:space="preserve"> </w:t>
      </w:r>
      <w:r w:rsidR="002B35D6" w:rsidRPr="00A22868">
        <w:t xml:space="preserve">“Acute toxicity, inhalation (chapter 3.1)”, </w:t>
      </w:r>
      <w:r w:rsidRPr="00A22868">
        <w:t>column (4)</w:t>
      </w:r>
    </w:p>
    <w:p w14:paraId="1CA280D5" w14:textId="6DDA5242" w:rsidR="00CB0F8F" w:rsidRPr="00A22868" w:rsidRDefault="006D13A5" w:rsidP="006969E1">
      <w:pPr>
        <w:pStyle w:val="SingleTxtG"/>
        <w:keepNext/>
        <w:keepLines/>
      </w:pPr>
      <w:r w:rsidRPr="00A22868">
        <w:t>Add</w:t>
      </w:r>
      <w:r w:rsidR="00CB0F8F" w:rsidRPr="00A22868">
        <w:t xml:space="preserve"> “, 5” after “1, 2, 3, 4”.</w:t>
      </w:r>
    </w:p>
    <w:p w14:paraId="0D9D0CDB" w14:textId="3D1C7BB5" w:rsidR="00CB0F8F" w:rsidRPr="008B0608" w:rsidRDefault="00CB0F8F" w:rsidP="008B0608">
      <w:pPr>
        <w:pStyle w:val="H23G"/>
      </w:pPr>
      <w:r w:rsidRPr="00A22868">
        <w:tab/>
      </w:r>
      <w:r w:rsidR="00335185">
        <w:tab/>
      </w:r>
      <w:r w:rsidRPr="00A22868">
        <w:t xml:space="preserve">P352, </w:t>
      </w:r>
      <w:r w:rsidR="00335185">
        <w:t>row “</w:t>
      </w:r>
      <w:r w:rsidR="00335185" w:rsidRPr="008B0608">
        <w:t>Acute toxicity, dermal (chapter 3.1)</w:t>
      </w:r>
      <w:r w:rsidR="00335185">
        <w:t>”,</w:t>
      </w:r>
      <w:r w:rsidR="00335185" w:rsidRPr="008B0608">
        <w:t xml:space="preserve"> </w:t>
      </w:r>
      <w:r w:rsidRPr="00A22868">
        <w:t>column (4)</w:t>
      </w:r>
    </w:p>
    <w:p w14:paraId="5D02E0E2" w14:textId="707C8291" w:rsidR="00CB0F8F" w:rsidRPr="00A22868" w:rsidRDefault="00BF1979" w:rsidP="00CB0F8F">
      <w:pPr>
        <w:pStyle w:val="SingleTxtG"/>
      </w:pPr>
      <w:r w:rsidRPr="00A22868">
        <w:t>Add</w:t>
      </w:r>
      <w:r w:rsidR="00CB0F8F" w:rsidRPr="00A22868">
        <w:t xml:space="preserve"> “, 5” after “1, 2, 3, 4”.</w:t>
      </w:r>
    </w:p>
    <w:p w14:paraId="33650E29" w14:textId="77777777" w:rsidR="00CB0F8F" w:rsidRPr="00A22868" w:rsidRDefault="00CB0F8F" w:rsidP="00CB0F8F">
      <w:pPr>
        <w:pStyle w:val="H23G"/>
      </w:pPr>
      <w:r w:rsidRPr="00A22868">
        <w:tab/>
      </w:r>
      <w:r w:rsidRPr="00A22868">
        <w:tab/>
        <w:t>P302+P317, column (2)</w:t>
      </w:r>
    </w:p>
    <w:p w14:paraId="46DD085F" w14:textId="73A9F4E0" w:rsidR="00CB0F8F" w:rsidRPr="00A22868" w:rsidRDefault="00CB0F8F" w:rsidP="00CB0F8F">
      <w:pPr>
        <w:pStyle w:val="SingleTxtG"/>
        <w:ind w:left="1701" w:hanging="567"/>
      </w:pPr>
      <w:r w:rsidRPr="00A22868">
        <w:t>Replace current text with “</w:t>
      </w:r>
      <w:r w:rsidRPr="00A22868">
        <w:rPr>
          <w:i/>
          <w:iCs/>
        </w:rPr>
        <w:t>[Deleted]</w:t>
      </w:r>
      <w:r w:rsidRPr="00A22868">
        <w:t xml:space="preserve">” and delete the text under columns (3) and (4). </w:t>
      </w:r>
    </w:p>
    <w:p w14:paraId="429A6086" w14:textId="63D47484" w:rsidR="00CB0F8F" w:rsidRPr="00A22868" w:rsidRDefault="00CB0F8F" w:rsidP="00CB0F8F">
      <w:pPr>
        <w:pStyle w:val="H23G"/>
      </w:pPr>
      <w:r w:rsidRPr="00A22868">
        <w:tab/>
      </w:r>
      <w:r w:rsidRPr="00A22868">
        <w:tab/>
        <w:t xml:space="preserve">P302+P352, </w:t>
      </w:r>
      <w:r w:rsidR="00401BFC">
        <w:t>row</w:t>
      </w:r>
      <w:r w:rsidR="00D42372" w:rsidRPr="00A22868">
        <w:t xml:space="preserve"> “Acute toxicity, dermal (chapter 3.1)”, </w:t>
      </w:r>
      <w:r w:rsidRPr="00A22868">
        <w:t>column (4)</w:t>
      </w:r>
    </w:p>
    <w:p w14:paraId="3775D1D1" w14:textId="2F8B15C2" w:rsidR="00CB0F8F" w:rsidRPr="00A22868" w:rsidRDefault="009B6E30" w:rsidP="00CB0F8F">
      <w:pPr>
        <w:pStyle w:val="SingleTxtG"/>
        <w:ind w:left="1701" w:hanging="567"/>
      </w:pPr>
      <w:r w:rsidRPr="00A22868">
        <w:t>Add</w:t>
      </w:r>
      <w:r w:rsidR="00CB0F8F" w:rsidRPr="00A22868">
        <w:t xml:space="preserve"> “, 5” after “1, 2, 3, 4”.</w:t>
      </w:r>
    </w:p>
    <w:p w14:paraId="7D21177C" w14:textId="77777777" w:rsidR="00CB0F8F" w:rsidRPr="00A22868" w:rsidRDefault="00CB0F8F" w:rsidP="00CB0F8F">
      <w:pPr>
        <w:pStyle w:val="H23G"/>
      </w:pPr>
      <w:r w:rsidRPr="00A22868">
        <w:tab/>
      </w:r>
      <w:r w:rsidRPr="00A22868">
        <w:tab/>
        <w:t>P304+P317, column (2)</w:t>
      </w:r>
    </w:p>
    <w:p w14:paraId="798EF51E" w14:textId="05CE7B7D" w:rsidR="00CB0F8F" w:rsidRPr="00A22868" w:rsidRDefault="00CB0F8F" w:rsidP="00CB0F8F">
      <w:pPr>
        <w:pStyle w:val="SingleTxtG"/>
        <w:ind w:left="1701" w:hanging="567"/>
      </w:pPr>
      <w:r w:rsidRPr="00A22868">
        <w:t>Replace current text with “</w:t>
      </w:r>
      <w:r w:rsidRPr="00A22868">
        <w:rPr>
          <w:i/>
          <w:iCs/>
        </w:rPr>
        <w:t>[Deleted]</w:t>
      </w:r>
      <w:r w:rsidRPr="00A22868">
        <w:t xml:space="preserve">” and delete the text under columns (3) and (4). </w:t>
      </w:r>
    </w:p>
    <w:p w14:paraId="4E0F5217" w14:textId="4516004C" w:rsidR="00CB0F8F" w:rsidRPr="00A22868" w:rsidRDefault="00CB0F8F" w:rsidP="00CB0F8F">
      <w:pPr>
        <w:pStyle w:val="H23G"/>
      </w:pPr>
      <w:r w:rsidRPr="00A22868">
        <w:tab/>
      </w:r>
      <w:r w:rsidRPr="00A22868">
        <w:tab/>
        <w:t xml:space="preserve">P304+P340, </w:t>
      </w:r>
      <w:r w:rsidR="006969E1">
        <w:t>row</w:t>
      </w:r>
      <w:r w:rsidR="00B339A9" w:rsidRPr="00A22868">
        <w:t xml:space="preserve"> “Acute toxicity, inhalation (chapter 3.1)”, </w:t>
      </w:r>
      <w:r w:rsidRPr="00A22868">
        <w:t>column (4)</w:t>
      </w:r>
    </w:p>
    <w:p w14:paraId="3CCD29FA" w14:textId="066DB5ED" w:rsidR="00CB0F8F" w:rsidRPr="00A22868" w:rsidRDefault="009B6E30" w:rsidP="00CB0F8F">
      <w:pPr>
        <w:ind w:left="1134"/>
      </w:pPr>
      <w:r w:rsidRPr="00A22868">
        <w:t>Add</w:t>
      </w:r>
      <w:r w:rsidR="00CB0F8F" w:rsidRPr="00A22868">
        <w:t xml:space="preserve"> “, 5” after “1, 2, 3, 4”.</w:t>
      </w:r>
    </w:p>
    <w:p w14:paraId="3E291744" w14:textId="77777777" w:rsidR="00CB0F8F" w:rsidRPr="00A22868" w:rsidRDefault="00CB0F8F" w:rsidP="008B0608">
      <w:pPr>
        <w:pStyle w:val="H1G"/>
      </w:pPr>
      <w:r w:rsidRPr="00A22868">
        <w:tab/>
      </w:r>
      <w:r w:rsidRPr="00A22868">
        <w:tab/>
        <w:t>Table A3.2.5</w:t>
      </w:r>
    </w:p>
    <w:p w14:paraId="496E701B" w14:textId="28AC5D14" w:rsidR="00CB0F8F" w:rsidRPr="00A22868" w:rsidRDefault="00CB0F8F" w:rsidP="00CB0F8F">
      <w:pPr>
        <w:pStyle w:val="H23G"/>
      </w:pPr>
      <w:r w:rsidRPr="00A22868">
        <w:tab/>
      </w:r>
      <w:r w:rsidRPr="00A22868">
        <w:tab/>
        <w:t>P501</w:t>
      </w:r>
      <w:r w:rsidR="00EC3D87">
        <w:t xml:space="preserve">, row </w:t>
      </w:r>
      <w:r w:rsidR="00EC3D87" w:rsidRPr="00A22868">
        <w:t>“Acute toxicity, inhalation (chapter 3.1)”</w:t>
      </w:r>
      <w:r w:rsidR="00EC3D87">
        <w:t>, column (4)</w:t>
      </w:r>
    </w:p>
    <w:p w14:paraId="2CCFA4EF" w14:textId="25F9587C" w:rsidR="00CB0F8F" w:rsidRPr="00A22868" w:rsidRDefault="00EC3D87" w:rsidP="00CB0F8F">
      <w:pPr>
        <w:pStyle w:val="SingleTxtG"/>
        <w:ind w:right="992"/>
      </w:pPr>
      <w:r>
        <w:t>A</w:t>
      </w:r>
      <w:r w:rsidR="00B825DA" w:rsidRPr="00A22868">
        <w:t xml:space="preserve">dd </w:t>
      </w:r>
      <w:r w:rsidR="00CB0F8F" w:rsidRPr="00A22868">
        <w:t>“, 4” after: “1, 2, 3”.</w:t>
      </w:r>
    </w:p>
    <w:p w14:paraId="0B42FBE9" w14:textId="77777777" w:rsidR="00CB0F8F" w:rsidRPr="00A22868" w:rsidRDefault="00CB0F8F" w:rsidP="00CB0F8F">
      <w:pPr>
        <w:pStyle w:val="SingleTxtG"/>
        <w:rPr>
          <w:b/>
          <w:bCs/>
        </w:rPr>
      </w:pPr>
      <w:r w:rsidRPr="00A22868">
        <w:rPr>
          <w:b/>
          <w:bCs/>
        </w:rPr>
        <w:t>P502</w:t>
      </w:r>
    </w:p>
    <w:p w14:paraId="23C6C135" w14:textId="77777777" w:rsidR="00CB0F8F" w:rsidRPr="00A22868" w:rsidRDefault="00CB0F8F" w:rsidP="00CB0F8F">
      <w:pPr>
        <w:pStyle w:val="SingleTxtG"/>
      </w:pPr>
      <w:r w:rsidRPr="00A22868">
        <w:t>Insert the following new row after the existing row for “Hazardous to the ozone layer (chapter 4.2)”:</w:t>
      </w:r>
    </w:p>
    <w:tbl>
      <w:tblPr>
        <w:tblStyle w:val="TableGrid"/>
        <w:tblW w:w="8075" w:type="dxa"/>
        <w:tblInd w:w="1134" w:type="dxa"/>
        <w:tblLook w:val="04A0" w:firstRow="1" w:lastRow="0" w:firstColumn="1" w:lastColumn="0" w:noHBand="0" w:noVBand="1"/>
      </w:tblPr>
      <w:tblGrid>
        <w:gridCol w:w="743"/>
        <w:gridCol w:w="746"/>
        <w:gridCol w:w="3468"/>
        <w:gridCol w:w="708"/>
        <w:gridCol w:w="2410"/>
      </w:tblGrid>
      <w:tr w:rsidR="00CB0F8F" w:rsidRPr="00A22868" w14:paraId="041DE7B8" w14:textId="77777777" w:rsidTr="009D2487">
        <w:tc>
          <w:tcPr>
            <w:tcW w:w="743" w:type="dxa"/>
            <w:tcBorders>
              <w:bottom w:val="single" w:sz="4" w:space="0" w:color="auto"/>
            </w:tcBorders>
          </w:tcPr>
          <w:p w14:paraId="1AEEE480" w14:textId="77777777" w:rsidR="00CB0F8F" w:rsidRPr="008B0608" w:rsidRDefault="00CB0F8F" w:rsidP="009D2487">
            <w:pPr>
              <w:pStyle w:val="SingleTxtG"/>
              <w:spacing w:before="20" w:after="20" w:line="240" w:lineRule="auto"/>
              <w:ind w:left="0" w:right="2"/>
              <w:jc w:val="center"/>
              <w:rPr>
                <w:b/>
                <w:bCs/>
                <w:sz w:val="16"/>
                <w:szCs w:val="16"/>
                <w:lang w:val="en-GB"/>
              </w:rPr>
            </w:pPr>
            <w:r w:rsidRPr="00A22868">
              <w:rPr>
                <w:b/>
                <w:bCs/>
                <w:sz w:val="16"/>
                <w:szCs w:val="16"/>
              </w:rPr>
              <w:t>(1)</w:t>
            </w:r>
          </w:p>
        </w:tc>
        <w:tc>
          <w:tcPr>
            <w:tcW w:w="746" w:type="dxa"/>
            <w:tcBorders>
              <w:bottom w:val="single" w:sz="4" w:space="0" w:color="auto"/>
            </w:tcBorders>
          </w:tcPr>
          <w:p w14:paraId="59C0B899"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(2)</w:t>
            </w:r>
          </w:p>
        </w:tc>
        <w:tc>
          <w:tcPr>
            <w:tcW w:w="3468" w:type="dxa"/>
          </w:tcPr>
          <w:p w14:paraId="5176A4F7"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(3)</w:t>
            </w:r>
          </w:p>
        </w:tc>
        <w:tc>
          <w:tcPr>
            <w:tcW w:w="708" w:type="dxa"/>
          </w:tcPr>
          <w:p w14:paraId="4FA37A56" w14:textId="77777777" w:rsidR="00CB0F8F" w:rsidRPr="008B0608" w:rsidRDefault="00CB0F8F" w:rsidP="009D2487">
            <w:pPr>
              <w:pStyle w:val="SingleTxtG"/>
              <w:spacing w:before="20" w:after="20" w:line="240" w:lineRule="auto"/>
              <w:ind w:left="0" w:right="5"/>
              <w:jc w:val="center"/>
              <w:rPr>
                <w:b/>
                <w:bCs/>
                <w:sz w:val="16"/>
                <w:szCs w:val="16"/>
                <w:lang w:val="en-GB"/>
              </w:rPr>
            </w:pPr>
            <w:r w:rsidRPr="00A22868">
              <w:rPr>
                <w:b/>
                <w:bCs/>
                <w:sz w:val="16"/>
                <w:szCs w:val="16"/>
              </w:rPr>
              <w:t>(4)</w:t>
            </w:r>
          </w:p>
        </w:tc>
        <w:tc>
          <w:tcPr>
            <w:tcW w:w="2410" w:type="dxa"/>
            <w:tcBorders>
              <w:bottom w:val="single" w:sz="4" w:space="0" w:color="auto"/>
            </w:tcBorders>
          </w:tcPr>
          <w:p w14:paraId="4D991094" w14:textId="77777777" w:rsidR="00CB0F8F" w:rsidRPr="008B0608" w:rsidRDefault="00CB0F8F" w:rsidP="009D2487">
            <w:pPr>
              <w:pStyle w:val="SingleTxtG"/>
              <w:spacing w:before="20" w:after="20" w:line="240" w:lineRule="auto"/>
              <w:ind w:left="0" w:right="0"/>
              <w:jc w:val="center"/>
              <w:rPr>
                <w:b/>
                <w:bCs/>
                <w:sz w:val="16"/>
                <w:szCs w:val="16"/>
                <w:lang w:val="en-GB"/>
              </w:rPr>
            </w:pPr>
            <w:r w:rsidRPr="00A22868">
              <w:rPr>
                <w:b/>
                <w:bCs/>
                <w:sz w:val="16"/>
                <w:szCs w:val="16"/>
              </w:rPr>
              <w:t>(5)</w:t>
            </w:r>
          </w:p>
        </w:tc>
      </w:tr>
      <w:tr w:rsidR="00CB0F8F" w:rsidRPr="00A22868" w14:paraId="37E52755" w14:textId="77777777" w:rsidTr="009D2487">
        <w:tc>
          <w:tcPr>
            <w:tcW w:w="743" w:type="dxa"/>
            <w:tcBorders>
              <w:top w:val="nil"/>
              <w:right w:val="single" w:sz="4" w:space="0" w:color="auto"/>
            </w:tcBorders>
          </w:tcPr>
          <w:p w14:paraId="0A4F2B2E" w14:textId="77777777" w:rsidR="00CB0F8F" w:rsidRPr="008B0608" w:rsidRDefault="00CB0F8F" w:rsidP="009D2487">
            <w:pPr>
              <w:pStyle w:val="SingleTxtG"/>
              <w:spacing w:before="20" w:after="20" w:line="240" w:lineRule="auto"/>
              <w:ind w:left="0"/>
              <w:rPr>
                <w:sz w:val="16"/>
                <w:szCs w:val="16"/>
                <w:lang w:val="en-GB"/>
              </w:rPr>
            </w:pPr>
          </w:p>
        </w:tc>
        <w:tc>
          <w:tcPr>
            <w:tcW w:w="746" w:type="dxa"/>
            <w:tcBorders>
              <w:top w:val="nil"/>
              <w:left w:val="single" w:sz="4" w:space="0" w:color="auto"/>
            </w:tcBorders>
          </w:tcPr>
          <w:p w14:paraId="1A383311" w14:textId="77777777" w:rsidR="00CB0F8F" w:rsidRPr="008B0608" w:rsidRDefault="00CB0F8F" w:rsidP="009D2487">
            <w:pPr>
              <w:pStyle w:val="SingleTxtG"/>
              <w:spacing w:before="20" w:after="20" w:line="240" w:lineRule="auto"/>
              <w:ind w:left="0"/>
              <w:rPr>
                <w:sz w:val="16"/>
                <w:szCs w:val="16"/>
                <w:lang w:val="en-GB"/>
              </w:rPr>
            </w:pPr>
          </w:p>
        </w:tc>
        <w:tc>
          <w:tcPr>
            <w:tcW w:w="3468" w:type="dxa"/>
          </w:tcPr>
          <w:p w14:paraId="790BE538" w14:textId="77777777" w:rsidR="00CB0F8F" w:rsidRPr="008B0608" w:rsidRDefault="00CB0F8F" w:rsidP="009D2487">
            <w:pPr>
              <w:pStyle w:val="SingleTxtG"/>
              <w:spacing w:before="20" w:after="20" w:line="240" w:lineRule="auto"/>
              <w:ind w:left="0" w:right="139"/>
              <w:rPr>
                <w:sz w:val="18"/>
                <w:szCs w:val="18"/>
                <w:lang w:val="en-GB"/>
              </w:rPr>
            </w:pPr>
            <w:r w:rsidRPr="00A22868">
              <w:rPr>
                <w:rFonts w:asciiTheme="majorBidi" w:hAnsiTheme="majorBidi" w:cstheme="majorBidi"/>
                <w:sz w:val="18"/>
                <w:szCs w:val="18"/>
              </w:rPr>
              <w:t>Hazardous by contributing to global warming (chapter 4.2)</w:t>
            </w:r>
          </w:p>
        </w:tc>
        <w:tc>
          <w:tcPr>
            <w:tcW w:w="708" w:type="dxa"/>
          </w:tcPr>
          <w:p w14:paraId="58659193" w14:textId="77777777" w:rsidR="00CB0F8F" w:rsidRPr="008B0608" w:rsidRDefault="00CB0F8F" w:rsidP="009D2487">
            <w:pPr>
              <w:pStyle w:val="SingleTxtG"/>
              <w:spacing w:before="20" w:after="20" w:line="240" w:lineRule="auto"/>
              <w:ind w:left="0" w:right="5"/>
              <w:jc w:val="center"/>
              <w:rPr>
                <w:sz w:val="18"/>
                <w:szCs w:val="18"/>
                <w:lang w:val="en-GB"/>
              </w:rPr>
            </w:pPr>
            <w:r w:rsidRPr="00A22868">
              <w:rPr>
                <w:sz w:val="18"/>
                <w:szCs w:val="18"/>
              </w:rPr>
              <w:t>1</w:t>
            </w:r>
          </w:p>
        </w:tc>
        <w:tc>
          <w:tcPr>
            <w:tcW w:w="2410" w:type="dxa"/>
          </w:tcPr>
          <w:p w14:paraId="4B8E9489" w14:textId="77777777" w:rsidR="00CB0F8F" w:rsidRPr="008B0608" w:rsidRDefault="00CB0F8F" w:rsidP="009D2487">
            <w:pPr>
              <w:pStyle w:val="SingleTxtG"/>
              <w:spacing w:before="20" w:after="20" w:line="240" w:lineRule="auto"/>
              <w:ind w:left="0"/>
              <w:rPr>
                <w:lang w:val="en-GB"/>
              </w:rPr>
            </w:pPr>
          </w:p>
        </w:tc>
      </w:tr>
    </w:tbl>
    <w:p w14:paraId="693AC3D7" w14:textId="69C45414" w:rsidR="00CB0F8F" w:rsidRPr="00A22868" w:rsidRDefault="00CB0F8F" w:rsidP="00CB0F8F">
      <w:pPr>
        <w:pStyle w:val="H1G"/>
        <w:rPr>
          <w:i/>
          <w:iCs/>
        </w:rPr>
      </w:pPr>
      <w:r w:rsidRPr="00A22868">
        <w:tab/>
      </w:r>
      <w:r w:rsidRPr="00A22868">
        <w:tab/>
        <w:t>Annex 3, section 3</w:t>
      </w:r>
    </w:p>
    <w:p w14:paraId="0E780C50" w14:textId="2BDA6499" w:rsidR="00CB0F8F" w:rsidRPr="00A22868" w:rsidRDefault="00CB0F8F" w:rsidP="00CB0F8F">
      <w:pPr>
        <w:pStyle w:val="H23G"/>
        <w:jc w:val="both"/>
      </w:pPr>
      <w:r w:rsidRPr="00A22868">
        <w:tab/>
      </w:r>
      <w:r w:rsidRPr="00A22868">
        <w:tab/>
        <w:t>Table for “Acute toxicity, oral</w:t>
      </w:r>
      <w:r w:rsidRPr="00A22868" w:rsidDel="007E6725">
        <w:rPr>
          <w:rStyle w:val="StyleBold"/>
          <w:rFonts w:asciiTheme="majorBidi" w:hAnsiTheme="majorBidi" w:cstheme="majorBidi"/>
        </w:rPr>
        <w:t xml:space="preserve"> </w:t>
      </w:r>
      <w:r w:rsidRPr="00A22868">
        <w:t>(chapter 3.1)”</w:t>
      </w:r>
      <w:r w:rsidR="00CA0EE9" w:rsidRPr="00A22868">
        <w:t xml:space="preserve">, </w:t>
      </w:r>
      <w:r w:rsidRPr="00A22868">
        <w:t>hazard categories 1, 2, 3</w:t>
      </w:r>
      <w:r w:rsidR="000E24D4">
        <w:t>, column “Response”</w:t>
      </w:r>
      <w:r w:rsidRPr="00A22868">
        <w:t xml:space="preserve"> </w:t>
      </w:r>
    </w:p>
    <w:p w14:paraId="2E7D208C" w14:textId="18C72F84" w:rsidR="00CB0F8F" w:rsidRPr="00A22868" w:rsidRDefault="000E24D4" w:rsidP="008B0608">
      <w:pPr>
        <w:pStyle w:val="SingleTxtG"/>
        <w:tabs>
          <w:tab w:val="clear" w:pos="1701"/>
        </w:tabs>
        <w:rPr>
          <w:rFonts w:asciiTheme="majorBidi" w:hAnsiTheme="majorBidi" w:cstheme="majorBidi"/>
        </w:rPr>
      </w:pPr>
      <w:r>
        <w:rPr>
          <w:rFonts w:asciiTheme="majorBidi" w:hAnsiTheme="majorBidi" w:cstheme="majorBidi"/>
        </w:rPr>
        <w:t>D</w:t>
      </w:r>
      <w:r w:rsidR="00CB0F8F" w:rsidRPr="00A22868">
        <w:rPr>
          <w:rFonts w:asciiTheme="majorBidi" w:hAnsiTheme="majorBidi" w:cstheme="majorBidi"/>
          <w:bCs/>
        </w:rPr>
        <w:t xml:space="preserve">elete </w:t>
      </w:r>
      <w:r w:rsidR="00D86A7C">
        <w:rPr>
          <w:rFonts w:asciiTheme="majorBidi" w:hAnsiTheme="majorBidi" w:cstheme="majorBidi"/>
          <w:bCs/>
        </w:rPr>
        <w:t xml:space="preserve">the </w:t>
      </w:r>
      <w:r w:rsidR="00CB0F8F" w:rsidRPr="00A22868">
        <w:rPr>
          <w:rFonts w:asciiTheme="majorBidi" w:hAnsiTheme="majorBidi" w:cstheme="majorBidi"/>
          <w:bCs/>
        </w:rPr>
        <w:t>P321 entry, and insert the following P320 and P322 entries (</w:t>
      </w:r>
      <w:r w:rsidR="00946E5C">
        <w:rPr>
          <w:rFonts w:asciiTheme="majorBidi" w:hAnsiTheme="majorBidi" w:cstheme="majorBidi"/>
          <w:bCs/>
        </w:rPr>
        <w:t>current</w:t>
      </w:r>
      <w:r w:rsidR="001C5090">
        <w:rPr>
          <w:rFonts w:asciiTheme="majorBidi" w:hAnsiTheme="majorBidi" w:cstheme="majorBidi"/>
          <w:bCs/>
        </w:rPr>
        <w:t xml:space="preserve"> </w:t>
      </w:r>
      <w:r w:rsidR="00CB0F8F" w:rsidRPr="00A22868">
        <w:rPr>
          <w:rFonts w:asciiTheme="majorBidi" w:hAnsiTheme="majorBidi" w:cstheme="majorBidi"/>
          <w:bCs/>
        </w:rPr>
        <w:t>entries for P301+P316 and P330 remain unchanged)</w:t>
      </w:r>
      <w:r w:rsidR="00CB0F8F" w:rsidRPr="00A22868">
        <w:rPr>
          <w:rFonts w:asciiTheme="majorBidi" w:hAnsiTheme="majorBidi" w:cstheme="majorBidi"/>
        </w:rPr>
        <w:t>:</w:t>
      </w:r>
    </w:p>
    <w:p w14:paraId="38ABB809" w14:textId="0DD7123C" w:rsidR="00CB0F8F" w:rsidRPr="00A22868" w:rsidRDefault="00CB0F8F" w:rsidP="002A4A61">
      <w:pPr>
        <w:pStyle w:val="BalloonText"/>
        <w:spacing w:before="20" w:after="60"/>
        <w:ind w:left="1701" w:right="1134"/>
        <w:jc w:val="both"/>
        <w:rPr>
          <w:rFonts w:asciiTheme="majorBidi" w:hAnsiTheme="majorBidi" w:cstheme="majorBidi"/>
          <w:b/>
          <w:sz w:val="20"/>
          <w:szCs w:val="20"/>
        </w:rPr>
      </w:pPr>
      <w:r w:rsidRPr="00A22868">
        <w:rPr>
          <w:rFonts w:asciiTheme="majorBidi" w:hAnsiTheme="majorBidi" w:cstheme="majorBidi"/>
          <w:sz w:val="20"/>
          <w:szCs w:val="20"/>
        </w:rPr>
        <w:t>“</w:t>
      </w:r>
      <w:r w:rsidRPr="00A22868">
        <w:rPr>
          <w:rFonts w:asciiTheme="majorBidi" w:hAnsiTheme="majorBidi" w:cstheme="majorBidi"/>
          <w:bCs/>
          <w:snapToGrid w:val="0"/>
          <w:sz w:val="20"/>
          <w:szCs w:val="20"/>
        </w:rPr>
        <w:t>P320</w:t>
      </w:r>
      <w:r w:rsidR="002A4A61">
        <w:rPr>
          <w:rFonts w:asciiTheme="majorBidi" w:hAnsiTheme="majorBidi" w:cstheme="majorBidi"/>
          <w:bCs/>
          <w:snapToGrid w:val="0"/>
          <w:sz w:val="20"/>
          <w:szCs w:val="20"/>
        </w:rPr>
        <w:br/>
      </w:r>
      <w:r w:rsidRPr="00A22868">
        <w:rPr>
          <w:rFonts w:asciiTheme="majorBidi" w:hAnsiTheme="majorBidi" w:cstheme="majorBidi"/>
          <w:b/>
          <w:sz w:val="20"/>
          <w:szCs w:val="20"/>
        </w:rPr>
        <w:t>Specific treatment is urgent (see information on this label and safety data sheet).</w:t>
      </w:r>
    </w:p>
    <w:p w14:paraId="2EBFF06F" w14:textId="77777777" w:rsidR="00CB0F8F" w:rsidRPr="00A22868" w:rsidRDefault="00CB0F8F" w:rsidP="00CB0F8F">
      <w:pPr>
        <w:spacing w:before="60" w:after="120"/>
        <w:ind w:left="1701" w:right="1134"/>
        <w:jc w:val="both"/>
        <w:rPr>
          <w:rStyle w:val="StyleItalic"/>
          <w:rFonts w:asciiTheme="majorBidi" w:hAnsiTheme="majorBidi" w:cstheme="majorBidi"/>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 xml:space="preserve">instructions, including any training requirements, </w:t>
      </w:r>
      <w:r w:rsidRPr="00A22868">
        <w:rPr>
          <w:rStyle w:val="StyleItalic"/>
        </w:rPr>
        <w:t>should be provided on the safety data sheet, if appropriate.</w:t>
      </w:r>
    </w:p>
    <w:p w14:paraId="4EC9B0C8" w14:textId="4ECB0BE5" w:rsidR="00CB0F8F" w:rsidRPr="00A22868" w:rsidRDefault="00CB0F8F" w:rsidP="002A4A61">
      <w:pPr>
        <w:pStyle w:val="BalloonText"/>
        <w:tabs>
          <w:tab w:val="left" w:pos="0"/>
          <w:tab w:val="left" w:pos="156"/>
        </w:tabs>
        <w:spacing w:after="60"/>
        <w:ind w:left="1701" w:right="1134"/>
        <w:jc w:val="both"/>
        <w:rPr>
          <w:rFonts w:asciiTheme="majorBidi" w:hAnsiTheme="majorBidi" w:cstheme="majorBidi"/>
          <w:snapToGrid w:val="0"/>
          <w:sz w:val="20"/>
          <w:szCs w:val="20"/>
        </w:rPr>
      </w:pPr>
      <w:r w:rsidRPr="00A22868">
        <w:rPr>
          <w:rFonts w:asciiTheme="majorBidi" w:hAnsiTheme="majorBidi" w:cstheme="majorBidi"/>
          <w:snapToGrid w:val="0"/>
          <w:sz w:val="20"/>
          <w:szCs w:val="20"/>
        </w:rPr>
        <w:t>P322</w:t>
      </w:r>
      <w:r w:rsidR="002A4A61">
        <w:rPr>
          <w:rFonts w:asciiTheme="majorBidi" w:hAnsiTheme="majorBidi" w:cstheme="majorBidi"/>
          <w:snapToGrid w:val="0"/>
          <w:sz w:val="20"/>
          <w:szCs w:val="20"/>
        </w:rPr>
        <w:br/>
      </w:r>
      <w:r w:rsidRPr="00A22868">
        <w:rPr>
          <w:rFonts w:asciiTheme="majorBidi" w:hAnsiTheme="majorBidi" w:cstheme="majorBidi"/>
          <w:b/>
          <w:bCs/>
          <w:sz w:val="20"/>
          <w:szCs w:val="20"/>
        </w:rPr>
        <w:t>Specific treatment is urgent (see information on the safety data sheet).</w:t>
      </w:r>
    </w:p>
    <w:p w14:paraId="2A8FCAF7" w14:textId="77777777" w:rsidR="00CB0F8F" w:rsidRPr="00A22868" w:rsidRDefault="00CB0F8F" w:rsidP="00CB0F8F">
      <w:pPr>
        <w:keepLines/>
        <w:tabs>
          <w:tab w:val="left" w:pos="178"/>
        </w:tabs>
        <w:spacing w:after="60" w:line="240" w:lineRule="auto"/>
        <w:ind w:left="1701" w:right="1134"/>
        <w:jc w:val="both"/>
        <w:rPr>
          <w:rStyle w:val="StyleItalic"/>
          <w:rFonts w:asciiTheme="majorBidi" w:hAnsiTheme="majorBidi" w:cstheme="majorBidi"/>
          <w:i w:val="0"/>
          <w:iCs w:val="0"/>
          <w:sz w:val="16"/>
          <w:szCs w:val="16"/>
        </w:rPr>
      </w:pPr>
      <w:r w:rsidRPr="008B0608">
        <w:rPr>
          <w:rStyle w:val="StyleItalic"/>
          <w:rFonts w:asciiTheme="majorBidi" w:hAnsiTheme="majorBidi" w:cstheme="majorBidi"/>
          <w:i w:val="0"/>
          <w:iCs w:val="0"/>
        </w:rPr>
        <w:t>Manufacturer/supplier to reference on the safety data sheet detailed instructions, including any training requirements, to administer an antidote or provide other specific treatment.</w:t>
      </w:r>
    </w:p>
    <w:p w14:paraId="696A2531" w14:textId="77777777" w:rsidR="00CB0F8F" w:rsidRPr="00A22868" w:rsidRDefault="00CB0F8F" w:rsidP="00CB0F8F">
      <w:pPr>
        <w:pStyle w:val="BalloonText"/>
        <w:tabs>
          <w:tab w:val="left" w:pos="0"/>
          <w:tab w:val="left" w:pos="156"/>
        </w:tabs>
        <w:spacing w:before="20" w:after="160"/>
        <w:ind w:left="1701" w:right="1134"/>
        <w:jc w:val="both"/>
        <w:rPr>
          <w:rStyle w:val="StyleItalic"/>
          <w:rFonts w:asciiTheme="majorBidi" w:hAnsiTheme="majorBidi" w:cstheme="majorBidi"/>
          <w:sz w:val="20"/>
          <w:szCs w:val="20"/>
        </w:rPr>
      </w:pPr>
      <w:r w:rsidRPr="00A22868">
        <w:rPr>
          <w:rStyle w:val="StyleItalic"/>
          <w:rFonts w:asciiTheme="majorBidi" w:hAnsiTheme="majorBidi" w:cstheme="majorBidi"/>
          <w:sz w:val="20"/>
          <w:szCs w:val="20"/>
        </w:rPr>
        <w:t>- may be omitted if P320 is given on the label.”</w:t>
      </w:r>
    </w:p>
    <w:p w14:paraId="6093E15A" w14:textId="4FBA8D73" w:rsidR="00537777" w:rsidRDefault="00CB0F8F" w:rsidP="00537777">
      <w:pPr>
        <w:pStyle w:val="H23G"/>
        <w:jc w:val="both"/>
        <w:rPr>
          <w:rFonts w:asciiTheme="majorBidi" w:hAnsiTheme="majorBidi" w:cstheme="majorBidi"/>
          <w:bCs/>
        </w:rPr>
      </w:pPr>
      <w:r w:rsidRPr="00A22868">
        <w:lastRenderedPageBreak/>
        <w:tab/>
      </w:r>
      <w:r w:rsidRPr="00A22868">
        <w:tab/>
        <w:t>Table for “Acute toxicity, oral</w:t>
      </w:r>
      <w:r w:rsidRPr="00A22868" w:rsidDel="007E6725">
        <w:t xml:space="preserve"> </w:t>
      </w:r>
      <w:r w:rsidRPr="00A22868">
        <w:t>(chapter 3.1)” hazard category 4</w:t>
      </w:r>
      <w:r w:rsidR="00537777">
        <w:t>, column “</w:t>
      </w:r>
      <w:r w:rsidRPr="00A22868">
        <w:rPr>
          <w:rFonts w:asciiTheme="majorBidi" w:hAnsiTheme="majorBidi" w:cstheme="majorBidi"/>
          <w:bCs/>
        </w:rPr>
        <w:t>Response”</w:t>
      </w:r>
    </w:p>
    <w:p w14:paraId="1B524215" w14:textId="70FBA980" w:rsidR="00CB0F8F" w:rsidRPr="00A22868" w:rsidRDefault="00537777" w:rsidP="008B0608">
      <w:pPr>
        <w:pStyle w:val="SingleTxtG"/>
      </w:pPr>
      <w:r>
        <w:t>I</w:t>
      </w:r>
      <w:r w:rsidR="00CB0F8F" w:rsidRPr="00A22868">
        <w:t>nsert the following P321 and P323 entries (</w:t>
      </w:r>
      <w:r w:rsidR="00FC67A6">
        <w:t>current</w:t>
      </w:r>
      <w:r w:rsidRPr="00A22868">
        <w:t xml:space="preserve"> </w:t>
      </w:r>
      <w:r w:rsidR="00CB0F8F" w:rsidRPr="00A22868">
        <w:t>entries for P301+P317 and P330 remain unchanged):</w:t>
      </w:r>
    </w:p>
    <w:p w14:paraId="3608081A" w14:textId="62590EBF" w:rsidR="00CB0F8F" w:rsidRPr="00A22868" w:rsidRDefault="00CB0F8F" w:rsidP="00A661DF">
      <w:pPr>
        <w:pStyle w:val="BalloonText"/>
        <w:spacing w:before="20" w:after="60"/>
        <w:ind w:left="1701" w:right="1134"/>
        <w:jc w:val="both"/>
        <w:rPr>
          <w:rFonts w:asciiTheme="majorBidi" w:hAnsiTheme="majorBidi" w:cstheme="majorBidi"/>
          <w:bCs/>
          <w:sz w:val="20"/>
          <w:szCs w:val="20"/>
        </w:rPr>
      </w:pPr>
      <w:r w:rsidRPr="00A22868">
        <w:rPr>
          <w:rFonts w:asciiTheme="majorBidi" w:hAnsiTheme="majorBidi" w:cstheme="majorBidi"/>
          <w:sz w:val="20"/>
          <w:szCs w:val="20"/>
        </w:rPr>
        <w:t>“</w:t>
      </w:r>
      <w:r w:rsidRPr="00A22868">
        <w:rPr>
          <w:rFonts w:asciiTheme="majorBidi" w:hAnsiTheme="majorBidi" w:cstheme="majorBidi"/>
          <w:bCs/>
          <w:sz w:val="20"/>
          <w:szCs w:val="20"/>
        </w:rPr>
        <w:t>P321</w:t>
      </w:r>
      <w:r w:rsidR="00A661DF">
        <w:rPr>
          <w:rFonts w:asciiTheme="majorBidi" w:hAnsiTheme="majorBidi" w:cstheme="majorBidi"/>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sz w:val="20"/>
          <w:szCs w:val="20"/>
        </w:rPr>
        <w:t xml:space="preserve">information </w:t>
      </w:r>
      <w:r w:rsidRPr="00A22868">
        <w:rPr>
          <w:rStyle w:val="StyleBold"/>
          <w:rFonts w:asciiTheme="majorBidi" w:hAnsiTheme="majorBidi" w:cstheme="majorBidi"/>
          <w:sz w:val="20"/>
          <w:szCs w:val="20"/>
        </w:rPr>
        <w:t>on this label</w:t>
      </w:r>
      <w:r w:rsidRPr="00A22868">
        <w:rPr>
          <w:rFonts w:asciiTheme="majorBidi" w:hAnsiTheme="majorBidi" w:cstheme="majorBidi"/>
          <w:b/>
          <w:sz w:val="20"/>
          <w:szCs w:val="20"/>
        </w:rPr>
        <w:t xml:space="preserve"> and safety data sheet</w:t>
      </w:r>
      <w:r w:rsidRPr="00A22868">
        <w:rPr>
          <w:rStyle w:val="StyleBold"/>
          <w:rFonts w:asciiTheme="majorBidi" w:hAnsiTheme="majorBidi" w:cstheme="majorBidi"/>
          <w:sz w:val="20"/>
          <w:szCs w:val="20"/>
        </w:rPr>
        <w:t>).</w:t>
      </w:r>
    </w:p>
    <w:p w14:paraId="6D2BA722" w14:textId="77777777" w:rsidR="00CB0F8F" w:rsidRPr="00A22868" w:rsidRDefault="00CB0F8F" w:rsidP="00CB0F8F">
      <w:pPr>
        <w:spacing w:after="80"/>
        <w:ind w:left="1701" w:right="1134"/>
        <w:jc w:val="both"/>
        <w:rPr>
          <w:rStyle w:val="StyleItalic"/>
        </w:rPr>
      </w:pPr>
      <w:r w:rsidRPr="00A22868">
        <w:rPr>
          <w:rStyle w:val="StyleItalic"/>
        </w:rPr>
        <w:t>- if immediate measures that can be easily applied, such as the administration of antidote or other specific treatment, are required. These measures must be specified on the label and safety data sheet, recognizing additional detail</w:t>
      </w:r>
      <w:r w:rsidRPr="00A22868">
        <w:rPr>
          <w:rStyle w:val="StyleItalic"/>
          <w:rFonts w:asciiTheme="majorBidi" w:hAnsiTheme="majorBidi" w:cstheme="majorBidi"/>
        </w:rPr>
        <w:t>ed instructions, including any training requirements,</w:t>
      </w:r>
      <w:r w:rsidRPr="00A22868">
        <w:rPr>
          <w:rStyle w:val="StyleItalic"/>
        </w:rPr>
        <w:t xml:space="preserve"> should be provided on the safety data sheet, if appropriate.</w:t>
      </w:r>
    </w:p>
    <w:p w14:paraId="3EB7AD73" w14:textId="77777777" w:rsidR="00CB0F8F" w:rsidRPr="00A22868" w:rsidRDefault="00CB0F8F" w:rsidP="00CB0F8F">
      <w:pPr>
        <w:pStyle w:val="BalloonText"/>
        <w:tabs>
          <w:tab w:val="left" w:pos="0"/>
          <w:tab w:val="left" w:pos="156"/>
        </w:tabs>
        <w:spacing w:before="20" w:after="160"/>
        <w:ind w:left="1701" w:right="1134"/>
        <w:jc w:val="both"/>
        <w:rPr>
          <w:rFonts w:asciiTheme="majorBidi" w:hAnsiTheme="majorBidi" w:cstheme="majorBidi"/>
          <w:sz w:val="20"/>
          <w:szCs w:val="20"/>
        </w:rPr>
      </w:pPr>
      <w:r w:rsidRPr="00A22868">
        <w:rPr>
          <w:rStyle w:val="StyleItalic"/>
          <w:rFonts w:asciiTheme="majorBidi" w:hAnsiTheme="majorBidi" w:cstheme="majorBidi"/>
          <w:sz w:val="20"/>
          <w:szCs w:val="20"/>
        </w:rPr>
        <w:t>- may be omitted if P320 is given on the label.</w:t>
      </w:r>
    </w:p>
    <w:p w14:paraId="594AE79F" w14:textId="36EFA786" w:rsidR="00CB0F8F" w:rsidRPr="00A22868" w:rsidRDefault="00CB0F8F" w:rsidP="00A661DF">
      <w:pPr>
        <w:pStyle w:val="BalloonText"/>
        <w:spacing w:before="20"/>
        <w:ind w:left="1701"/>
        <w:jc w:val="both"/>
        <w:rPr>
          <w:rFonts w:asciiTheme="majorBidi" w:hAnsiTheme="majorBidi" w:cstheme="majorBidi"/>
          <w:b/>
          <w:bCs/>
          <w:sz w:val="20"/>
          <w:szCs w:val="20"/>
        </w:rPr>
      </w:pPr>
      <w:r w:rsidRPr="008B0608">
        <w:rPr>
          <w:rStyle w:val="StyleBold"/>
          <w:rFonts w:asciiTheme="majorBidi" w:hAnsiTheme="majorBidi" w:cstheme="majorBidi"/>
          <w:b w:val="0"/>
          <w:bCs w:val="0"/>
          <w:sz w:val="20"/>
          <w:szCs w:val="20"/>
        </w:rPr>
        <w:t>P323</w:t>
      </w:r>
      <w:r w:rsidR="00A661DF">
        <w:rPr>
          <w:rStyle w:val="StyleBold"/>
          <w:rFonts w:asciiTheme="majorBidi" w:hAnsiTheme="majorBidi" w:cstheme="majorBidi"/>
          <w:b w:val="0"/>
          <w:bCs w:val="0"/>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p>
    <w:p w14:paraId="29A4918F" w14:textId="77777777" w:rsidR="00CB0F8F" w:rsidRPr="00A22868" w:rsidRDefault="00CB0F8F" w:rsidP="00CB0F8F">
      <w:pPr>
        <w:pStyle w:val="BalloonText"/>
        <w:spacing w:before="20" w:after="80"/>
        <w:ind w:left="1701" w:right="1134"/>
        <w:jc w:val="both"/>
        <w:rPr>
          <w:rStyle w:val="StyleItalic"/>
          <w:rFonts w:asciiTheme="majorBidi" w:hAnsiTheme="majorBidi" w:cstheme="majorBidi"/>
          <w:sz w:val="20"/>
          <w:szCs w:val="20"/>
        </w:rPr>
      </w:pPr>
      <w:r w:rsidRPr="002274EB">
        <w:rPr>
          <w:rStyle w:val="StyleItalic"/>
          <w:rFonts w:asciiTheme="majorBidi" w:hAnsiTheme="majorBidi" w:cstheme="majorBidi"/>
          <w:i w:val="0"/>
          <w:iCs w:val="0"/>
          <w:sz w:val="20"/>
          <w:szCs w:val="20"/>
        </w:rPr>
        <w:t>Manufacturer/supplier to reference on the safety data sheet detailed instructions, including any training requirements, to administer an antidote or other specific treatment.</w:t>
      </w:r>
      <w:r w:rsidRPr="00A22868">
        <w:rPr>
          <w:rStyle w:val="StyleItalic"/>
          <w:rFonts w:asciiTheme="majorBidi" w:hAnsiTheme="majorBidi" w:cstheme="majorBidi"/>
          <w:sz w:val="20"/>
          <w:szCs w:val="20"/>
        </w:rPr>
        <w:br/>
      </w:r>
      <w:proofErr w:type="gramStart"/>
      <w:r w:rsidRPr="00A22868">
        <w:rPr>
          <w:rStyle w:val="StyleItalic"/>
          <w:rFonts w:asciiTheme="majorBidi" w:hAnsiTheme="majorBidi" w:cstheme="majorBidi"/>
          <w:sz w:val="20"/>
          <w:szCs w:val="20"/>
        </w:rPr>
        <w:t>-  may</w:t>
      </w:r>
      <w:proofErr w:type="gramEnd"/>
      <w:r w:rsidRPr="00A22868">
        <w:rPr>
          <w:rStyle w:val="StyleItalic"/>
          <w:rFonts w:asciiTheme="majorBidi" w:hAnsiTheme="majorBidi" w:cstheme="majorBidi"/>
          <w:sz w:val="20"/>
          <w:szCs w:val="20"/>
        </w:rPr>
        <w:t xml:space="preserve"> be omitted if P321 or P322 is given on the label.”</w:t>
      </w:r>
    </w:p>
    <w:p w14:paraId="6BC52E10" w14:textId="77777777" w:rsidR="00CB0F8F" w:rsidRPr="00A22868" w:rsidRDefault="00CB0F8F" w:rsidP="00CB0F8F">
      <w:pPr>
        <w:pStyle w:val="H23G"/>
        <w:keepNext w:val="0"/>
        <w:keepLines w:val="0"/>
        <w:ind w:firstLine="0"/>
      </w:pPr>
      <w:r w:rsidRPr="00A22868">
        <w:t>Tables for “Acute toxicity, dermal</w:t>
      </w:r>
      <w:r w:rsidRPr="00A22868" w:rsidDel="007E6725">
        <w:t xml:space="preserve"> </w:t>
      </w:r>
      <w:r w:rsidRPr="00A22868">
        <w:t>(chapter 3.1)” hazard categories 1, 2 and 3</w:t>
      </w:r>
    </w:p>
    <w:p w14:paraId="3C52B7F0" w14:textId="01A29235" w:rsidR="002318BA" w:rsidRPr="00A22868" w:rsidRDefault="00CB0F8F" w:rsidP="00CB0F8F">
      <w:pPr>
        <w:pStyle w:val="SingleTxtG"/>
      </w:pPr>
      <w:r w:rsidRPr="00A22868">
        <w:t xml:space="preserve">Delete the current table for category 3. </w:t>
      </w:r>
    </w:p>
    <w:p w14:paraId="0685138D" w14:textId="3B4760A0" w:rsidR="00CB0F8F" w:rsidRPr="00A22868" w:rsidRDefault="00CB0F8F" w:rsidP="00CB0F8F">
      <w:pPr>
        <w:pStyle w:val="SingleTxtG"/>
        <w:rPr>
          <w:rFonts w:asciiTheme="majorBidi" w:hAnsiTheme="majorBidi" w:cstheme="majorBidi"/>
        </w:rPr>
      </w:pPr>
      <w:r w:rsidRPr="00A22868">
        <w:t>In the current table for categories 1 and 2, insert a row for category 3 under the existing row for category 2 as follows:</w:t>
      </w:r>
    </w:p>
    <w:tbl>
      <w:tblPr>
        <w:tblW w:w="737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595"/>
        <w:gridCol w:w="1134"/>
        <w:gridCol w:w="992"/>
        <w:gridCol w:w="709"/>
        <w:gridCol w:w="1984"/>
      </w:tblGrid>
      <w:tr w:rsidR="00CB0F8F" w:rsidRPr="00A22868" w14:paraId="704DB911" w14:textId="77777777" w:rsidTr="009D2487">
        <w:tc>
          <w:tcPr>
            <w:tcW w:w="957" w:type="dxa"/>
            <w:tcBorders>
              <w:top w:val="nil"/>
              <w:left w:val="nil"/>
              <w:bottom w:val="nil"/>
              <w:right w:val="nil"/>
            </w:tcBorders>
          </w:tcPr>
          <w:p w14:paraId="3A4BC5E4" w14:textId="77777777" w:rsidR="00CB0F8F" w:rsidRPr="00A22868" w:rsidRDefault="00CB0F8F" w:rsidP="009D2487">
            <w:pPr>
              <w:spacing w:before="40" w:after="40"/>
              <w:rPr>
                <w:b/>
                <w:bCs/>
                <w:sz w:val="16"/>
                <w:szCs w:val="16"/>
              </w:rPr>
            </w:pPr>
            <w:r w:rsidRPr="00A22868">
              <w:rPr>
                <w:b/>
                <w:bCs/>
                <w:sz w:val="16"/>
                <w:szCs w:val="16"/>
              </w:rPr>
              <w:t>Hazard category</w:t>
            </w:r>
          </w:p>
        </w:tc>
        <w:tc>
          <w:tcPr>
            <w:tcW w:w="1595" w:type="dxa"/>
            <w:tcBorders>
              <w:top w:val="nil"/>
              <w:left w:val="nil"/>
              <w:bottom w:val="nil"/>
              <w:right w:val="nil"/>
            </w:tcBorders>
          </w:tcPr>
          <w:p w14:paraId="07F3821D" w14:textId="77777777" w:rsidR="00CB0F8F" w:rsidRPr="00A22868" w:rsidRDefault="00CB0F8F" w:rsidP="009D2487">
            <w:pPr>
              <w:spacing w:before="40" w:after="40"/>
              <w:rPr>
                <w:b/>
                <w:bCs/>
                <w:sz w:val="16"/>
                <w:szCs w:val="16"/>
              </w:rPr>
            </w:pPr>
            <w:r w:rsidRPr="00A22868">
              <w:rPr>
                <w:b/>
                <w:bCs/>
                <w:sz w:val="16"/>
                <w:szCs w:val="16"/>
              </w:rPr>
              <w:t>Symbol</w:t>
            </w:r>
          </w:p>
        </w:tc>
        <w:tc>
          <w:tcPr>
            <w:tcW w:w="1134" w:type="dxa"/>
            <w:vMerge w:val="restart"/>
            <w:tcBorders>
              <w:top w:val="nil"/>
              <w:left w:val="nil"/>
              <w:right w:val="nil"/>
            </w:tcBorders>
          </w:tcPr>
          <w:p w14:paraId="23D3548D" w14:textId="77777777" w:rsidR="00CB0F8F" w:rsidRPr="00A22868" w:rsidRDefault="00CB0F8F" w:rsidP="009D2487">
            <w:pPr>
              <w:spacing w:before="40" w:after="40"/>
              <w:rPr>
                <w:b/>
                <w:bCs/>
                <w:sz w:val="16"/>
                <w:szCs w:val="16"/>
              </w:rPr>
            </w:pPr>
            <w:r w:rsidRPr="00A22868">
              <w:rPr>
                <w:noProof/>
                <w:sz w:val="16"/>
                <w:szCs w:val="16"/>
              </w:rPr>
              <w:drawing>
                <wp:anchor distT="0" distB="0" distL="114300" distR="114300" simplePos="0" relativeHeight="251698176" behindDoc="0" locked="0" layoutInCell="1" allowOverlap="1" wp14:anchorId="03207AED" wp14:editId="10188861">
                  <wp:simplePos x="0" y="0"/>
                  <wp:positionH relativeFrom="column">
                    <wp:posOffset>76200</wp:posOffset>
                  </wp:positionH>
                  <wp:positionV relativeFrom="paragraph">
                    <wp:posOffset>56515</wp:posOffset>
                  </wp:positionV>
                  <wp:extent cx="559435" cy="614045"/>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35" cy="614045"/>
                          </a:xfrm>
                          <a:prstGeom prst="rect">
                            <a:avLst/>
                          </a:prstGeom>
                          <a:noFill/>
                          <a:ln>
                            <a:noFill/>
                          </a:ln>
                        </pic:spPr>
                      </pic:pic>
                    </a:graphicData>
                  </a:graphic>
                </wp:anchor>
              </w:drawing>
            </w:r>
          </w:p>
        </w:tc>
        <w:tc>
          <w:tcPr>
            <w:tcW w:w="992" w:type="dxa"/>
            <w:tcBorders>
              <w:top w:val="nil"/>
              <w:left w:val="nil"/>
              <w:bottom w:val="nil"/>
              <w:right w:val="nil"/>
            </w:tcBorders>
          </w:tcPr>
          <w:p w14:paraId="7D5F59AB" w14:textId="77777777" w:rsidR="00CB0F8F" w:rsidRPr="00A22868" w:rsidRDefault="00CB0F8F" w:rsidP="009D2487">
            <w:pPr>
              <w:spacing w:before="40" w:after="40"/>
              <w:rPr>
                <w:b/>
                <w:bCs/>
                <w:sz w:val="16"/>
                <w:szCs w:val="16"/>
              </w:rPr>
            </w:pPr>
            <w:r w:rsidRPr="00A22868">
              <w:rPr>
                <w:b/>
                <w:bCs/>
                <w:sz w:val="16"/>
                <w:szCs w:val="16"/>
              </w:rPr>
              <w:t>Signal word</w:t>
            </w:r>
          </w:p>
        </w:tc>
        <w:tc>
          <w:tcPr>
            <w:tcW w:w="2693" w:type="dxa"/>
            <w:gridSpan w:val="2"/>
            <w:tcBorders>
              <w:top w:val="nil"/>
              <w:left w:val="nil"/>
              <w:bottom w:val="nil"/>
              <w:right w:val="nil"/>
            </w:tcBorders>
          </w:tcPr>
          <w:p w14:paraId="4DFFFB04" w14:textId="77777777" w:rsidR="00CB0F8F" w:rsidRPr="00A22868" w:rsidRDefault="00CB0F8F" w:rsidP="009D2487">
            <w:pPr>
              <w:spacing w:before="40" w:after="40"/>
              <w:ind w:right="252"/>
              <w:rPr>
                <w:b/>
                <w:bCs/>
                <w:sz w:val="16"/>
                <w:szCs w:val="16"/>
              </w:rPr>
            </w:pPr>
            <w:r w:rsidRPr="00A22868">
              <w:rPr>
                <w:b/>
                <w:bCs/>
                <w:sz w:val="16"/>
                <w:szCs w:val="16"/>
              </w:rPr>
              <w:t>Hazard statement</w:t>
            </w:r>
          </w:p>
        </w:tc>
      </w:tr>
      <w:tr w:rsidR="00CB0F8F" w:rsidRPr="00A22868" w14:paraId="67EE585D" w14:textId="77777777" w:rsidTr="009D2487">
        <w:tc>
          <w:tcPr>
            <w:tcW w:w="957" w:type="dxa"/>
            <w:tcBorders>
              <w:top w:val="nil"/>
              <w:left w:val="nil"/>
              <w:bottom w:val="nil"/>
              <w:right w:val="nil"/>
            </w:tcBorders>
          </w:tcPr>
          <w:p w14:paraId="70C1C19A" w14:textId="77777777" w:rsidR="00CB0F8F" w:rsidRPr="00A22868" w:rsidRDefault="00CB0F8F" w:rsidP="009D2487">
            <w:pPr>
              <w:spacing w:before="40" w:after="40"/>
              <w:rPr>
                <w:sz w:val="16"/>
                <w:szCs w:val="16"/>
              </w:rPr>
            </w:pPr>
            <w:r w:rsidRPr="00A22868">
              <w:rPr>
                <w:sz w:val="16"/>
                <w:szCs w:val="16"/>
              </w:rPr>
              <w:t>3</w:t>
            </w:r>
          </w:p>
        </w:tc>
        <w:tc>
          <w:tcPr>
            <w:tcW w:w="1595" w:type="dxa"/>
            <w:tcBorders>
              <w:top w:val="nil"/>
              <w:left w:val="nil"/>
              <w:bottom w:val="nil"/>
              <w:right w:val="nil"/>
            </w:tcBorders>
          </w:tcPr>
          <w:p w14:paraId="542D17AC" w14:textId="77777777" w:rsidR="00CB0F8F" w:rsidRPr="00A22868" w:rsidRDefault="00CB0F8F" w:rsidP="009D2487">
            <w:pPr>
              <w:spacing w:before="40" w:after="40"/>
              <w:rPr>
                <w:sz w:val="16"/>
                <w:szCs w:val="16"/>
              </w:rPr>
            </w:pPr>
            <w:r w:rsidRPr="00A22868">
              <w:rPr>
                <w:sz w:val="16"/>
                <w:szCs w:val="16"/>
              </w:rPr>
              <w:t>Skull and crossbones</w:t>
            </w:r>
          </w:p>
        </w:tc>
        <w:tc>
          <w:tcPr>
            <w:tcW w:w="1134" w:type="dxa"/>
            <w:vMerge/>
            <w:tcBorders>
              <w:left w:val="nil"/>
              <w:bottom w:val="nil"/>
              <w:right w:val="nil"/>
            </w:tcBorders>
            <w:vAlign w:val="center"/>
          </w:tcPr>
          <w:p w14:paraId="60F1FC85" w14:textId="77777777" w:rsidR="00CB0F8F" w:rsidRPr="00A22868" w:rsidRDefault="00CB0F8F" w:rsidP="009D2487">
            <w:pPr>
              <w:spacing w:before="40" w:after="40"/>
              <w:jc w:val="center"/>
              <w:rPr>
                <w:sz w:val="16"/>
                <w:szCs w:val="16"/>
              </w:rPr>
            </w:pPr>
          </w:p>
        </w:tc>
        <w:tc>
          <w:tcPr>
            <w:tcW w:w="992" w:type="dxa"/>
            <w:tcBorders>
              <w:top w:val="nil"/>
              <w:left w:val="nil"/>
              <w:bottom w:val="nil"/>
              <w:right w:val="nil"/>
            </w:tcBorders>
          </w:tcPr>
          <w:p w14:paraId="3E716EC1" w14:textId="77777777" w:rsidR="00CB0F8F" w:rsidRPr="00A22868" w:rsidRDefault="00CB0F8F" w:rsidP="009D2487">
            <w:pPr>
              <w:spacing w:before="40" w:after="40"/>
              <w:rPr>
                <w:sz w:val="16"/>
                <w:szCs w:val="16"/>
              </w:rPr>
            </w:pPr>
            <w:r w:rsidRPr="00A22868">
              <w:rPr>
                <w:sz w:val="16"/>
                <w:szCs w:val="16"/>
              </w:rPr>
              <w:t>Danger</w:t>
            </w:r>
          </w:p>
        </w:tc>
        <w:tc>
          <w:tcPr>
            <w:tcW w:w="709" w:type="dxa"/>
            <w:tcBorders>
              <w:top w:val="nil"/>
              <w:left w:val="nil"/>
              <w:bottom w:val="nil"/>
              <w:right w:val="nil"/>
            </w:tcBorders>
          </w:tcPr>
          <w:p w14:paraId="20B2C64B" w14:textId="77777777" w:rsidR="00CB0F8F" w:rsidRPr="00A22868" w:rsidRDefault="00CB0F8F" w:rsidP="009D2487">
            <w:pPr>
              <w:spacing w:before="30" w:after="30"/>
              <w:rPr>
                <w:sz w:val="16"/>
                <w:szCs w:val="16"/>
              </w:rPr>
            </w:pPr>
            <w:r w:rsidRPr="00A22868">
              <w:rPr>
                <w:sz w:val="16"/>
                <w:szCs w:val="16"/>
              </w:rPr>
              <w:t>H331</w:t>
            </w:r>
          </w:p>
        </w:tc>
        <w:tc>
          <w:tcPr>
            <w:tcW w:w="1984" w:type="dxa"/>
            <w:tcBorders>
              <w:top w:val="nil"/>
              <w:left w:val="nil"/>
              <w:bottom w:val="nil"/>
              <w:right w:val="nil"/>
            </w:tcBorders>
          </w:tcPr>
          <w:p w14:paraId="056DFF78" w14:textId="77777777" w:rsidR="00CB0F8F" w:rsidRPr="00A22868" w:rsidRDefault="00CB0F8F" w:rsidP="009D2487">
            <w:pPr>
              <w:spacing w:before="40" w:after="40"/>
              <w:rPr>
                <w:sz w:val="16"/>
                <w:szCs w:val="16"/>
              </w:rPr>
            </w:pPr>
            <w:r w:rsidRPr="00A22868">
              <w:rPr>
                <w:sz w:val="16"/>
                <w:szCs w:val="16"/>
              </w:rPr>
              <w:t>Toxic in contact with skin</w:t>
            </w:r>
          </w:p>
        </w:tc>
      </w:tr>
    </w:tbl>
    <w:p w14:paraId="271305D3" w14:textId="54CFB4B9" w:rsidR="00CB0F8F" w:rsidRPr="00A22868" w:rsidRDefault="00CB0F8F" w:rsidP="00BE7A62">
      <w:pPr>
        <w:pStyle w:val="SingleTxtG"/>
        <w:spacing w:before="240"/>
      </w:pPr>
      <w:r w:rsidRPr="00A22868">
        <w:t>Column “Response”, delete the P321 entry, and insert the following P320 and P322 entries (current entries for P302+P352, P316 and P361+P</w:t>
      </w:r>
      <w:proofErr w:type="gramStart"/>
      <w:r w:rsidRPr="00A22868">
        <w:t>364  remain</w:t>
      </w:r>
      <w:proofErr w:type="gramEnd"/>
      <w:r w:rsidRPr="00A22868">
        <w:t xml:space="preserve"> unchanged):</w:t>
      </w:r>
    </w:p>
    <w:p w14:paraId="04F13865" w14:textId="6C3E97BB" w:rsidR="00CB0F8F" w:rsidRPr="00A22868" w:rsidRDefault="00CB0F8F" w:rsidP="00E52640">
      <w:pPr>
        <w:pStyle w:val="BalloonText"/>
        <w:spacing w:before="20" w:after="60"/>
        <w:ind w:left="1701" w:right="1134"/>
        <w:rPr>
          <w:rFonts w:asciiTheme="majorBidi" w:hAnsiTheme="majorBidi" w:cstheme="majorBidi"/>
          <w:b/>
          <w:sz w:val="20"/>
          <w:szCs w:val="20"/>
        </w:rPr>
      </w:pPr>
      <w:r w:rsidRPr="00A22868">
        <w:rPr>
          <w:rFonts w:asciiTheme="majorBidi" w:hAnsiTheme="majorBidi" w:cstheme="majorBidi"/>
          <w:sz w:val="20"/>
          <w:szCs w:val="20"/>
        </w:rPr>
        <w:t>“</w:t>
      </w:r>
      <w:r w:rsidRPr="00A22868">
        <w:rPr>
          <w:rFonts w:asciiTheme="majorBidi" w:hAnsiTheme="majorBidi" w:cstheme="majorBidi"/>
          <w:bCs/>
          <w:snapToGrid w:val="0"/>
          <w:sz w:val="20"/>
          <w:szCs w:val="20"/>
        </w:rPr>
        <w:t>P320</w:t>
      </w:r>
      <w:r w:rsidR="00E52640">
        <w:rPr>
          <w:rFonts w:asciiTheme="majorBidi" w:hAnsiTheme="majorBidi" w:cstheme="majorBidi"/>
          <w:bCs/>
          <w:snapToGrid w:val="0"/>
          <w:sz w:val="20"/>
          <w:szCs w:val="20"/>
        </w:rPr>
        <w:br/>
      </w:r>
      <w:r w:rsidRPr="00A22868">
        <w:rPr>
          <w:rFonts w:asciiTheme="majorBidi" w:hAnsiTheme="majorBidi" w:cstheme="majorBidi"/>
          <w:b/>
          <w:sz w:val="20"/>
          <w:szCs w:val="20"/>
        </w:rPr>
        <w:t>Specific treatment is urgent (see information on this label and safety data sheet).</w:t>
      </w:r>
    </w:p>
    <w:p w14:paraId="350D1BD0" w14:textId="77777777" w:rsidR="00CB0F8F" w:rsidRPr="00A22868" w:rsidRDefault="00CB0F8F" w:rsidP="00CB0F8F">
      <w:pPr>
        <w:spacing w:before="60" w:after="120"/>
        <w:ind w:left="1701" w:right="1134"/>
        <w:jc w:val="both"/>
        <w:rPr>
          <w:rStyle w:val="StyleItalic"/>
          <w:rFonts w:asciiTheme="majorBidi" w:hAnsiTheme="majorBidi" w:cstheme="majorBidi"/>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 xml:space="preserve">instructions, including any training requirements, </w:t>
      </w:r>
      <w:r w:rsidRPr="00A22868">
        <w:rPr>
          <w:rStyle w:val="StyleItalic"/>
        </w:rPr>
        <w:t>should be provided on the safety data sheet, if appropriate.</w:t>
      </w:r>
    </w:p>
    <w:p w14:paraId="77F5346C" w14:textId="2426B756" w:rsidR="00CB0F8F" w:rsidRPr="00A22868" w:rsidRDefault="00CB0F8F" w:rsidP="00E52640">
      <w:pPr>
        <w:pStyle w:val="BalloonText"/>
        <w:tabs>
          <w:tab w:val="left" w:pos="0"/>
          <w:tab w:val="left" w:pos="156"/>
        </w:tabs>
        <w:spacing w:after="60"/>
        <w:ind w:left="1701" w:right="1134"/>
        <w:jc w:val="both"/>
        <w:rPr>
          <w:rFonts w:asciiTheme="majorBidi" w:hAnsiTheme="majorBidi" w:cstheme="majorBidi"/>
          <w:snapToGrid w:val="0"/>
          <w:sz w:val="20"/>
          <w:szCs w:val="20"/>
        </w:rPr>
      </w:pPr>
      <w:r w:rsidRPr="00A22868">
        <w:rPr>
          <w:rFonts w:asciiTheme="majorBidi" w:hAnsiTheme="majorBidi" w:cstheme="majorBidi"/>
          <w:snapToGrid w:val="0"/>
          <w:sz w:val="20"/>
          <w:szCs w:val="20"/>
        </w:rPr>
        <w:t>P322</w:t>
      </w:r>
      <w:r w:rsidR="00E52640">
        <w:rPr>
          <w:rFonts w:asciiTheme="majorBidi" w:hAnsiTheme="majorBidi" w:cstheme="majorBidi"/>
          <w:snapToGrid w:val="0"/>
          <w:sz w:val="20"/>
          <w:szCs w:val="20"/>
        </w:rPr>
        <w:br/>
      </w:r>
      <w:r w:rsidRPr="00A22868">
        <w:rPr>
          <w:rFonts w:asciiTheme="majorBidi" w:hAnsiTheme="majorBidi" w:cstheme="majorBidi"/>
          <w:b/>
          <w:bCs/>
          <w:sz w:val="20"/>
          <w:szCs w:val="20"/>
        </w:rPr>
        <w:t>Specific treatment is urgent (see information on the safety data sheet).</w:t>
      </w:r>
    </w:p>
    <w:p w14:paraId="14E8F8C4" w14:textId="77777777" w:rsidR="00CB0F8F" w:rsidRPr="00A22868" w:rsidRDefault="00CB0F8F" w:rsidP="00CB0F8F">
      <w:pPr>
        <w:keepLines/>
        <w:tabs>
          <w:tab w:val="left" w:pos="178"/>
        </w:tabs>
        <w:spacing w:after="60" w:line="240" w:lineRule="auto"/>
        <w:ind w:left="1701" w:right="1134"/>
        <w:jc w:val="both"/>
        <w:rPr>
          <w:rStyle w:val="StyleItalic"/>
          <w:rFonts w:asciiTheme="majorBidi" w:hAnsiTheme="majorBidi" w:cstheme="majorBidi"/>
          <w:i w:val="0"/>
          <w:iCs w:val="0"/>
          <w:sz w:val="16"/>
          <w:szCs w:val="16"/>
        </w:rPr>
      </w:pPr>
      <w:r w:rsidRPr="008B0608">
        <w:rPr>
          <w:rStyle w:val="StyleItalic"/>
          <w:rFonts w:asciiTheme="majorBidi" w:hAnsiTheme="majorBidi" w:cstheme="majorBidi"/>
          <w:i w:val="0"/>
          <w:iCs w:val="0"/>
        </w:rPr>
        <w:t>Manufacturer/supplier to reference on the safety data sheet detailed instructions, including any training requirements, to administer an antidote or provide other specific treatment.</w:t>
      </w:r>
    </w:p>
    <w:p w14:paraId="489C2F79" w14:textId="77777777" w:rsidR="00CB0F8F" w:rsidRPr="00A22868" w:rsidRDefault="00CB0F8F" w:rsidP="00CB0F8F">
      <w:pPr>
        <w:pStyle w:val="BalloonText"/>
        <w:tabs>
          <w:tab w:val="left" w:pos="0"/>
          <w:tab w:val="left" w:pos="156"/>
        </w:tabs>
        <w:spacing w:before="20" w:after="160"/>
        <w:ind w:left="1701" w:right="1134"/>
        <w:jc w:val="both"/>
        <w:rPr>
          <w:rStyle w:val="StyleItalic"/>
          <w:rFonts w:asciiTheme="majorBidi" w:hAnsiTheme="majorBidi" w:cstheme="majorBidi"/>
          <w:sz w:val="20"/>
          <w:szCs w:val="20"/>
        </w:rPr>
      </w:pPr>
      <w:r w:rsidRPr="00A22868">
        <w:rPr>
          <w:rStyle w:val="StyleItalic"/>
          <w:rFonts w:asciiTheme="majorBidi" w:hAnsiTheme="majorBidi" w:cstheme="majorBidi"/>
          <w:sz w:val="20"/>
          <w:szCs w:val="20"/>
        </w:rPr>
        <w:t>- may be omitted if P320 is given on the label.”</w:t>
      </w:r>
    </w:p>
    <w:p w14:paraId="15D7A578" w14:textId="70693E47" w:rsidR="00261071" w:rsidRDefault="00CB0F8F" w:rsidP="008B0608">
      <w:pPr>
        <w:pStyle w:val="H23G"/>
        <w:jc w:val="both"/>
      </w:pPr>
      <w:r w:rsidRPr="00A22868">
        <w:tab/>
      </w:r>
      <w:r w:rsidRPr="00A22868">
        <w:tab/>
        <w:t>Table for “Acute toxicity, dermal</w:t>
      </w:r>
      <w:r w:rsidRPr="00A22868" w:rsidDel="007E6725">
        <w:t xml:space="preserve"> </w:t>
      </w:r>
      <w:r w:rsidRPr="00A22868">
        <w:t>(chapter 3.1)”</w:t>
      </w:r>
      <w:r w:rsidR="00261071">
        <w:t xml:space="preserve">, </w:t>
      </w:r>
      <w:r w:rsidRPr="00A22868">
        <w:t>hazard category 4</w:t>
      </w:r>
      <w:r w:rsidR="00261071">
        <w:t>, c</w:t>
      </w:r>
      <w:r w:rsidRPr="00A22868">
        <w:t xml:space="preserve">olumn “Response” </w:t>
      </w:r>
    </w:p>
    <w:p w14:paraId="6B100DF9" w14:textId="242BE380" w:rsidR="00CB0F8F" w:rsidRPr="00A22868" w:rsidRDefault="00261071" w:rsidP="00CB0F8F">
      <w:pPr>
        <w:pStyle w:val="SingleTxtG"/>
      </w:pPr>
      <w:r>
        <w:t>Amend</w:t>
      </w:r>
      <w:r w:rsidR="00CB0F8F" w:rsidRPr="00A22868">
        <w:t xml:space="preserve"> P321 </w:t>
      </w:r>
      <w:r w:rsidR="00CB0F8F" w:rsidRPr="00A22868">
        <w:rPr>
          <w:rFonts w:asciiTheme="majorBidi" w:hAnsiTheme="majorBidi" w:cstheme="majorBidi"/>
          <w:bCs/>
        </w:rPr>
        <w:t xml:space="preserve">and insert </w:t>
      </w:r>
      <w:r>
        <w:rPr>
          <w:rFonts w:asciiTheme="majorBidi" w:hAnsiTheme="majorBidi" w:cstheme="majorBidi"/>
          <w:bCs/>
        </w:rPr>
        <w:t>a</w:t>
      </w:r>
      <w:r w:rsidRPr="00A22868">
        <w:rPr>
          <w:rFonts w:asciiTheme="majorBidi" w:hAnsiTheme="majorBidi" w:cstheme="majorBidi"/>
          <w:bCs/>
        </w:rPr>
        <w:t xml:space="preserve"> </w:t>
      </w:r>
      <w:r w:rsidR="00CB0F8F" w:rsidRPr="00A22868">
        <w:rPr>
          <w:rFonts w:asciiTheme="majorBidi" w:hAnsiTheme="majorBidi" w:cstheme="majorBidi"/>
          <w:bCs/>
        </w:rPr>
        <w:t>new entry</w:t>
      </w:r>
      <w:r>
        <w:rPr>
          <w:rFonts w:asciiTheme="majorBidi" w:hAnsiTheme="majorBidi" w:cstheme="majorBidi"/>
          <w:bCs/>
        </w:rPr>
        <w:t xml:space="preserve"> for </w:t>
      </w:r>
      <w:r w:rsidR="00A57318">
        <w:rPr>
          <w:rFonts w:asciiTheme="majorBidi" w:hAnsiTheme="majorBidi" w:cstheme="majorBidi"/>
          <w:bCs/>
        </w:rPr>
        <w:t>P323</w:t>
      </w:r>
      <w:r w:rsidR="00CB0F8F" w:rsidRPr="00A22868">
        <w:rPr>
          <w:rFonts w:asciiTheme="majorBidi" w:hAnsiTheme="majorBidi" w:cstheme="majorBidi"/>
          <w:bCs/>
        </w:rPr>
        <w:t xml:space="preserve">, </w:t>
      </w:r>
      <w:r w:rsidR="00CB0F8F" w:rsidRPr="00A22868">
        <w:t>to read as follows (current P302+P352, P317 and P362+P364 remain unchanged):</w:t>
      </w:r>
    </w:p>
    <w:p w14:paraId="0F1BFA2E" w14:textId="5F9AEBFF" w:rsidR="00CB0F8F" w:rsidRPr="00A22868" w:rsidRDefault="00CB0F8F" w:rsidP="008B0608">
      <w:pPr>
        <w:pStyle w:val="BalloonText"/>
        <w:spacing w:before="20" w:after="60"/>
        <w:ind w:left="1701" w:right="1134"/>
        <w:rPr>
          <w:rStyle w:val="StyleBold"/>
          <w:rFonts w:asciiTheme="majorBidi" w:hAnsiTheme="majorBidi" w:cstheme="majorBidi"/>
        </w:rPr>
      </w:pPr>
      <w:r w:rsidRPr="00A22868">
        <w:rPr>
          <w:rFonts w:asciiTheme="majorBidi" w:hAnsiTheme="majorBidi" w:cstheme="majorBidi"/>
          <w:bCs/>
          <w:sz w:val="20"/>
          <w:szCs w:val="20"/>
        </w:rPr>
        <w:t>“P321</w:t>
      </w:r>
      <w:r w:rsidR="00790840">
        <w:rPr>
          <w:rStyle w:val="StyleBold"/>
          <w:rFonts w:asciiTheme="majorBidi" w:hAnsiTheme="majorBidi" w:cstheme="majorBidi"/>
        </w:rPr>
        <w:br/>
      </w:r>
      <w:r w:rsidRPr="008B0608">
        <w:rPr>
          <w:rStyle w:val="StyleBold"/>
          <w:rFonts w:asciiTheme="majorBidi" w:hAnsiTheme="majorBidi" w:cstheme="majorBidi"/>
          <w:sz w:val="20"/>
          <w:szCs w:val="20"/>
        </w:rPr>
        <w:t xml:space="preserve">Specific treatment (see </w:t>
      </w:r>
      <w:r w:rsidRPr="008B0608">
        <w:rPr>
          <w:rFonts w:asciiTheme="majorBidi" w:hAnsiTheme="majorBidi" w:cstheme="majorBidi"/>
          <w:b/>
          <w:sz w:val="20"/>
          <w:szCs w:val="20"/>
        </w:rPr>
        <w:t xml:space="preserve">information </w:t>
      </w:r>
      <w:r w:rsidRPr="008B0608">
        <w:rPr>
          <w:rStyle w:val="StyleBold"/>
          <w:rFonts w:asciiTheme="majorBidi" w:hAnsiTheme="majorBidi" w:cstheme="majorBidi"/>
          <w:sz w:val="20"/>
          <w:szCs w:val="20"/>
        </w:rPr>
        <w:t>on this label and safety data sheet).</w:t>
      </w:r>
    </w:p>
    <w:p w14:paraId="3F597CFE" w14:textId="77777777" w:rsidR="00CB0F8F" w:rsidRPr="00A22868" w:rsidRDefault="00CB0F8F" w:rsidP="00CB0F8F">
      <w:pPr>
        <w:spacing w:after="80"/>
        <w:ind w:left="1843" w:right="1134"/>
        <w:jc w:val="both"/>
        <w:rPr>
          <w:rStyle w:val="StyleItalic"/>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 xml:space="preserve">instructions, </w:t>
      </w:r>
      <w:r w:rsidRPr="00A22868">
        <w:rPr>
          <w:rStyle w:val="StyleItalic"/>
          <w:rFonts w:cstheme="minorBidi"/>
        </w:rPr>
        <w:lastRenderedPageBreak/>
        <w:t>including any training requirements,</w:t>
      </w:r>
      <w:r w:rsidRPr="00A22868">
        <w:rPr>
          <w:rStyle w:val="StyleItalic"/>
        </w:rPr>
        <w:t xml:space="preserve"> should be provided on the safety data sheet, if appropriate.</w:t>
      </w:r>
    </w:p>
    <w:p w14:paraId="671D04A6" w14:textId="77777777" w:rsidR="00CB0F8F" w:rsidRPr="00A22868" w:rsidRDefault="00CB0F8F" w:rsidP="00CB0F8F">
      <w:pPr>
        <w:pStyle w:val="BalloonText"/>
        <w:tabs>
          <w:tab w:val="left" w:pos="0"/>
          <w:tab w:val="left" w:pos="221"/>
        </w:tabs>
        <w:spacing w:before="20" w:after="160"/>
        <w:ind w:left="1701" w:right="1134"/>
        <w:rPr>
          <w:rStyle w:val="StyleItalic"/>
          <w:sz w:val="20"/>
          <w:szCs w:val="20"/>
        </w:rPr>
      </w:pPr>
      <w:r w:rsidRPr="00A22868">
        <w:rPr>
          <w:rStyle w:val="StyleItalic"/>
          <w:rFonts w:asciiTheme="majorBidi" w:hAnsiTheme="majorBidi" w:cstheme="majorBidi"/>
          <w:sz w:val="20"/>
          <w:szCs w:val="20"/>
        </w:rPr>
        <w:t>- may be omitted if P320 is given on the label</w:t>
      </w:r>
      <w:r w:rsidRPr="00A22868">
        <w:rPr>
          <w:rFonts w:ascii="Times New Roman" w:hAnsi="Times New Roman" w:cs="Times New Roman"/>
          <w:i/>
          <w:iCs/>
          <w:sz w:val="20"/>
          <w:szCs w:val="20"/>
        </w:rPr>
        <w:t>.</w:t>
      </w:r>
    </w:p>
    <w:p w14:paraId="6F44716E" w14:textId="7C2FF4C2" w:rsidR="00CB0F8F" w:rsidRPr="00A22868" w:rsidRDefault="00CB0F8F" w:rsidP="00790840">
      <w:pPr>
        <w:pStyle w:val="BalloonText"/>
        <w:spacing w:after="60"/>
        <w:ind w:left="1701" w:right="1134"/>
        <w:rPr>
          <w:rFonts w:asciiTheme="majorBidi" w:hAnsiTheme="majorBidi" w:cstheme="majorBidi"/>
          <w:b/>
          <w:bCs/>
          <w:sz w:val="20"/>
          <w:szCs w:val="20"/>
        </w:rPr>
      </w:pPr>
      <w:r w:rsidRPr="00A22868">
        <w:rPr>
          <w:rFonts w:asciiTheme="majorBidi" w:hAnsiTheme="majorBidi" w:cstheme="majorBidi"/>
          <w:bCs/>
          <w:sz w:val="20"/>
          <w:szCs w:val="20"/>
        </w:rPr>
        <w:t>P323</w:t>
      </w:r>
      <w:r w:rsidR="00790840">
        <w:rPr>
          <w:rStyle w:val="StyleBold"/>
          <w:rFonts w:asciiTheme="majorBidi" w:hAnsiTheme="majorBidi" w:cstheme="majorBidi"/>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p>
    <w:p w14:paraId="2FC07981" w14:textId="77777777" w:rsidR="00CB0F8F" w:rsidRPr="002274EB" w:rsidRDefault="00CB0F8F" w:rsidP="00CB0F8F">
      <w:pPr>
        <w:pStyle w:val="BalloonText"/>
        <w:spacing w:after="60"/>
        <w:ind w:left="1701" w:right="1134"/>
        <w:jc w:val="both"/>
        <w:rPr>
          <w:rStyle w:val="StyleItalic"/>
          <w:rFonts w:asciiTheme="majorBidi" w:hAnsiTheme="majorBidi" w:cstheme="majorBidi"/>
          <w:i w:val="0"/>
          <w:iCs w:val="0"/>
          <w:sz w:val="20"/>
          <w:szCs w:val="20"/>
        </w:rPr>
      </w:pPr>
      <w:r w:rsidRPr="002274EB">
        <w:rPr>
          <w:rStyle w:val="StyleItalic"/>
          <w:rFonts w:asciiTheme="majorBidi" w:hAnsiTheme="majorBidi" w:cstheme="majorBidi"/>
          <w:i w:val="0"/>
          <w:iCs w:val="0"/>
          <w:sz w:val="20"/>
          <w:szCs w:val="20"/>
        </w:rPr>
        <w:t xml:space="preserve">Manufacturer/supplier to reference on the safety data sheet detailed instructions, including any training requirements, to administer an antidote or </w:t>
      </w:r>
      <w:r w:rsidRPr="002274EB">
        <w:rPr>
          <w:rStyle w:val="StyleItalic"/>
          <w:rFonts w:cstheme="minorBidi"/>
          <w:i w:val="0"/>
          <w:iCs w:val="0"/>
          <w:sz w:val="20"/>
          <w:szCs w:val="20"/>
        </w:rPr>
        <w:t>other specific treatment</w:t>
      </w:r>
      <w:r w:rsidRPr="002274EB">
        <w:rPr>
          <w:rStyle w:val="StyleItalic"/>
          <w:rFonts w:asciiTheme="majorBidi" w:hAnsiTheme="majorBidi" w:cstheme="majorBidi"/>
          <w:i w:val="0"/>
          <w:iCs w:val="0"/>
          <w:sz w:val="20"/>
          <w:szCs w:val="20"/>
        </w:rPr>
        <w:t>.</w:t>
      </w:r>
    </w:p>
    <w:p w14:paraId="06021D1D" w14:textId="77777777" w:rsidR="00CB0F8F" w:rsidRPr="00A22868" w:rsidRDefault="00CB0F8F" w:rsidP="00CB0F8F">
      <w:pPr>
        <w:pStyle w:val="BalloonText"/>
        <w:spacing w:after="120"/>
        <w:ind w:left="1701" w:right="1134"/>
        <w:rPr>
          <w:rStyle w:val="StyleItalic"/>
          <w:rFonts w:asciiTheme="majorBidi" w:hAnsiTheme="majorBidi" w:cstheme="majorBidi"/>
          <w:sz w:val="20"/>
          <w:szCs w:val="20"/>
        </w:rPr>
      </w:pPr>
      <w:r w:rsidRPr="00A22868">
        <w:rPr>
          <w:rStyle w:val="StyleItalic"/>
          <w:rFonts w:asciiTheme="majorBidi" w:hAnsiTheme="majorBidi" w:cstheme="majorBidi"/>
          <w:sz w:val="20"/>
          <w:szCs w:val="20"/>
        </w:rPr>
        <w:t>- may be omitted if P321 or P322 is given on the label”.</w:t>
      </w:r>
    </w:p>
    <w:p w14:paraId="614237D4" w14:textId="2929ACE8" w:rsidR="006311DC" w:rsidRDefault="00CB0F8F" w:rsidP="00F944B5">
      <w:pPr>
        <w:pStyle w:val="H23G"/>
        <w:jc w:val="both"/>
      </w:pPr>
      <w:r w:rsidRPr="00A22868">
        <w:tab/>
      </w:r>
      <w:r w:rsidR="00F944B5">
        <w:tab/>
      </w:r>
      <w:r w:rsidRPr="00A22868">
        <w:t>Table for “Acute toxicity, dermal</w:t>
      </w:r>
      <w:r w:rsidRPr="00A22868" w:rsidDel="007E6725">
        <w:t xml:space="preserve"> </w:t>
      </w:r>
      <w:r w:rsidRPr="00A22868">
        <w:t>(chapter 3.1)” hazard category 5</w:t>
      </w:r>
      <w:r w:rsidR="006311DC">
        <w:t>, c</w:t>
      </w:r>
      <w:r w:rsidRPr="00A22868">
        <w:t xml:space="preserve">olumn </w:t>
      </w:r>
      <w:r w:rsidR="006311DC">
        <w:t>“</w:t>
      </w:r>
      <w:r w:rsidRPr="00A22868">
        <w:t>Response”</w:t>
      </w:r>
    </w:p>
    <w:p w14:paraId="5B3CFC45" w14:textId="47598D5C" w:rsidR="00CB0F8F" w:rsidRPr="008B0608" w:rsidRDefault="006311DC" w:rsidP="00F944B5">
      <w:pPr>
        <w:pStyle w:val="SingleTxtG"/>
      </w:pPr>
      <w:r w:rsidRPr="008B0608">
        <w:t>A</w:t>
      </w:r>
      <w:r w:rsidR="00CB0F8F" w:rsidRPr="008B0608">
        <w:t>mend to read:</w:t>
      </w:r>
    </w:p>
    <w:p w14:paraId="4DA6D82E" w14:textId="77777777" w:rsidR="00CB0F8F" w:rsidRPr="00A22868" w:rsidRDefault="00CB0F8F" w:rsidP="00CB0F8F">
      <w:pPr>
        <w:pStyle w:val="BalloonText"/>
        <w:spacing w:before="120" w:after="120"/>
        <w:ind w:left="1701" w:right="1134"/>
        <w:rPr>
          <w:rFonts w:ascii="Times New Roman" w:hAnsi="Times New Roman" w:cs="Times New Roman"/>
          <w:b/>
          <w:sz w:val="20"/>
          <w:szCs w:val="20"/>
        </w:rPr>
      </w:pPr>
      <w:r w:rsidRPr="00A22868">
        <w:rPr>
          <w:rFonts w:ascii="Times New Roman" w:hAnsi="Times New Roman" w:cs="Times New Roman"/>
          <w:bCs/>
          <w:sz w:val="20"/>
          <w:szCs w:val="20"/>
        </w:rPr>
        <w:t>“P317</w:t>
      </w:r>
      <w:r w:rsidRPr="00A22868">
        <w:rPr>
          <w:rFonts w:ascii="Times New Roman" w:hAnsi="Times New Roman" w:cs="Times New Roman"/>
          <w:b/>
          <w:sz w:val="20"/>
          <w:szCs w:val="20"/>
        </w:rPr>
        <w:br/>
        <w:t>Get medical help.</w:t>
      </w:r>
    </w:p>
    <w:p w14:paraId="14C032E2" w14:textId="77777777" w:rsidR="00CB0F8F" w:rsidRPr="00A22868" w:rsidRDefault="00CB0F8F" w:rsidP="00CB0F8F">
      <w:pPr>
        <w:pStyle w:val="BalloonText"/>
        <w:spacing w:before="20"/>
        <w:ind w:left="1701" w:right="1134"/>
        <w:jc w:val="both"/>
        <w:rPr>
          <w:rFonts w:ascii="Times New Roman" w:hAnsi="Times New Roman" w:cs="Times New Roman"/>
          <w:b/>
          <w:sz w:val="20"/>
          <w:szCs w:val="20"/>
        </w:rPr>
      </w:pPr>
      <w:r w:rsidRPr="00A22868">
        <w:rPr>
          <w:rFonts w:ascii="Times New Roman" w:hAnsi="Times New Roman" w:cs="Times New Roman"/>
          <w:bCs/>
          <w:sz w:val="20"/>
          <w:szCs w:val="20"/>
        </w:rPr>
        <w:t>P302+P352</w:t>
      </w:r>
      <w:r w:rsidRPr="00A22868">
        <w:rPr>
          <w:rFonts w:ascii="Times New Roman" w:hAnsi="Times New Roman" w:cs="Times New Roman"/>
          <w:b/>
          <w:sz w:val="20"/>
          <w:szCs w:val="20"/>
        </w:rPr>
        <w:br/>
        <w:t>IF ON SKIN: Wash with plenty of water/…</w:t>
      </w:r>
    </w:p>
    <w:p w14:paraId="2C6CB73C" w14:textId="77777777" w:rsidR="00CB0F8F" w:rsidRPr="00A22868" w:rsidRDefault="00CB0F8F" w:rsidP="00CB0F8F">
      <w:pPr>
        <w:pStyle w:val="BalloonText"/>
        <w:spacing w:after="160"/>
        <w:ind w:left="1701" w:right="1134"/>
        <w:jc w:val="both"/>
        <w:rPr>
          <w:rFonts w:ascii="Times New Roman" w:hAnsi="Times New Roman" w:cs="Times New Roman"/>
          <w:sz w:val="20"/>
          <w:szCs w:val="20"/>
        </w:rPr>
      </w:pPr>
      <w:r w:rsidRPr="00A22868">
        <w:rPr>
          <w:rFonts w:ascii="Times New Roman" w:hAnsi="Times New Roman" w:cs="Times New Roman"/>
          <w:sz w:val="20"/>
          <w:szCs w:val="20"/>
        </w:rPr>
        <w:t xml:space="preserve">…Manufacturer/supplier or the competent authority may specify a cleansing agent if </w:t>
      </w:r>
      <w:proofErr w:type="gramStart"/>
      <w:r w:rsidRPr="00A22868">
        <w:rPr>
          <w:rFonts w:ascii="Times New Roman" w:hAnsi="Times New Roman" w:cs="Times New Roman"/>
          <w:sz w:val="20"/>
          <w:szCs w:val="20"/>
        </w:rPr>
        <w:t>appropriate, or</w:t>
      </w:r>
      <w:proofErr w:type="gramEnd"/>
      <w:r w:rsidRPr="00A22868">
        <w:rPr>
          <w:rFonts w:ascii="Times New Roman" w:hAnsi="Times New Roman" w:cs="Times New Roman"/>
          <w:sz w:val="20"/>
          <w:szCs w:val="20"/>
        </w:rPr>
        <w:t xml:space="preserve"> may recommend an alternative agent in exceptional cases if water is clearly inappropriate.”</w:t>
      </w:r>
    </w:p>
    <w:p w14:paraId="59281A6B" w14:textId="2D1B20F4" w:rsidR="00CB0F8F" w:rsidRPr="00A22868" w:rsidRDefault="00CB0F8F" w:rsidP="00CB0F8F">
      <w:pPr>
        <w:pStyle w:val="H23G"/>
        <w:ind w:firstLine="0"/>
      </w:pPr>
      <w:r w:rsidRPr="00A22868">
        <w:t>Table</w:t>
      </w:r>
      <w:r w:rsidR="004F61A6">
        <w:t>s</w:t>
      </w:r>
      <w:r w:rsidRPr="00A22868">
        <w:t xml:space="preserve"> for “Acute toxicity, inhalation</w:t>
      </w:r>
      <w:r w:rsidRPr="00A22868" w:rsidDel="007E6725">
        <w:t xml:space="preserve"> </w:t>
      </w:r>
      <w:r w:rsidRPr="00A22868">
        <w:t>(chapter 3.1)” hazard categories 1</w:t>
      </w:r>
      <w:r w:rsidR="00721B0D" w:rsidRPr="00A22868">
        <w:t>,</w:t>
      </w:r>
      <w:r w:rsidRPr="00A22868">
        <w:t xml:space="preserve"> 2</w:t>
      </w:r>
      <w:r w:rsidR="00721B0D" w:rsidRPr="00A22868">
        <w:t xml:space="preserve"> and 3</w:t>
      </w:r>
    </w:p>
    <w:p w14:paraId="2B7A567F" w14:textId="04CC0371" w:rsidR="00F0502B" w:rsidRPr="00A22868" w:rsidRDefault="00CB0F8F" w:rsidP="00CB0F8F">
      <w:pPr>
        <w:pStyle w:val="SingleTxtG"/>
      </w:pPr>
      <w:r w:rsidRPr="00A22868">
        <w:t xml:space="preserve">Delete the current table for category 3. </w:t>
      </w:r>
    </w:p>
    <w:p w14:paraId="728A59BA" w14:textId="47DAAF0D" w:rsidR="00CB0F8F" w:rsidRPr="00A22868" w:rsidRDefault="00CB0F8F" w:rsidP="00CB0F8F">
      <w:pPr>
        <w:pStyle w:val="SingleTxtG"/>
      </w:pPr>
      <w:r w:rsidRPr="00A22868">
        <w:t>In the current table for categories 1 and 2, insert a row for category 3 under the existing row for category 2 as follows:</w:t>
      </w:r>
    </w:p>
    <w:tbl>
      <w:tblPr>
        <w:tblW w:w="751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5"/>
        <w:gridCol w:w="1629"/>
        <w:gridCol w:w="1452"/>
        <w:gridCol w:w="744"/>
        <w:gridCol w:w="960"/>
        <w:gridCol w:w="1663"/>
      </w:tblGrid>
      <w:tr w:rsidR="00CB0F8F" w:rsidRPr="00A0101C" w14:paraId="0B38C81D" w14:textId="77777777" w:rsidTr="009D2487">
        <w:tc>
          <w:tcPr>
            <w:tcW w:w="1065" w:type="dxa"/>
            <w:tcBorders>
              <w:top w:val="nil"/>
              <w:left w:val="nil"/>
              <w:bottom w:val="nil"/>
              <w:right w:val="nil"/>
            </w:tcBorders>
          </w:tcPr>
          <w:p w14:paraId="40A13320" w14:textId="77777777" w:rsidR="00CB0F8F" w:rsidRPr="008B0608" w:rsidRDefault="00CB0F8F" w:rsidP="009D2487">
            <w:pPr>
              <w:keepNext/>
              <w:keepLines/>
              <w:spacing w:before="40" w:after="40"/>
              <w:rPr>
                <w:b/>
                <w:bCs/>
                <w:sz w:val="18"/>
                <w:szCs w:val="18"/>
              </w:rPr>
            </w:pPr>
            <w:r w:rsidRPr="008B0608">
              <w:rPr>
                <w:b/>
                <w:bCs/>
                <w:sz w:val="18"/>
                <w:szCs w:val="18"/>
              </w:rPr>
              <w:t>Hazard category</w:t>
            </w:r>
          </w:p>
        </w:tc>
        <w:tc>
          <w:tcPr>
            <w:tcW w:w="1629" w:type="dxa"/>
            <w:tcBorders>
              <w:top w:val="nil"/>
              <w:left w:val="nil"/>
              <w:bottom w:val="nil"/>
              <w:right w:val="nil"/>
            </w:tcBorders>
          </w:tcPr>
          <w:p w14:paraId="03332487" w14:textId="77777777" w:rsidR="00CB0F8F" w:rsidRPr="008B0608" w:rsidRDefault="00CB0F8F" w:rsidP="009D2487">
            <w:pPr>
              <w:keepNext/>
              <w:keepLines/>
              <w:spacing w:before="40" w:after="40"/>
              <w:rPr>
                <w:b/>
                <w:bCs/>
                <w:sz w:val="18"/>
                <w:szCs w:val="18"/>
              </w:rPr>
            </w:pPr>
            <w:r w:rsidRPr="008B0608">
              <w:rPr>
                <w:b/>
                <w:bCs/>
                <w:sz w:val="18"/>
                <w:szCs w:val="18"/>
              </w:rPr>
              <w:t>Symbol</w:t>
            </w:r>
          </w:p>
        </w:tc>
        <w:tc>
          <w:tcPr>
            <w:tcW w:w="1452" w:type="dxa"/>
            <w:vMerge w:val="restart"/>
            <w:tcBorders>
              <w:top w:val="nil"/>
              <w:left w:val="nil"/>
              <w:right w:val="nil"/>
            </w:tcBorders>
          </w:tcPr>
          <w:p w14:paraId="5C0CF09C" w14:textId="77777777" w:rsidR="00CB0F8F" w:rsidRPr="008B0608" w:rsidRDefault="00CB0F8F" w:rsidP="009D2487">
            <w:pPr>
              <w:keepNext/>
              <w:keepLines/>
              <w:spacing w:before="40" w:after="40"/>
              <w:rPr>
                <w:b/>
                <w:bCs/>
                <w:sz w:val="18"/>
                <w:szCs w:val="18"/>
              </w:rPr>
            </w:pPr>
            <w:r w:rsidRPr="008B0608">
              <w:rPr>
                <w:noProof/>
                <w:sz w:val="18"/>
                <w:szCs w:val="18"/>
              </w:rPr>
              <w:drawing>
                <wp:anchor distT="0" distB="0" distL="114300" distR="114300" simplePos="0" relativeHeight="251699200" behindDoc="1" locked="0" layoutInCell="1" allowOverlap="1" wp14:anchorId="1834A026" wp14:editId="35F0910C">
                  <wp:simplePos x="0" y="0"/>
                  <wp:positionH relativeFrom="column">
                    <wp:posOffset>58</wp:posOffset>
                  </wp:positionH>
                  <wp:positionV relativeFrom="paragraph">
                    <wp:posOffset>4330</wp:posOffset>
                  </wp:positionV>
                  <wp:extent cx="559435" cy="614045"/>
                  <wp:effectExtent l="0" t="0" r="0" b="0"/>
                  <wp:wrapTight wrapText="bothSides">
                    <wp:wrapPolygon edited="0">
                      <wp:start x="0" y="0"/>
                      <wp:lineTo x="0" y="20774"/>
                      <wp:lineTo x="20595" y="20774"/>
                      <wp:lineTo x="20595" y="0"/>
                      <wp:lineTo x="0"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35" cy="614045"/>
                          </a:xfrm>
                          <a:prstGeom prst="rect">
                            <a:avLst/>
                          </a:prstGeom>
                          <a:noFill/>
                          <a:ln>
                            <a:noFill/>
                          </a:ln>
                        </pic:spPr>
                      </pic:pic>
                    </a:graphicData>
                  </a:graphic>
                </wp:anchor>
              </w:drawing>
            </w:r>
          </w:p>
        </w:tc>
        <w:tc>
          <w:tcPr>
            <w:tcW w:w="744" w:type="dxa"/>
            <w:tcBorders>
              <w:top w:val="nil"/>
              <w:left w:val="nil"/>
              <w:bottom w:val="nil"/>
              <w:right w:val="nil"/>
            </w:tcBorders>
          </w:tcPr>
          <w:p w14:paraId="777778E5" w14:textId="77777777" w:rsidR="00CB0F8F" w:rsidRPr="008B0608" w:rsidRDefault="00CB0F8F" w:rsidP="009D2487">
            <w:pPr>
              <w:keepNext/>
              <w:keepLines/>
              <w:spacing w:before="40" w:after="40"/>
              <w:rPr>
                <w:b/>
                <w:bCs/>
                <w:sz w:val="18"/>
                <w:szCs w:val="18"/>
              </w:rPr>
            </w:pPr>
            <w:r w:rsidRPr="008B0608">
              <w:rPr>
                <w:b/>
                <w:bCs/>
                <w:sz w:val="18"/>
                <w:szCs w:val="18"/>
              </w:rPr>
              <w:t>Signal word</w:t>
            </w:r>
          </w:p>
        </w:tc>
        <w:tc>
          <w:tcPr>
            <w:tcW w:w="2623" w:type="dxa"/>
            <w:gridSpan w:val="2"/>
            <w:tcBorders>
              <w:top w:val="nil"/>
              <w:left w:val="nil"/>
              <w:bottom w:val="nil"/>
              <w:right w:val="nil"/>
            </w:tcBorders>
          </w:tcPr>
          <w:p w14:paraId="3D65F36F" w14:textId="77777777" w:rsidR="00CB0F8F" w:rsidRPr="008B0608" w:rsidRDefault="00CB0F8F" w:rsidP="009D2487">
            <w:pPr>
              <w:keepNext/>
              <w:keepLines/>
              <w:spacing w:before="40" w:after="40"/>
              <w:ind w:right="252"/>
              <w:rPr>
                <w:b/>
                <w:bCs/>
                <w:sz w:val="18"/>
                <w:szCs w:val="18"/>
              </w:rPr>
            </w:pPr>
            <w:r w:rsidRPr="008B0608">
              <w:rPr>
                <w:b/>
                <w:bCs/>
                <w:sz w:val="18"/>
                <w:szCs w:val="18"/>
              </w:rPr>
              <w:t>Hazard statement</w:t>
            </w:r>
          </w:p>
        </w:tc>
      </w:tr>
      <w:tr w:rsidR="00CB0F8F" w:rsidRPr="00A0101C" w14:paraId="72DCBAD9" w14:textId="77777777" w:rsidTr="009D2487">
        <w:tc>
          <w:tcPr>
            <w:tcW w:w="1065" w:type="dxa"/>
            <w:tcBorders>
              <w:top w:val="nil"/>
              <w:left w:val="nil"/>
              <w:bottom w:val="nil"/>
              <w:right w:val="nil"/>
            </w:tcBorders>
          </w:tcPr>
          <w:p w14:paraId="1C61AB66" w14:textId="77777777" w:rsidR="00CB0F8F" w:rsidRPr="008B0608" w:rsidRDefault="00CB0F8F" w:rsidP="00E52640">
            <w:pPr>
              <w:spacing w:before="40" w:line="240" w:lineRule="auto"/>
              <w:rPr>
                <w:sz w:val="18"/>
                <w:szCs w:val="18"/>
              </w:rPr>
            </w:pPr>
            <w:r w:rsidRPr="008B0608">
              <w:rPr>
                <w:sz w:val="18"/>
                <w:szCs w:val="18"/>
              </w:rPr>
              <w:t>3</w:t>
            </w:r>
          </w:p>
        </w:tc>
        <w:tc>
          <w:tcPr>
            <w:tcW w:w="1629" w:type="dxa"/>
            <w:tcBorders>
              <w:top w:val="nil"/>
              <w:left w:val="nil"/>
              <w:bottom w:val="nil"/>
              <w:right w:val="nil"/>
            </w:tcBorders>
          </w:tcPr>
          <w:p w14:paraId="69F917A2" w14:textId="77777777" w:rsidR="00CB0F8F" w:rsidRPr="008B0608" w:rsidRDefault="00CB0F8F" w:rsidP="00E52640">
            <w:pPr>
              <w:spacing w:before="40" w:line="240" w:lineRule="auto"/>
              <w:rPr>
                <w:sz w:val="18"/>
                <w:szCs w:val="18"/>
              </w:rPr>
            </w:pPr>
            <w:r w:rsidRPr="008B0608">
              <w:rPr>
                <w:sz w:val="18"/>
                <w:szCs w:val="18"/>
              </w:rPr>
              <w:t>Skull and crossbones</w:t>
            </w:r>
          </w:p>
        </w:tc>
        <w:tc>
          <w:tcPr>
            <w:tcW w:w="1452" w:type="dxa"/>
            <w:vMerge/>
            <w:tcBorders>
              <w:left w:val="nil"/>
              <w:bottom w:val="nil"/>
              <w:right w:val="nil"/>
            </w:tcBorders>
            <w:vAlign w:val="center"/>
          </w:tcPr>
          <w:p w14:paraId="140C88CE" w14:textId="77777777" w:rsidR="00CB0F8F" w:rsidRPr="008B0608" w:rsidRDefault="00CB0F8F" w:rsidP="00E52640">
            <w:pPr>
              <w:spacing w:before="40" w:line="240" w:lineRule="auto"/>
              <w:jc w:val="center"/>
              <w:rPr>
                <w:sz w:val="18"/>
                <w:szCs w:val="18"/>
              </w:rPr>
            </w:pPr>
          </w:p>
        </w:tc>
        <w:tc>
          <w:tcPr>
            <w:tcW w:w="744" w:type="dxa"/>
            <w:tcBorders>
              <w:top w:val="nil"/>
              <w:left w:val="nil"/>
              <w:bottom w:val="nil"/>
              <w:right w:val="nil"/>
            </w:tcBorders>
          </w:tcPr>
          <w:p w14:paraId="3FE91057" w14:textId="77777777" w:rsidR="00CB0F8F" w:rsidRPr="008B0608" w:rsidRDefault="00CB0F8F" w:rsidP="00E52640">
            <w:pPr>
              <w:spacing w:before="40" w:line="240" w:lineRule="auto"/>
              <w:rPr>
                <w:sz w:val="18"/>
                <w:szCs w:val="18"/>
              </w:rPr>
            </w:pPr>
            <w:r w:rsidRPr="008B0608">
              <w:rPr>
                <w:sz w:val="18"/>
                <w:szCs w:val="18"/>
              </w:rPr>
              <w:t>Danger</w:t>
            </w:r>
          </w:p>
        </w:tc>
        <w:tc>
          <w:tcPr>
            <w:tcW w:w="960" w:type="dxa"/>
            <w:tcBorders>
              <w:top w:val="nil"/>
              <w:left w:val="nil"/>
              <w:bottom w:val="nil"/>
              <w:right w:val="nil"/>
            </w:tcBorders>
          </w:tcPr>
          <w:p w14:paraId="6B24BAB6" w14:textId="77777777" w:rsidR="00CB0F8F" w:rsidRPr="008B0608" w:rsidRDefault="00CB0F8F" w:rsidP="00E52640">
            <w:pPr>
              <w:spacing w:before="30" w:line="240" w:lineRule="auto"/>
              <w:rPr>
                <w:sz w:val="18"/>
                <w:szCs w:val="18"/>
              </w:rPr>
            </w:pPr>
            <w:r w:rsidRPr="008B0608">
              <w:rPr>
                <w:sz w:val="18"/>
                <w:szCs w:val="18"/>
              </w:rPr>
              <w:t>H331</w:t>
            </w:r>
          </w:p>
        </w:tc>
        <w:tc>
          <w:tcPr>
            <w:tcW w:w="1663" w:type="dxa"/>
            <w:tcBorders>
              <w:top w:val="nil"/>
              <w:left w:val="nil"/>
              <w:bottom w:val="nil"/>
              <w:right w:val="nil"/>
            </w:tcBorders>
          </w:tcPr>
          <w:p w14:paraId="7B1BC18A" w14:textId="77777777" w:rsidR="00CB0F8F" w:rsidRPr="008B0608" w:rsidRDefault="00CB0F8F" w:rsidP="00E52640">
            <w:pPr>
              <w:spacing w:before="40" w:line="240" w:lineRule="auto"/>
              <w:rPr>
                <w:sz w:val="18"/>
                <w:szCs w:val="18"/>
              </w:rPr>
            </w:pPr>
            <w:r w:rsidRPr="008B0608">
              <w:rPr>
                <w:sz w:val="18"/>
                <w:szCs w:val="18"/>
              </w:rPr>
              <w:t>Toxic if inhaled</w:t>
            </w:r>
          </w:p>
        </w:tc>
      </w:tr>
    </w:tbl>
    <w:p w14:paraId="06722CA2" w14:textId="14580A5B" w:rsidR="00771F96" w:rsidRPr="00B5538D" w:rsidRDefault="00CB0F8F" w:rsidP="00B5538D">
      <w:pPr>
        <w:pStyle w:val="SingleTxtG"/>
        <w:spacing w:before="240"/>
      </w:pPr>
      <w:r w:rsidRPr="00A22868">
        <w:t xml:space="preserve">Column “Response”, </w:t>
      </w:r>
      <w:r w:rsidRPr="008B0608">
        <w:t>amend P320 and insert a new P322 entry as follows (current entries for P304+P340 and P316 remain unchanged):</w:t>
      </w:r>
    </w:p>
    <w:p w14:paraId="217F8ED3" w14:textId="207E897C" w:rsidR="00CB0F8F" w:rsidRPr="00A22868" w:rsidRDefault="00CB0F8F" w:rsidP="008B0608">
      <w:pPr>
        <w:pStyle w:val="SingleTxtG"/>
        <w:ind w:left="1701"/>
        <w:rPr>
          <w:rFonts w:asciiTheme="majorBidi" w:hAnsiTheme="majorBidi" w:cstheme="majorBidi"/>
          <w:b/>
          <w:bCs/>
        </w:rPr>
      </w:pPr>
      <w:r w:rsidRPr="00A22868">
        <w:rPr>
          <w:rFonts w:asciiTheme="majorBidi" w:hAnsiTheme="majorBidi" w:cstheme="majorBidi"/>
        </w:rPr>
        <w:t>“P320</w:t>
      </w:r>
      <w:r w:rsidR="00771F96">
        <w:rPr>
          <w:rFonts w:asciiTheme="majorBidi" w:hAnsiTheme="majorBidi" w:cstheme="majorBidi"/>
          <w:b/>
          <w:bCs/>
        </w:rPr>
        <w:br/>
      </w:r>
      <w:r w:rsidRPr="00A22868">
        <w:rPr>
          <w:rFonts w:asciiTheme="majorBidi" w:hAnsiTheme="majorBidi" w:cstheme="majorBidi"/>
          <w:b/>
          <w:bCs/>
        </w:rPr>
        <w:t>Specific treatment is urgent (see information on this label and safety data sheet).</w:t>
      </w:r>
    </w:p>
    <w:p w14:paraId="359703C7" w14:textId="77777777" w:rsidR="00CB0F8F" w:rsidRPr="00A22868" w:rsidRDefault="00CB0F8F" w:rsidP="00CB0F8F">
      <w:pPr>
        <w:spacing w:after="120" w:line="240" w:lineRule="auto"/>
        <w:ind w:left="1701" w:right="1134"/>
        <w:jc w:val="both"/>
        <w:rPr>
          <w:rFonts w:asciiTheme="majorBidi" w:hAnsiTheme="majorBidi" w:cstheme="majorBidi"/>
          <w:i/>
          <w:iCs/>
        </w:rPr>
      </w:pPr>
      <w:r w:rsidRPr="00A22868">
        <w:rPr>
          <w:rFonts w:asciiTheme="majorBidi" w:hAnsiTheme="majorBidi" w:cstheme="majorBidi"/>
          <w:i/>
          <w:iCs/>
        </w:rPr>
        <w:t>- if immediate measures that can be easily applied, such as the administration of antidote or other specific treatment, are required. These measures must be specified on the label and safety data sheet, recognizing additional detailed instructions, including any training requirements, should be provided on the safety data sheet, if appropriate.</w:t>
      </w:r>
    </w:p>
    <w:p w14:paraId="1BCECD71" w14:textId="2FD61CBA" w:rsidR="00CB0F8F" w:rsidRPr="00A22868" w:rsidRDefault="00CB0F8F" w:rsidP="00E52640">
      <w:pPr>
        <w:ind w:left="1701"/>
        <w:jc w:val="both"/>
        <w:rPr>
          <w:rFonts w:asciiTheme="majorBidi" w:hAnsiTheme="majorBidi" w:cstheme="majorBidi"/>
          <w:b/>
          <w:bCs/>
        </w:rPr>
      </w:pPr>
      <w:r w:rsidRPr="00A22868">
        <w:rPr>
          <w:rFonts w:asciiTheme="majorBidi" w:hAnsiTheme="majorBidi" w:cstheme="majorBidi"/>
        </w:rPr>
        <w:t>P322</w:t>
      </w:r>
      <w:r w:rsidR="00E52640">
        <w:rPr>
          <w:rFonts w:asciiTheme="majorBidi" w:hAnsiTheme="majorBidi" w:cstheme="majorBidi"/>
        </w:rPr>
        <w:br/>
      </w:r>
      <w:r w:rsidRPr="00A22868">
        <w:rPr>
          <w:rFonts w:asciiTheme="majorBidi" w:hAnsiTheme="majorBidi" w:cstheme="majorBidi"/>
          <w:b/>
          <w:bCs/>
        </w:rPr>
        <w:t>Specific treatment is urgent (see information on the safety data sheet).</w:t>
      </w:r>
    </w:p>
    <w:p w14:paraId="67AC2737" w14:textId="77777777" w:rsidR="00CB0F8F" w:rsidRPr="00A22868" w:rsidRDefault="00CB0F8F" w:rsidP="00CB0F8F">
      <w:pPr>
        <w:spacing w:after="120" w:line="240" w:lineRule="auto"/>
        <w:ind w:left="1701" w:right="1134"/>
        <w:jc w:val="both"/>
        <w:rPr>
          <w:rFonts w:asciiTheme="majorBidi" w:hAnsiTheme="majorBidi" w:cstheme="majorBidi"/>
        </w:rPr>
      </w:pPr>
      <w:r w:rsidRPr="00A22868">
        <w:rPr>
          <w:rFonts w:asciiTheme="majorBidi" w:hAnsiTheme="majorBidi" w:cstheme="majorBidi"/>
        </w:rPr>
        <w:t>Manufacturer/supplier to reference on the safety data sheet detailed instructions, including any training requirements, to administer an antidote or other specific treatment.</w:t>
      </w:r>
    </w:p>
    <w:p w14:paraId="5269478A" w14:textId="77777777" w:rsidR="00CB0F8F" w:rsidRPr="00A22868" w:rsidRDefault="00CB0F8F" w:rsidP="00CB0F8F">
      <w:pPr>
        <w:spacing w:after="120" w:line="240" w:lineRule="auto"/>
        <w:ind w:left="1701"/>
        <w:jc w:val="both"/>
        <w:rPr>
          <w:rFonts w:asciiTheme="majorBidi" w:hAnsiTheme="majorBidi" w:cstheme="majorBidi"/>
          <w:i/>
          <w:iCs/>
        </w:rPr>
      </w:pPr>
      <w:r w:rsidRPr="00A22868">
        <w:rPr>
          <w:rFonts w:asciiTheme="majorBidi" w:hAnsiTheme="majorBidi" w:cstheme="majorBidi"/>
          <w:i/>
          <w:iCs/>
        </w:rPr>
        <w:t>- may be omitted if P320 is given on the label.”</w:t>
      </w:r>
    </w:p>
    <w:p w14:paraId="56FB5A64" w14:textId="77777777" w:rsidR="00CB0F8F" w:rsidRPr="00A22868" w:rsidRDefault="00CB0F8F" w:rsidP="00CB0F8F">
      <w:pPr>
        <w:pStyle w:val="H23G"/>
        <w:jc w:val="both"/>
      </w:pPr>
      <w:r w:rsidRPr="00A22868">
        <w:tab/>
      </w:r>
      <w:r w:rsidRPr="00A22868">
        <w:tab/>
        <w:t>Table for “Acute toxicity, inhalation</w:t>
      </w:r>
      <w:r w:rsidRPr="00A22868" w:rsidDel="007E6725">
        <w:t xml:space="preserve"> </w:t>
      </w:r>
      <w:r w:rsidRPr="00A22868">
        <w:t xml:space="preserve">(chapter 3.1)” hazard category 4 </w:t>
      </w:r>
    </w:p>
    <w:p w14:paraId="03C78087" w14:textId="13206829" w:rsidR="00CB0F8F" w:rsidRPr="00A22868" w:rsidRDefault="00CB0F8F" w:rsidP="00B5538D">
      <w:pPr>
        <w:pStyle w:val="SingleTxtG"/>
        <w:tabs>
          <w:tab w:val="clear" w:pos="1701"/>
        </w:tabs>
      </w:pPr>
      <w:r w:rsidRPr="00A22868">
        <w:t>Column “Prevention”, for the P261 entry replace “</w:t>
      </w:r>
      <w:r w:rsidRPr="00A22868">
        <w:rPr>
          <w:color w:val="000000"/>
        </w:rPr>
        <w:t>…. to specify applicable conditions</w:t>
      </w:r>
      <w:r w:rsidRPr="00A22868">
        <w:rPr>
          <w:color w:val="FF0000"/>
        </w:rPr>
        <w:t>.</w:t>
      </w:r>
      <w:r w:rsidRPr="00A22868">
        <w:rPr>
          <w:bCs/>
        </w:rPr>
        <w:t>” with “…</w:t>
      </w:r>
      <w:r w:rsidRPr="00A22868">
        <w:rPr>
          <w:color w:val="000000"/>
        </w:rPr>
        <w:t xml:space="preserve"> to specify applicable physical state(s)</w:t>
      </w:r>
      <w:r w:rsidRPr="00A22868">
        <w:rPr>
          <w:color w:val="FF0000"/>
        </w:rPr>
        <w:t>.</w:t>
      </w:r>
      <w:r w:rsidRPr="00A22868">
        <w:rPr>
          <w:bCs/>
        </w:rPr>
        <w:t>” (current entry P271 remains unchanged).</w:t>
      </w:r>
    </w:p>
    <w:p w14:paraId="179A787D" w14:textId="5D489D72" w:rsidR="00CB0F8F" w:rsidRPr="00A22868" w:rsidRDefault="00CB0F8F" w:rsidP="00F944B5">
      <w:pPr>
        <w:pStyle w:val="SingleTxtG"/>
      </w:pPr>
      <w:r w:rsidRPr="00A22868">
        <w:rPr>
          <w:rFonts w:asciiTheme="majorBidi" w:hAnsiTheme="majorBidi" w:cstheme="majorBidi"/>
          <w:bCs/>
        </w:rPr>
        <w:t xml:space="preserve">Column “Response”, </w:t>
      </w:r>
      <w:r w:rsidRPr="00A22868">
        <w:t xml:space="preserve">insert </w:t>
      </w:r>
      <w:r w:rsidR="009B0188" w:rsidRPr="00A22868">
        <w:t xml:space="preserve">the following </w:t>
      </w:r>
      <w:r w:rsidRPr="00A22868">
        <w:t>new P321 and P323 entries (current entries for P304+P340 and P317 remain unchanged):</w:t>
      </w:r>
    </w:p>
    <w:p w14:paraId="3A7D87C2" w14:textId="3D48DE50" w:rsidR="00CB0F8F" w:rsidRPr="00A22868" w:rsidRDefault="00CB0F8F" w:rsidP="00F944B5">
      <w:pPr>
        <w:pStyle w:val="BalloonText"/>
        <w:spacing w:before="20" w:after="60"/>
        <w:ind w:left="1701"/>
        <w:jc w:val="both"/>
        <w:rPr>
          <w:rFonts w:asciiTheme="majorBidi" w:hAnsiTheme="majorBidi" w:cstheme="majorBidi"/>
          <w:bCs/>
          <w:sz w:val="20"/>
          <w:szCs w:val="20"/>
        </w:rPr>
      </w:pPr>
      <w:r w:rsidRPr="00A22868">
        <w:rPr>
          <w:rFonts w:asciiTheme="majorBidi" w:hAnsiTheme="majorBidi" w:cstheme="majorBidi"/>
          <w:bCs/>
          <w:sz w:val="20"/>
          <w:szCs w:val="20"/>
        </w:rPr>
        <w:t>“P321</w:t>
      </w:r>
      <w:r w:rsidR="00BD3898">
        <w:rPr>
          <w:rFonts w:asciiTheme="majorBidi" w:hAnsiTheme="majorBidi" w:cstheme="majorBidi"/>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sz w:val="20"/>
          <w:szCs w:val="20"/>
        </w:rPr>
        <w:t xml:space="preserve">information </w:t>
      </w:r>
      <w:r w:rsidRPr="00A22868">
        <w:rPr>
          <w:rStyle w:val="StyleBold"/>
          <w:rFonts w:asciiTheme="majorBidi" w:hAnsiTheme="majorBidi" w:cstheme="majorBidi"/>
          <w:sz w:val="20"/>
          <w:szCs w:val="20"/>
        </w:rPr>
        <w:t>on this label and safety data sheet).</w:t>
      </w:r>
    </w:p>
    <w:p w14:paraId="7CCDF72A" w14:textId="77777777" w:rsidR="00CB0F8F" w:rsidRPr="00A22868" w:rsidRDefault="00CB0F8F" w:rsidP="00F944B5">
      <w:pPr>
        <w:spacing w:after="80"/>
        <w:ind w:left="1701" w:right="1134"/>
        <w:jc w:val="both"/>
        <w:rPr>
          <w:rStyle w:val="StyleItalic"/>
        </w:rPr>
      </w:pPr>
      <w:r w:rsidRPr="00A22868">
        <w:rPr>
          <w:rStyle w:val="StyleItalic"/>
        </w:rPr>
        <w:lastRenderedPageBreak/>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instructions, including any training requirements,</w:t>
      </w:r>
      <w:r w:rsidRPr="00A22868">
        <w:rPr>
          <w:rStyle w:val="StyleItalic"/>
        </w:rPr>
        <w:t xml:space="preserve"> should be provided on the safety data sheet, if appropriate.</w:t>
      </w:r>
    </w:p>
    <w:p w14:paraId="048FF05C" w14:textId="77777777" w:rsidR="00CB0F8F" w:rsidRPr="00A22868" w:rsidRDefault="00CB0F8F" w:rsidP="00CB0F8F">
      <w:pPr>
        <w:pStyle w:val="BalloonText"/>
        <w:tabs>
          <w:tab w:val="left" w:pos="0"/>
          <w:tab w:val="left" w:pos="221"/>
        </w:tabs>
        <w:spacing w:before="20" w:after="160"/>
        <w:ind w:left="1701" w:right="1134"/>
        <w:jc w:val="both"/>
        <w:rPr>
          <w:rStyle w:val="StyleItalic"/>
          <w:sz w:val="20"/>
          <w:szCs w:val="20"/>
        </w:rPr>
      </w:pPr>
      <w:r w:rsidRPr="00A22868">
        <w:rPr>
          <w:rStyle w:val="StyleItalic"/>
          <w:rFonts w:asciiTheme="majorBidi" w:hAnsiTheme="majorBidi" w:cstheme="majorBidi"/>
          <w:sz w:val="20"/>
          <w:szCs w:val="20"/>
        </w:rPr>
        <w:t>- may be omitted if P320 is given on the label</w:t>
      </w:r>
      <w:r w:rsidRPr="00A22868">
        <w:rPr>
          <w:rFonts w:ascii="Times New Roman" w:hAnsi="Times New Roman" w:cs="Times New Roman"/>
          <w:i/>
          <w:iCs/>
          <w:sz w:val="20"/>
          <w:szCs w:val="20"/>
        </w:rPr>
        <w:t>.</w:t>
      </w:r>
    </w:p>
    <w:p w14:paraId="4C94B7C7" w14:textId="4138B2B6" w:rsidR="00CB0F8F" w:rsidRPr="00A22868" w:rsidRDefault="00CB0F8F" w:rsidP="00BD3898">
      <w:pPr>
        <w:pStyle w:val="BalloonText"/>
        <w:spacing w:after="60"/>
        <w:ind w:left="1701" w:right="1134"/>
        <w:jc w:val="both"/>
        <w:rPr>
          <w:rFonts w:asciiTheme="majorBidi" w:hAnsiTheme="majorBidi" w:cstheme="majorBidi"/>
          <w:b/>
          <w:sz w:val="20"/>
          <w:szCs w:val="20"/>
        </w:rPr>
      </w:pPr>
      <w:r w:rsidRPr="00A22868">
        <w:rPr>
          <w:rFonts w:asciiTheme="majorBidi" w:hAnsiTheme="majorBidi" w:cstheme="majorBidi"/>
          <w:bCs/>
          <w:sz w:val="20"/>
          <w:szCs w:val="20"/>
        </w:rPr>
        <w:t>P323</w:t>
      </w:r>
      <w:r w:rsidR="00BD3898">
        <w:rPr>
          <w:rFonts w:asciiTheme="majorBidi" w:hAnsiTheme="majorBidi" w:cstheme="majorBidi"/>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r w:rsidRPr="00A22868">
        <w:rPr>
          <w:rFonts w:asciiTheme="majorBidi" w:hAnsiTheme="majorBidi" w:cstheme="majorBidi"/>
          <w:b/>
          <w:sz w:val="20"/>
          <w:szCs w:val="20"/>
        </w:rPr>
        <w:t>.</w:t>
      </w:r>
    </w:p>
    <w:p w14:paraId="005B2018" w14:textId="77777777" w:rsidR="00CB0F8F" w:rsidRPr="00A22868" w:rsidRDefault="00CB0F8F" w:rsidP="00CB0F8F">
      <w:pPr>
        <w:keepLines/>
        <w:tabs>
          <w:tab w:val="left" w:pos="178"/>
        </w:tabs>
        <w:spacing w:after="60"/>
        <w:ind w:left="1701" w:right="1134"/>
        <w:jc w:val="both"/>
        <w:rPr>
          <w:rStyle w:val="StyleItalic"/>
          <w:rFonts w:asciiTheme="majorBidi" w:hAnsiTheme="majorBidi" w:cstheme="majorBidi"/>
          <w:i w:val="0"/>
          <w:iCs w:val="0"/>
          <w:sz w:val="16"/>
          <w:szCs w:val="16"/>
        </w:rPr>
      </w:pPr>
      <w:r w:rsidRPr="008B0608">
        <w:rPr>
          <w:rStyle w:val="StyleItalic"/>
          <w:rFonts w:asciiTheme="majorBidi" w:hAnsiTheme="majorBidi" w:cstheme="majorBidi"/>
          <w:i w:val="0"/>
          <w:iCs w:val="0"/>
        </w:rPr>
        <w:t xml:space="preserve">Manufacturer/supplier to reference on the safety data sheet detailed instructions, including any training requirements, to administer an antidote or </w:t>
      </w:r>
      <w:r w:rsidRPr="008B0608">
        <w:rPr>
          <w:rStyle w:val="StyleItalic"/>
          <w:rFonts w:cstheme="minorBidi"/>
          <w:i w:val="0"/>
          <w:iCs w:val="0"/>
        </w:rPr>
        <w:t>other specific treatment</w:t>
      </w:r>
      <w:r w:rsidRPr="008B0608">
        <w:rPr>
          <w:rStyle w:val="StyleItalic"/>
          <w:rFonts w:asciiTheme="majorBidi" w:hAnsiTheme="majorBidi" w:cstheme="majorBidi"/>
          <w:i w:val="0"/>
          <w:iCs w:val="0"/>
        </w:rPr>
        <w:t xml:space="preserve">.   </w:t>
      </w:r>
    </w:p>
    <w:p w14:paraId="42EAE12E" w14:textId="77777777" w:rsidR="00CB0F8F" w:rsidRPr="00A22868" w:rsidRDefault="00CB0F8F" w:rsidP="00CB0F8F">
      <w:pPr>
        <w:pStyle w:val="SingleTxtG"/>
        <w:ind w:left="1701"/>
        <w:rPr>
          <w:rFonts w:asciiTheme="majorBidi" w:hAnsiTheme="majorBidi" w:cstheme="majorBidi"/>
          <w:iCs/>
        </w:rPr>
      </w:pPr>
      <w:r w:rsidRPr="00A22868">
        <w:rPr>
          <w:rStyle w:val="StyleItalic"/>
          <w:rFonts w:asciiTheme="majorBidi" w:hAnsiTheme="majorBidi" w:cstheme="majorBidi"/>
        </w:rPr>
        <w:t>- may be omitted if P321 or P322 is given on the label.”</w:t>
      </w:r>
    </w:p>
    <w:p w14:paraId="47CD7ED9" w14:textId="45CD133A" w:rsidR="00CB0F8F" w:rsidRPr="00A22868" w:rsidRDefault="00CB0F8F" w:rsidP="00CB0F8F">
      <w:pPr>
        <w:pStyle w:val="SingleTxtG"/>
        <w:keepNext/>
        <w:keepLines/>
        <w:tabs>
          <w:tab w:val="left" w:pos="1276"/>
        </w:tabs>
        <w:ind w:left="1701" w:hanging="567"/>
        <w:rPr>
          <w:rFonts w:asciiTheme="majorBidi" w:hAnsiTheme="majorBidi" w:cstheme="majorBidi"/>
        </w:rPr>
      </w:pPr>
      <w:r w:rsidRPr="00A22868">
        <w:rPr>
          <w:rFonts w:asciiTheme="majorBidi" w:hAnsiTheme="majorBidi" w:cstheme="majorBidi"/>
        </w:rPr>
        <w:t>C</w:t>
      </w:r>
      <w:r w:rsidRPr="00A22868">
        <w:rPr>
          <w:rFonts w:asciiTheme="majorBidi" w:hAnsiTheme="majorBidi" w:cstheme="majorBidi"/>
          <w:bCs/>
        </w:rPr>
        <w:t>olumn “Disposal”, insert</w:t>
      </w:r>
      <w:r w:rsidRPr="00A22868">
        <w:rPr>
          <w:rFonts w:asciiTheme="majorBidi" w:hAnsiTheme="majorBidi" w:cstheme="majorBidi"/>
        </w:rPr>
        <w:t xml:space="preserve"> a new entry for P501, </w:t>
      </w:r>
      <w:r w:rsidRPr="00A22868">
        <w:t>to read as follows</w:t>
      </w:r>
      <w:r w:rsidRPr="00A22868">
        <w:rPr>
          <w:rFonts w:asciiTheme="majorBidi" w:hAnsiTheme="majorBidi" w:cstheme="majorBidi"/>
        </w:rPr>
        <w:t>:</w:t>
      </w:r>
    </w:p>
    <w:p w14:paraId="4FD6C1F0" w14:textId="2204A5DE" w:rsidR="00CB0F8F" w:rsidRPr="00A22868" w:rsidRDefault="00CB0F8F" w:rsidP="00375165">
      <w:pPr>
        <w:keepNext/>
        <w:keepLines/>
        <w:spacing w:before="20" w:after="60"/>
        <w:ind w:left="1701" w:right="1134"/>
        <w:jc w:val="both"/>
        <w:rPr>
          <w:rFonts w:asciiTheme="majorBidi" w:hAnsiTheme="majorBidi" w:cstheme="majorBidi"/>
        </w:rPr>
      </w:pPr>
      <w:r w:rsidRPr="00A22868">
        <w:rPr>
          <w:rFonts w:asciiTheme="majorBidi" w:hAnsiTheme="majorBidi" w:cstheme="majorBidi"/>
          <w:bCs/>
        </w:rPr>
        <w:t>“P501</w:t>
      </w:r>
      <w:r w:rsidR="00375165">
        <w:rPr>
          <w:rFonts w:asciiTheme="majorBidi" w:hAnsiTheme="majorBidi" w:cstheme="majorBidi"/>
          <w:b/>
        </w:rPr>
        <w:br/>
      </w:r>
      <w:r w:rsidRPr="00A22868">
        <w:rPr>
          <w:rFonts w:asciiTheme="majorBidi" w:hAnsiTheme="majorBidi" w:cstheme="majorBidi"/>
          <w:b/>
        </w:rPr>
        <w:t>Dispose of contents/container to...</w:t>
      </w:r>
      <w:r w:rsidRPr="00A22868">
        <w:rPr>
          <w:rFonts w:asciiTheme="majorBidi" w:hAnsiTheme="majorBidi" w:cstheme="majorBidi"/>
        </w:rPr>
        <w:t xml:space="preserve"> </w:t>
      </w:r>
    </w:p>
    <w:p w14:paraId="7CDB0148" w14:textId="77777777" w:rsidR="00CB0F8F" w:rsidRPr="00A22868" w:rsidRDefault="00CB0F8F" w:rsidP="00CB0F8F">
      <w:pPr>
        <w:keepNext/>
        <w:keepLines/>
        <w:spacing w:before="20" w:after="60"/>
        <w:ind w:left="1701" w:right="1134"/>
        <w:jc w:val="both"/>
      </w:pPr>
      <w:r w:rsidRPr="00A22868">
        <w:t>... in accordance with local/regional/national/international regulations (to be specified).</w:t>
      </w:r>
    </w:p>
    <w:p w14:paraId="78CD12FA" w14:textId="77777777" w:rsidR="00CB0F8F" w:rsidRPr="00A22868" w:rsidRDefault="00CB0F8F" w:rsidP="00CB0F8F">
      <w:pPr>
        <w:keepNext/>
        <w:keepLines/>
        <w:spacing w:before="20" w:after="60"/>
        <w:ind w:left="1701" w:right="1134"/>
        <w:jc w:val="both"/>
        <w:rPr>
          <w:rFonts w:asciiTheme="majorBidi" w:hAnsiTheme="majorBidi" w:cstheme="majorBidi"/>
        </w:rPr>
      </w:pPr>
      <w:r w:rsidRPr="00A22868">
        <w:t xml:space="preserve">Manufacturer/supplier or the competent authority to specify whether disposal requirements apply to contents, </w:t>
      </w:r>
      <w:proofErr w:type="gramStart"/>
      <w:r w:rsidRPr="00A22868">
        <w:t>container</w:t>
      </w:r>
      <w:proofErr w:type="gramEnd"/>
      <w:r w:rsidRPr="00A22868">
        <w:t xml:space="preserve"> or both</w:t>
      </w:r>
      <w:r w:rsidRPr="00A22868">
        <w:rPr>
          <w:rFonts w:asciiTheme="majorBidi" w:hAnsiTheme="majorBidi" w:cstheme="majorBidi"/>
        </w:rPr>
        <w:t>.”</w:t>
      </w:r>
    </w:p>
    <w:p w14:paraId="30AD3160" w14:textId="701CCD45" w:rsidR="00375165" w:rsidRDefault="00CB0F8F" w:rsidP="008B0608">
      <w:pPr>
        <w:pStyle w:val="H23G"/>
        <w:jc w:val="both"/>
        <w:rPr>
          <w:rFonts w:asciiTheme="majorBidi" w:hAnsiTheme="majorBidi" w:cstheme="majorBidi"/>
          <w:bCs/>
        </w:rPr>
      </w:pPr>
      <w:r w:rsidRPr="00A22868">
        <w:tab/>
      </w:r>
      <w:r w:rsidRPr="00A22868">
        <w:tab/>
      </w:r>
      <w:r w:rsidR="00E54A7D">
        <w:tab/>
      </w:r>
      <w:r w:rsidRPr="00A22868">
        <w:t xml:space="preserve">Table for </w:t>
      </w:r>
      <w:r w:rsidR="0022500F">
        <w:t>“</w:t>
      </w:r>
      <w:r w:rsidRPr="00A22868">
        <w:t>Acute toxicity, inhalation</w:t>
      </w:r>
      <w:r w:rsidRPr="00A22868" w:rsidDel="007E6725">
        <w:t xml:space="preserve"> </w:t>
      </w:r>
      <w:r w:rsidRPr="00A22868">
        <w:t>(chapter 3.1)” hazard category 5</w:t>
      </w:r>
      <w:r w:rsidR="00375165">
        <w:t xml:space="preserve">, </w:t>
      </w:r>
      <w:r w:rsidR="006E698A">
        <w:rPr>
          <w:rFonts w:asciiTheme="majorBidi" w:hAnsiTheme="majorBidi" w:cstheme="majorBidi"/>
        </w:rPr>
        <w:t>c</w:t>
      </w:r>
      <w:r w:rsidRPr="00A22868">
        <w:rPr>
          <w:rFonts w:asciiTheme="majorBidi" w:hAnsiTheme="majorBidi" w:cstheme="majorBidi"/>
          <w:bCs/>
        </w:rPr>
        <w:t>olumn “Response”</w:t>
      </w:r>
    </w:p>
    <w:p w14:paraId="26F6F315" w14:textId="1BFBD19F" w:rsidR="00CB0F8F" w:rsidRPr="00A22868" w:rsidRDefault="006E698A" w:rsidP="00CB0F8F">
      <w:pPr>
        <w:pStyle w:val="SingleTxtG"/>
        <w:ind w:left="1701" w:hanging="567"/>
        <w:rPr>
          <w:rFonts w:asciiTheme="majorBidi" w:hAnsiTheme="majorBidi" w:cstheme="majorBidi"/>
        </w:rPr>
      </w:pPr>
      <w:r>
        <w:rPr>
          <w:rFonts w:asciiTheme="majorBidi" w:hAnsiTheme="majorBidi" w:cstheme="majorBidi"/>
          <w:bCs/>
        </w:rPr>
        <w:t>A</w:t>
      </w:r>
      <w:r w:rsidR="00CB0F8F" w:rsidRPr="00A22868">
        <w:rPr>
          <w:rFonts w:asciiTheme="majorBidi" w:hAnsiTheme="majorBidi" w:cstheme="majorBidi"/>
          <w:bCs/>
        </w:rPr>
        <w:t>mend to read</w:t>
      </w:r>
      <w:r w:rsidR="00CB0F8F" w:rsidRPr="00A22868">
        <w:rPr>
          <w:rFonts w:asciiTheme="majorBidi" w:hAnsiTheme="majorBidi" w:cstheme="majorBidi"/>
        </w:rPr>
        <w:t>:</w:t>
      </w:r>
    </w:p>
    <w:p w14:paraId="04457017" w14:textId="005757D3" w:rsidR="00CB0F8F" w:rsidRPr="00A22868" w:rsidRDefault="00CB0F8F" w:rsidP="00BD3898">
      <w:pPr>
        <w:pStyle w:val="BalloonText"/>
        <w:spacing w:before="20" w:after="60"/>
        <w:ind w:left="1701"/>
        <w:jc w:val="both"/>
        <w:rPr>
          <w:rFonts w:asciiTheme="majorBidi" w:hAnsiTheme="majorBidi" w:cstheme="majorBidi"/>
          <w:b/>
          <w:sz w:val="20"/>
          <w:szCs w:val="20"/>
        </w:rPr>
      </w:pPr>
      <w:r w:rsidRPr="00A22868">
        <w:rPr>
          <w:rFonts w:asciiTheme="majorBidi" w:hAnsiTheme="majorBidi" w:cstheme="majorBidi"/>
          <w:bCs/>
          <w:sz w:val="20"/>
          <w:szCs w:val="20"/>
        </w:rPr>
        <w:t>“P317</w:t>
      </w:r>
      <w:r w:rsidR="00BD3898">
        <w:rPr>
          <w:rFonts w:asciiTheme="majorBidi" w:hAnsiTheme="majorBidi" w:cstheme="majorBidi"/>
          <w:bCs/>
          <w:sz w:val="20"/>
          <w:szCs w:val="20"/>
        </w:rPr>
        <w:br/>
      </w:r>
      <w:r w:rsidRPr="00A22868">
        <w:rPr>
          <w:rFonts w:asciiTheme="majorBidi" w:hAnsiTheme="majorBidi" w:cstheme="majorBidi"/>
          <w:b/>
          <w:sz w:val="20"/>
          <w:szCs w:val="20"/>
        </w:rPr>
        <w:t>Get medical help.</w:t>
      </w:r>
    </w:p>
    <w:p w14:paraId="0560CB2C" w14:textId="71535BBF" w:rsidR="00CB0F8F" w:rsidRPr="00A22868" w:rsidRDefault="00CB0F8F" w:rsidP="00BD3898">
      <w:pPr>
        <w:pStyle w:val="BalloonText"/>
        <w:spacing w:before="20" w:after="60"/>
        <w:ind w:left="1701"/>
        <w:jc w:val="both"/>
        <w:rPr>
          <w:rFonts w:asciiTheme="majorBidi" w:hAnsiTheme="majorBidi" w:cstheme="majorBidi"/>
          <w:b/>
          <w:sz w:val="20"/>
          <w:szCs w:val="20"/>
        </w:rPr>
      </w:pPr>
      <w:r w:rsidRPr="00A22868">
        <w:rPr>
          <w:rFonts w:asciiTheme="majorBidi" w:hAnsiTheme="majorBidi" w:cstheme="majorBidi"/>
          <w:bCs/>
          <w:sz w:val="20"/>
          <w:szCs w:val="20"/>
        </w:rPr>
        <w:t>P304+P340</w:t>
      </w:r>
      <w:r w:rsidR="00BD3898">
        <w:rPr>
          <w:rFonts w:asciiTheme="majorBidi" w:hAnsiTheme="majorBidi" w:cstheme="majorBidi"/>
          <w:bCs/>
          <w:sz w:val="20"/>
          <w:szCs w:val="20"/>
        </w:rPr>
        <w:br/>
      </w:r>
      <w:r w:rsidRPr="00A22868">
        <w:rPr>
          <w:rFonts w:asciiTheme="majorBidi" w:hAnsiTheme="majorBidi" w:cstheme="majorBidi"/>
          <w:b/>
          <w:sz w:val="20"/>
          <w:szCs w:val="20"/>
        </w:rPr>
        <w:t>IF INHALED: Remove person to fresh air and keep comfortable for breathing.”</w:t>
      </w:r>
    </w:p>
    <w:p w14:paraId="378459F8" w14:textId="205734AC" w:rsidR="00E54A7D" w:rsidRDefault="00CB0F8F" w:rsidP="008B0608">
      <w:pPr>
        <w:pStyle w:val="H23G"/>
        <w:jc w:val="both"/>
      </w:pPr>
      <w:r w:rsidRPr="00A22868">
        <w:tab/>
      </w:r>
      <w:r w:rsidRPr="00A22868">
        <w:tab/>
        <w:t>Table for “Skin corrosion/irritation</w:t>
      </w:r>
      <w:r w:rsidRPr="00A22868" w:rsidDel="007E6725">
        <w:t xml:space="preserve"> </w:t>
      </w:r>
      <w:r w:rsidRPr="00A22868">
        <w:t>(chapter 3.2)” hazard categories 1, 1A, 1B, 1C</w:t>
      </w:r>
      <w:r w:rsidR="00E54A7D">
        <w:t>, c</w:t>
      </w:r>
      <w:r w:rsidRPr="00A22868">
        <w:t xml:space="preserve">olumn “Response” </w:t>
      </w:r>
    </w:p>
    <w:p w14:paraId="2F1F689E" w14:textId="43B7CD1A" w:rsidR="00CB0F8F" w:rsidRPr="00A22868" w:rsidRDefault="00E54A7D" w:rsidP="00CB0F8F">
      <w:pPr>
        <w:pStyle w:val="SingleTxtG"/>
      </w:pPr>
      <w:r>
        <w:t>R</w:t>
      </w:r>
      <w:r w:rsidR="00CB0F8F" w:rsidRPr="00A22868">
        <w:t>eplace P321 and insert a new P323 entry, as follows (current entries for P301+P330+P331, P302+P361+P354, P363, P304+P340, P316 and P305+P354+P338 remain unchanged):</w:t>
      </w:r>
    </w:p>
    <w:p w14:paraId="28744440" w14:textId="7B124D09" w:rsidR="00CB0F8F" w:rsidRPr="00A22868" w:rsidRDefault="00CB0F8F" w:rsidP="00247D01">
      <w:pPr>
        <w:pStyle w:val="BalloonText"/>
        <w:spacing w:before="20" w:after="60"/>
        <w:ind w:left="1701"/>
        <w:jc w:val="both"/>
        <w:rPr>
          <w:rFonts w:asciiTheme="majorBidi" w:hAnsiTheme="majorBidi" w:cstheme="majorBidi"/>
          <w:bCs/>
          <w:sz w:val="20"/>
          <w:szCs w:val="20"/>
        </w:rPr>
      </w:pPr>
      <w:r w:rsidRPr="00A22868">
        <w:rPr>
          <w:rFonts w:asciiTheme="majorBidi" w:hAnsiTheme="majorBidi" w:cstheme="majorBidi"/>
          <w:bCs/>
          <w:sz w:val="20"/>
          <w:szCs w:val="20"/>
        </w:rPr>
        <w:t>“P321</w:t>
      </w:r>
      <w:r w:rsidR="00247D01">
        <w:rPr>
          <w:rStyle w:val="StyleBold"/>
          <w:rFonts w:asciiTheme="majorBidi" w:hAnsiTheme="majorBidi" w:cstheme="majorBidi"/>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sz w:val="20"/>
          <w:szCs w:val="20"/>
        </w:rPr>
        <w:t xml:space="preserve">information </w:t>
      </w:r>
      <w:r w:rsidRPr="00A22868">
        <w:rPr>
          <w:rStyle w:val="StyleBold"/>
          <w:rFonts w:asciiTheme="majorBidi" w:hAnsiTheme="majorBidi" w:cstheme="majorBidi"/>
          <w:sz w:val="20"/>
          <w:szCs w:val="20"/>
        </w:rPr>
        <w:t>on this label and safety data sheet).</w:t>
      </w:r>
    </w:p>
    <w:p w14:paraId="0F6B1BF3" w14:textId="77777777" w:rsidR="00CB0F8F" w:rsidRPr="00A22868" w:rsidRDefault="00CB0F8F" w:rsidP="00CB0F8F">
      <w:pPr>
        <w:spacing w:after="80"/>
        <w:ind w:left="1701" w:right="1134"/>
        <w:jc w:val="both"/>
        <w:rPr>
          <w:rStyle w:val="StyleItalic"/>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instructions, including any training requirements,</w:t>
      </w:r>
      <w:r w:rsidRPr="00A22868">
        <w:rPr>
          <w:rStyle w:val="StyleItalic"/>
        </w:rPr>
        <w:t xml:space="preserve"> should be provided on the safety data sheet, if appropriate.</w:t>
      </w:r>
    </w:p>
    <w:p w14:paraId="1B1C04CF" w14:textId="77777777" w:rsidR="00CB0F8F" w:rsidRPr="00A22868" w:rsidRDefault="00CB0F8F" w:rsidP="00CB0F8F">
      <w:pPr>
        <w:pStyle w:val="BalloonText"/>
        <w:tabs>
          <w:tab w:val="left" w:pos="0"/>
          <w:tab w:val="left" w:pos="221"/>
        </w:tabs>
        <w:spacing w:before="20" w:after="160"/>
        <w:ind w:left="1701" w:right="1134"/>
        <w:jc w:val="both"/>
        <w:rPr>
          <w:rStyle w:val="StyleItalic"/>
          <w:sz w:val="20"/>
          <w:szCs w:val="20"/>
        </w:rPr>
      </w:pPr>
      <w:r w:rsidRPr="00A22868">
        <w:rPr>
          <w:rStyle w:val="StyleItalic"/>
          <w:rFonts w:asciiTheme="majorBidi" w:hAnsiTheme="majorBidi" w:cstheme="majorBidi"/>
          <w:sz w:val="20"/>
          <w:szCs w:val="20"/>
        </w:rPr>
        <w:t>- may be omitted if P320 is given on the label</w:t>
      </w:r>
      <w:r w:rsidRPr="00A22868">
        <w:rPr>
          <w:rFonts w:ascii="Times New Roman" w:hAnsi="Times New Roman" w:cs="Times New Roman"/>
          <w:i/>
          <w:iCs/>
          <w:sz w:val="20"/>
          <w:szCs w:val="20"/>
        </w:rPr>
        <w:t>.</w:t>
      </w:r>
    </w:p>
    <w:p w14:paraId="6BD5B44F" w14:textId="2BCCCECC" w:rsidR="00CB0F8F" w:rsidRPr="00A22868" w:rsidRDefault="00CB0F8F" w:rsidP="00247D01">
      <w:pPr>
        <w:pStyle w:val="BalloonText"/>
        <w:spacing w:after="60"/>
        <w:ind w:left="1701" w:right="1134"/>
        <w:jc w:val="both"/>
        <w:rPr>
          <w:rFonts w:asciiTheme="majorBidi" w:hAnsiTheme="majorBidi" w:cstheme="majorBidi"/>
          <w:b/>
          <w:sz w:val="20"/>
          <w:szCs w:val="20"/>
        </w:rPr>
      </w:pPr>
      <w:r w:rsidRPr="00A22868">
        <w:rPr>
          <w:rFonts w:asciiTheme="majorBidi" w:hAnsiTheme="majorBidi" w:cstheme="majorBidi"/>
          <w:bCs/>
          <w:sz w:val="20"/>
          <w:szCs w:val="20"/>
        </w:rPr>
        <w:t>P323</w:t>
      </w:r>
      <w:r w:rsidR="00247D01">
        <w:rPr>
          <w:rStyle w:val="StyleBold"/>
          <w:rFonts w:asciiTheme="majorBidi" w:hAnsiTheme="majorBidi" w:cstheme="majorBidi"/>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p>
    <w:p w14:paraId="00733476" w14:textId="77777777" w:rsidR="00CB0F8F" w:rsidRPr="00A22868" w:rsidRDefault="00CB0F8F" w:rsidP="00CB0F8F">
      <w:pPr>
        <w:keepLines/>
        <w:tabs>
          <w:tab w:val="left" w:pos="178"/>
        </w:tabs>
        <w:spacing w:after="60"/>
        <w:ind w:left="1701" w:right="1134"/>
        <w:jc w:val="both"/>
        <w:rPr>
          <w:rStyle w:val="StyleItalic"/>
          <w:rFonts w:asciiTheme="majorBidi" w:hAnsiTheme="majorBidi" w:cstheme="majorBidi"/>
          <w:i w:val="0"/>
          <w:iCs w:val="0"/>
          <w:sz w:val="16"/>
          <w:szCs w:val="16"/>
        </w:rPr>
      </w:pPr>
      <w:r w:rsidRPr="008B0608">
        <w:rPr>
          <w:rStyle w:val="StyleItalic"/>
          <w:rFonts w:asciiTheme="majorBidi" w:hAnsiTheme="majorBidi" w:cstheme="majorBidi"/>
          <w:i w:val="0"/>
          <w:iCs w:val="0"/>
        </w:rPr>
        <w:t xml:space="preserve">Manufacturer/supplier to reference on the safety data sheet detailed instructions, including any training requirements, to administer an antidote or </w:t>
      </w:r>
      <w:r w:rsidRPr="008B0608">
        <w:rPr>
          <w:rStyle w:val="StyleItalic"/>
          <w:rFonts w:cstheme="minorBidi"/>
          <w:i w:val="0"/>
          <w:iCs w:val="0"/>
        </w:rPr>
        <w:t>other specific treatment</w:t>
      </w:r>
      <w:r w:rsidRPr="008B0608">
        <w:rPr>
          <w:rStyle w:val="StyleItalic"/>
          <w:rFonts w:asciiTheme="majorBidi" w:hAnsiTheme="majorBidi" w:cstheme="majorBidi"/>
          <w:i w:val="0"/>
          <w:iCs w:val="0"/>
        </w:rPr>
        <w:t xml:space="preserve">.   </w:t>
      </w:r>
    </w:p>
    <w:p w14:paraId="5EB04CC9" w14:textId="77777777" w:rsidR="00CB0F8F" w:rsidRPr="00A22868" w:rsidRDefault="00CB0F8F" w:rsidP="00CB0F8F">
      <w:pPr>
        <w:pStyle w:val="SingleTxtG"/>
        <w:ind w:left="1701"/>
        <w:rPr>
          <w:rStyle w:val="StyleItalic"/>
          <w:rFonts w:asciiTheme="majorBidi" w:hAnsiTheme="majorBidi" w:cstheme="majorBidi"/>
        </w:rPr>
      </w:pPr>
      <w:r w:rsidRPr="00A22868">
        <w:rPr>
          <w:rStyle w:val="StyleItalic"/>
          <w:rFonts w:asciiTheme="majorBidi" w:hAnsiTheme="majorBidi" w:cstheme="majorBidi"/>
        </w:rPr>
        <w:t>- may be omitted if P321 or P322 is given on the label.”</w:t>
      </w:r>
    </w:p>
    <w:p w14:paraId="3A6BB370" w14:textId="6D8D6569" w:rsidR="00BA2408" w:rsidRDefault="00CB0F8F" w:rsidP="008B0608">
      <w:pPr>
        <w:pStyle w:val="H23G"/>
        <w:jc w:val="both"/>
      </w:pPr>
      <w:r w:rsidRPr="00A22868">
        <w:tab/>
      </w:r>
      <w:r w:rsidRPr="00A22868">
        <w:tab/>
        <w:t>Table for “Skin corrosion/irritation</w:t>
      </w:r>
      <w:r w:rsidRPr="00A22868" w:rsidDel="007E6725">
        <w:t xml:space="preserve"> </w:t>
      </w:r>
      <w:r w:rsidRPr="00A22868">
        <w:t>(chapter 3.2)” hazard category 2</w:t>
      </w:r>
      <w:r w:rsidR="00BA2408">
        <w:t>, c</w:t>
      </w:r>
      <w:r w:rsidRPr="00A22868">
        <w:t xml:space="preserve">olumn “Response” </w:t>
      </w:r>
    </w:p>
    <w:p w14:paraId="1E7618F9" w14:textId="11074271" w:rsidR="00CB0F8F" w:rsidRPr="00A22868" w:rsidRDefault="00BA2408" w:rsidP="00CB0F8F">
      <w:pPr>
        <w:pStyle w:val="SingleTxtG"/>
      </w:pPr>
      <w:r>
        <w:t>A</w:t>
      </w:r>
      <w:r w:rsidR="00CB0F8F" w:rsidRPr="00A22868">
        <w:t>mend P321 and insert a new P323 as follows (current entries P302+P352, P332+P317 and P362+P364 remain unchanged):</w:t>
      </w:r>
    </w:p>
    <w:p w14:paraId="6CFC1D73" w14:textId="1F074A7F" w:rsidR="00CB0F8F" w:rsidRPr="00A22868" w:rsidRDefault="00CB0F8F" w:rsidP="00BD3898">
      <w:pPr>
        <w:pStyle w:val="BalloonText"/>
        <w:spacing w:before="20" w:after="60"/>
        <w:ind w:left="1701" w:right="1134"/>
        <w:jc w:val="both"/>
        <w:rPr>
          <w:rFonts w:asciiTheme="majorBidi" w:hAnsiTheme="majorBidi" w:cstheme="majorBidi"/>
          <w:bCs/>
          <w:sz w:val="20"/>
          <w:szCs w:val="20"/>
        </w:rPr>
      </w:pPr>
      <w:r w:rsidRPr="00A22868">
        <w:rPr>
          <w:rFonts w:ascii="Times New Roman" w:hAnsi="Times New Roman" w:cs="Times New Roman"/>
          <w:sz w:val="20"/>
          <w:szCs w:val="20"/>
        </w:rPr>
        <w:lastRenderedPageBreak/>
        <w:t>“P321</w:t>
      </w:r>
      <w:r w:rsidR="00BD3898">
        <w:rPr>
          <w:rFonts w:ascii="Times New Roman" w:hAnsi="Times New Roman" w:cs="Times New Roman"/>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sz w:val="20"/>
          <w:szCs w:val="20"/>
        </w:rPr>
        <w:t xml:space="preserve">information </w:t>
      </w:r>
      <w:r w:rsidRPr="00A22868">
        <w:rPr>
          <w:rStyle w:val="StyleBold"/>
          <w:rFonts w:asciiTheme="majorBidi" w:hAnsiTheme="majorBidi" w:cstheme="majorBidi"/>
          <w:sz w:val="20"/>
          <w:szCs w:val="20"/>
        </w:rPr>
        <w:t>on this label and safety data sheet).</w:t>
      </w:r>
    </w:p>
    <w:p w14:paraId="1F02AB95" w14:textId="77777777" w:rsidR="00CB0F8F" w:rsidRPr="00A22868" w:rsidRDefault="00CB0F8F" w:rsidP="00CB0F8F">
      <w:pPr>
        <w:spacing w:after="80"/>
        <w:ind w:left="1701" w:right="1134"/>
        <w:jc w:val="both"/>
        <w:rPr>
          <w:rStyle w:val="StyleItalic"/>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instructions, including any training requirements,</w:t>
      </w:r>
      <w:r w:rsidRPr="00A22868">
        <w:rPr>
          <w:rStyle w:val="StyleItalic"/>
        </w:rPr>
        <w:t xml:space="preserve"> should be provided on the safety data sheet, if appropriate.</w:t>
      </w:r>
    </w:p>
    <w:p w14:paraId="447D2EB2" w14:textId="77777777" w:rsidR="00CB0F8F" w:rsidRPr="00A22868" w:rsidRDefault="00CB0F8F" w:rsidP="00CB0F8F">
      <w:pPr>
        <w:pStyle w:val="BalloonText"/>
        <w:tabs>
          <w:tab w:val="left" w:pos="0"/>
          <w:tab w:val="left" w:pos="221"/>
        </w:tabs>
        <w:spacing w:before="20" w:after="160"/>
        <w:ind w:left="1701" w:right="1134"/>
        <w:jc w:val="both"/>
        <w:rPr>
          <w:rStyle w:val="StyleItalic"/>
          <w:sz w:val="20"/>
          <w:szCs w:val="20"/>
        </w:rPr>
      </w:pPr>
      <w:r w:rsidRPr="00A22868">
        <w:rPr>
          <w:rStyle w:val="StyleItalic"/>
          <w:rFonts w:asciiTheme="majorBidi" w:hAnsiTheme="majorBidi" w:cstheme="majorBidi"/>
          <w:sz w:val="20"/>
          <w:szCs w:val="20"/>
        </w:rPr>
        <w:t>- may be omitted if P320 is given on the label</w:t>
      </w:r>
      <w:r w:rsidRPr="00A22868">
        <w:rPr>
          <w:rFonts w:ascii="Times New Roman" w:hAnsi="Times New Roman" w:cs="Times New Roman"/>
          <w:i/>
          <w:iCs/>
          <w:sz w:val="20"/>
          <w:szCs w:val="20"/>
        </w:rPr>
        <w:t>.</w:t>
      </w:r>
    </w:p>
    <w:p w14:paraId="5BF1F7C3" w14:textId="7C9F3B47" w:rsidR="00CB0F8F" w:rsidRPr="00A22868" w:rsidRDefault="00CB0F8F" w:rsidP="00BD3898">
      <w:pPr>
        <w:pStyle w:val="BalloonText"/>
        <w:spacing w:after="60"/>
        <w:ind w:left="1701" w:right="1134"/>
        <w:jc w:val="both"/>
        <w:rPr>
          <w:rFonts w:asciiTheme="majorBidi" w:hAnsiTheme="majorBidi" w:cstheme="majorBidi"/>
          <w:b/>
          <w:sz w:val="20"/>
          <w:szCs w:val="20"/>
        </w:rPr>
      </w:pPr>
      <w:r w:rsidRPr="00A22868">
        <w:rPr>
          <w:rFonts w:asciiTheme="majorBidi" w:hAnsiTheme="majorBidi" w:cstheme="majorBidi"/>
          <w:bCs/>
          <w:sz w:val="20"/>
          <w:szCs w:val="20"/>
        </w:rPr>
        <w:t>P323</w:t>
      </w:r>
      <w:r w:rsidR="00BD3898">
        <w:rPr>
          <w:rFonts w:asciiTheme="majorBidi" w:hAnsiTheme="majorBidi" w:cstheme="majorBidi"/>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p>
    <w:p w14:paraId="6CBAEA86" w14:textId="77777777" w:rsidR="00CB0F8F" w:rsidRPr="000561F8" w:rsidRDefault="00CB0F8F" w:rsidP="00CB0F8F">
      <w:pPr>
        <w:keepLines/>
        <w:tabs>
          <w:tab w:val="left" w:pos="178"/>
        </w:tabs>
        <w:spacing w:after="60"/>
        <w:ind w:left="1701" w:right="1134"/>
        <w:jc w:val="both"/>
        <w:rPr>
          <w:rStyle w:val="StyleItalic"/>
          <w:rFonts w:cstheme="minorBidi"/>
          <w:i w:val="0"/>
          <w:iCs w:val="0"/>
          <w:sz w:val="16"/>
          <w:szCs w:val="16"/>
        </w:rPr>
      </w:pPr>
      <w:r w:rsidRPr="008B0608">
        <w:rPr>
          <w:rStyle w:val="StyleItalic"/>
          <w:rFonts w:asciiTheme="majorBidi" w:hAnsiTheme="majorBidi" w:cstheme="majorBidi"/>
          <w:i w:val="0"/>
          <w:iCs w:val="0"/>
        </w:rPr>
        <w:t>Manufacturer</w:t>
      </w:r>
      <w:r w:rsidRPr="008B0608">
        <w:rPr>
          <w:rStyle w:val="StyleItalic"/>
          <w:rFonts w:cstheme="minorBidi"/>
          <w:i w:val="0"/>
          <w:iCs w:val="0"/>
        </w:rPr>
        <w:t xml:space="preserve">/supplier to reference on the safety data sheet detailed instructions, including any training requirements, to administer an antidote or other specific treatment.   </w:t>
      </w:r>
    </w:p>
    <w:p w14:paraId="59C40C17" w14:textId="77777777" w:rsidR="00CB0F8F" w:rsidRPr="00A22868" w:rsidRDefault="00CB0F8F" w:rsidP="00CB0F8F">
      <w:pPr>
        <w:pStyle w:val="BalloonText"/>
        <w:tabs>
          <w:tab w:val="left" w:pos="0"/>
          <w:tab w:val="left" w:pos="221"/>
        </w:tabs>
        <w:spacing w:before="20" w:after="160"/>
        <w:ind w:left="1701" w:right="1134"/>
        <w:jc w:val="both"/>
        <w:rPr>
          <w:rStyle w:val="StyleItalic"/>
          <w:rFonts w:cstheme="minorBidi"/>
          <w:sz w:val="20"/>
          <w:szCs w:val="20"/>
        </w:rPr>
      </w:pPr>
      <w:r w:rsidRPr="00A22868">
        <w:rPr>
          <w:rStyle w:val="StyleItalic"/>
          <w:rFonts w:cstheme="minorBidi"/>
          <w:sz w:val="20"/>
          <w:szCs w:val="20"/>
        </w:rPr>
        <w:t>- may be omitted if P321 or P322 is given on the label.”.</w:t>
      </w:r>
    </w:p>
    <w:p w14:paraId="0AB4ADF0" w14:textId="77777777" w:rsidR="00CB0F8F" w:rsidRPr="00A22868" w:rsidRDefault="00CB0F8F" w:rsidP="00CB0F8F">
      <w:pPr>
        <w:pStyle w:val="H23G"/>
        <w:jc w:val="both"/>
      </w:pPr>
      <w:r w:rsidRPr="00A22868">
        <w:tab/>
      </w:r>
      <w:r w:rsidRPr="00A22868">
        <w:tab/>
        <w:t>Table for “Skin sensitization</w:t>
      </w:r>
      <w:r w:rsidRPr="00A22868" w:rsidDel="007E6725">
        <w:t xml:space="preserve"> </w:t>
      </w:r>
      <w:r w:rsidRPr="00A22868">
        <w:t>(chapter 3.4)” hazard categories 1, 1A, 1B</w:t>
      </w:r>
    </w:p>
    <w:p w14:paraId="57A0587A" w14:textId="5E8C946F" w:rsidR="004B4FF7" w:rsidRDefault="00CB0F8F" w:rsidP="000336B9">
      <w:pPr>
        <w:pStyle w:val="SingleTxtG"/>
        <w:tabs>
          <w:tab w:val="clear" w:pos="1701"/>
        </w:tabs>
      </w:pPr>
      <w:r w:rsidRPr="00A22868">
        <w:t>Column “Prevention”</w:t>
      </w:r>
      <w:r w:rsidR="004B4FF7">
        <w:t>:</w:t>
      </w:r>
    </w:p>
    <w:p w14:paraId="50818AB5" w14:textId="522746AE" w:rsidR="00CB0F8F" w:rsidRPr="00A22868" w:rsidRDefault="004B4FF7" w:rsidP="008B0608">
      <w:pPr>
        <w:pStyle w:val="SingleTxtG"/>
        <w:tabs>
          <w:tab w:val="clear" w:pos="1701"/>
        </w:tabs>
        <w:ind w:left="1701"/>
      </w:pPr>
      <w:r>
        <w:t>F</w:t>
      </w:r>
      <w:r w:rsidR="00CB0F8F" w:rsidRPr="00A22868">
        <w:t>or the P261 entry replace “</w:t>
      </w:r>
      <w:r w:rsidR="00CB0F8F" w:rsidRPr="00A22868">
        <w:rPr>
          <w:color w:val="000000"/>
        </w:rPr>
        <w:t>…. to specify applicable conditions</w:t>
      </w:r>
      <w:r w:rsidR="00CB0F8F" w:rsidRPr="00A22868">
        <w:rPr>
          <w:color w:val="FF0000"/>
        </w:rPr>
        <w:t>.</w:t>
      </w:r>
      <w:r w:rsidR="00CB0F8F" w:rsidRPr="00A22868">
        <w:rPr>
          <w:bCs/>
        </w:rPr>
        <w:t>” with “…</w:t>
      </w:r>
      <w:r w:rsidR="00CB0F8F" w:rsidRPr="00A22868">
        <w:rPr>
          <w:color w:val="000000"/>
        </w:rPr>
        <w:t xml:space="preserve"> to specify applicable physical state(s)</w:t>
      </w:r>
      <w:r w:rsidR="00CB0F8F" w:rsidRPr="008B0608">
        <w:t>.</w:t>
      </w:r>
      <w:r w:rsidR="00CB0F8F" w:rsidRPr="00A22868">
        <w:rPr>
          <w:bCs/>
        </w:rPr>
        <w:t>” (current entries P272 and P280 remain unchanged).</w:t>
      </w:r>
    </w:p>
    <w:p w14:paraId="13B519DA" w14:textId="47CF71AE" w:rsidR="004B4FF7" w:rsidRDefault="00CB0F8F" w:rsidP="000336B9">
      <w:pPr>
        <w:pStyle w:val="SingleTxtG"/>
        <w:tabs>
          <w:tab w:val="clear" w:pos="1701"/>
        </w:tabs>
        <w:rPr>
          <w:bCs/>
        </w:rPr>
      </w:pPr>
      <w:r w:rsidRPr="00A22868">
        <w:t>C</w:t>
      </w:r>
      <w:r w:rsidRPr="00A22868">
        <w:rPr>
          <w:bCs/>
        </w:rPr>
        <w:t>olumn “Response”</w:t>
      </w:r>
      <w:r w:rsidR="004B4FF7">
        <w:rPr>
          <w:bCs/>
        </w:rPr>
        <w:t>:</w:t>
      </w:r>
      <w:r w:rsidRPr="00A22868">
        <w:rPr>
          <w:bCs/>
        </w:rPr>
        <w:t xml:space="preserve"> </w:t>
      </w:r>
    </w:p>
    <w:p w14:paraId="14B31647" w14:textId="4819C82A" w:rsidR="00CB0F8F" w:rsidRPr="00A22868" w:rsidRDefault="004B4FF7" w:rsidP="008B0608">
      <w:pPr>
        <w:pStyle w:val="SingleTxtG"/>
        <w:tabs>
          <w:tab w:val="clear" w:pos="1701"/>
        </w:tabs>
        <w:ind w:left="1701"/>
      </w:pPr>
      <w:r>
        <w:t>A</w:t>
      </w:r>
      <w:r w:rsidR="00CB0F8F" w:rsidRPr="00A22868">
        <w:t xml:space="preserve">mend P321 </w:t>
      </w:r>
      <w:r w:rsidR="00CB0F8F" w:rsidRPr="00A22868">
        <w:rPr>
          <w:bCs/>
        </w:rPr>
        <w:t xml:space="preserve">and insert a new P323 as follows (current entries P302+P352, P333+P317 and </w:t>
      </w:r>
      <w:r w:rsidR="00CB0F8F" w:rsidRPr="00A22868">
        <w:rPr>
          <w:bCs/>
          <w:color w:val="000000"/>
        </w:rPr>
        <w:t>P362+P364</w:t>
      </w:r>
      <w:r w:rsidR="00CB0F8F" w:rsidRPr="00A22868">
        <w:rPr>
          <w:bCs/>
        </w:rPr>
        <w:t xml:space="preserve"> remain unchanged)</w:t>
      </w:r>
      <w:r w:rsidR="00CB0F8F" w:rsidRPr="00A22868">
        <w:t>:</w:t>
      </w:r>
    </w:p>
    <w:p w14:paraId="4AB510FB" w14:textId="04EC3454" w:rsidR="00CB0F8F" w:rsidRPr="00A22868" w:rsidRDefault="00CB0F8F" w:rsidP="00BD3898">
      <w:pPr>
        <w:pStyle w:val="BalloonText"/>
        <w:keepNext/>
        <w:keepLines/>
        <w:spacing w:before="20" w:after="60"/>
        <w:ind w:left="1701" w:right="1134"/>
        <w:jc w:val="both"/>
        <w:rPr>
          <w:rFonts w:asciiTheme="majorBidi" w:hAnsiTheme="majorBidi" w:cstheme="majorBidi"/>
          <w:bCs/>
          <w:sz w:val="20"/>
          <w:szCs w:val="20"/>
        </w:rPr>
      </w:pPr>
      <w:r w:rsidRPr="00A22868">
        <w:rPr>
          <w:rFonts w:ascii="Times New Roman" w:hAnsi="Times New Roman" w:cs="Times New Roman"/>
          <w:bCs/>
          <w:sz w:val="20"/>
          <w:szCs w:val="20"/>
        </w:rPr>
        <w:t>“P321</w:t>
      </w:r>
      <w:r w:rsidR="00BD3898">
        <w:rPr>
          <w:rFonts w:ascii="Times New Roman" w:hAnsi="Times New Roman" w:cs="Times New Roman"/>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sz w:val="20"/>
          <w:szCs w:val="20"/>
        </w:rPr>
        <w:t xml:space="preserve">information </w:t>
      </w:r>
      <w:r w:rsidRPr="00A22868">
        <w:rPr>
          <w:rStyle w:val="StyleBold"/>
          <w:rFonts w:asciiTheme="majorBidi" w:hAnsiTheme="majorBidi" w:cstheme="majorBidi"/>
          <w:sz w:val="20"/>
          <w:szCs w:val="20"/>
        </w:rPr>
        <w:t>on this label and safety data sheet).</w:t>
      </w:r>
    </w:p>
    <w:p w14:paraId="1F59472D" w14:textId="77777777" w:rsidR="00CB0F8F" w:rsidRPr="00A22868" w:rsidRDefault="00CB0F8F" w:rsidP="00CB0F8F">
      <w:pPr>
        <w:spacing w:after="80"/>
        <w:ind w:left="1701" w:right="1134"/>
        <w:jc w:val="both"/>
        <w:rPr>
          <w:rStyle w:val="StyleItalic"/>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instructions, including any training requirements,</w:t>
      </w:r>
      <w:r w:rsidRPr="00A22868">
        <w:rPr>
          <w:rStyle w:val="StyleItalic"/>
        </w:rPr>
        <w:t xml:space="preserve"> should be provided on the safety data sheet, if appropriate.</w:t>
      </w:r>
    </w:p>
    <w:p w14:paraId="3F0C4298" w14:textId="77777777" w:rsidR="00CB0F8F" w:rsidRPr="00A22868" w:rsidRDefault="00CB0F8F" w:rsidP="00CB0F8F">
      <w:pPr>
        <w:pStyle w:val="BalloonText"/>
        <w:tabs>
          <w:tab w:val="left" w:pos="0"/>
          <w:tab w:val="left" w:pos="221"/>
        </w:tabs>
        <w:spacing w:before="20" w:after="160"/>
        <w:ind w:left="1701" w:right="1134"/>
        <w:jc w:val="both"/>
        <w:rPr>
          <w:rStyle w:val="StyleItalic"/>
          <w:sz w:val="20"/>
          <w:szCs w:val="20"/>
        </w:rPr>
      </w:pPr>
      <w:r w:rsidRPr="00A22868">
        <w:rPr>
          <w:rStyle w:val="StyleItalic"/>
          <w:rFonts w:asciiTheme="majorBidi" w:hAnsiTheme="majorBidi" w:cstheme="majorBidi"/>
          <w:sz w:val="20"/>
          <w:szCs w:val="20"/>
        </w:rPr>
        <w:t>- may be omitted if P320 is given on the label</w:t>
      </w:r>
      <w:r w:rsidRPr="00A22868">
        <w:rPr>
          <w:rFonts w:ascii="Times New Roman" w:hAnsi="Times New Roman" w:cs="Times New Roman"/>
          <w:i/>
          <w:iCs/>
          <w:sz w:val="20"/>
          <w:szCs w:val="20"/>
        </w:rPr>
        <w:t>.</w:t>
      </w:r>
    </w:p>
    <w:p w14:paraId="0AF2EF20" w14:textId="5EE04E93" w:rsidR="00CB0F8F" w:rsidRPr="00A22868" w:rsidRDefault="00CB0F8F" w:rsidP="00BD3898">
      <w:pPr>
        <w:pStyle w:val="BalloonText"/>
        <w:spacing w:after="60"/>
        <w:ind w:left="1701" w:right="1134"/>
        <w:jc w:val="both"/>
        <w:rPr>
          <w:rFonts w:asciiTheme="majorBidi" w:hAnsiTheme="majorBidi" w:cstheme="majorBidi"/>
          <w:b/>
          <w:sz w:val="20"/>
          <w:szCs w:val="20"/>
        </w:rPr>
      </w:pPr>
      <w:r w:rsidRPr="00A22868">
        <w:rPr>
          <w:rFonts w:asciiTheme="majorBidi" w:hAnsiTheme="majorBidi" w:cstheme="majorBidi"/>
          <w:bCs/>
          <w:sz w:val="20"/>
          <w:szCs w:val="20"/>
        </w:rPr>
        <w:t>P323</w:t>
      </w:r>
      <w:r w:rsidR="00BD3898">
        <w:rPr>
          <w:rFonts w:asciiTheme="majorBidi" w:hAnsiTheme="majorBidi" w:cstheme="majorBidi"/>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p>
    <w:p w14:paraId="24CC6356" w14:textId="77777777" w:rsidR="00CB0F8F" w:rsidRPr="00A22868" w:rsidRDefault="00CB0F8F" w:rsidP="00CB0F8F">
      <w:pPr>
        <w:keepLines/>
        <w:tabs>
          <w:tab w:val="left" w:pos="178"/>
        </w:tabs>
        <w:spacing w:after="60"/>
        <w:ind w:left="1701" w:right="1134"/>
        <w:jc w:val="both"/>
        <w:rPr>
          <w:rStyle w:val="StyleItalic"/>
          <w:rFonts w:cstheme="minorBidi"/>
          <w:i w:val="0"/>
          <w:iCs w:val="0"/>
          <w:sz w:val="16"/>
          <w:szCs w:val="16"/>
        </w:rPr>
      </w:pPr>
      <w:r w:rsidRPr="008B0608">
        <w:rPr>
          <w:rStyle w:val="StyleItalic"/>
          <w:rFonts w:asciiTheme="majorBidi" w:hAnsiTheme="majorBidi" w:cstheme="majorBidi"/>
          <w:i w:val="0"/>
          <w:iCs w:val="0"/>
        </w:rPr>
        <w:t>Manufacturer</w:t>
      </w:r>
      <w:r w:rsidRPr="008B0608">
        <w:rPr>
          <w:rStyle w:val="StyleItalic"/>
          <w:rFonts w:cstheme="minorBidi"/>
          <w:i w:val="0"/>
          <w:iCs w:val="0"/>
        </w:rPr>
        <w:t xml:space="preserve">/supplier to reference on the safety data sheet detailed instructions, including any training requirements, to administer an antidote or other specific treatment.   </w:t>
      </w:r>
    </w:p>
    <w:p w14:paraId="500BA35F" w14:textId="77777777" w:rsidR="00CB0F8F" w:rsidRPr="00A22868" w:rsidRDefault="00CB0F8F" w:rsidP="00CB0F8F">
      <w:pPr>
        <w:pStyle w:val="BalloonText"/>
        <w:tabs>
          <w:tab w:val="left" w:pos="0"/>
          <w:tab w:val="left" w:pos="221"/>
        </w:tabs>
        <w:spacing w:before="20" w:after="160"/>
        <w:ind w:left="1701" w:right="1134"/>
        <w:jc w:val="both"/>
        <w:rPr>
          <w:rStyle w:val="StyleItalic"/>
          <w:rFonts w:cstheme="minorBidi"/>
          <w:sz w:val="20"/>
          <w:szCs w:val="20"/>
        </w:rPr>
      </w:pPr>
      <w:r w:rsidRPr="00A22868">
        <w:rPr>
          <w:rStyle w:val="StyleItalic"/>
          <w:rFonts w:cstheme="minorBidi"/>
          <w:sz w:val="20"/>
          <w:szCs w:val="20"/>
        </w:rPr>
        <w:t>- may be omitted if P321 or P322 is given on the label.”.</w:t>
      </w:r>
    </w:p>
    <w:p w14:paraId="100AC249" w14:textId="3D1C79C1" w:rsidR="00FF7F9C" w:rsidRDefault="00CB0F8F" w:rsidP="008B0608">
      <w:pPr>
        <w:pStyle w:val="H23G"/>
        <w:jc w:val="both"/>
      </w:pPr>
      <w:r w:rsidRPr="00A22868">
        <w:tab/>
      </w:r>
      <w:r w:rsidRPr="00A22868">
        <w:tab/>
        <w:t>Table for “Specific target organ toxicity (single exposure)</w:t>
      </w:r>
      <w:r w:rsidRPr="00A22868" w:rsidDel="007E6725">
        <w:t xml:space="preserve"> </w:t>
      </w:r>
      <w:r w:rsidRPr="00A22868">
        <w:t>(chapter 3.8)” hazard category 1</w:t>
      </w:r>
      <w:r w:rsidR="00FF7F9C">
        <w:t>, c</w:t>
      </w:r>
      <w:r w:rsidRPr="00A22868">
        <w:t>olumn “Response”</w:t>
      </w:r>
    </w:p>
    <w:p w14:paraId="14ED4ACC" w14:textId="714C76D7" w:rsidR="00CB0F8F" w:rsidRPr="00A22868" w:rsidRDefault="00FF7F9C" w:rsidP="00CB0F8F">
      <w:pPr>
        <w:pStyle w:val="SingleTxtG"/>
      </w:pPr>
      <w:r>
        <w:t>A</w:t>
      </w:r>
      <w:r w:rsidR="00CB0F8F" w:rsidRPr="00A22868">
        <w:t>mend P321 and insert a new P323, to read as follows (current entry for P308+P316 remains unchanged):</w:t>
      </w:r>
    </w:p>
    <w:p w14:paraId="3AA2D04F" w14:textId="05113C20" w:rsidR="00CB0F8F" w:rsidRPr="00A22868" w:rsidRDefault="00CB0F8F" w:rsidP="008B0608">
      <w:pPr>
        <w:pStyle w:val="BalloonText"/>
        <w:keepNext/>
        <w:keepLines/>
        <w:spacing w:before="20" w:after="60"/>
        <w:ind w:left="1701" w:right="1134"/>
        <w:jc w:val="both"/>
        <w:rPr>
          <w:rFonts w:asciiTheme="majorBidi" w:hAnsiTheme="majorBidi" w:cstheme="majorBidi"/>
          <w:bCs/>
          <w:sz w:val="20"/>
          <w:szCs w:val="20"/>
        </w:rPr>
      </w:pPr>
      <w:r w:rsidRPr="00A22868">
        <w:rPr>
          <w:rFonts w:ascii="Times New Roman" w:hAnsi="Times New Roman" w:cs="Times New Roman"/>
          <w:bCs/>
          <w:sz w:val="20"/>
          <w:szCs w:val="20"/>
        </w:rPr>
        <w:t>“P321</w:t>
      </w:r>
      <w:r w:rsidR="00FC2224">
        <w:rPr>
          <w:rStyle w:val="StyleBold"/>
          <w:rFonts w:asciiTheme="majorBidi" w:hAnsiTheme="majorBidi" w:cstheme="majorBidi"/>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sz w:val="20"/>
          <w:szCs w:val="20"/>
        </w:rPr>
        <w:t xml:space="preserve">information </w:t>
      </w:r>
      <w:r w:rsidRPr="00A22868">
        <w:rPr>
          <w:rStyle w:val="StyleBold"/>
          <w:rFonts w:asciiTheme="majorBidi" w:hAnsiTheme="majorBidi" w:cstheme="majorBidi"/>
          <w:sz w:val="20"/>
          <w:szCs w:val="20"/>
        </w:rPr>
        <w:t>on this label and safety data sheet).</w:t>
      </w:r>
    </w:p>
    <w:p w14:paraId="131E4BEE" w14:textId="77777777" w:rsidR="00CB0F8F" w:rsidRPr="00A22868" w:rsidRDefault="00CB0F8F" w:rsidP="00CB0F8F">
      <w:pPr>
        <w:spacing w:after="80"/>
        <w:ind w:left="1701" w:right="1134"/>
        <w:jc w:val="both"/>
        <w:rPr>
          <w:rStyle w:val="StyleItalic"/>
        </w:rPr>
      </w:pPr>
      <w:r w:rsidRPr="00A22868">
        <w:rPr>
          <w:rStyle w:val="StyleItalic"/>
        </w:rPr>
        <w:t xml:space="preserve">- if immediate measures that can be easily applied, such as the administration of antidote or other specific treatment, are required. These measures must be specified on the label and safety data sheet, recognizing additional detailed </w:t>
      </w:r>
      <w:r w:rsidRPr="00A22868">
        <w:rPr>
          <w:rStyle w:val="StyleItalic"/>
          <w:rFonts w:cstheme="minorBidi"/>
        </w:rPr>
        <w:t>instructions, including any training requirements,</w:t>
      </w:r>
      <w:r w:rsidRPr="00A22868">
        <w:rPr>
          <w:rStyle w:val="StyleItalic"/>
        </w:rPr>
        <w:t xml:space="preserve"> should be provided on the safety data sheet, if appropriate.</w:t>
      </w:r>
    </w:p>
    <w:p w14:paraId="0C53AC27" w14:textId="77777777" w:rsidR="00CB0F8F" w:rsidRPr="00A22868" w:rsidRDefault="00CB0F8F" w:rsidP="00CB0F8F">
      <w:pPr>
        <w:pStyle w:val="BalloonText"/>
        <w:tabs>
          <w:tab w:val="left" w:pos="0"/>
          <w:tab w:val="left" w:pos="221"/>
        </w:tabs>
        <w:spacing w:before="20" w:after="160"/>
        <w:ind w:left="1701" w:right="1134"/>
        <w:jc w:val="both"/>
        <w:rPr>
          <w:rStyle w:val="StyleItalic"/>
          <w:sz w:val="20"/>
          <w:szCs w:val="20"/>
        </w:rPr>
      </w:pPr>
      <w:r w:rsidRPr="00A22868">
        <w:rPr>
          <w:rStyle w:val="StyleItalic"/>
          <w:rFonts w:asciiTheme="majorBidi" w:hAnsiTheme="majorBidi" w:cstheme="majorBidi"/>
          <w:sz w:val="20"/>
          <w:szCs w:val="20"/>
        </w:rPr>
        <w:t>- may be omitted if P320 is given on the label</w:t>
      </w:r>
      <w:r w:rsidRPr="00A22868">
        <w:rPr>
          <w:rFonts w:ascii="Times New Roman" w:hAnsi="Times New Roman" w:cs="Times New Roman"/>
          <w:i/>
          <w:iCs/>
          <w:sz w:val="20"/>
          <w:szCs w:val="20"/>
        </w:rPr>
        <w:t>.</w:t>
      </w:r>
    </w:p>
    <w:p w14:paraId="773DED1D" w14:textId="09F9C661" w:rsidR="00CB0F8F" w:rsidRPr="00A22868" w:rsidRDefault="00CB0F8F" w:rsidP="00BD3898">
      <w:pPr>
        <w:pStyle w:val="BalloonText"/>
        <w:spacing w:after="60"/>
        <w:ind w:left="1701" w:right="1134"/>
        <w:jc w:val="both"/>
        <w:rPr>
          <w:rFonts w:asciiTheme="majorBidi" w:hAnsiTheme="majorBidi" w:cstheme="majorBidi"/>
          <w:b/>
          <w:sz w:val="20"/>
          <w:szCs w:val="20"/>
        </w:rPr>
      </w:pPr>
      <w:r w:rsidRPr="00A22868">
        <w:rPr>
          <w:rFonts w:asciiTheme="majorBidi" w:hAnsiTheme="majorBidi" w:cstheme="majorBidi"/>
          <w:bCs/>
          <w:sz w:val="20"/>
          <w:szCs w:val="20"/>
        </w:rPr>
        <w:t>P323</w:t>
      </w:r>
      <w:r w:rsidR="00BD3898">
        <w:rPr>
          <w:rFonts w:asciiTheme="majorBidi" w:hAnsiTheme="majorBidi" w:cstheme="majorBidi"/>
          <w:bCs/>
          <w:sz w:val="20"/>
          <w:szCs w:val="20"/>
        </w:rPr>
        <w:br/>
      </w:r>
      <w:r w:rsidRPr="00A22868">
        <w:rPr>
          <w:rStyle w:val="StyleBold"/>
          <w:rFonts w:asciiTheme="majorBidi" w:hAnsiTheme="majorBidi" w:cstheme="majorBidi"/>
          <w:sz w:val="20"/>
          <w:szCs w:val="20"/>
        </w:rPr>
        <w:t xml:space="preserve">Specific treatment (see </w:t>
      </w:r>
      <w:r w:rsidRPr="00A22868">
        <w:rPr>
          <w:rFonts w:asciiTheme="majorBidi" w:hAnsiTheme="majorBidi" w:cstheme="majorBidi"/>
          <w:b/>
          <w:bCs/>
          <w:sz w:val="20"/>
          <w:szCs w:val="20"/>
        </w:rPr>
        <w:t>information on the safety data sheet).</w:t>
      </w:r>
    </w:p>
    <w:p w14:paraId="1DBE6574" w14:textId="77777777" w:rsidR="00CB0F8F" w:rsidRPr="00A22868" w:rsidRDefault="00CB0F8F" w:rsidP="00CB0F8F">
      <w:pPr>
        <w:keepLines/>
        <w:tabs>
          <w:tab w:val="left" w:pos="178"/>
        </w:tabs>
        <w:spacing w:after="60"/>
        <w:ind w:left="1701" w:right="1134"/>
        <w:jc w:val="both"/>
        <w:rPr>
          <w:rStyle w:val="StyleItalic"/>
          <w:rFonts w:cstheme="minorBidi"/>
          <w:i w:val="0"/>
          <w:iCs w:val="0"/>
          <w:sz w:val="16"/>
          <w:szCs w:val="16"/>
        </w:rPr>
      </w:pPr>
      <w:r w:rsidRPr="008B0608">
        <w:rPr>
          <w:rStyle w:val="StyleItalic"/>
          <w:rFonts w:asciiTheme="majorBidi" w:hAnsiTheme="majorBidi" w:cstheme="majorBidi"/>
          <w:i w:val="0"/>
          <w:iCs w:val="0"/>
        </w:rPr>
        <w:lastRenderedPageBreak/>
        <w:t>Manufacturer</w:t>
      </w:r>
      <w:r w:rsidRPr="008B0608">
        <w:rPr>
          <w:rStyle w:val="StyleItalic"/>
          <w:rFonts w:cstheme="minorBidi"/>
          <w:i w:val="0"/>
          <w:iCs w:val="0"/>
        </w:rPr>
        <w:t xml:space="preserve">/supplier to reference on the safety data sheet detailed instructions, including any training requirements, to administer an antidote or other specific treatment.   </w:t>
      </w:r>
    </w:p>
    <w:p w14:paraId="2C46D228" w14:textId="77777777" w:rsidR="00CB0F8F" w:rsidRPr="00A22868" w:rsidRDefault="00CB0F8F" w:rsidP="00CB0F8F">
      <w:pPr>
        <w:pStyle w:val="BalloonText"/>
        <w:tabs>
          <w:tab w:val="left" w:pos="0"/>
          <w:tab w:val="left" w:pos="221"/>
        </w:tabs>
        <w:spacing w:before="20" w:after="160"/>
        <w:ind w:left="1701" w:right="1134"/>
        <w:jc w:val="both"/>
        <w:rPr>
          <w:rStyle w:val="StyleItalic"/>
          <w:rFonts w:cstheme="minorBidi"/>
          <w:sz w:val="20"/>
          <w:szCs w:val="20"/>
        </w:rPr>
      </w:pPr>
      <w:r w:rsidRPr="00A22868">
        <w:rPr>
          <w:rStyle w:val="StyleItalic"/>
          <w:rFonts w:cstheme="minorBidi"/>
          <w:sz w:val="20"/>
          <w:szCs w:val="20"/>
        </w:rPr>
        <w:t>- may be omitted if P321 or P322 is given on the label.”.</w:t>
      </w:r>
    </w:p>
    <w:p w14:paraId="03C07D88" w14:textId="0CB5E339" w:rsidR="009378BE" w:rsidRDefault="00CB0F8F" w:rsidP="008B0608">
      <w:pPr>
        <w:pStyle w:val="H23G"/>
        <w:ind w:firstLine="0"/>
        <w:jc w:val="both"/>
      </w:pPr>
      <w:r w:rsidRPr="00A22868">
        <w:t>Table for “Specific target organ toxicity (single exposure)</w:t>
      </w:r>
      <w:r w:rsidRPr="00A22868" w:rsidDel="007E6725">
        <w:t xml:space="preserve"> </w:t>
      </w:r>
      <w:r w:rsidRPr="00A22868">
        <w:t>(chapter 3.8)” hazard category 2</w:t>
      </w:r>
      <w:r w:rsidR="009378BE">
        <w:t>, c</w:t>
      </w:r>
      <w:r w:rsidRPr="00A22868">
        <w:t>olumn “Prevention”</w:t>
      </w:r>
    </w:p>
    <w:p w14:paraId="16DCCBEA" w14:textId="3CACF7FC" w:rsidR="00CB0F8F" w:rsidRPr="00A22868" w:rsidRDefault="009378BE" w:rsidP="00CB0F8F">
      <w:pPr>
        <w:pStyle w:val="SingleTxtG"/>
      </w:pPr>
      <w:r>
        <w:t>D</w:t>
      </w:r>
      <w:r w:rsidR="00CB0F8F" w:rsidRPr="00A22868">
        <w:t xml:space="preserve">elete the P260 entry and insert a </w:t>
      </w:r>
      <w:r w:rsidR="00311204">
        <w:t xml:space="preserve">new </w:t>
      </w:r>
      <w:r w:rsidR="00CB0F8F" w:rsidRPr="00A22868">
        <w:t>P261 to read as follows (current entries for P264 and P270 remain unchanged):</w:t>
      </w:r>
    </w:p>
    <w:p w14:paraId="7FABDC9C" w14:textId="57C64C8C" w:rsidR="00CB0F8F" w:rsidRPr="00A22868" w:rsidRDefault="00CB0F8F" w:rsidP="00BD3898">
      <w:pPr>
        <w:pStyle w:val="BalloonText"/>
        <w:spacing w:before="20" w:after="60"/>
        <w:ind w:left="1701"/>
        <w:rPr>
          <w:rFonts w:ascii="Times New Roman" w:hAnsi="Times New Roman" w:cs="Times New Roman"/>
          <w:b/>
          <w:sz w:val="20"/>
          <w:szCs w:val="20"/>
        </w:rPr>
      </w:pPr>
      <w:r w:rsidRPr="00A22868">
        <w:rPr>
          <w:rFonts w:ascii="Times New Roman" w:hAnsi="Times New Roman" w:cs="Times New Roman"/>
          <w:bCs/>
          <w:sz w:val="20"/>
          <w:szCs w:val="20"/>
        </w:rPr>
        <w:t>“P261</w:t>
      </w:r>
      <w:r w:rsidR="00BD3898">
        <w:rPr>
          <w:rFonts w:ascii="Times New Roman" w:hAnsi="Times New Roman" w:cs="Times New Roman"/>
          <w:bCs/>
          <w:sz w:val="20"/>
          <w:szCs w:val="20"/>
        </w:rPr>
        <w:br/>
      </w:r>
      <w:r w:rsidRPr="00A22868">
        <w:rPr>
          <w:rFonts w:ascii="Times New Roman" w:hAnsi="Times New Roman" w:cs="Times New Roman"/>
          <w:b/>
          <w:sz w:val="20"/>
          <w:szCs w:val="20"/>
        </w:rPr>
        <w:t xml:space="preserve">Avoid breathing dust/fume/gas/mist/ vapours/spray. </w:t>
      </w:r>
    </w:p>
    <w:p w14:paraId="7F3B393D" w14:textId="77777777" w:rsidR="00CB0F8F" w:rsidRPr="00A22868" w:rsidRDefault="00CB0F8F" w:rsidP="00CB0F8F">
      <w:pPr>
        <w:pStyle w:val="BalloonText"/>
        <w:spacing w:before="20" w:after="80"/>
        <w:ind w:left="1701"/>
        <w:rPr>
          <w:rFonts w:ascii="Times New Roman" w:hAnsi="Times New Roman" w:cs="Times New Roman"/>
          <w:bCs/>
          <w:i/>
          <w:iCs/>
          <w:sz w:val="20"/>
          <w:szCs w:val="20"/>
        </w:rPr>
      </w:pPr>
      <w:r w:rsidRPr="00A22868">
        <w:rPr>
          <w:rFonts w:ascii="Times New Roman" w:hAnsi="Times New Roman" w:cs="Times New Roman"/>
          <w:bCs/>
          <w:i/>
          <w:iCs/>
          <w:sz w:val="20"/>
          <w:szCs w:val="20"/>
        </w:rPr>
        <w:t>– may be omitted if P260 is given on the label</w:t>
      </w:r>
    </w:p>
    <w:p w14:paraId="1E0FE102" w14:textId="77777777" w:rsidR="00CB0F8F" w:rsidRPr="00A22868" w:rsidRDefault="00CB0F8F" w:rsidP="00CB0F8F">
      <w:pPr>
        <w:pStyle w:val="BalloonText"/>
        <w:spacing w:before="20" w:after="120"/>
        <w:ind w:left="1701" w:right="1134"/>
        <w:jc w:val="both"/>
        <w:rPr>
          <w:rFonts w:ascii="Times New Roman" w:hAnsi="Times New Roman" w:cs="Times New Roman"/>
          <w:bCs/>
          <w:i/>
          <w:iCs/>
          <w:sz w:val="20"/>
          <w:szCs w:val="20"/>
        </w:rPr>
      </w:pPr>
      <w:r w:rsidRPr="00A22868">
        <w:rPr>
          <w:rFonts w:ascii="Times New Roman" w:hAnsi="Times New Roman" w:cs="Times New Roman"/>
          <w:bCs/>
          <w:sz w:val="20"/>
          <w:szCs w:val="20"/>
        </w:rPr>
        <w:t>Manufacturer/supplier or the competent authority to specify applicable physical state(s).</w:t>
      </w:r>
      <w:r w:rsidRPr="00A22868">
        <w:rPr>
          <w:rFonts w:ascii="Times New Roman" w:hAnsi="Times New Roman" w:cs="Times New Roman"/>
          <w:bCs/>
          <w:i/>
          <w:iCs/>
          <w:sz w:val="20"/>
          <w:szCs w:val="20"/>
        </w:rPr>
        <w:t>”</w:t>
      </w:r>
    </w:p>
    <w:p w14:paraId="08DFC58E" w14:textId="4CDAC6FC" w:rsidR="00F822F9" w:rsidRDefault="00CB0F8F" w:rsidP="008B0608">
      <w:pPr>
        <w:pStyle w:val="H23G"/>
        <w:ind w:firstLine="0"/>
      </w:pPr>
      <w:r w:rsidRPr="00A22868">
        <w:t>Table for “Specific target organ toxicity (single exposure)</w:t>
      </w:r>
      <w:r w:rsidRPr="00A22868" w:rsidDel="007E6725">
        <w:t xml:space="preserve"> </w:t>
      </w:r>
      <w:r w:rsidRPr="00A22868">
        <w:t>(chapter 3.8)” hazard category 3</w:t>
      </w:r>
      <w:r w:rsidR="00F822F9">
        <w:t>, c</w:t>
      </w:r>
      <w:r w:rsidRPr="00A22868">
        <w:t xml:space="preserve">olumn “Prevention” </w:t>
      </w:r>
    </w:p>
    <w:p w14:paraId="08FFFC16" w14:textId="001090DC" w:rsidR="00CB0F8F" w:rsidRPr="00A22868" w:rsidRDefault="00F822F9" w:rsidP="00CB0F8F">
      <w:pPr>
        <w:pStyle w:val="SingleTxtG"/>
        <w:rPr>
          <w:rStyle w:val="StyleItalic"/>
          <w:rFonts w:cstheme="minorBidi"/>
          <w:b/>
          <w:i w:val="0"/>
          <w:iCs w:val="0"/>
        </w:rPr>
      </w:pPr>
      <w:r>
        <w:t>F</w:t>
      </w:r>
      <w:r w:rsidR="00CB0F8F" w:rsidRPr="00A22868">
        <w:t>or P261 replace “</w:t>
      </w:r>
      <w:r w:rsidR="00CB0F8F" w:rsidRPr="00A22868">
        <w:rPr>
          <w:color w:val="000000"/>
        </w:rPr>
        <w:t>…. to specify applicable conditions</w:t>
      </w:r>
      <w:r w:rsidR="00CB0F8F" w:rsidRPr="00A22868">
        <w:t>.</w:t>
      </w:r>
      <w:r w:rsidR="00CB0F8F" w:rsidRPr="00A22868">
        <w:rPr>
          <w:bCs/>
        </w:rPr>
        <w:t>” with “…</w:t>
      </w:r>
      <w:r w:rsidR="00CB0F8F" w:rsidRPr="00A22868">
        <w:rPr>
          <w:color w:val="000000"/>
        </w:rPr>
        <w:t xml:space="preserve"> to specify applicable physical state(s)</w:t>
      </w:r>
      <w:r w:rsidR="00CB0F8F" w:rsidRPr="00A22868">
        <w:rPr>
          <w:color w:val="FF0000"/>
        </w:rPr>
        <w:t>.</w:t>
      </w:r>
      <w:r w:rsidR="00CB0F8F" w:rsidRPr="00A22868">
        <w:rPr>
          <w:bCs/>
        </w:rPr>
        <w:t>” (current entry P271 remains unchanged).</w:t>
      </w:r>
    </w:p>
    <w:p w14:paraId="428ABFD0" w14:textId="1A22B22D" w:rsidR="00F822F9" w:rsidRDefault="00CB0F8F" w:rsidP="008B0608">
      <w:pPr>
        <w:pStyle w:val="H23G"/>
        <w:ind w:firstLine="0"/>
      </w:pPr>
      <w:r w:rsidRPr="00A22868">
        <w:t>Table for “Specific target organ toxicity (repeated exposure) (chapter 3.9)” hazard category 2</w:t>
      </w:r>
      <w:r w:rsidR="00F822F9">
        <w:t>, c</w:t>
      </w:r>
      <w:r w:rsidRPr="00A22868">
        <w:t>olumn “Prevention”</w:t>
      </w:r>
    </w:p>
    <w:p w14:paraId="2D4FA169" w14:textId="401A3274" w:rsidR="00CB0F8F" w:rsidRPr="00A22868" w:rsidRDefault="00F822F9" w:rsidP="00CB0F8F">
      <w:pPr>
        <w:pStyle w:val="SingleTxtG"/>
      </w:pPr>
      <w:r>
        <w:t>D</w:t>
      </w:r>
      <w:r w:rsidR="00CB0F8F" w:rsidRPr="00A22868">
        <w:t>elete the P260 entry and insert a new P261 entry to read as follows:</w:t>
      </w:r>
    </w:p>
    <w:p w14:paraId="2E1B0A79" w14:textId="184657F2" w:rsidR="00CB0F8F" w:rsidRPr="00A22868" w:rsidRDefault="00CB0F8F" w:rsidP="00BD3898">
      <w:pPr>
        <w:pStyle w:val="BalloonText"/>
        <w:spacing w:before="20" w:after="60"/>
        <w:ind w:left="1701"/>
        <w:rPr>
          <w:rFonts w:ascii="Times New Roman" w:hAnsi="Times New Roman" w:cs="Times New Roman"/>
          <w:b/>
          <w:sz w:val="20"/>
          <w:szCs w:val="20"/>
        </w:rPr>
      </w:pPr>
      <w:r w:rsidRPr="00A22868">
        <w:rPr>
          <w:rFonts w:ascii="Times New Roman" w:hAnsi="Times New Roman" w:cs="Times New Roman"/>
          <w:bCs/>
          <w:sz w:val="20"/>
          <w:szCs w:val="20"/>
        </w:rPr>
        <w:t>“P261</w:t>
      </w:r>
      <w:r w:rsidR="00BD3898">
        <w:rPr>
          <w:rFonts w:ascii="Times New Roman" w:hAnsi="Times New Roman" w:cs="Times New Roman"/>
          <w:bCs/>
          <w:sz w:val="20"/>
          <w:szCs w:val="20"/>
        </w:rPr>
        <w:br/>
      </w:r>
      <w:r w:rsidRPr="00A22868">
        <w:rPr>
          <w:rFonts w:ascii="Times New Roman" w:hAnsi="Times New Roman" w:cs="Times New Roman"/>
          <w:b/>
          <w:sz w:val="20"/>
          <w:szCs w:val="20"/>
        </w:rPr>
        <w:t xml:space="preserve">Avoid breathing dust/fume/gas/mist/ vapours/spray. </w:t>
      </w:r>
    </w:p>
    <w:p w14:paraId="5E6D843E" w14:textId="77777777" w:rsidR="00CB0F8F" w:rsidRPr="00A22868" w:rsidRDefault="00CB0F8F" w:rsidP="006E167C">
      <w:pPr>
        <w:pStyle w:val="BalloonText"/>
        <w:spacing w:before="20" w:after="80"/>
        <w:ind w:left="1701"/>
        <w:rPr>
          <w:rFonts w:ascii="Times New Roman" w:hAnsi="Times New Roman" w:cs="Times New Roman"/>
          <w:bCs/>
          <w:i/>
          <w:iCs/>
          <w:sz w:val="20"/>
          <w:szCs w:val="20"/>
        </w:rPr>
      </w:pPr>
      <w:r w:rsidRPr="00A22868">
        <w:rPr>
          <w:rFonts w:ascii="Times New Roman" w:hAnsi="Times New Roman" w:cs="Times New Roman"/>
          <w:bCs/>
          <w:i/>
          <w:iCs/>
          <w:sz w:val="20"/>
          <w:szCs w:val="20"/>
        </w:rPr>
        <w:t>– may be omitted if P260 is given on the label</w:t>
      </w:r>
    </w:p>
    <w:p w14:paraId="2A7738E2" w14:textId="77777777" w:rsidR="00CB0F8F" w:rsidRPr="00A22868" w:rsidRDefault="00CB0F8F" w:rsidP="006E167C">
      <w:pPr>
        <w:pStyle w:val="BalloonText"/>
        <w:spacing w:before="20" w:after="120"/>
        <w:ind w:left="1701" w:right="1134"/>
        <w:jc w:val="both"/>
        <w:rPr>
          <w:rFonts w:ascii="Times New Roman" w:hAnsi="Times New Roman" w:cs="Times New Roman"/>
          <w:bCs/>
          <w:i/>
          <w:iCs/>
          <w:sz w:val="20"/>
          <w:szCs w:val="20"/>
        </w:rPr>
      </w:pPr>
      <w:r w:rsidRPr="00A22868">
        <w:rPr>
          <w:rFonts w:ascii="Times New Roman" w:hAnsi="Times New Roman" w:cs="Times New Roman"/>
          <w:bCs/>
          <w:sz w:val="20"/>
          <w:szCs w:val="20"/>
        </w:rPr>
        <w:t>Manufacturer/supplier or the competent authority to specify applicable physical state(s).</w:t>
      </w:r>
      <w:r w:rsidRPr="00A22868">
        <w:rPr>
          <w:rFonts w:ascii="Times New Roman" w:hAnsi="Times New Roman" w:cs="Times New Roman"/>
          <w:bCs/>
          <w:i/>
          <w:iCs/>
          <w:sz w:val="20"/>
          <w:szCs w:val="20"/>
        </w:rPr>
        <w:t>”</w:t>
      </w:r>
    </w:p>
    <w:p w14:paraId="6529BBC4" w14:textId="346FFE44" w:rsidR="00CB0F8F" w:rsidRPr="00A22868" w:rsidRDefault="0033633E" w:rsidP="001B491F">
      <w:pPr>
        <w:pStyle w:val="H1G"/>
        <w:keepNext w:val="0"/>
        <w:keepLines w:val="0"/>
        <w:spacing w:before="240"/>
      </w:pPr>
      <w:r>
        <w:tab/>
      </w:r>
      <w:r>
        <w:tab/>
      </w:r>
      <w:r w:rsidR="00CB0F8F" w:rsidRPr="00A22868">
        <w:t>Annex 3, section 3</w:t>
      </w:r>
    </w:p>
    <w:p w14:paraId="2852232D" w14:textId="1496EB95" w:rsidR="00CB0F8F" w:rsidRPr="00A22868" w:rsidRDefault="00CB0F8F" w:rsidP="002A4A61">
      <w:pPr>
        <w:spacing w:after="120" w:line="240" w:lineRule="auto"/>
        <w:ind w:left="1134" w:right="1133"/>
        <w:rPr>
          <w:b/>
          <w:bCs/>
        </w:rPr>
      </w:pPr>
      <w:r w:rsidRPr="00A22868">
        <w:rPr>
          <w:rStyle w:val="SingleTxtGChar"/>
        </w:rPr>
        <w:t>Table for “Hazardous to the ozone layer (chapter 4.2)</w:t>
      </w:r>
      <w:proofErr w:type="gramStart"/>
      <w:r w:rsidRPr="00A22868">
        <w:rPr>
          <w:rStyle w:val="SingleTxtGChar"/>
        </w:rPr>
        <w:t>” ,</w:t>
      </w:r>
      <w:proofErr w:type="gramEnd"/>
      <w:r w:rsidRPr="00A22868">
        <w:rPr>
          <w:rStyle w:val="SingleTxtGChar"/>
        </w:rPr>
        <w:t xml:space="preserve"> amend the heading to read as follows</w:t>
      </w:r>
      <w:r w:rsidRPr="00A22868">
        <w:t>:</w:t>
      </w:r>
      <w:r w:rsidR="002A4A61">
        <w:t xml:space="preserve"> </w:t>
      </w:r>
      <w:r w:rsidRPr="00A22868">
        <w:t>“</w:t>
      </w:r>
      <w:r w:rsidRPr="00A22868">
        <w:rPr>
          <w:b/>
          <w:bCs/>
        </w:rPr>
        <w:t>HAZARDOUS TO THE ATMOSPHERIC SYSTEM</w:t>
      </w:r>
      <w:r w:rsidR="002A4A61">
        <w:rPr>
          <w:b/>
          <w:bCs/>
        </w:rPr>
        <w:t xml:space="preserve"> </w:t>
      </w:r>
      <w:r w:rsidRPr="00A22868">
        <w:rPr>
          <w:b/>
          <w:bCs/>
        </w:rPr>
        <w:t>(CHAPTER 4.2)</w:t>
      </w:r>
      <w:r w:rsidR="002A4A61">
        <w:rPr>
          <w:b/>
          <w:bCs/>
        </w:rPr>
        <w:t xml:space="preserve"> </w:t>
      </w:r>
      <w:r w:rsidRPr="00A22868">
        <w:rPr>
          <w:b/>
          <w:bCs/>
        </w:rPr>
        <w:t>(Hazardous to the ozone layer)</w:t>
      </w:r>
      <w:r w:rsidRPr="00A22868">
        <w:t>”</w:t>
      </w:r>
    </w:p>
    <w:p w14:paraId="721C2F6A" w14:textId="77777777" w:rsidR="00CB0F8F" w:rsidRDefault="00CB0F8F" w:rsidP="00312FD8">
      <w:pPr>
        <w:spacing w:after="240" w:line="240" w:lineRule="auto"/>
        <w:ind w:left="1134" w:right="1134"/>
        <w:jc w:val="both"/>
        <w:rPr>
          <w:noProof/>
        </w:rPr>
      </w:pPr>
      <w:r w:rsidRPr="00A22868">
        <w:rPr>
          <w:noProof/>
        </w:rPr>
        <w:t>Insert a new matrix table for the new “Hazardous by contributing to global warming” hazard class, after the renamed matrix table for “Hazardous to the atmospheric system (chapter 4.2) (Hazardous to the ozone layer)”, to read as follows:</w:t>
      </w:r>
    </w:p>
    <w:tbl>
      <w:tblPr>
        <w:tblW w:w="80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665"/>
        <w:gridCol w:w="320"/>
        <w:gridCol w:w="567"/>
        <w:gridCol w:w="850"/>
        <w:gridCol w:w="284"/>
        <w:gridCol w:w="570"/>
        <w:gridCol w:w="2548"/>
      </w:tblGrid>
      <w:tr w:rsidR="00CB0F8F" w:rsidRPr="00A22868" w14:paraId="6B925484" w14:textId="77777777" w:rsidTr="00E3578B">
        <w:tc>
          <w:tcPr>
            <w:tcW w:w="8080" w:type="dxa"/>
            <w:gridSpan w:val="8"/>
            <w:tcBorders>
              <w:top w:val="nil"/>
              <w:left w:val="nil"/>
              <w:bottom w:val="nil"/>
              <w:right w:val="nil"/>
            </w:tcBorders>
          </w:tcPr>
          <w:p w14:paraId="3E53ECF2" w14:textId="77777777" w:rsidR="00CB0F8F" w:rsidRPr="00A22868" w:rsidRDefault="00CB0F8F" w:rsidP="00D51FD2">
            <w:pPr>
              <w:keepNext/>
              <w:keepLines/>
              <w:spacing w:before="20" w:after="20" w:line="240" w:lineRule="auto"/>
              <w:ind w:left="578"/>
              <w:jc w:val="center"/>
              <w:rPr>
                <w:b/>
                <w:bCs/>
              </w:rPr>
            </w:pPr>
            <w:bookmarkStart w:id="17" w:name="_Hlk132623747"/>
            <w:r w:rsidRPr="00A22868">
              <w:rPr>
                <w:sz w:val="16"/>
                <w:szCs w:val="16"/>
              </w:rPr>
              <w:br w:type="page"/>
            </w:r>
            <w:r w:rsidRPr="00A22868">
              <w:rPr>
                <w:sz w:val="16"/>
                <w:szCs w:val="16"/>
              </w:rPr>
              <w:br w:type="page"/>
            </w:r>
            <w:r w:rsidRPr="00A22868">
              <w:rPr>
                <w:sz w:val="16"/>
                <w:szCs w:val="16"/>
              </w:rPr>
              <w:br w:type="page"/>
            </w:r>
            <w:r w:rsidRPr="00A22868">
              <w:rPr>
                <w:sz w:val="16"/>
                <w:szCs w:val="16"/>
              </w:rPr>
              <w:br w:type="page"/>
            </w:r>
            <w:r w:rsidRPr="00A22868">
              <w:rPr>
                <w:sz w:val="16"/>
                <w:szCs w:val="16"/>
              </w:rPr>
              <w:br w:type="page"/>
            </w:r>
            <w:r w:rsidRPr="00A22868">
              <w:rPr>
                <w:sz w:val="16"/>
                <w:szCs w:val="16"/>
              </w:rPr>
              <w:br w:type="page"/>
            </w:r>
            <w:r w:rsidRPr="00A22868">
              <w:rPr>
                <w:sz w:val="16"/>
                <w:szCs w:val="16"/>
              </w:rPr>
              <w:br w:type="page"/>
            </w:r>
            <w:r w:rsidRPr="00A22868">
              <w:rPr>
                <w:sz w:val="16"/>
                <w:szCs w:val="16"/>
              </w:rPr>
              <w:br w:type="page"/>
              <w:t>“</w:t>
            </w:r>
            <w:r w:rsidRPr="00A22868">
              <w:rPr>
                <w:b/>
                <w:bCs/>
              </w:rPr>
              <w:t>HAZARDOUS TO THE ATMOSPHERIC SYSTEM</w:t>
            </w:r>
          </w:p>
          <w:p w14:paraId="34B5C812" w14:textId="77777777" w:rsidR="00CB0F8F" w:rsidRPr="00A22868" w:rsidRDefault="00CB0F8F" w:rsidP="00D51FD2">
            <w:pPr>
              <w:keepNext/>
              <w:keepLines/>
              <w:spacing w:before="20" w:after="20" w:line="240" w:lineRule="auto"/>
              <w:ind w:left="578"/>
              <w:jc w:val="center"/>
              <w:rPr>
                <w:b/>
                <w:bCs/>
              </w:rPr>
            </w:pPr>
            <w:r w:rsidRPr="00A22868">
              <w:rPr>
                <w:b/>
                <w:bCs/>
              </w:rPr>
              <w:t>(CHAPTER 4.2)</w:t>
            </w:r>
          </w:p>
          <w:p w14:paraId="3CC9314E" w14:textId="77777777" w:rsidR="00CB0F8F" w:rsidRPr="00A22868" w:rsidRDefault="00CB0F8F" w:rsidP="00D51FD2">
            <w:pPr>
              <w:keepNext/>
              <w:keepLines/>
              <w:spacing w:before="20" w:after="20" w:line="240" w:lineRule="auto"/>
              <w:ind w:left="577"/>
              <w:jc w:val="center"/>
              <w:rPr>
                <w:b/>
                <w:bCs/>
              </w:rPr>
            </w:pPr>
            <w:r w:rsidRPr="00A22868">
              <w:rPr>
                <w:b/>
                <w:bCs/>
              </w:rPr>
              <w:t>(Hazardous by contributing to global warming)</w:t>
            </w:r>
          </w:p>
          <w:p w14:paraId="0D756437" w14:textId="77777777" w:rsidR="00CB0F8F" w:rsidRPr="00A22868" w:rsidRDefault="00CB0F8F" w:rsidP="00D51FD2">
            <w:pPr>
              <w:pStyle w:val="Heading2"/>
              <w:keepNext/>
              <w:keepLines/>
              <w:spacing w:before="20" w:after="20"/>
              <w:ind w:firstLine="34"/>
              <w:jc w:val="center"/>
              <w:rPr>
                <w:i/>
                <w:sz w:val="16"/>
                <w:szCs w:val="16"/>
              </w:rPr>
            </w:pPr>
          </w:p>
        </w:tc>
      </w:tr>
      <w:tr w:rsidR="00CB0F8F" w:rsidRPr="00A22868" w14:paraId="5DCC6ADE" w14:textId="77777777" w:rsidTr="00E3578B">
        <w:tc>
          <w:tcPr>
            <w:tcW w:w="1276" w:type="dxa"/>
            <w:tcBorders>
              <w:top w:val="nil"/>
              <w:left w:val="nil"/>
              <w:bottom w:val="nil"/>
              <w:right w:val="nil"/>
            </w:tcBorders>
          </w:tcPr>
          <w:p w14:paraId="67C1312E" w14:textId="77777777" w:rsidR="00CB0F8F" w:rsidRPr="00A22868" w:rsidRDefault="00CB0F8F" w:rsidP="00D51FD2">
            <w:pPr>
              <w:spacing w:before="20" w:after="20"/>
              <w:ind w:right="-106"/>
              <w:rPr>
                <w:b/>
                <w:bCs/>
                <w:sz w:val="16"/>
                <w:szCs w:val="16"/>
              </w:rPr>
            </w:pPr>
            <w:r w:rsidRPr="00A22868">
              <w:rPr>
                <w:b/>
                <w:bCs/>
                <w:sz w:val="16"/>
                <w:szCs w:val="16"/>
              </w:rPr>
              <w:t>Hazard category</w:t>
            </w:r>
          </w:p>
        </w:tc>
        <w:tc>
          <w:tcPr>
            <w:tcW w:w="1665" w:type="dxa"/>
            <w:tcBorders>
              <w:top w:val="nil"/>
              <w:left w:val="nil"/>
              <w:bottom w:val="nil"/>
              <w:right w:val="nil"/>
            </w:tcBorders>
          </w:tcPr>
          <w:p w14:paraId="79889AD5" w14:textId="77777777" w:rsidR="00CB0F8F" w:rsidRPr="00A22868" w:rsidRDefault="00CB0F8F" w:rsidP="00D51FD2">
            <w:pPr>
              <w:spacing w:before="20" w:after="20"/>
              <w:rPr>
                <w:b/>
                <w:bCs/>
                <w:sz w:val="16"/>
                <w:szCs w:val="16"/>
              </w:rPr>
            </w:pPr>
            <w:r w:rsidRPr="00A22868">
              <w:rPr>
                <w:b/>
                <w:bCs/>
                <w:sz w:val="16"/>
                <w:szCs w:val="16"/>
              </w:rPr>
              <w:t>Symbol</w:t>
            </w:r>
          </w:p>
        </w:tc>
        <w:tc>
          <w:tcPr>
            <w:tcW w:w="887" w:type="dxa"/>
            <w:gridSpan w:val="2"/>
            <w:vMerge w:val="restart"/>
            <w:tcBorders>
              <w:top w:val="nil"/>
              <w:left w:val="nil"/>
              <w:right w:val="nil"/>
            </w:tcBorders>
          </w:tcPr>
          <w:p w14:paraId="08A8D784" w14:textId="77777777" w:rsidR="00CB0F8F" w:rsidRPr="00A22868" w:rsidRDefault="00CB0F8F" w:rsidP="00D51FD2">
            <w:pPr>
              <w:spacing w:before="20" w:after="20"/>
              <w:ind w:right="317"/>
              <w:rPr>
                <w:b/>
                <w:bCs/>
                <w:sz w:val="16"/>
                <w:szCs w:val="16"/>
              </w:rPr>
            </w:pPr>
            <w:r w:rsidRPr="00A22868">
              <w:rPr>
                <w:noProof/>
                <w:sz w:val="18"/>
                <w:szCs w:val="18"/>
              </w:rPr>
              <w:drawing>
                <wp:inline distT="0" distB="0" distL="0" distR="0" wp14:anchorId="68F93886" wp14:editId="51F6F1C4">
                  <wp:extent cx="215265" cy="40093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700" cy="405465"/>
                          </a:xfrm>
                          <a:prstGeom prst="rect">
                            <a:avLst/>
                          </a:prstGeom>
                          <a:noFill/>
                          <a:ln>
                            <a:noFill/>
                          </a:ln>
                        </pic:spPr>
                      </pic:pic>
                    </a:graphicData>
                  </a:graphic>
                </wp:inline>
              </w:drawing>
            </w:r>
          </w:p>
        </w:tc>
        <w:tc>
          <w:tcPr>
            <w:tcW w:w="1134" w:type="dxa"/>
            <w:gridSpan w:val="2"/>
            <w:tcBorders>
              <w:top w:val="nil"/>
              <w:left w:val="nil"/>
              <w:bottom w:val="nil"/>
              <w:right w:val="nil"/>
            </w:tcBorders>
          </w:tcPr>
          <w:p w14:paraId="5060996D" w14:textId="77777777" w:rsidR="00CB0F8F" w:rsidRPr="00A22868" w:rsidRDefault="00CB0F8F" w:rsidP="00D51FD2">
            <w:pPr>
              <w:spacing w:before="20" w:after="20"/>
              <w:ind w:left="-111" w:right="38"/>
              <w:rPr>
                <w:b/>
                <w:bCs/>
                <w:sz w:val="16"/>
                <w:szCs w:val="16"/>
              </w:rPr>
            </w:pPr>
            <w:r w:rsidRPr="00A22868">
              <w:rPr>
                <w:b/>
                <w:bCs/>
                <w:sz w:val="16"/>
                <w:szCs w:val="16"/>
              </w:rPr>
              <w:t>Signal word</w:t>
            </w:r>
          </w:p>
        </w:tc>
        <w:tc>
          <w:tcPr>
            <w:tcW w:w="3118" w:type="dxa"/>
            <w:gridSpan w:val="2"/>
            <w:tcBorders>
              <w:top w:val="nil"/>
              <w:left w:val="nil"/>
              <w:bottom w:val="nil"/>
              <w:right w:val="nil"/>
            </w:tcBorders>
          </w:tcPr>
          <w:p w14:paraId="24EAC676" w14:textId="77777777" w:rsidR="00CB0F8F" w:rsidRPr="00A22868" w:rsidRDefault="00CB0F8F" w:rsidP="00D51FD2">
            <w:pPr>
              <w:keepNext/>
              <w:keepLines/>
              <w:spacing w:before="20" w:after="20"/>
              <w:ind w:right="252"/>
              <w:rPr>
                <w:b/>
                <w:bCs/>
                <w:sz w:val="16"/>
                <w:szCs w:val="16"/>
              </w:rPr>
            </w:pPr>
            <w:r w:rsidRPr="00A22868">
              <w:rPr>
                <w:b/>
                <w:bCs/>
                <w:sz w:val="16"/>
                <w:szCs w:val="16"/>
              </w:rPr>
              <w:t>Hazard statement</w:t>
            </w:r>
          </w:p>
        </w:tc>
      </w:tr>
      <w:tr w:rsidR="00CB0F8F" w:rsidRPr="00A22868" w14:paraId="2EC3ABCF" w14:textId="77777777" w:rsidTr="00E3578B">
        <w:tc>
          <w:tcPr>
            <w:tcW w:w="1276" w:type="dxa"/>
            <w:tcBorders>
              <w:top w:val="nil"/>
              <w:left w:val="nil"/>
              <w:bottom w:val="nil"/>
              <w:right w:val="nil"/>
            </w:tcBorders>
          </w:tcPr>
          <w:p w14:paraId="062CA3DD" w14:textId="77777777" w:rsidR="00CB0F8F" w:rsidRPr="00A22868" w:rsidRDefault="00CB0F8F" w:rsidP="00D51FD2">
            <w:pPr>
              <w:spacing w:before="20" w:after="20"/>
              <w:ind w:right="-106"/>
              <w:rPr>
                <w:sz w:val="16"/>
                <w:szCs w:val="16"/>
              </w:rPr>
            </w:pPr>
            <w:r w:rsidRPr="00A22868">
              <w:rPr>
                <w:sz w:val="16"/>
                <w:szCs w:val="16"/>
              </w:rPr>
              <w:t>1</w:t>
            </w:r>
          </w:p>
        </w:tc>
        <w:tc>
          <w:tcPr>
            <w:tcW w:w="1665" w:type="dxa"/>
            <w:tcBorders>
              <w:top w:val="nil"/>
              <w:left w:val="nil"/>
              <w:bottom w:val="nil"/>
              <w:right w:val="nil"/>
            </w:tcBorders>
          </w:tcPr>
          <w:p w14:paraId="79970742" w14:textId="77777777" w:rsidR="00CB0F8F" w:rsidRPr="00A22868" w:rsidRDefault="00CB0F8F" w:rsidP="00D51FD2">
            <w:pPr>
              <w:spacing w:before="20" w:after="20"/>
              <w:rPr>
                <w:sz w:val="18"/>
                <w:szCs w:val="18"/>
              </w:rPr>
            </w:pPr>
            <w:r w:rsidRPr="00A22868">
              <w:rPr>
                <w:sz w:val="18"/>
                <w:szCs w:val="18"/>
              </w:rPr>
              <w:t>Exclamation mark</w:t>
            </w:r>
          </w:p>
        </w:tc>
        <w:tc>
          <w:tcPr>
            <w:tcW w:w="887" w:type="dxa"/>
            <w:gridSpan w:val="2"/>
            <w:vMerge/>
            <w:tcBorders>
              <w:left w:val="nil"/>
              <w:right w:val="nil"/>
            </w:tcBorders>
            <w:vAlign w:val="center"/>
          </w:tcPr>
          <w:p w14:paraId="31FE7519" w14:textId="77777777" w:rsidR="00CB0F8F" w:rsidRPr="00A22868" w:rsidRDefault="00CB0F8F" w:rsidP="00D51FD2">
            <w:pPr>
              <w:spacing w:before="20" w:after="20"/>
              <w:rPr>
                <w:sz w:val="16"/>
                <w:szCs w:val="16"/>
              </w:rPr>
            </w:pPr>
          </w:p>
        </w:tc>
        <w:tc>
          <w:tcPr>
            <w:tcW w:w="1134" w:type="dxa"/>
            <w:gridSpan w:val="2"/>
            <w:tcBorders>
              <w:top w:val="nil"/>
              <w:left w:val="nil"/>
              <w:bottom w:val="nil"/>
              <w:right w:val="nil"/>
            </w:tcBorders>
          </w:tcPr>
          <w:p w14:paraId="09DF1F52" w14:textId="77777777" w:rsidR="00CB0F8F" w:rsidRPr="00A22868" w:rsidRDefault="00CB0F8F" w:rsidP="00D51FD2">
            <w:pPr>
              <w:spacing w:before="20" w:after="20"/>
              <w:ind w:left="-111" w:right="38"/>
              <w:rPr>
                <w:sz w:val="16"/>
                <w:szCs w:val="16"/>
              </w:rPr>
            </w:pPr>
            <w:r w:rsidRPr="00A22868">
              <w:rPr>
                <w:sz w:val="16"/>
                <w:szCs w:val="16"/>
              </w:rPr>
              <w:t>Warning</w:t>
            </w:r>
          </w:p>
        </w:tc>
        <w:tc>
          <w:tcPr>
            <w:tcW w:w="570" w:type="dxa"/>
            <w:tcBorders>
              <w:top w:val="nil"/>
              <w:left w:val="nil"/>
              <w:bottom w:val="nil"/>
              <w:right w:val="nil"/>
            </w:tcBorders>
          </w:tcPr>
          <w:p w14:paraId="4FC13B18" w14:textId="77777777" w:rsidR="00CB0F8F" w:rsidRPr="00A22868" w:rsidRDefault="00CB0F8F" w:rsidP="00D51FD2">
            <w:pPr>
              <w:spacing w:before="20" w:after="20"/>
              <w:ind w:right="-112"/>
              <w:rPr>
                <w:sz w:val="16"/>
                <w:szCs w:val="16"/>
              </w:rPr>
            </w:pPr>
            <w:r w:rsidRPr="00A22868">
              <w:rPr>
                <w:sz w:val="16"/>
                <w:szCs w:val="16"/>
              </w:rPr>
              <w:t>H421</w:t>
            </w:r>
          </w:p>
        </w:tc>
        <w:tc>
          <w:tcPr>
            <w:tcW w:w="2548" w:type="dxa"/>
            <w:tcBorders>
              <w:top w:val="nil"/>
              <w:left w:val="nil"/>
              <w:bottom w:val="nil"/>
              <w:right w:val="nil"/>
            </w:tcBorders>
          </w:tcPr>
          <w:p w14:paraId="4304EB4C" w14:textId="77777777" w:rsidR="00CB0F8F" w:rsidRPr="00A22868" w:rsidRDefault="00CB0F8F" w:rsidP="00D51FD2">
            <w:pPr>
              <w:spacing w:before="20" w:after="20"/>
              <w:ind w:left="-116"/>
              <w:rPr>
                <w:sz w:val="18"/>
                <w:szCs w:val="18"/>
              </w:rPr>
            </w:pPr>
            <w:r w:rsidRPr="008B0608">
              <w:rPr>
                <w:sz w:val="18"/>
                <w:szCs w:val="18"/>
              </w:rPr>
              <w:t>Harms public health and the environment by contributing to global warming</w:t>
            </w:r>
          </w:p>
        </w:tc>
      </w:tr>
      <w:tr w:rsidR="00CB0F8F" w:rsidRPr="00A22868" w14:paraId="3F1B15C1" w14:textId="77777777" w:rsidTr="00E3578B">
        <w:tc>
          <w:tcPr>
            <w:tcW w:w="8080" w:type="dxa"/>
            <w:gridSpan w:val="8"/>
          </w:tcPr>
          <w:p w14:paraId="23A2FEF0" w14:textId="77777777" w:rsidR="00CB0F8F" w:rsidRPr="00A22868" w:rsidRDefault="00CB0F8F" w:rsidP="00D51FD2">
            <w:pPr>
              <w:pStyle w:val="Heading7"/>
              <w:shd w:val="solid" w:color="FFFFFF" w:fill="FFFFFF"/>
              <w:spacing w:before="20" w:after="20"/>
              <w:ind w:left="-102"/>
              <w:jc w:val="center"/>
              <w:rPr>
                <w:b/>
                <w:bCs/>
                <w:sz w:val="16"/>
                <w:szCs w:val="16"/>
                <w:lang w:eastAsia="en-US"/>
              </w:rPr>
            </w:pPr>
            <w:r w:rsidRPr="00A22868">
              <w:rPr>
                <w:b/>
                <w:bCs/>
                <w:sz w:val="16"/>
                <w:szCs w:val="16"/>
                <w:lang w:eastAsia="en-US"/>
              </w:rPr>
              <w:t>Precautionary statements</w:t>
            </w:r>
          </w:p>
        </w:tc>
      </w:tr>
      <w:tr w:rsidR="00CB0F8F" w:rsidRPr="00A22868" w14:paraId="4D50F913" w14:textId="77777777" w:rsidTr="00E3578B">
        <w:tc>
          <w:tcPr>
            <w:tcW w:w="1276" w:type="dxa"/>
          </w:tcPr>
          <w:p w14:paraId="0D1E5B6B" w14:textId="77777777" w:rsidR="00CB0F8F" w:rsidRPr="00A22868" w:rsidRDefault="00CB0F8F" w:rsidP="00D51FD2">
            <w:pPr>
              <w:spacing w:before="20" w:after="20"/>
              <w:jc w:val="center"/>
              <w:rPr>
                <w:b/>
                <w:bCs/>
                <w:sz w:val="16"/>
                <w:szCs w:val="16"/>
              </w:rPr>
            </w:pPr>
            <w:r w:rsidRPr="00A22868">
              <w:rPr>
                <w:b/>
                <w:bCs/>
                <w:sz w:val="16"/>
                <w:szCs w:val="16"/>
              </w:rPr>
              <w:t>Prevention</w:t>
            </w:r>
          </w:p>
        </w:tc>
        <w:tc>
          <w:tcPr>
            <w:tcW w:w="1985" w:type="dxa"/>
            <w:gridSpan w:val="2"/>
          </w:tcPr>
          <w:p w14:paraId="60A5C43A" w14:textId="77777777" w:rsidR="00CB0F8F" w:rsidRPr="00A22868" w:rsidRDefault="00CB0F8F" w:rsidP="00D51FD2">
            <w:pPr>
              <w:spacing w:before="20" w:after="20"/>
              <w:jc w:val="center"/>
              <w:rPr>
                <w:b/>
                <w:bCs/>
                <w:sz w:val="16"/>
                <w:szCs w:val="16"/>
              </w:rPr>
            </w:pPr>
            <w:r w:rsidRPr="00A22868">
              <w:rPr>
                <w:b/>
                <w:bCs/>
                <w:sz w:val="16"/>
                <w:szCs w:val="16"/>
              </w:rPr>
              <w:t>Response</w:t>
            </w:r>
          </w:p>
        </w:tc>
        <w:tc>
          <w:tcPr>
            <w:tcW w:w="1417" w:type="dxa"/>
            <w:gridSpan w:val="2"/>
          </w:tcPr>
          <w:p w14:paraId="5265D34A" w14:textId="77777777" w:rsidR="00CB0F8F" w:rsidRPr="00A22868" w:rsidRDefault="00CB0F8F" w:rsidP="00D51FD2">
            <w:pPr>
              <w:spacing w:before="20" w:after="20"/>
              <w:jc w:val="center"/>
              <w:rPr>
                <w:b/>
                <w:bCs/>
                <w:sz w:val="16"/>
                <w:szCs w:val="16"/>
              </w:rPr>
            </w:pPr>
            <w:r w:rsidRPr="00A22868">
              <w:rPr>
                <w:b/>
                <w:bCs/>
                <w:sz w:val="16"/>
                <w:szCs w:val="16"/>
              </w:rPr>
              <w:t>Storage</w:t>
            </w:r>
          </w:p>
        </w:tc>
        <w:tc>
          <w:tcPr>
            <w:tcW w:w="3402" w:type="dxa"/>
            <w:gridSpan w:val="3"/>
          </w:tcPr>
          <w:p w14:paraId="27679F24" w14:textId="77777777" w:rsidR="00CB0F8F" w:rsidRPr="00A22868" w:rsidRDefault="00CB0F8F" w:rsidP="00D51FD2">
            <w:pPr>
              <w:spacing w:before="20" w:after="20"/>
              <w:jc w:val="center"/>
              <w:rPr>
                <w:b/>
                <w:bCs/>
                <w:sz w:val="16"/>
                <w:szCs w:val="16"/>
              </w:rPr>
            </w:pPr>
            <w:r w:rsidRPr="00A22868">
              <w:rPr>
                <w:b/>
                <w:bCs/>
                <w:sz w:val="16"/>
                <w:szCs w:val="16"/>
              </w:rPr>
              <w:t>Disposal</w:t>
            </w:r>
          </w:p>
        </w:tc>
      </w:tr>
      <w:tr w:rsidR="00CB0F8F" w:rsidRPr="00A22868" w14:paraId="085A789B" w14:textId="77777777" w:rsidTr="00E3578B">
        <w:tc>
          <w:tcPr>
            <w:tcW w:w="1276" w:type="dxa"/>
          </w:tcPr>
          <w:p w14:paraId="3670354E" w14:textId="77777777" w:rsidR="00CB0F8F" w:rsidRPr="00A22868" w:rsidRDefault="00CB0F8F" w:rsidP="00D51FD2">
            <w:pPr>
              <w:tabs>
                <w:tab w:val="left" w:pos="459"/>
              </w:tabs>
              <w:spacing w:before="20" w:after="20"/>
              <w:rPr>
                <w:sz w:val="16"/>
                <w:szCs w:val="16"/>
              </w:rPr>
            </w:pPr>
          </w:p>
        </w:tc>
        <w:tc>
          <w:tcPr>
            <w:tcW w:w="1985" w:type="dxa"/>
            <w:gridSpan w:val="2"/>
          </w:tcPr>
          <w:p w14:paraId="09B9BE4A" w14:textId="77777777" w:rsidR="00CB0F8F" w:rsidRPr="00A22868" w:rsidRDefault="00CB0F8F" w:rsidP="00D51FD2">
            <w:pPr>
              <w:pStyle w:val="BalloonText"/>
              <w:spacing w:before="20" w:after="20"/>
              <w:rPr>
                <w:rFonts w:ascii="Times New Roman" w:hAnsi="Times New Roman" w:cs="Times New Roman"/>
                <w:b/>
              </w:rPr>
            </w:pPr>
          </w:p>
        </w:tc>
        <w:tc>
          <w:tcPr>
            <w:tcW w:w="1417" w:type="dxa"/>
            <w:gridSpan w:val="2"/>
          </w:tcPr>
          <w:p w14:paraId="35C5E544" w14:textId="77777777" w:rsidR="00CB0F8F" w:rsidRPr="00A22868" w:rsidRDefault="00CB0F8F" w:rsidP="00D51FD2">
            <w:pPr>
              <w:spacing w:before="20" w:after="20"/>
              <w:rPr>
                <w:sz w:val="16"/>
                <w:szCs w:val="16"/>
              </w:rPr>
            </w:pPr>
          </w:p>
        </w:tc>
        <w:tc>
          <w:tcPr>
            <w:tcW w:w="3402" w:type="dxa"/>
            <w:gridSpan w:val="3"/>
          </w:tcPr>
          <w:p w14:paraId="03F92704" w14:textId="77777777" w:rsidR="00CB0F8F" w:rsidRPr="00A22868" w:rsidRDefault="00CB0F8F" w:rsidP="00D51FD2">
            <w:pPr>
              <w:spacing w:before="20" w:after="20"/>
              <w:rPr>
                <w:sz w:val="18"/>
                <w:szCs w:val="18"/>
              </w:rPr>
            </w:pPr>
            <w:r w:rsidRPr="00A22868">
              <w:rPr>
                <w:bCs/>
                <w:sz w:val="18"/>
                <w:szCs w:val="18"/>
              </w:rPr>
              <w:t>P502</w:t>
            </w:r>
            <w:r w:rsidRPr="00A22868">
              <w:rPr>
                <w:b/>
                <w:sz w:val="18"/>
                <w:szCs w:val="18"/>
              </w:rPr>
              <w:br/>
            </w:r>
            <w:r w:rsidRPr="00A22868">
              <w:rPr>
                <w:b/>
                <w:bCs/>
                <w:sz w:val="18"/>
                <w:szCs w:val="18"/>
                <w:lang w:eastAsia="en-CA"/>
              </w:rPr>
              <w:t>Refer to manufacturer or supplier for information on recovery or recycling.</w:t>
            </w:r>
          </w:p>
        </w:tc>
      </w:tr>
    </w:tbl>
    <w:bookmarkEnd w:id="17"/>
    <w:p w14:paraId="11D195F9" w14:textId="77777777" w:rsidR="00CB0F8F" w:rsidRPr="00A22868" w:rsidRDefault="00CB0F8F" w:rsidP="00CB0F8F">
      <w:pPr>
        <w:spacing w:after="120" w:line="240" w:lineRule="auto"/>
        <w:ind w:left="1418" w:right="425"/>
        <w:jc w:val="right"/>
        <w:rPr>
          <w:noProof/>
        </w:rPr>
      </w:pPr>
      <w:r w:rsidRPr="00A22868">
        <w:rPr>
          <w:noProof/>
        </w:rPr>
        <w:t>”</w:t>
      </w:r>
    </w:p>
    <w:p w14:paraId="4C7C5513" w14:textId="110051DA" w:rsidR="00CB0F8F" w:rsidRPr="00A22868" w:rsidRDefault="00CB0F8F" w:rsidP="00CB0F8F">
      <w:pPr>
        <w:pStyle w:val="HChG"/>
      </w:pPr>
      <w:r w:rsidRPr="00A22868">
        <w:lastRenderedPageBreak/>
        <w:tab/>
      </w:r>
      <w:r w:rsidR="008B2527">
        <w:tab/>
      </w:r>
      <w:r w:rsidR="008B2527">
        <w:tab/>
      </w:r>
      <w:r w:rsidRPr="00A22868">
        <w:t xml:space="preserve">Annex 7 </w:t>
      </w:r>
    </w:p>
    <w:p w14:paraId="068C1E81" w14:textId="044B6560" w:rsidR="00CB0F8F" w:rsidRPr="00A22868" w:rsidRDefault="00CB0F8F" w:rsidP="00CB0F8F">
      <w:pPr>
        <w:pStyle w:val="SingleTxtG"/>
        <w:rPr>
          <w:color w:val="000000" w:themeColor="text1"/>
        </w:rPr>
      </w:pPr>
      <w:r w:rsidRPr="00A22868">
        <w:t xml:space="preserve">Amend the introductory sentence </w:t>
      </w:r>
      <w:r w:rsidRPr="00A22868">
        <w:rPr>
          <w:color w:val="000000" w:themeColor="text1"/>
        </w:rPr>
        <w:t xml:space="preserve">to read as follows: </w:t>
      </w:r>
    </w:p>
    <w:p w14:paraId="487ADFE1" w14:textId="77777777" w:rsidR="00CB0F8F" w:rsidRPr="00A22868" w:rsidRDefault="00CB0F8F" w:rsidP="00CB0F8F">
      <w:pPr>
        <w:pStyle w:val="SingleTxtG"/>
        <w:rPr>
          <w:color w:val="000000" w:themeColor="text1"/>
        </w:rPr>
      </w:pPr>
      <w:r w:rsidRPr="00A22868">
        <w:rPr>
          <w:color w:val="000000" w:themeColor="text1"/>
        </w:rPr>
        <w:t>“The following examples are provided for illustrative purposes by arranging the GHS label elements in accordance with sections 1.4.10.4 and 1.4.10.5 and are subject to further discussion and consideration by the GHS Sub-Committee.</w:t>
      </w:r>
    </w:p>
    <w:p w14:paraId="63231548" w14:textId="2A66E0B3" w:rsidR="00CB0F8F" w:rsidRPr="008B0608" w:rsidRDefault="008B2527" w:rsidP="000A782E">
      <w:pPr>
        <w:pStyle w:val="H23G"/>
      </w:pPr>
      <w:r>
        <w:tab/>
      </w:r>
      <w:r w:rsidRPr="008B0608">
        <w:rPr>
          <w:szCs w:val="16"/>
        </w:rPr>
        <w:tab/>
      </w:r>
      <w:r w:rsidR="00CB0F8F" w:rsidRPr="008B0608">
        <w:t xml:space="preserve">Example 1 </w:t>
      </w:r>
    </w:p>
    <w:p w14:paraId="53F4642A" w14:textId="5B7CBA29" w:rsidR="00CB0F8F" w:rsidRPr="00A22868" w:rsidRDefault="00CB0F8F" w:rsidP="00CB0F8F">
      <w:pPr>
        <w:pStyle w:val="SingleTxtG"/>
      </w:pPr>
      <w:r w:rsidRPr="00A22868">
        <w:t>Replace with the following:</w:t>
      </w:r>
    </w:p>
    <w:p w14:paraId="61B38682" w14:textId="77777777" w:rsidR="00CB0F8F" w:rsidRPr="00A22868" w:rsidRDefault="00CB0F8F" w:rsidP="00CB0F8F">
      <w:pPr>
        <w:pStyle w:val="BodyText"/>
        <w:spacing w:after="240"/>
        <w:ind w:left="1418" w:right="1134"/>
        <w:jc w:val="both"/>
        <w:rPr>
          <w:color w:val="000000" w:themeColor="text1"/>
          <w:sz w:val="20"/>
          <w:lang w:val="en-GB"/>
        </w:rPr>
      </w:pPr>
      <w:r w:rsidRPr="00A22868">
        <w:rPr>
          <w:b/>
          <w:bCs/>
          <w:sz w:val="20"/>
          <w:lang w:val="en-GB"/>
        </w:rPr>
        <w:t>“Example 1</w:t>
      </w:r>
      <w:r w:rsidRPr="00A22868">
        <w:rPr>
          <w:sz w:val="20"/>
          <w:lang w:val="en-GB"/>
        </w:rPr>
        <w:t>:</w:t>
      </w:r>
      <w:r w:rsidRPr="00A22868">
        <w:rPr>
          <w:sz w:val="20"/>
          <w:lang w:val="en-GB"/>
        </w:rPr>
        <w:tab/>
      </w:r>
      <w:r w:rsidRPr="00A22868">
        <w:rPr>
          <w:b/>
          <w:bCs/>
          <w:sz w:val="20"/>
          <w:lang w:val="en-GB"/>
        </w:rPr>
        <w:t xml:space="preserve">Combination packaging for a </w:t>
      </w:r>
      <w:r w:rsidRPr="00A22868">
        <w:rPr>
          <w:b/>
          <w:bCs/>
          <w:color w:val="000000" w:themeColor="text1"/>
          <w:sz w:val="20"/>
          <w:lang w:val="en-GB"/>
        </w:rPr>
        <w:t xml:space="preserve">chemical with the classification: Flammable liquids, Category 2 </w:t>
      </w:r>
    </w:p>
    <w:p w14:paraId="3F3C0E9B" w14:textId="77777777" w:rsidR="00CB0F8F" w:rsidRPr="00A22868" w:rsidRDefault="00CB0F8F" w:rsidP="00CB0F8F">
      <w:pPr>
        <w:pStyle w:val="BodyText"/>
        <w:spacing w:after="0"/>
        <w:ind w:left="1418" w:hanging="1418"/>
        <w:jc w:val="both"/>
        <w:rPr>
          <w:sz w:val="20"/>
          <w:lang w:val="en-GB"/>
        </w:rPr>
      </w:pPr>
      <w:r w:rsidRPr="00A22868">
        <w:rPr>
          <w:sz w:val="20"/>
          <w:lang w:val="en-GB"/>
        </w:rPr>
        <w:tab/>
        <w:t>Outer packaging:  Box with a Class 3 flammable liquids transport label*</w:t>
      </w:r>
    </w:p>
    <w:p w14:paraId="7E0920EE" w14:textId="77777777" w:rsidR="00CB0F8F" w:rsidRPr="00A22868" w:rsidRDefault="00CB0F8F" w:rsidP="00CB0F8F">
      <w:pPr>
        <w:ind w:left="1418"/>
      </w:pPr>
      <w:r w:rsidRPr="00A22868">
        <w:t>Inner packaging:  Plastic bottle with GHS label</w:t>
      </w:r>
    </w:p>
    <w:p w14:paraId="3F413562" w14:textId="77777777" w:rsidR="00CB0F8F" w:rsidRPr="00A22868" w:rsidRDefault="00CB0F8F" w:rsidP="00CB0F8F"/>
    <w:p w14:paraId="43A9D23C" w14:textId="77777777" w:rsidR="00CB0F8F" w:rsidRPr="00A22868" w:rsidRDefault="00CB0F8F" w:rsidP="00CB0F8F">
      <w:r w:rsidRPr="00A22868">
        <w:rPr>
          <w:noProof/>
        </w:rPr>
        <mc:AlternateContent>
          <mc:Choice Requires="wps">
            <w:drawing>
              <wp:anchor distT="0" distB="0" distL="114300" distR="114300" simplePos="0" relativeHeight="251683840" behindDoc="0" locked="0" layoutInCell="1" allowOverlap="1" wp14:anchorId="0C2545D8" wp14:editId="0CF52B6A">
                <wp:simplePos x="0" y="0"/>
                <wp:positionH relativeFrom="column">
                  <wp:posOffset>2200091</wp:posOffset>
                </wp:positionH>
                <wp:positionV relativeFrom="paragraph">
                  <wp:posOffset>2635516</wp:posOffset>
                </wp:positionV>
                <wp:extent cx="884903" cy="457200"/>
                <wp:effectExtent l="0" t="0" r="29845" b="19050"/>
                <wp:wrapNone/>
                <wp:docPr id="1355" name="Lin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4903"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9638" id="Line 13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207.5pt" to="242.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"/>
            </w:pict>
          </mc:Fallback>
        </mc:AlternateContent>
      </w:r>
      <w:r w:rsidRPr="00A22868">
        <w:rPr>
          <w:noProof/>
        </w:rPr>
        <mc:AlternateContent>
          <mc:Choice Requires="wps">
            <w:drawing>
              <wp:anchor distT="0" distB="0" distL="114300" distR="114300" simplePos="0" relativeHeight="251686912" behindDoc="0" locked="0" layoutInCell="1" allowOverlap="1" wp14:anchorId="348F40F9" wp14:editId="76BC6486">
                <wp:simplePos x="0" y="0"/>
                <wp:positionH relativeFrom="column">
                  <wp:posOffset>845820</wp:posOffset>
                </wp:positionH>
                <wp:positionV relativeFrom="paragraph">
                  <wp:posOffset>1954079</wp:posOffset>
                </wp:positionV>
                <wp:extent cx="1257300" cy="235974"/>
                <wp:effectExtent l="0" t="0" r="0" b="12065"/>
                <wp:wrapNone/>
                <wp:docPr id="315"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49D2" w14:textId="77777777" w:rsidR="00CB0F8F" w:rsidRPr="00A35AAF" w:rsidRDefault="00CB0F8F" w:rsidP="00CB0F8F">
                            <w:pPr>
                              <w:spacing w:line="240" w:lineRule="auto"/>
                              <w:rPr>
                                <w:color w:val="000000" w:themeColor="text1"/>
                                <w:sz w:val="14"/>
                                <w:szCs w:val="14"/>
                              </w:rPr>
                            </w:pPr>
                            <w:r w:rsidRPr="00A35AAF">
                              <w:rPr>
                                <w:color w:val="000000" w:themeColor="text1"/>
                                <w:sz w:val="14"/>
                                <w:szCs w:val="14"/>
                              </w:rPr>
                              <w:t>Proper shipping name</w:t>
                            </w:r>
                            <w:r w:rsidRPr="00A35AAF">
                              <w:rPr>
                                <w:color w:val="000000" w:themeColor="text1"/>
                                <w:sz w:val="14"/>
                                <w:szCs w:val="14"/>
                              </w:rPr>
                              <w:br/>
                              <w:t>UN Number</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48F40F9" id="_x0000_t202" coordsize="21600,21600" o:spt="202" path="m,l,21600r21600,l21600,xe">
                <v:stroke joinstyle="miter"/>
                <v:path gradientshapeok="t" o:connecttype="rect"/>
              </v:shapetype>
              <v:shape id="Text Box 1367" o:spid="_x0000_s1026" type="#_x0000_t202" style="position:absolute;margin-left:66.6pt;margin-top:153.85pt;width:99pt;height:18.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" filled="f" stroked="f">
                <v:textbox inset="0,0,0,0">
                  <w:txbxContent>
                    <w:p w14:paraId="0B1B49D2" w14:textId="77777777" w:rsidR="00CB0F8F" w:rsidRPr="00A35AAF" w:rsidRDefault="00CB0F8F" w:rsidP="00CB0F8F">
                      <w:pPr>
                        <w:spacing w:line="240" w:lineRule="auto"/>
                        <w:rPr>
                          <w:color w:val="000000" w:themeColor="text1"/>
                          <w:sz w:val="14"/>
                          <w:szCs w:val="14"/>
                        </w:rPr>
                      </w:pPr>
                      <w:r w:rsidRPr="00A35AAF">
                        <w:rPr>
                          <w:color w:val="000000" w:themeColor="text1"/>
                          <w:sz w:val="14"/>
                          <w:szCs w:val="14"/>
                        </w:rPr>
                        <w:t>Proper shipping name</w:t>
                      </w:r>
                      <w:r w:rsidRPr="00A35AAF">
                        <w:rPr>
                          <w:color w:val="000000" w:themeColor="text1"/>
                          <w:sz w:val="14"/>
                          <w:szCs w:val="14"/>
                        </w:rPr>
                        <w:br/>
                        <w:t>UN Number</w:t>
                      </w:r>
                    </w:p>
                  </w:txbxContent>
                </v:textbox>
              </v:shape>
            </w:pict>
          </mc:Fallback>
        </mc:AlternateContent>
      </w:r>
      <w:r w:rsidRPr="00A22868">
        <w:rPr>
          <w:noProof/>
        </w:rPr>
        <w:drawing>
          <wp:inline distT="0" distB="0" distL="0" distR="0" wp14:anchorId="3469613E" wp14:editId="49C4450A">
            <wp:extent cx="3548380" cy="293433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8380" cy="2934335"/>
                    </a:xfrm>
                    <a:prstGeom prst="rect">
                      <a:avLst/>
                    </a:prstGeom>
                    <a:noFill/>
                    <a:ln>
                      <a:noFill/>
                    </a:ln>
                  </pic:spPr>
                </pic:pic>
              </a:graphicData>
            </a:graphic>
          </wp:inline>
        </w:drawing>
      </w:r>
    </w:p>
    <w:p w14:paraId="64F31545" w14:textId="77777777" w:rsidR="00CB0F8F" w:rsidRPr="00A22868" w:rsidRDefault="00CB0F8F" w:rsidP="00CB0F8F"/>
    <w:tbl>
      <w:tblPr>
        <w:tblW w:w="756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0"/>
      </w:tblGrid>
      <w:tr w:rsidR="00CB0F8F" w:rsidRPr="00A22868" w14:paraId="7E5D8A53" w14:textId="77777777" w:rsidTr="009D2487">
        <w:tc>
          <w:tcPr>
            <w:tcW w:w="7560" w:type="dxa"/>
            <w:gridSpan w:val="2"/>
            <w:tcBorders>
              <w:top w:val="single" w:sz="24" w:space="0" w:color="auto"/>
              <w:left w:val="single" w:sz="24" w:space="0" w:color="auto"/>
              <w:bottom w:val="nil"/>
              <w:right w:val="single" w:sz="24" w:space="0" w:color="auto"/>
            </w:tcBorders>
          </w:tcPr>
          <w:p w14:paraId="5C83F139" w14:textId="77777777" w:rsidR="00CB0F8F" w:rsidRPr="00A22868" w:rsidRDefault="00CB0F8F" w:rsidP="009D2487">
            <w:pPr>
              <w:ind w:right="172"/>
              <w:rPr>
                <w:b/>
                <w:bCs/>
              </w:rPr>
            </w:pPr>
            <w:r w:rsidRPr="00A22868">
              <w:rPr>
                <w:b/>
                <w:bCs/>
              </w:rPr>
              <w:t>Product identifier (see 1.4.10.5.2 (d))</w:t>
            </w:r>
          </w:p>
          <w:p w14:paraId="4CCA0CE5" w14:textId="77777777" w:rsidR="00CB0F8F" w:rsidRPr="00A22868" w:rsidRDefault="00CB0F8F" w:rsidP="009D2487"/>
        </w:tc>
      </w:tr>
      <w:tr w:rsidR="00CB0F8F" w:rsidRPr="00A22868" w14:paraId="19334158" w14:textId="77777777" w:rsidTr="009D2487">
        <w:tc>
          <w:tcPr>
            <w:tcW w:w="3060" w:type="dxa"/>
            <w:tcBorders>
              <w:top w:val="nil"/>
              <w:left w:val="single" w:sz="24" w:space="0" w:color="auto"/>
              <w:bottom w:val="nil"/>
              <w:right w:val="nil"/>
            </w:tcBorders>
          </w:tcPr>
          <w:p w14:paraId="659089E3" w14:textId="77777777" w:rsidR="00CB0F8F" w:rsidRPr="00A22868" w:rsidRDefault="00CB0F8F" w:rsidP="009D2487"/>
        </w:tc>
        <w:tc>
          <w:tcPr>
            <w:tcW w:w="4500" w:type="dxa"/>
            <w:tcBorders>
              <w:top w:val="nil"/>
              <w:left w:val="nil"/>
              <w:bottom w:val="nil"/>
              <w:right w:val="single" w:sz="24" w:space="0" w:color="auto"/>
            </w:tcBorders>
          </w:tcPr>
          <w:p w14:paraId="7F119E61" w14:textId="090F21AE" w:rsidR="008C0164" w:rsidRPr="00A22868" w:rsidRDefault="00CB0F8F" w:rsidP="008C0164">
            <w:pPr>
              <w:spacing w:after="160"/>
              <w:rPr>
                <w:b/>
                <w:bCs/>
              </w:rPr>
            </w:pPr>
            <w:r w:rsidRPr="00A22868">
              <w:rPr>
                <w:b/>
                <w:bCs/>
              </w:rPr>
              <w:t>SIGNAL WORD (see 1.4.10.5.2 (a))</w:t>
            </w:r>
          </w:p>
          <w:p w14:paraId="50BDB771" w14:textId="77777777" w:rsidR="00CB0F8F" w:rsidRPr="00A22868" w:rsidRDefault="00CB0F8F" w:rsidP="009D2487">
            <w:pPr>
              <w:rPr>
                <w:b/>
                <w:bCs/>
              </w:rPr>
            </w:pPr>
            <w:r w:rsidRPr="00A22868">
              <w:rPr>
                <w:b/>
                <w:bCs/>
              </w:rPr>
              <w:t>Hazard statements (see 1.4.10.5.2 (b))</w:t>
            </w:r>
          </w:p>
        </w:tc>
      </w:tr>
      <w:tr w:rsidR="00CB0F8F" w:rsidRPr="00A22868" w14:paraId="40A2DD71" w14:textId="77777777" w:rsidTr="009D2487">
        <w:tc>
          <w:tcPr>
            <w:tcW w:w="7560" w:type="dxa"/>
            <w:gridSpan w:val="2"/>
            <w:tcBorders>
              <w:top w:val="nil"/>
              <w:left w:val="single" w:sz="24" w:space="0" w:color="auto"/>
              <w:bottom w:val="single" w:sz="24" w:space="0" w:color="auto"/>
              <w:right w:val="single" w:sz="24" w:space="0" w:color="auto"/>
            </w:tcBorders>
          </w:tcPr>
          <w:p w14:paraId="5E5E97E5" w14:textId="31D49176" w:rsidR="00CB0F8F" w:rsidRPr="00A22868" w:rsidRDefault="00CB0F8F" w:rsidP="009D2487">
            <w:pPr>
              <w:tabs>
                <w:tab w:val="right" w:pos="7344"/>
              </w:tabs>
              <w:spacing w:before="120" w:line="360" w:lineRule="auto"/>
              <w:rPr>
                <w:b/>
                <w:bCs/>
              </w:rPr>
            </w:pPr>
            <w:r w:rsidRPr="00A22868">
              <w:rPr>
                <w:b/>
                <w:bCs/>
              </w:rPr>
              <w:t>Precautionary statements (see 1.4.10.5.2 (c)) and annex 3 sections 2 and 3)</w:t>
            </w:r>
          </w:p>
          <w:p w14:paraId="6DF61E9B" w14:textId="77777777" w:rsidR="00CB0F8F" w:rsidRPr="00A22868" w:rsidRDefault="00CB0F8F" w:rsidP="009D2487">
            <w:pPr>
              <w:tabs>
                <w:tab w:val="left" w:pos="252"/>
              </w:tabs>
              <w:spacing w:after="240" w:line="240" w:lineRule="auto"/>
              <w:ind w:left="249" w:hanging="249"/>
            </w:pPr>
            <w:r w:rsidRPr="00A22868">
              <w:tab/>
              <w:t>Supplemental information as allowed or required by the competent authority as appropriate (see 1.4.10.5.4.2).</w:t>
            </w:r>
          </w:p>
          <w:p w14:paraId="16010829" w14:textId="77777777" w:rsidR="00CB0F8F" w:rsidRPr="00A22868" w:rsidRDefault="00CB0F8F" w:rsidP="009D2487">
            <w:pPr>
              <w:spacing w:after="80" w:line="360" w:lineRule="auto"/>
              <w:rPr>
                <w:b/>
                <w:bCs/>
              </w:rPr>
            </w:pPr>
            <w:r w:rsidRPr="00A22868">
              <w:rPr>
                <w:b/>
                <w:bCs/>
              </w:rPr>
              <w:t>Supplier identification (see 1.4.10.5.2 (e))</w:t>
            </w:r>
          </w:p>
        </w:tc>
      </w:tr>
    </w:tbl>
    <w:p w14:paraId="43161C01" w14:textId="77777777" w:rsidR="00CB0F8F" w:rsidRPr="00A22868" w:rsidRDefault="00CB0F8F" w:rsidP="00CB0F8F">
      <w:pPr>
        <w:pStyle w:val="BodyText3"/>
        <w:tabs>
          <w:tab w:val="clear" w:pos="1701"/>
          <w:tab w:val="left" w:pos="1418"/>
        </w:tabs>
        <w:spacing w:before="60" w:after="60"/>
        <w:ind w:left="1134" w:right="1134"/>
        <w:rPr>
          <w:i/>
          <w:iCs/>
          <w:sz w:val="20"/>
        </w:rPr>
      </w:pPr>
      <w:r w:rsidRPr="00A22868">
        <w:rPr>
          <w:i/>
          <w:iCs/>
          <w:sz w:val="20"/>
        </w:rPr>
        <w:t>*</w:t>
      </w:r>
      <w:r w:rsidRPr="00A22868">
        <w:rPr>
          <w:i/>
          <w:iCs/>
          <w:sz w:val="20"/>
        </w:rPr>
        <w:tab/>
        <w:t xml:space="preserve">Only the transport markings and labels as specified in the UN Model Regulations are required for outer </w:t>
      </w:r>
      <w:proofErr w:type="spellStart"/>
      <w:r w:rsidRPr="00A22868">
        <w:rPr>
          <w:i/>
          <w:iCs/>
          <w:sz w:val="20"/>
        </w:rPr>
        <w:t>packagings</w:t>
      </w:r>
      <w:proofErr w:type="spellEnd"/>
      <w:r w:rsidRPr="00A22868">
        <w:rPr>
          <w:i/>
          <w:iCs/>
          <w:sz w:val="20"/>
        </w:rPr>
        <w:t>.”.</w:t>
      </w:r>
    </w:p>
    <w:p w14:paraId="423D380B" w14:textId="42DD29B8" w:rsidR="00CB0F8F" w:rsidRPr="00A22868" w:rsidRDefault="00CB0F8F" w:rsidP="00CB0F8F">
      <w:pPr>
        <w:pStyle w:val="BodyText3"/>
        <w:spacing w:after="240"/>
        <w:ind w:left="1418" w:hanging="1418"/>
        <w:rPr>
          <w:i/>
          <w:iCs/>
          <w:sz w:val="20"/>
        </w:rPr>
      </w:pPr>
      <w:r w:rsidRPr="00A22868">
        <w:rPr>
          <w:i/>
          <w:iCs/>
          <w:sz w:val="20"/>
        </w:rPr>
        <w:br w:type="page"/>
      </w:r>
    </w:p>
    <w:p w14:paraId="419BC421" w14:textId="3AE599C1" w:rsidR="00CB0F8F" w:rsidRPr="008C0164" w:rsidRDefault="008C0164" w:rsidP="008C0164">
      <w:pPr>
        <w:pStyle w:val="H23G"/>
      </w:pPr>
      <w:r>
        <w:rPr>
          <w:rStyle w:val="H1GChar"/>
          <w:b/>
          <w:sz w:val="20"/>
        </w:rPr>
        <w:lastRenderedPageBreak/>
        <w:tab/>
      </w:r>
      <w:r>
        <w:rPr>
          <w:rStyle w:val="H1GChar"/>
          <w:b/>
          <w:sz w:val="20"/>
        </w:rPr>
        <w:tab/>
      </w:r>
      <w:r w:rsidR="00CB0F8F" w:rsidRPr="008C0164">
        <w:rPr>
          <w:rStyle w:val="H1GChar"/>
          <w:b/>
          <w:sz w:val="20"/>
        </w:rPr>
        <w:t>Example 2</w:t>
      </w:r>
      <w:r w:rsidR="00CB0F8F" w:rsidRPr="008C0164">
        <w:t xml:space="preserve"> </w:t>
      </w:r>
    </w:p>
    <w:p w14:paraId="0FC0006E" w14:textId="77B7B7C7" w:rsidR="00CB0F8F" w:rsidRPr="00A22868" w:rsidRDefault="00CB0F8F" w:rsidP="00CB0F8F">
      <w:pPr>
        <w:pStyle w:val="SingleTxtG"/>
      </w:pPr>
      <w:r w:rsidRPr="00A22868">
        <w:t>Replace with the following:</w:t>
      </w:r>
    </w:p>
    <w:p w14:paraId="53DD38A7" w14:textId="77777777" w:rsidR="00CB0F8F" w:rsidRPr="00A22868" w:rsidRDefault="00CB0F8F" w:rsidP="00CB0F8F">
      <w:pPr>
        <w:pStyle w:val="BodyText3"/>
        <w:spacing w:after="240"/>
        <w:ind w:left="1134" w:right="1134" w:hanging="1134"/>
        <w:rPr>
          <w:b/>
          <w:sz w:val="20"/>
        </w:rPr>
      </w:pPr>
      <w:r w:rsidRPr="00A22868">
        <w:rPr>
          <w:b/>
          <w:sz w:val="20"/>
        </w:rPr>
        <w:tab/>
      </w:r>
      <w:r w:rsidRPr="00A22868">
        <w:rPr>
          <w:b/>
          <w:sz w:val="20"/>
        </w:rPr>
        <w:tab/>
        <w:t xml:space="preserve">“Example 2: </w:t>
      </w:r>
      <w:r w:rsidRPr="00A22868">
        <w:rPr>
          <w:b/>
          <w:sz w:val="20"/>
        </w:rPr>
        <w:tab/>
        <w:t>Combination packaging for a chemical with the classification:</w:t>
      </w:r>
      <w:r w:rsidRPr="00A22868">
        <w:rPr>
          <w:b/>
          <w:sz w:val="20"/>
        </w:rPr>
        <w:br/>
        <w:t xml:space="preserve">Flammable liquids, Category </w:t>
      </w:r>
      <w:proofErr w:type="gramStart"/>
      <w:r w:rsidRPr="00A22868">
        <w:rPr>
          <w:b/>
          <w:sz w:val="20"/>
        </w:rPr>
        <w:t>2</w:t>
      </w:r>
      <w:proofErr w:type="gramEnd"/>
      <w:r w:rsidRPr="00A22868">
        <w:rPr>
          <w:b/>
          <w:sz w:val="20"/>
        </w:rPr>
        <w:t xml:space="preserve"> and specific target organ toxicity – single exposure, Category 1</w:t>
      </w:r>
    </w:p>
    <w:p w14:paraId="68D33D73" w14:textId="77777777" w:rsidR="00CB0F8F" w:rsidRPr="00A22868" w:rsidRDefault="00CB0F8F" w:rsidP="00CB0F8F">
      <w:pPr>
        <w:ind w:left="1134"/>
      </w:pPr>
      <w:r w:rsidRPr="00A22868">
        <w:t>Outer packaging:  Box with a Class 3 flammable liquids transport label*</w:t>
      </w:r>
    </w:p>
    <w:p w14:paraId="0AE95C5E" w14:textId="77777777" w:rsidR="00CB0F8F" w:rsidRPr="00A22868" w:rsidRDefault="00CB0F8F" w:rsidP="00CB0F8F">
      <w:pPr>
        <w:ind w:left="1134"/>
      </w:pPr>
      <w:r w:rsidRPr="00A22868">
        <w:t>Inner packaging:  Plastic bottle with GHS label</w:t>
      </w:r>
    </w:p>
    <w:p w14:paraId="358931BB" w14:textId="77777777" w:rsidR="00CB0F8F" w:rsidRPr="00A22868" w:rsidRDefault="00CB0F8F" w:rsidP="00CB0F8F">
      <w:pPr>
        <w:ind w:left="1134"/>
      </w:pPr>
    </w:p>
    <w:p w14:paraId="6B459385" w14:textId="77777777" w:rsidR="00CB0F8F" w:rsidRPr="00A22868" w:rsidRDefault="00CB0F8F" w:rsidP="00CB0F8F">
      <w:pPr>
        <w:ind w:left="1134"/>
      </w:pPr>
      <w:r w:rsidRPr="00A22868">
        <w:rPr>
          <w:noProof/>
        </w:rPr>
        <mc:AlternateContent>
          <mc:Choice Requires="wps">
            <w:drawing>
              <wp:anchor distT="0" distB="0" distL="114300" distR="114300" simplePos="0" relativeHeight="251681792" behindDoc="0" locked="0" layoutInCell="0" allowOverlap="1" wp14:anchorId="09996F59" wp14:editId="5E514D39">
                <wp:simplePos x="0" y="0"/>
                <wp:positionH relativeFrom="column">
                  <wp:posOffset>3203840</wp:posOffset>
                </wp:positionH>
                <wp:positionV relativeFrom="paragraph">
                  <wp:posOffset>2600041</wp:posOffset>
                </wp:positionV>
                <wp:extent cx="800100" cy="506028"/>
                <wp:effectExtent l="0" t="0" r="19050" b="27940"/>
                <wp:wrapNone/>
                <wp:docPr id="1353"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06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04B2" id="Line 13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204.75pt" to="315.25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" o:allowincell="f"/>
            </w:pict>
          </mc:Fallback>
        </mc:AlternateContent>
      </w:r>
      <w:r w:rsidRPr="00A22868">
        <w:rPr>
          <w:noProof/>
        </w:rPr>
        <mc:AlternateContent>
          <mc:Choice Requires="wps">
            <w:drawing>
              <wp:anchor distT="0" distB="0" distL="114300" distR="114300" simplePos="0" relativeHeight="251691008" behindDoc="0" locked="0" layoutInCell="1" allowOverlap="1" wp14:anchorId="700C5DC5" wp14:editId="25763525">
                <wp:simplePos x="0" y="0"/>
                <wp:positionH relativeFrom="column">
                  <wp:posOffset>1593880</wp:posOffset>
                </wp:positionH>
                <wp:positionV relativeFrom="paragraph">
                  <wp:posOffset>1959610</wp:posOffset>
                </wp:positionV>
                <wp:extent cx="1257300" cy="235974"/>
                <wp:effectExtent l="0" t="0" r="0" b="12065"/>
                <wp:wrapNone/>
                <wp:docPr id="19"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BA620" w14:textId="77777777" w:rsidR="00CB0F8F" w:rsidRPr="00A35AAF" w:rsidRDefault="00CB0F8F" w:rsidP="00CB0F8F">
                            <w:pPr>
                              <w:spacing w:line="240" w:lineRule="auto"/>
                              <w:rPr>
                                <w:color w:val="000000" w:themeColor="text1"/>
                                <w:sz w:val="14"/>
                                <w:szCs w:val="14"/>
                              </w:rPr>
                            </w:pPr>
                            <w:r w:rsidRPr="00A35AAF">
                              <w:rPr>
                                <w:color w:val="000000" w:themeColor="text1"/>
                                <w:sz w:val="14"/>
                                <w:szCs w:val="14"/>
                              </w:rPr>
                              <w:t>Proper shipping name</w:t>
                            </w:r>
                            <w:r w:rsidRPr="00A35AAF">
                              <w:rPr>
                                <w:color w:val="000000" w:themeColor="text1"/>
                                <w:sz w:val="14"/>
                                <w:szCs w:val="14"/>
                              </w:rPr>
                              <w:br/>
                              <w:t>UN Number</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00C5DC5" id="_x0000_s1027" type="#_x0000_t202" style="position:absolute;left:0;text-align:left;margin-left:125.5pt;margin-top:154.3pt;width:99pt;height:18.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" filled="f" stroked="f">
                <v:textbox inset="0,0,0,0">
                  <w:txbxContent>
                    <w:p w14:paraId="30EBA620" w14:textId="77777777" w:rsidR="00CB0F8F" w:rsidRPr="00A35AAF" w:rsidRDefault="00CB0F8F" w:rsidP="00CB0F8F">
                      <w:pPr>
                        <w:spacing w:line="240" w:lineRule="auto"/>
                        <w:rPr>
                          <w:color w:val="000000" w:themeColor="text1"/>
                          <w:sz w:val="14"/>
                          <w:szCs w:val="14"/>
                        </w:rPr>
                      </w:pPr>
                      <w:r w:rsidRPr="00A35AAF">
                        <w:rPr>
                          <w:color w:val="000000" w:themeColor="text1"/>
                          <w:sz w:val="14"/>
                          <w:szCs w:val="14"/>
                        </w:rPr>
                        <w:t>Proper shipping name</w:t>
                      </w:r>
                      <w:r w:rsidRPr="00A35AAF">
                        <w:rPr>
                          <w:color w:val="000000" w:themeColor="text1"/>
                          <w:sz w:val="14"/>
                          <w:szCs w:val="14"/>
                        </w:rPr>
                        <w:br/>
                        <w:t>UN Number</w:t>
                      </w:r>
                    </w:p>
                  </w:txbxContent>
                </v:textbox>
              </v:shape>
            </w:pict>
          </mc:Fallback>
        </mc:AlternateContent>
      </w:r>
      <w:r w:rsidRPr="00A22868">
        <w:rPr>
          <w:noProof/>
        </w:rPr>
        <w:drawing>
          <wp:inline distT="0" distB="0" distL="0" distR="0" wp14:anchorId="42E1998B" wp14:editId="63CC3FD0">
            <wp:extent cx="3548380" cy="29343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8380" cy="2934335"/>
                    </a:xfrm>
                    <a:prstGeom prst="rect">
                      <a:avLst/>
                    </a:prstGeom>
                    <a:noFill/>
                    <a:ln>
                      <a:noFill/>
                    </a:ln>
                  </pic:spPr>
                </pic:pic>
              </a:graphicData>
            </a:graphic>
          </wp:inline>
        </w:drawing>
      </w:r>
    </w:p>
    <w:p w14:paraId="6739452F" w14:textId="77777777" w:rsidR="00CB0F8F" w:rsidRPr="00A22868" w:rsidRDefault="00CB0F8F" w:rsidP="00CB0F8F">
      <w:pPr>
        <w:ind w:left="1134"/>
      </w:pPr>
    </w:p>
    <w:tbl>
      <w:tblPr>
        <w:tblW w:w="6923"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4505"/>
      </w:tblGrid>
      <w:tr w:rsidR="00CB0F8F" w:rsidRPr="00A22868" w14:paraId="7D04ECE2" w14:textId="77777777" w:rsidTr="009D2487">
        <w:tc>
          <w:tcPr>
            <w:tcW w:w="6923" w:type="dxa"/>
            <w:gridSpan w:val="2"/>
            <w:tcBorders>
              <w:top w:val="single" w:sz="24" w:space="0" w:color="auto"/>
              <w:left w:val="single" w:sz="24" w:space="0" w:color="auto"/>
              <w:bottom w:val="nil"/>
              <w:right w:val="single" w:sz="24" w:space="0" w:color="auto"/>
            </w:tcBorders>
          </w:tcPr>
          <w:p w14:paraId="1B1FFD42" w14:textId="77777777" w:rsidR="00CB0F8F" w:rsidRPr="00A22868" w:rsidRDefault="00CB0F8F" w:rsidP="009D2487">
            <w:pPr>
              <w:ind w:right="172"/>
              <w:rPr>
                <w:b/>
                <w:bCs/>
              </w:rPr>
            </w:pPr>
            <w:r w:rsidRPr="00A22868">
              <w:rPr>
                <w:b/>
                <w:bCs/>
              </w:rPr>
              <w:t>Product identifier (see 1.4.10.5.2 (d))</w:t>
            </w:r>
          </w:p>
          <w:p w14:paraId="35439702" w14:textId="77777777" w:rsidR="00CB0F8F" w:rsidRPr="00A22868" w:rsidRDefault="00CB0F8F" w:rsidP="009D2487"/>
        </w:tc>
      </w:tr>
      <w:tr w:rsidR="00CB0F8F" w:rsidRPr="00A22868" w14:paraId="13EDD8BA" w14:textId="77777777" w:rsidTr="009D2487">
        <w:tc>
          <w:tcPr>
            <w:tcW w:w="2418" w:type="dxa"/>
            <w:tcBorders>
              <w:top w:val="nil"/>
              <w:left w:val="single" w:sz="24" w:space="0" w:color="auto"/>
              <w:bottom w:val="nil"/>
              <w:right w:val="nil"/>
            </w:tcBorders>
          </w:tcPr>
          <w:p w14:paraId="41008D0B" w14:textId="77777777" w:rsidR="00CB0F8F" w:rsidRPr="00A22868" w:rsidRDefault="00CB0F8F" w:rsidP="009D2487">
            <w:r w:rsidRPr="00A22868">
              <w:rPr>
                <w:b/>
                <w:bCs/>
                <w:noProof/>
              </w:rPr>
              <mc:AlternateContent>
                <mc:Choice Requires="wpg">
                  <w:drawing>
                    <wp:anchor distT="0" distB="0" distL="114300" distR="114300" simplePos="0" relativeHeight="251697152" behindDoc="1" locked="0" layoutInCell="1" allowOverlap="1" wp14:anchorId="2DB8F1FE" wp14:editId="2B28788A">
                      <wp:simplePos x="0" y="0"/>
                      <wp:positionH relativeFrom="column">
                        <wp:posOffset>245110</wp:posOffset>
                      </wp:positionH>
                      <wp:positionV relativeFrom="paragraph">
                        <wp:posOffset>0</wp:posOffset>
                      </wp:positionV>
                      <wp:extent cx="792000" cy="1580400"/>
                      <wp:effectExtent l="0" t="0" r="8255" b="1270"/>
                      <wp:wrapTight wrapText="bothSides">
                        <wp:wrapPolygon edited="0">
                          <wp:start x="9354" y="0"/>
                          <wp:lineTo x="0" y="5209"/>
                          <wp:lineTo x="0" y="5469"/>
                          <wp:lineTo x="5716" y="8595"/>
                          <wp:lineTo x="5716" y="12762"/>
                          <wp:lineTo x="0" y="15887"/>
                          <wp:lineTo x="0" y="16148"/>
                          <wp:lineTo x="9354" y="21357"/>
                          <wp:lineTo x="11952" y="21357"/>
                          <wp:lineTo x="20266" y="16929"/>
                          <wp:lineTo x="21306" y="15887"/>
                          <wp:lineTo x="15589" y="12762"/>
                          <wp:lineTo x="15589" y="8595"/>
                          <wp:lineTo x="20786" y="5730"/>
                          <wp:lineTo x="21306" y="5209"/>
                          <wp:lineTo x="11952" y="0"/>
                          <wp:lineTo x="9354" y="0"/>
                        </wp:wrapPolygon>
                      </wp:wrapTight>
                      <wp:docPr id="29" name="Group 29"/>
                      <wp:cNvGraphicFramePr/>
                      <a:graphic xmlns:a="http://schemas.openxmlformats.org/drawingml/2006/main">
                        <a:graphicData uri="http://schemas.microsoft.com/office/word/2010/wordprocessingGroup">
                          <wpg:wgp>
                            <wpg:cNvGrpSpPr/>
                            <wpg:grpSpPr>
                              <a:xfrm>
                                <a:off x="0" y="0"/>
                                <a:ext cx="792000" cy="1580400"/>
                                <a:chOff x="0" y="0"/>
                                <a:chExt cx="791845" cy="1581957"/>
                              </a:xfrm>
                            </wpg:grpSpPr>
                            <pic:pic xmlns:pic="http://schemas.openxmlformats.org/drawingml/2006/picture">
                              <pic:nvPicPr>
                                <pic:cNvPr id="27" name="Picture 135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790112"/>
                                  <a:ext cx="791845" cy="791845"/>
                                </a:xfrm>
                                <a:prstGeom prst="rect">
                                  <a:avLst/>
                                </a:prstGeom>
                                <a:noFill/>
                              </pic:spPr>
                            </pic:pic>
                            <pic:pic xmlns:pic="http://schemas.openxmlformats.org/drawingml/2006/picture">
                              <pic:nvPicPr>
                                <pic:cNvPr id="28" name="Picture 1360"/>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E8D4BB2" id="Group 29" o:spid="_x0000_s1026" style="position:absolute;margin-left:19.3pt;margin-top:0;width:62.35pt;height:124.45pt;z-index:-251619328;mso-width-relative:margin;mso-height-relative:margin" coordsize="7918,1581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">
                      <v:shape id="Picture 1351" o:spid="_x0000_s1027" type="#_x0000_t75" style="position:absolute;top:7901;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">
                        <v:imagedata r:id="rId27" o:title=""/>
                      </v:shape>
                      <v:shape id="Picture 1360" o:spid="_x0000_s1028" type="#_x0000_t75" style="position:absolute;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">
                        <v:imagedata r:id="rId28" o:title=""/>
                      </v:shape>
                      <w10:wrap type="tight"/>
                    </v:group>
                  </w:pict>
                </mc:Fallback>
              </mc:AlternateContent>
            </w:r>
          </w:p>
        </w:tc>
        <w:tc>
          <w:tcPr>
            <w:tcW w:w="4500" w:type="dxa"/>
            <w:tcBorders>
              <w:top w:val="nil"/>
              <w:left w:val="nil"/>
              <w:bottom w:val="nil"/>
              <w:right w:val="single" w:sz="24" w:space="0" w:color="auto"/>
            </w:tcBorders>
          </w:tcPr>
          <w:p w14:paraId="4D2FAB0C" w14:textId="77777777" w:rsidR="00CB0F8F" w:rsidRPr="00A22868" w:rsidRDefault="00CB0F8F" w:rsidP="009D2487">
            <w:pPr>
              <w:ind w:left="36"/>
              <w:rPr>
                <w:b/>
                <w:bCs/>
              </w:rPr>
            </w:pPr>
          </w:p>
          <w:p w14:paraId="38C1D336" w14:textId="77777777" w:rsidR="00CB0F8F" w:rsidRPr="00A22868" w:rsidRDefault="00CB0F8F" w:rsidP="009D2487">
            <w:pPr>
              <w:ind w:left="36"/>
              <w:rPr>
                <w:b/>
                <w:bCs/>
              </w:rPr>
            </w:pPr>
          </w:p>
          <w:p w14:paraId="7ED08F03" w14:textId="77777777" w:rsidR="00CB0F8F" w:rsidRPr="00A22868" w:rsidRDefault="00CB0F8F" w:rsidP="009D2487">
            <w:pPr>
              <w:ind w:left="36"/>
              <w:rPr>
                <w:b/>
                <w:bCs/>
              </w:rPr>
            </w:pPr>
          </w:p>
          <w:p w14:paraId="220B6279" w14:textId="77777777" w:rsidR="00CB0F8F" w:rsidRPr="00A22868" w:rsidRDefault="00CB0F8F" w:rsidP="009D2487">
            <w:pPr>
              <w:rPr>
                <w:b/>
                <w:bCs/>
              </w:rPr>
            </w:pPr>
            <w:r w:rsidRPr="00A22868">
              <w:rPr>
                <w:b/>
                <w:bCs/>
              </w:rPr>
              <w:t>SIGNAL WORD (see 1.4.10.5.2 (a))</w:t>
            </w:r>
          </w:p>
          <w:p w14:paraId="29CD8384" w14:textId="77777777" w:rsidR="00CB0F8F" w:rsidRPr="00A22868" w:rsidRDefault="00CB0F8F" w:rsidP="009D2487">
            <w:pPr>
              <w:rPr>
                <w:b/>
                <w:bCs/>
              </w:rPr>
            </w:pPr>
          </w:p>
          <w:p w14:paraId="4C3B2456" w14:textId="77777777" w:rsidR="00CB0F8F" w:rsidRPr="00A22868" w:rsidRDefault="00CB0F8F" w:rsidP="009D2487">
            <w:pPr>
              <w:rPr>
                <w:b/>
                <w:bCs/>
              </w:rPr>
            </w:pPr>
            <w:r w:rsidRPr="00A22868">
              <w:rPr>
                <w:b/>
                <w:bCs/>
              </w:rPr>
              <w:t>Hazard statements (see 1.4.10.5.2 (b))</w:t>
            </w:r>
          </w:p>
        </w:tc>
      </w:tr>
      <w:tr w:rsidR="00CB0F8F" w:rsidRPr="00A22868" w14:paraId="5DD1437A" w14:textId="77777777" w:rsidTr="009D2487">
        <w:tc>
          <w:tcPr>
            <w:tcW w:w="6923" w:type="dxa"/>
            <w:gridSpan w:val="2"/>
            <w:tcBorders>
              <w:top w:val="nil"/>
              <w:left w:val="single" w:sz="24" w:space="0" w:color="auto"/>
              <w:bottom w:val="single" w:sz="24" w:space="0" w:color="auto"/>
              <w:right w:val="single" w:sz="24" w:space="0" w:color="auto"/>
            </w:tcBorders>
          </w:tcPr>
          <w:p w14:paraId="26A0171D" w14:textId="77777777" w:rsidR="00CB0F8F" w:rsidRPr="00A22868" w:rsidRDefault="00CB0F8F" w:rsidP="009D2487">
            <w:pPr>
              <w:spacing w:before="120" w:line="360" w:lineRule="auto"/>
              <w:rPr>
                <w:b/>
                <w:bCs/>
              </w:rPr>
            </w:pPr>
            <w:r w:rsidRPr="00A22868">
              <w:rPr>
                <w:b/>
                <w:bCs/>
              </w:rPr>
              <w:t>Precautionary statements (see 1.4.10.5.2 (c)) and annex 3 sections 2 and 3)</w:t>
            </w:r>
          </w:p>
          <w:p w14:paraId="66A36835" w14:textId="77777777" w:rsidR="00CB0F8F" w:rsidRPr="00A22868" w:rsidRDefault="00CB0F8F" w:rsidP="009D2487">
            <w:pPr>
              <w:spacing w:after="240" w:line="240" w:lineRule="auto"/>
              <w:ind w:left="45" w:hanging="45"/>
            </w:pPr>
            <w:r w:rsidRPr="00A22868">
              <w:tab/>
              <w:t>Supplemental information as allowed or required by the competent authority as appropriate (see 1.4.10.5.4.2).</w:t>
            </w:r>
          </w:p>
          <w:p w14:paraId="25E1ADB2" w14:textId="77777777" w:rsidR="00CB0F8F" w:rsidRPr="00A22868" w:rsidRDefault="00CB0F8F" w:rsidP="009D2487">
            <w:pPr>
              <w:spacing w:after="80" w:line="360" w:lineRule="auto"/>
              <w:rPr>
                <w:b/>
                <w:bCs/>
              </w:rPr>
            </w:pPr>
            <w:r w:rsidRPr="00A22868">
              <w:rPr>
                <w:b/>
                <w:bCs/>
              </w:rPr>
              <w:t>Supplier identification (see 1.4.10.5.2 (e))</w:t>
            </w:r>
          </w:p>
        </w:tc>
      </w:tr>
    </w:tbl>
    <w:p w14:paraId="401699E7" w14:textId="77777777" w:rsidR="00CB0F8F" w:rsidRPr="00A22868" w:rsidRDefault="00CB0F8F" w:rsidP="00CB0F8F">
      <w:pPr>
        <w:pStyle w:val="BodyText3"/>
        <w:tabs>
          <w:tab w:val="left" w:pos="720"/>
          <w:tab w:val="left" w:pos="1080"/>
        </w:tabs>
        <w:ind w:left="1080" w:hanging="1080"/>
        <w:rPr>
          <w:i/>
          <w:iCs/>
        </w:rPr>
      </w:pPr>
    </w:p>
    <w:p w14:paraId="3E1B130D" w14:textId="77777777" w:rsidR="00CB0F8F" w:rsidRPr="00A22868" w:rsidRDefault="00CB0F8F" w:rsidP="008B0608">
      <w:pPr>
        <w:pStyle w:val="BodyText3"/>
        <w:tabs>
          <w:tab w:val="left" w:pos="720"/>
          <w:tab w:val="left" w:pos="1080"/>
        </w:tabs>
        <w:ind w:left="1080" w:right="1134" w:hanging="1080"/>
        <w:rPr>
          <w:i/>
          <w:iCs/>
          <w:sz w:val="20"/>
        </w:rPr>
      </w:pPr>
      <w:r w:rsidRPr="00A22868">
        <w:rPr>
          <w:i/>
          <w:iCs/>
          <w:sz w:val="20"/>
        </w:rPr>
        <w:tab/>
      </w:r>
      <w:r w:rsidRPr="00A22868">
        <w:rPr>
          <w:i/>
          <w:iCs/>
          <w:sz w:val="20"/>
        </w:rPr>
        <w:tab/>
        <w:t>*</w:t>
      </w:r>
      <w:r w:rsidRPr="00A22868">
        <w:rPr>
          <w:i/>
          <w:iCs/>
          <w:sz w:val="20"/>
        </w:rPr>
        <w:tab/>
        <w:t xml:space="preserve">Only the transport markings and labels as specified in the UN Model Regulations are required for outer </w:t>
      </w:r>
      <w:proofErr w:type="spellStart"/>
      <w:r w:rsidRPr="00A22868">
        <w:rPr>
          <w:i/>
          <w:iCs/>
          <w:sz w:val="20"/>
        </w:rPr>
        <w:t>packagings</w:t>
      </w:r>
      <w:proofErr w:type="spellEnd"/>
      <w:r w:rsidRPr="00A22868">
        <w:rPr>
          <w:i/>
          <w:iCs/>
          <w:sz w:val="20"/>
        </w:rPr>
        <w:t>.”.</w:t>
      </w:r>
    </w:p>
    <w:p w14:paraId="0F558A03" w14:textId="74EBBC6E" w:rsidR="00CB0F8F" w:rsidRPr="00A22868" w:rsidRDefault="00CB0F8F" w:rsidP="00CB0F8F">
      <w:pPr>
        <w:spacing w:after="120" w:line="240" w:lineRule="auto"/>
        <w:ind w:left="1418" w:right="425"/>
        <w:rPr>
          <w:b/>
          <w:bCs/>
          <w:i/>
          <w:iCs/>
        </w:rPr>
      </w:pPr>
    </w:p>
    <w:p w14:paraId="5F9C5C6C" w14:textId="77777777" w:rsidR="00CB0F8F" w:rsidRPr="00A22868" w:rsidRDefault="00CB0F8F" w:rsidP="00CB0F8F">
      <w:pPr>
        <w:spacing w:after="240"/>
        <w:ind w:left="1418" w:hanging="338"/>
      </w:pPr>
      <w:r w:rsidRPr="00A22868">
        <w:br w:type="page"/>
      </w:r>
    </w:p>
    <w:p w14:paraId="0C927214" w14:textId="77777777" w:rsidR="00CB0F8F" w:rsidRPr="00A22868" w:rsidRDefault="00CB0F8F" w:rsidP="00CB0F8F">
      <w:pPr>
        <w:pStyle w:val="SingleTxtG"/>
        <w:rPr>
          <w:rStyle w:val="H1GChar"/>
        </w:rPr>
      </w:pPr>
      <w:r w:rsidRPr="008B0608">
        <w:rPr>
          <w:rStyle w:val="H1GChar"/>
        </w:rPr>
        <w:lastRenderedPageBreak/>
        <w:t>Example 3</w:t>
      </w:r>
    </w:p>
    <w:p w14:paraId="692F30BF" w14:textId="5E124CAB" w:rsidR="00CB0F8F" w:rsidRPr="00A22868" w:rsidRDefault="00CB0F8F" w:rsidP="00CB0F8F">
      <w:pPr>
        <w:pStyle w:val="SingleTxtG"/>
      </w:pPr>
      <w:r w:rsidRPr="00A22868">
        <w:t>Replace with the following:</w:t>
      </w:r>
    </w:p>
    <w:p w14:paraId="526DF42A" w14:textId="77777777" w:rsidR="00CB0F8F" w:rsidRPr="00A22868" w:rsidRDefault="00CB0F8F" w:rsidP="008B0608">
      <w:pPr>
        <w:spacing w:after="240"/>
        <w:ind w:left="1134" w:right="1134" w:hanging="54"/>
        <w:jc w:val="both"/>
        <w:rPr>
          <w:b/>
        </w:rPr>
      </w:pPr>
      <w:r w:rsidRPr="00A22868">
        <w:rPr>
          <w:b/>
        </w:rPr>
        <w:t>“Example 3:</w:t>
      </w:r>
      <w:r w:rsidRPr="00A22868">
        <w:rPr>
          <w:b/>
        </w:rPr>
        <w:tab/>
        <w:t xml:space="preserve">Combination packaging for a chemical with the classification: skin corrosion/irritation, Category 2 and serious eye damage/eye irritation, Category 2A </w:t>
      </w:r>
    </w:p>
    <w:p w14:paraId="5F3CD4DC" w14:textId="7F14343A" w:rsidR="00CB0F8F" w:rsidRPr="00A22868" w:rsidRDefault="00CB0F8F" w:rsidP="00CB0F8F">
      <w:pPr>
        <w:ind w:left="1418"/>
      </w:pPr>
      <w:r w:rsidRPr="00A22868">
        <w:t>Outer packaging:  Box with no transport label (not required) *</w:t>
      </w:r>
    </w:p>
    <w:p w14:paraId="3BBEE173" w14:textId="45249BCB" w:rsidR="00CB0F8F" w:rsidRPr="00A22868" w:rsidRDefault="00CB0F8F" w:rsidP="00CB0F8F">
      <w:pPr>
        <w:spacing w:after="240"/>
        <w:ind w:left="1418"/>
      </w:pPr>
      <w:r w:rsidRPr="00A22868">
        <w:t>Inner packaging:  Plastic bottle with GHS label</w:t>
      </w:r>
    </w:p>
    <w:p w14:paraId="24DBD757" w14:textId="77777777" w:rsidR="00CB0F8F" w:rsidRPr="00A22868" w:rsidRDefault="00CB0F8F" w:rsidP="00CB0F8F"/>
    <w:p w14:paraId="20E0E0ED" w14:textId="77777777" w:rsidR="00CB0F8F" w:rsidRPr="00A22868" w:rsidRDefault="00CB0F8F" w:rsidP="00CB0F8F">
      <w:r w:rsidRPr="00A22868">
        <w:rPr>
          <w:noProof/>
        </w:rPr>
        <mc:AlternateContent>
          <mc:Choice Requires="wps">
            <w:drawing>
              <wp:anchor distT="0" distB="0" distL="114300" distR="114300" simplePos="0" relativeHeight="251682816" behindDoc="0" locked="0" layoutInCell="0" allowOverlap="1" wp14:anchorId="4AA502C0" wp14:editId="37675791">
                <wp:simplePos x="0" y="0"/>
                <wp:positionH relativeFrom="column">
                  <wp:posOffset>2910877</wp:posOffset>
                </wp:positionH>
                <wp:positionV relativeFrom="paragraph">
                  <wp:posOffset>2669769</wp:posOffset>
                </wp:positionV>
                <wp:extent cx="289634" cy="639192"/>
                <wp:effectExtent l="0" t="0" r="34290" b="27940"/>
                <wp:wrapNone/>
                <wp:docPr id="1348"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634" cy="639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3BA8" id="Line 131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210.2pt" to="252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" o:allowincell="f"/>
            </w:pict>
          </mc:Fallback>
        </mc:AlternateContent>
      </w:r>
      <w:bookmarkStart w:id="18" w:name="_1093261360"/>
      <w:bookmarkEnd w:id="18"/>
      <w:bookmarkStart w:id="19" w:name="_MON_1101024247"/>
      <w:bookmarkEnd w:id="19"/>
      <w:r w:rsidRPr="00A22868">
        <w:object w:dxaOrig="5386" w:dyaOrig="4801" w14:anchorId="24CDED74">
          <v:shape id="_x0000_i1027" type="#_x0000_t75" style="width:293.2pt;height:240.4pt" o:ole="" fillcolor="window">
            <v:imagedata r:id="rId29" o:title=""/>
          </v:shape>
          <o:OLEObject Type="Embed" ProgID="Word.Picture.8" ShapeID="_x0000_i1027" DrawAspect="Content" ObjectID="_1788246883" r:id="rId30"/>
        </w:object>
      </w:r>
    </w:p>
    <w:p w14:paraId="6E21A00A" w14:textId="77777777" w:rsidR="00CB0F8F" w:rsidRPr="00A22868" w:rsidRDefault="00CB0F8F" w:rsidP="00CB0F8F"/>
    <w:p w14:paraId="1B058577" w14:textId="77777777" w:rsidR="00CB0F8F" w:rsidRPr="00A22868" w:rsidRDefault="00CB0F8F" w:rsidP="00CB0F8F"/>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680"/>
      </w:tblGrid>
      <w:tr w:rsidR="00CB0F8F" w:rsidRPr="00A22868" w14:paraId="6CE2AD4B" w14:textId="77777777" w:rsidTr="009D2487">
        <w:tc>
          <w:tcPr>
            <w:tcW w:w="7740" w:type="dxa"/>
            <w:gridSpan w:val="2"/>
            <w:tcBorders>
              <w:top w:val="single" w:sz="24" w:space="0" w:color="auto"/>
              <w:left w:val="single" w:sz="24" w:space="0" w:color="auto"/>
              <w:bottom w:val="nil"/>
              <w:right w:val="single" w:sz="24" w:space="0" w:color="auto"/>
            </w:tcBorders>
          </w:tcPr>
          <w:p w14:paraId="3DDDD403" w14:textId="77777777" w:rsidR="00CB0F8F" w:rsidRPr="00A22868" w:rsidRDefault="00CB0F8F" w:rsidP="009D2487">
            <w:pPr>
              <w:ind w:right="72"/>
              <w:rPr>
                <w:b/>
                <w:bCs/>
              </w:rPr>
            </w:pPr>
            <w:r w:rsidRPr="00A22868">
              <w:rPr>
                <w:b/>
                <w:bCs/>
              </w:rPr>
              <w:t>Product identifier (see 1.4.10.5.2 (d))</w:t>
            </w:r>
          </w:p>
          <w:p w14:paraId="021B5042" w14:textId="77777777" w:rsidR="00CB0F8F" w:rsidRPr="00A22868" w:rsidRDefault="00CB0F8F" w:rsidP="009D2487"/>
        </w:tc>
      </w:tr>
      <w:tr w:rsidR="00CB0F8F" w:rsidRPr="00A22868" w14:paraId="24723D3F" w14:textId="77777777" w:rsidTr="009D2487">
        <w:tc>
          <w:tcPr>
            <w:tcW w:w="3060" w:type="dxa"/>
            <w:tcBorders>
              <w:top w:val="nil"/>
              <w:left w:val="single" w:sz="24" w:space="0" w:color="auto"/>
              <w:bottom w:val="nil"/>
              <w:right w:val="nil"/>
            </w:tcBorders>
          </w:tcPr>
          <w:p w14:paraId="4F1F14BA" w14:textId="77777777" w:rsidR="00CB0F8F" w:rsidRPr="00A22868" w:rsidRDefault="00CB0F8F" w:rsidP="009D2487">
            <w:r w:rsidRPr="00A22868">
              <w:rPr>
                <w:noProof/>
              </w:rPr>
              <w:drawing>
                <wp:anchor distT="0" distB="0" distL="114300" distR="114300" simplePos="0" relativeHeight="251684864" behindDoc="0" locked="1" layoutInCell="1" allowOverlap="1" wp14:anchorId="12972B06" wp14:editId="4C5A3462">
                  <wp:simplePos x="0" y="0"/>
                  <wp:positionH relativeFrom="column">
                    <wp:posOffset>99060</wp:posOffset>
                  </wp:positionH>
                  <wp:positionV relativeFrom="paragraph">
                    <wp:posOffset>60325</wp:posOffset>
                  </wp:positionV>
                  <wp:extent cx="795655" cy="795655"/>
                  <wp:effectExtent l="0" t="0" r="0" b="0"/>
                  <wp:wrapTopAndBottom/>
                  <wp:docPr id="1610"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pic:spPr>
                      </pic:pic>
                    </a:graphicData>
                  </a:graphic>
                  <wp14:sizeRelH relativeFrom="page">
                    <wp14:pctWidth>0</wp14:pctWidth>
                  </wp14:sizeRelH>
                  <wp14:sizeRelV relativeFrom="page">
                    <wp14:pctHeight>0</wp14:pctHeight>
                  </wp14:sizeRelV>
                </wp:anchor>
              </w:drawing>
            </w:r>
          </w:p>
        </w:tc>
        <w:tc>
          <w:tcPr>
            <w:tcW w:w="4680" w:type="dxa"/>
            <w:tcBorders>
              <w:top w:val="nil"/>
              <w:left w:val="nil"/>
              <w:bottom w:val="nil"/>
              <w:right w:val="single" w:sz="24" w:space="0" w:color="auto"/>
            </w:tcBorders>
          </w:tcPr>
          <w:p w14:paraId="766B0580" w14:textId="77777777" w:rsidR="00CB0F8F" w:rsidRPr="00A22868" w:rsidRDefault="00CB0F8F" w:rsidP="009D2487">
            <w:pPr>
              <w:rPr>
                <w:b/>
                <w:bCs/>
              </w:rPr>
            </w:pPr>
          </w:p>
          <w:p w14:paraId="02BEE8DA" w14:textId="77777777" w:rsidR="00CB0F8F" w:rsidRPr="00A22868" w:rsidRDefault="00CB0F8F" w:rsidP="009D2487">
            <w:pPr>
              <w:rPr>
                <w:b/>
                <w:bCs/>
              </w:rPr>
            </w:pPr>
          </w:p>
          <w:p w14:paraId="70F7B5A7" w14:textId="77777777" w:rsidR="00CB0F8F" w:rsidRPr="00A22868" w:rsidRDefault="00CB0F8F" w:rsidP="009D2487">
            <w:pPr>
              <w:rPr>
                <w:b/>
                <w:bCs/>
              </w:rPr>
            </w:pPr>
            <w:r w:rsidRPr="00A22868">
              <w:rPr>
                <w:b/>
                <w:bCs/>
              </w:rPr>
              <w:t>SIGNAL WORD (see 1.4.10.5.2 (a))</w:t>
            </w:r>
          </w:p>
          <w:p w14:paraId="6A00CC4B" w14:textId="77777777" w:rsidR="00CB0F8F" w:rsidRPr="00A22868" w:rsidRDefault="00CB0F8F" w:rsidP="009D2487">
            <w:pPr>
              <w:rPr>
                <w:b/>
                <w:bCs/>
              </w:rPr>
            </w:pPr>
          </w:p>
          <w:p w14:paraId="3BAA3722" w14:textId="77777777" w:rsidR="00CB0F8F" w:rsidRPr="00A22868" w:rsidRDefault="00CB0F8F" w:rsidP="009D2487">
            <w:pPr>
              <w:rPr>
                <w:b/>
                <w:bCs/>
              </w:rPr>
            </w:pPr>
          </w:p>
          <w:p w14:paraId="0C11DDAF" w14:textId="77777777" w:rsidR="00CB0F8F" w:rsidRPr="00A22868" w:rsidRDefault="00CB0F8F" w:rsidP="009D2487">
            <w:pPr>
              <w:rPr>
                <w:b/>
                <w:bCs/>
              </w:rPr>
            </w:pPr>
            <w:r w:rsidRPr="00A22868">
              <w:rPr>
                <w:b/>
                <w:bCs/>
              </w:rPr>
              <w:t>Hazard statements (see 1.4.10.5.2 (b))</w:t>
            </w:r>
          </w:p>
        </w:tc>
      </w:tr>
      <w:tr w:rsidR="00CB0F8F" w:rsidRPr="00A22868" w14:paraId="2BF78552" w14:textId="77777777" w:rsidTr="009D2487">
        <w:tc>
          <w:tcPr>
            <w:tcW w:w="7740" w:type="dxa"/>
            <w:gridSpan w:val="2"/>
            <w:tcBorders>
              <w:top w:val="nil"/>
              <w:left w:val="single" w:sz="24" w:space="0" w:color="auto"/>
              <w:bottom w:val="single" w:sz="24" w:space="0" w:color="auto"/>
              <w:right w:val="single" w:sz="24" w:space="0" w:color="auto"/>
            </w:tcBorders>
          </w:tcPr>
          <w:p w14:paraId="4DA455FB" w14:textId="77777777" w:rsidR="00CB0F8F" w:rsidRPr="00A22868" w:rsidRDefault="00CB0F8F" w:rsidP="009D2487">
            <w:pPr>
              <w:spacing w:before="120" w:after="240" w:line="240" w:lineRule="auto"/>
              <w:rPr>
                <w:b/>
                <w:bCs/>
                <w:iCs/>
                <w:color w:val="000000" w:themeColor="text1"/>
              </w:rPr>
            </w:pPr>
            <w:r w:rsidRPr="00A22868">
              <w:rPr>
                <w:b/>
                <w:bCs/>
              </w:rPr>
              <w:t xml:space="preserve">Precautionary statements (see 1.4.10.5.2 (c)) </w:t>
            </w:r>
            <w:r w:rsidRPr="00A22868">
              <w:rPr>
                <w:b/>
                <w:bCs/>
                <w:iCs/>
              </w:rPr>
              <w:t xml:space="preserve">and annex 3 sections 2 and 3) </w:t>
            </w:r>
            <w:r w:rsidRPr="00A22868">
              <w:rPr>
                <w:b/>
                <w:bCs/>
                <w:iCs/>
              </w:rPr>
              <w:br/>
            </w:r>
            <w:r w:rsidRPr="00A22868">
              <w:rPr>
                <w:iCs/>
                <w:color w:val="000000" w:themeColor="text1"/>
              </w:rPr>
              <w:t xml:space="preserve">Supplemental information as allowed or required by the competent authority as </w:t>
            </w:r>
            <w:proofErr w:type="gramStart"/>
            <w:r w:rsidRPr="00A22868">
              <w:rPr>
                <w:iCs/>
                <w:color w:val="000000" w:themeColor="text1"/>
              </w:rPr>
              <w:t xml:space="preserve">appropriate </w:t>
            </w:r>
            <w:r w:rsidRPr="00A22868">
              <w:rPr>
                <w:b/>
                <w:bCs/>
                <w:iCs/>
                <w:color w:val="000000" w:themeColor="text1"/>
              </w:rPr>
              <w:t xml:space="preserve"> </w:t>
            </w:r>
            <w:r w:rsidRPr="00A22868">
              <w:rPr>
                <w:iCs/>
                <w:color w:val="000000" w:themeColor="text1"/>
              </w:rPr>
              <w:t>(</w:t>
            </w:r>
            <w:proofErr w:type="gramEnd"/>
            <w:r w:rsidRPr="00A22868">
              <w:rPr>
                <w:iCs/>
                <w:color w:val="000000" w:themeColor="text1"/>
              </w:rPr>
              <w:t>see 1.4.10.5.4.2).</w:t>
            </w:r>
          </w:p>
          <w:p w14:paraId="34834B96" w14:textId="77777777" w:rsidR="00CB0F8F" w:rsidRPr="00A22868" w:rsidRDefault="00CB0F8F" w:rsidP="009D2487">
            <w:pPr>
              <w:spacing w:after="120" w:line="360" w:lineRule="auto"/>
              <w:rPr>
                <w:b/>
                <w:bCs/>
              </w:rPr>
            </w:pPr>
            <w:r w:rsidRPr="00A22868">
              <w:rPr>
                <w:b/>
                <w:bCs/>
              </w:rPr>
              <w:t>Supplier identification (see 1.4.10.5.2 (e))</w:t>
            </w:r>
          </w:p>
        </w:tc>
      </w:tr>
    </w:tbl>
    <w:p w14:paraId="51C26DBC" w14:textId="77777777" w:rsidR="00CB0F8F" w:rsidRPr="00A22868" w:rsidRDefault="00CB0F8F" w:rsidP="00CB0F8F">
      <w:pPr>
        <w:pStyle w:val="BodyText3"/>
        <w:tabs>
          <w:tab w:val="left" w:pos="540"/>
          <w:tab w:val="left" w:pos="1080"/>
        </w:tabs>
        <w:ind w:left="1080" w:hanging="1080"/>
        <w:rPr>
          <w:b/>
          <w:bCs/>
          <w:i/>
          <w:iCs/>
          <w:sz w:val="20"/>
        </w:rPr>
      </w:pPr>
    </w:p>
    <w:p w14:paraId="2AF8A20F" w14:textId="77777777" w:rsidR="00CB0F8F" w:rsidRPr="00A22868" w:rsidRDefault="00CB0F8F" w:rsidP="00CB0F8F">
      <w:pPr>
        <w:pStyle w:val="SingleTxtG"/>
        <w:rPr>
          <w:i/>
          <w:iCs/>
        </w:rPr>
      </w:pPr>
      <w:r w:rsidRPr="00A22868">
        <w:t>*</w:t>
      </w:r>
      <w:r w:rsidRPr="00A22868">
        <w:tab/>
      </w:r>
      <w:r w:rsidRPr="00A22868">
        <w:rPr>
          <w:i/>
          <w:iCs/>
        </w:rPr>
        <w:t>Some competent authorities may require a GHS label on the outer packaging.”.</w:t>
      </w:r>
    </w:p>
    <w:p w14:paraId="575D7817" w14:textId="77777777" w:rsidR="00CB0F8F" w:rsidRPr="00A22868" w:rsidRDefault="00CB0F8F" w:rsidP="00CB0F8F">
      <w:pPr>
        <w:pStyle w:val="BodyText3"/>
        <w:spacing w:after="240"/>
        <w:ind w:left="1418" w:hanging="1418"/>
      </w:pPr>
      <w:r w:rsidRPr="00A22868">
        <w:br w:type="page"/>
      </w:r>
    </w:p>
    <w:p w14:paraId="37D4E731" w14:textId="77777777" w:rsidR="00CB0F8F" w:rsidRPr="00A22868" w:rsidRDefault="00CB0F8F" w:rsidP="00CB0F8F">
      <w:pPr>
        <w:pStyle w:val="SingleTxtG"/>
        <w:rPr>
          <w:rStyle w:val="H1GChar"/>
        </w:rPr>
      </w:pPr>
      <w:r w:rsidRPr="008B0608">
        <w:rPr>
          <w:rStyle w:val="H1GChar"/>
        </w:rPr>
        <w:lastRenderedPageBreak/>
        <w:t>Example 4</w:t>
      </w:r>
    </w:p>
    <w:p w14:paraId="7DB61EA9" w14:textId="28798500" w:rsidR="00CB0F8F" w:rsidRPr="00A22868" w:rsidRDefault="00CB0F8F" w:rsidP="00CB0F8F">
      <w:pPr>
        <w:pStyle w:val="SingleTxtG"/>
      </w:pPr>
      <w:r w:rsidRPr="00A22868">
        <w:t>Replace with the following:</w:t>
      </w:r>
    </w:p>
    <w:p w14:paraId="4EC32DC2" w14:textId="77777777" w:rsidR="00CB0F8F" w:rsidRPr="00A22868" w:rsidRDefault="00CB0F8F" w:rsidP="008B0608">
      <w:pPr>
        <w:pStyle w:val="BodyText3"/>
        <w:tabs>
          <w:tab w:val="clear" w:pos="1701"/>
          <w:tab w:val="clear" w:pos="2268"/>
          <w:tab w:val="left" w:pos="2410"/>
        </w:tabs>
        <w:spacing w:after="240"/>
        <w:ind w:left="1134" w:right="1134"/>
        <w:rPr>
          <w:b/>
          <w:sz w:val="20"/>
        </w:rPr>
      </w:pPr>
      <w:r w:rsidRPr="00A22868">
        <w:rPr>
          <w:b/>
          <w:sz w:val="20"/>
        </w:rPr>
        <w:t>“Example 4:</w:t>
      </w:r>
      <w:r w:rsidRPr="00A22868">
        <w:rPr>
          <w:b/>
          <w:sz w:val="20"/>
        </w:rPr>
        <w:tab/>
        <w:t xml:space="preserve">Single packaging (for example a </w:t>
      </w:r>
      <w:proofErr w:type="gramStart"/>
      <w:r w:rsidRPr="00A22868">
        <w:rPr>
          <w:b/>
          <w:sz w:val="20"/>
        </w:rPr>
        <w:t xml:space="preserve">200 </w:t>
      </w:r>
      <w:r w:rsidRPr="00A22868">
        <w:rPr>
          <w:b/>
          <w:i/>
          <w:iCs/>
          <w:sz w:val="20"/>
        </w:rPr>
        <w:t>l</w:t>
      </w:r>
      <w:proofErr w:type="gramEnd"/>
      <w:r w:rsidRPr="00A22868">
        <w:rPr>
          <w:b/>
          <w:sz w:val="20"/>
        </w:rPr>
        <w:t xml:space="preserve"> drum) for a chemical with the classification flammable liquids, Category 2</w:t>
      </w:r>
    </w:p>
    <w:p w14:paraId="30BF48C3" w14:textId="77777777" w:rsidR="00CB0F8F" w:rsidRPr="00A22868" w:rsidRDefault="00CB0F8F" w:rsidP="00CB0F8F">
      <w:pPr>
        <w:tabs>
          <w:tab w:val="left" w:pos="1134"/>
          <w:tab w:val="left" w:pos="1701"/>
          <w:tab w:val="left" w:pos="2268"/>
          <w:tab w:val="left" w:pos="2835"/>
          <w:tab w:val="left" w:pos="3402"/>
        </w:tabs>
        <w:spacing w:after="160"/>
      </w:pPr>
      <w:r w:rsidRPr="00A22868">
        <w:rPr>
          <w:noProof/>
        </w:rPr>
        <mc:AlternateContent>
          <mc:Choice Requires="wpg">
            <w:drawing>
              <wp:anchor distT="0" distB="0" distL="114300" distR="114300" simplePos="0" relativeHeight="251687936" behindDoc="0" locked="0" layoutInCell="1" allowOverlap="1" wp14:anchorId="3B987E13" wp14:editId="64297D03">
                <wp:simplePos x="0" y="0"/>
                <wp:positionH relativeFrom="column">
                  <wp:posOffset>807517</wp:posOffset>
                </wp:positionH>
                <wp:positionV relativeFrom="paragraph">
                  <wp:posOffset>256552</wp:posOffset>
                </wp:positionV>
                <wp:extent cx="3200400" cy="3665855"/>
                <wp:effectExtent l="0" t="0" r="19050" b="29845"/>
                <wp:wrapNone/>
                <wp:docPr id="303" name="Group 1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3665855"/>
                          <a:chOff x="1314" y="1800"/>
                          <a:chExt cx="5040" cy="5773"/>
                        </a:xfrm>
                      </wpg:grpSpPr>
                      <wps:wsp>
                        <wps:cNvPr id="304" name="Rectangle 1340"/>
                        <wps:cNvSpPr>
                          <a:spLocks noChangeArrowheads="1"/>
                        </wps:cNvSpPr>
                        <wps:spPr bwMode="auto">
                          <a:xfrm>
                            <a:off x="1494" y="1800"/>
                            <a:ext cx="2880" cy="5040"/>
                          </a:xfrm>
                          <a:prstGeom prst="rect">
                            <a:avLst/>
                          </a:prstGeom>
                          <a:solidFill>
                            <a:srgbClr val="FFFFFF"/>
                          </a:solidFill>
                          <a:ln w="9525">
                            <a:solidFill>
                              <a:srgbClr val="000000"/>
                            </a:solidFill>
                            <a:miter lim="800000"/>
                            <a:headEnd/>
                            <a:tailEnd/>
                          </a:ln>
                        </wps:spPr>
                        <wps:txbx>
                          <w:txbxContent>
                            <w:p w14:paraId="5B50F33D" w14:textId="77777777" w:rsidR="00CB0F8F" w:rsidRDefault="00CB0F8F" w:rsidP="00CB0F8F"/>
                          </w:txbxContent>
                        </wps:txbx>
                        <wps:bodyPr rot="0" vert="horz" wrap="square" lIns="91440" tIns="45720" rIns="91440" bIns="45720" anchor="t" anchorCtr="0" upright="1">
                          <a:noAutofit/>
                        </wps:bodyPr>
                      </wps:wsp>
                      <wps:wsp>
                        <wps:cNvPr id="305" name="Rectangle 1341"/>
                        <wps:cNvSpPr>
                          <a:spLocks noChangeArrowheads="1"/>
                        </wps:cNvSpPr>
                        <wps:spPr bwMode="auto">
                          <a:xfrm>
                            <a:off x="1314" y="1800"/>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1342"/>
                        <wps:cNvSpPr>
                          <a:spLocks noChangeArrowheads="1"/>
                        </wps:cNvSpPr>
                        <wps:spPr bwMode="auto">
                          <a:xfrm>
                            <a:off x="1314" y="2880"/>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1343"/>
                        <wps:cNvSpPr>
                          <a:spLocks noChangeArrowheads="1"/>
                        </wps:cNvSpPr>
                        <wps:spPr bwMode="auto">
                          <a:xfrm>
                            <a:off x="1314" y="5760"/>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8" name="Rectangle 1344"/>
                        <wps:cNvSpPr>
                          <a:spLocks noChangeArrowheads="1"/>
                        </wps:cNvSpPr>
                        <wps:spPr bwMode="auto">
                          <a:xfrm>
                            <a:off x="1314" y="6714"/>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AutoShape 1345"/>
                        <wps:cNvSpPr>
                          <a:spLocks noChangeArrowheads="1"/>
                        </wps:cNvSpPr>
                        <wps:spPr bwMode="auto">
                          <a:xfrm>
                            <a:off x="2409" y="3967"/>
                            <a:ext cx="900" cy="89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1346"/>
                        <wps:cNvSpPr>
                          <a:spLocks noChangeArrowheads="1"/>
                        </wps:cNvSpPr>
                        <wps:spPr bwMode="auto">
                          <a:xfrm>
                            <a:off x="2124" y="4972"/>
                            <a:ext cx="1440" cy="6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Text Box 1347"/>
                        <wps:cNvSpPr txBox="1">
                          <a:spLocks noChangeArrowheads="1"/>
                        </wps:cNvSpPr>
                        <wps:spPr bwMode="auto">
                          <a:xfrm>
                            <a:off x="1674" y="3268"/>
                            <a:ext cx="27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04E4A" w14:textId="77777777" w:rsidR="00CB0F8F" w:rsidRDefault="00CB0F8F" w:rsidP="00CB0F8F">
                              <w:pPr>
                                <w:rPr>
                                  <w:b/>
                                </w:rPr>
                              </w:pPr>
                              <w:r>
                                <w:rPr>
                                  <w:b/>
                                </w:rPr>
                                <w:t>Proper shipping name</w:t>
                              </w:r>
                            </w:p>
                            <w:p w14:paraId="7A1852A2" w14:textId="77777777" w:rsidR="00CB0F8F" w:rsidRDefault="00CB0F8F" w:rsidP="00CB0F8F">
                              <w:r>
                                <w:rPr>
                                  <w:b/>
                                </w:rPr>
                                <w:t>UN number</w:t>
                              </w:r>
                            </w:p>
                          </w:txbxContent>
                        </wps:txbx>
                        <wps:bodyPr rot="0" vert="horz" wrap="square" lIns="91440" tIns="10800" rIns="91440" bIns="10800" anchor="t" anchorCtr="0" upright="1">
                          <a:noAutofit/>
                        </wps:bodyPr>
                      </wps:wsp>
                      <wps:wsp>
                        <wps:cNvPr id="312" name="Line 1348"/>
                        <wps:cNvCnPr>
                          <a:cxnSpLocks noChangeShapeType="1"/>
                        </wps:cNvCnPr>
                        <wps:spPr bwMode="auto">
                          <a:xfrm flipV="1">
                            <a:off x="3114" y="3088"/>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349"/>
                        <wps:cNvCnPr>
                          <a:cxnSpLocks noChangeShapeType="1"/>
                        </wps:cNvCnPr>
                        <wps:spPr bwMode="auto">
                          <a:xfrm>
                            <a:off x="3114" y="5400"/>
                            <a:ext cx="2351" cy="2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87E13" id="Group 1339" o:spid="_x0000_s1028" style="position:absolute;margin-left:63.6pt;margin-top:20.2pt;width:252pt;height:288.65pt;z-index:251687936" coordorigin="1314,1800" coordsize="5040,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">
                <v:rect id="Rectangle 1340" o:spid="_x0000_s1029" style="position:absolute;left:1494;top:1800;width:28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dwxAAAANwAAAAPAAAAZHJzL2Rvd25yZXYueG1sRI9BawIx&#10;FITvBf9DeIK3mlRL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JRQF3DEAAAA3AAAAA8A&#10;AAAAAAAAAAAAAAAABwIAAGRycy9kb3ducmV2LnhtbFBLBQYAAAAAAwADALcAAAD4AgAAAAA=&#10;">
                  <v:textbox>
                    <w:txbxContent>
                      <w:p w14:paraId="5B50F33D" w14:textId="77777777" w:rsidR="00CB0F8F" w:rsidRDefault="00CB0F8F" w:rsidP="00CB0F8F"/>
                    </w:txbxContent>
                  </v:textbox>
                </v:rect>
                <v:rect id="Rectangle 1341" o:spid="_x0000_s1030" style="position:absolute;left:1314;top:1800;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"/>
                <v:rect id="Rectangle 1342" o:spid="_x0000_s1031" style="position:absolute;left:1314;top:2880;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"/>
                <v:rect id="Rectangle 1343" o:spid="_x0000_s1032" style="position:absolute;left:1314;top:5760;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"/>
                <v:rect id="Rectangle 1344" o:spid="_x0000_s1033" style="position:absolute;left:1314;top:6714;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"/>
                <v:shapetype id="_x0000_t4" coordsize="21600,21600" o:spt="4" path="m10800,l,10800,10800,21600,21600,10800xe">
                  <v:stroke joinstyle="miter"/>
                  <v:path gradientshapeok="t" o:connecttype="rect" textboxrect="5400,5400,16200,16200"/>
                </v:shapetype>
                <v:shape id="AutoShape 1345" o:spid="_x0000_s1034" type="#_x0000_t4" style="position:absolute;left:2409;top:3967;width:900;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"/>
                <v:rect id="Rectangle 1346" o:spid="_x0000_s1035" style="position:absolute;left:2124;top:4972;width:144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shape id="Text Box 1347" o:spid="_x0000_s1036" type="#_x0000_t202" style="position:absolute;left:1674;top:3268;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" stroked="f">
                  <v:textbox inset=",.3mm,,.3mm">
                    <w:txbxContent>
                      <w:p w14:paraId="4B904E4A" w14:textId="77777777" w:rsidR="00CB0F8F" w:rsidRDefault="00CB0F8F" w:rsidP="00CB0F8F">
                        <w:pPr>
                          <w:rPr>
                            <w:b/>
                          </w:rPr>
                        </w:pPr>
                        <w:r>
                          <w:rPr>
                            <w:b/>
                          </w:rPr>
                          <w:t>Proper shipping name</w:t>
                        </w:r>
                      </w:p>
                      <w:p w14:paraId="7A1852A2" w14:textId="77777777" w:rsidR="00CB0F8F" w:rsidRDefault="00CB0F8F" w:rsidP="00CB0F8F">
                        <w:r>
                          <w:rPr>
                            <w:b/>
                          </w:rPr>
                          <w:t>UN number</w:t>
                        </w:r>
                      </w:p>
                    </w:txbxContent>
                  </v:textbox>
                </v:shape>
                <v:line id="Line 1348" o:spid="_x0000_s1037" style="position:absolute;flip:y;visibility:visible;mso-wrap-style:square" from="3114,3088" to="6354,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"/>
                <v:line id="Line 1349" o:spid="_x0000_s1038" style="position:absolute;visibility:visible;mso-wrap-style:square" from="3114,5400" to="5465,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v:group>
            </w:pict>
          </mc:Fallback>
        </mc:AlternateContent>
      </w:r>
      <w:r w:rsidRPr="00A22868">
        <w:rPr>
          <w:noProof/>
        </w:rPr>
        <w:drawing>
          <wp:anchor distT="0" distB="0" distL="114300" distR="114300" simplePos="0" relativeHeight="251685888" behindDoc="0" locked="1" layoutInCell="1" allowOverlap="1" wp14:anchorId="26ADBB53" wp14:editId="71F833D2">
            <wp:simplePos x="0" y="0"/>
            <wp:positionH relativeFrom="column">
              <wp:posOffset>4008120</wp:posOffset>
            </wp:positionH>
            <wp:positionV relativeFrom="paragraph">
              <wp:posOffset>115570</wp:posOffset>
            </wp:positionV>
            <wp:extent cx="1367790" cy="1367790"/>
            <wp:effectExtent l="0" t="0" r="0" b="0"/>
            <wp:wrapTopAndBottom/>
            <wp:docPr id="1609"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page">
              <wp14:pctWidth>0</wp14:pctWidth>
            </wp14:sizeRelH>
            <wp14:sizeRelV relativeFrom="page">
              <wp14:pctHeight>0</wp14:pctHeight>
            </wp14:sizeRelV>
          </wp:anchor>
        </w:drawing>
      </w:r>
    </w:p>
    <w:p w14:paraId="35574026" w14:textId="77777777" w:rsidR="00CB0F8F" w:rsidRPr="00A22868" w:rsidRDefault="00CB0F8F" w:rsidP="00CB0F8F">
      <w:pPr>
        <w:tabs>
          <w:tab w:val="left" w:pos="1134"/>
          <w:tab w:val="left" w:pos="1701"/>
          <w:tab w:val="left" w:pos="2268"/>
          <w:tab w:val="left" w:pos="2835"/>
          <w:tab w:val="left" w:pos="3402"/>
        </w:tabs>
        <w:spacing w:after="160"/>
        <w:jc w:val="center"/>
      </w:pPr>
    </w:p>
    <w:p w14:paraId="6F44CD70" w14:textId="77777777" w:rsidR="00CB0F8F" w:rsidRPr="00A22868" w:rsidRDefault="00CB0F8F" w:rsidP="00CB0F8F">
      <w:pPr>
        <w:tabs>
          <w:tab w:val="left" w:pos="1134"/>
          <w:tab w:val="left" w:pos="1701"/>
          <w:tab w:val="left" w:pos="2268"/>
          <w:tab w:val="left" w:pos="2835"/>
          <w:tab w:val="left" w:pos="3402"/>
        </w:tabs>
        <w:spacing w:after="160"/>
        <w:jc w:val="center"/>
      </w:pPr>
    </w:p>
    <w:p w14:paraId="3D8A4783" w14:textId="77777777" w:rsidR="00CB0F8F" w:rsidRPr="00A22868" w:rsidRDefault="00CB0F8F" w:rsidP="00CB0F8F">
      <w:pPr>
        <w:tabs>
          <w:tab w:val="left" w:pos="1134"/>
          <w:tab w:val="left" w:pos="1701"/>
          <w:tab w:val="left" w:pos="2268"/>
          <w:tab w:val="left" w:pos="2835"/>
          <w:tab w:val="left" w:pos="3402"/>
        </w:tabs>
        <w:spacing w:after="160"/>
        <w:jc w:val="center"/>
      </w:pPr>
    </w:p>
    <w:p w14:paraId="7CE62FF2" w14:textId="77777777" w:rsidR="00CB0F8F" w:rsidRPr="00A22868" w:rsidRDefault="00CB0F8F" w:rsidP="00CB0F8F">
      <w:pPr>
        <w:tabs>
          <w:tab w:val="left" w:pos="1134"/>
          <w:tab w:val="left" w:pos="1701"/>
          <w:tab w:val="left" w:pos="2268"/>
          <w:tab w:val="left" w:pos="2835"/>
          <w:tab w:val="left" w:pos="3402"/>
        </w:tabs>
        <w:spacing w:after="160"/>
        <w:jc w:val="center"/>
      </w:pPr>
    </w:p>
    <w:p w14:paraId="25CA626F" w14:textId="77777777" w:rsidR="00CB0F8F" w:rsidRPr="00A22868" w:rsidRDefault="00CB0F8F" w:rsidP="00CB0F8F">
      <w:pPr>
        <w:tabs>
          <w:tab w:val="left" w:pos="1134"/>
          <w:tab w:val="left" w:pos="1701"/>
          <w:tab w:val="left" w:pos="2268"/>
          <w:tab w:val="left" w:pos="2835"/>
          <w:tab w:val="left" w:pos="3402"/>
        </w:tabs>
        <w:spacing w:after="160"/>
        <w:jc w:val="center"/>
      </w:pPr>
    </w:p>
    <w:p w14:paraId="602EF831" w14:textId="77777777" w:rsidR="00CB0F8F" w:rsidRPr="00A22868" w:rsidRDefault="00CB0F8F" w:rsidP="00CB0F8F">
      <w:pPr>
        <w:tabs>
          <w:tab w:val="left" w:pos="1134"/>
          <w:tab w:val="left" w:pos="1701"/>
          <w:tab w:val="left" w:pos="2268"/>
          <w:tab w:val="left" w:pos="2835"/>
          <w:tab w:val="left" w:pos="3402"/>
        </w:tabs>
        <w:spacing w:after="160"/>
        <w:jc w:val="center"/>
      </w:pPr>
    </w:p>
    <w:p w14:paraId="04F44EAA" w14:textId="77777777" w:rsidR="00CB0F8F" w:rsidRPr="00A22868" w:rsidRDefault="00CB0F8F" w:rsidP="00CB0F8F">
      <w:pPr>
        <w:tabs>
          <w:tab w:val="left" w:pos="1134"/>
          <w:tab w:val="left" w:pos="1701"/>
          <w:tab w:val="left" w:pos="2268"/>
          <w:tab w:val="left" w:pos="2835"/>
          <w:tab w:val="left" w:pos="3402"/>
        </w:tabs>
        <w:spacing w:after="160"/>
        <w:jc w:val="center"/>
      </w:pPr>
    </w:p>
    <w:p w14:paraId="2B7A8196" w14:textId="77777777" w:rsidR="00CB0F8F" w:rsidRPr="00A22868" w:rsidRDefault="00CB0F8F" w:rsidP="00CB0F8F">
      <w:pPr>
        <w:tabs>
          <w:tab w:val="left" w:pos="1134"/>
          <w:tab w:val="left" w:pos="1701"/>
          <w:tab w:val="left" w:pos="2268"/>
          <w:tab w:val="left" w:pos="2835"/>
          <w:tab w:val="left" w:pos="3402"/>
        </w:tabs>
        <w:spacing w:after="160"/>
        <w:jc w:val="center"/>
      </w:pPr>
    </w:p>
    <w:tbl>
      <w:tblPr>
        <w:tblStyle w:val="TableGrid"/>
        <w:tblW w:w="0" w:type="auto"/>
        <w:tblInd w:w="146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09"/>
        <w:gridCol w:w="4304"/>
      </w:tblGrid>
      <w:tr w:rsidR="00CB0F8F" w:rsidRPr="00A22868" w14:paraId="079FC964" w14:textId="77777777" w:rsidTr="009D2487">
        <w:tc>
          <w:tcPr>
            <w:tcW w:w="7513" w:type="dxa"/>
            <w:gridSpan w:val="2"/>
          </w:tcPr>
          <w:p w14:paraId="15CA2951" w14:textId="77777777" w:rsidR="00CB0F8F" w:rsidRPr="008B0608" w:rsidRDefault="00CB0F8F" w:rsidP="009D2487">
            <w:pPr>
              <w:spacing w:before="40" w:after="40" w:line="240" w:lineRule="auto"/>
              <w:ind w:left="92" w:right="74"/>
              <w:rPr>
                <w:lang w:val="en-GB"/>
              </w:rPr>
            </w:pPr>
            <w:r w:rsidRPr="00A22868">
              <w:rPr>
                <w:b/>
                <w:bCs/>
              </w:rPr>
              <w:t>Product identifier (see 1.4.10.5.2 (d))</w:t>
            </w:r>
          </w:p>
        </w:tc>
      </w:tr>
      <w:tr w:rsidR="00CB0F8F" w:rsidRPr="00A22868" w14:paraId="4C25C39C" w14:textId="77777777" w:rsidTr="009D2487">
        <w:tc>
          <w:tcPr>
            <w:tcW w:w="3209" w:type="dxa"/>
          </w:tcPr>
          <w:p w14:paraId="17FDC750" w14:textId="77777777" w:rsidR="00CB0F8F" w:rsidRPr="008B0608" w:rsidRDefault="00CB0F8F" w:rsidP="009D2487">
            <w:pPr>
              <w:ind w:left="92"/>
              <w:jc w:val="center"/>
              <w:rPr>
                <w:lang w:val="en-GB"/>
              </w:rPr>
            </w:pPr>
          </w:p>
        </w:tc>
        <w:tc>
          <w:tcPr>
            <w:tcW w:w="4304" w:type="dxa"/>
          </w:tcPr>
          <w:p w14:paraId="7DD41490" w14:textId="77777777" w:rsidR="00CB0F8F" w:rsidRPr="008B0608" w:rsidRDefault="00CB0F8F" w:rsidP="009D2487">
            <w:pPr>
              <w:ind w:left="92"/>
              <w:jc w:val="center"/>
              <w:rPr>
                <w:lang w:val="en-GB"/>
              </w:rPr>
            </w:pPr>
          </w:p>
        </w:tc>
      </w:tr>
      <w:tr w:rsidR="00CB0F8F" w:rsidRPr="00A22868" w14:paraId="139881A5" w14:textId="77777777" w:rsidTr="009D2487">
        <w:trPr>
          <w:trHeight w:val="1140"/>
        </w:trPr>
        <w:tc>
          <w:tcPr>
            <w:tcW w:w="3209" w:type="dxa"/>
          </w:tcPr>
          <w:p w14:paraId="5FCE15B5" w14:textId="77777777" w:rsidR="00CB0F8F" w:rsidRPr="008B0608" w:rsidRDefault="00CB0F8F" w:rsidP="009D2487">
            <w:pPr>
              <w:ind w:left="92"/>
              <w:jc w:val="center"/>
              <w:rPr>
                <w:lang w:val="en-GB"/>
              </w:rPr>
            </w:pPr>
          </w:p>
        </w:tc>
        <w:tc>
          <w:tcPr>
            <w:tcW w:w="4304" w:type="dxa"/>
          </w:tcPr>
          <w:p w14:paraId="00239906" w14:textId="77777777" w:rsidR="00CB0F8F" w:rsidRPr="008B0608" w:rsidRDefault="00CB0F8F" w:rsidP="009D2487">
            <w:pPr>
              <w:ind w:left="92"/>
              <w:rPr>
                <w:b/>
                <w:bCs/>
                <w:lang w:val="en-GB"/>
              </w:rPr>
            </w:pPr>
          </w:p>
          <w:p w14:paraId="70B22D9B" w14:textId="77777777" w:rsidR="00CB0F8F" w:rsidRPr="008B0608" w:rsidRDefault="00CB0F8F" w:rsidP="009D2487">
            <w:pPr>
              <w:ind w:left="92"/>
              <w:rPr>
                <w:b/>
                <w:bCs/>
                <w:lang w:val="en-GB"/>
              </w:rPr>
            </w:pPr>
            <w:r w:rsidRPr="00A22868">
              <w:rPr>
                <w:b/>
                <w:bCs/>
              </w:rPr>
              <w:t>SIGNAL WORD (see 1.4.10.5.2 (a))</w:t>
            </w:r>
          </w:p>
          <w:p w14:paraId="7E8C7683" w14:textId="77777777" w:rsidR="00CB0F8F" w:rsidRPr="008B0608" w:rsidRDefault="00CB0F8F" w:rsidP="009D2487">
            <w:pPr>
              <w:ind w:left="92"/>
              <w:rPr>
                <w:b/>
                <w:bCs/>
                <w:lang w:val="en-GB"/>
              </w:rPr>
            </w:pPr>
          </w:p>
          <w:p w14:paraId="6DAB7AB2" w14:textId="77777777" w:rsidR="00CB0F8F" w:rsidRPr="008B0608" w:rsidRDefault="00CB0F8F" w:rsidP="009D2487">
            <w:pPr>
              <w:ind w:left="92"/>
              <w:rPr>
                <w:b/>
                <w:bCs/>
                <w:lang w:val="en-GB"/>
              </w:rPr>
            </w:pPr>
          </w:p>
          <w:p w14:paraId="668EE949" w14:textId="77777777" w:rsidR="00CB0F8F" w:rsidRPr="008B0608" w:rsidRDefault="00CB0F8F" w:rsidP="009D2487">
            <w:pPr>
              <w:ind w:left="92"/>
              <w:rPr>
                <w:lang w:val="en-GB"/>
              </w:rPr>
            </w:pPr>
            <w:r w:rsidRPr="00A22868">
              <w:rPr>
                <w:b/>
                <w:bCs/>
              </w:rPr>
              <w:t>Hazard statements (see 1.4.10.5.2 (b))</w:t>
            </w:r>
          </w:p>
        </w:tc>
      </w:tr>
      <w:tr w:rsidR="00CB0F8F" w:rsidRPr="00A22868" w14:paraId="0142625A" w14:textId="77777777" w:rsidTr="009D2487">
        <w:tc>
          <w:tcPr>
            <w:tcW w:w="7513" w:type="dxa"/>
            <w:gridSpan w:val="2"/>
          </w:tcPr>
          <w:p w14:paraId="5CB24E89" w14:textId="77777777" w:rsidR="00CB0F8F" w:rsidRPr="008B0608" w:rsidRDefault="00CB0F8F" w:rsidP="009D2487">
            <w:pPr>
              <w:spacing w:before="120" w:after="240" w:line="240" w:lineRule="auto"/>
              <w:ind w:left="92"/>
              <w:rPr>
                <w:b/>
                <w:bCs/>
                <w:lang w:val="en-GB"/>
              </w:rPr>
            </w:pPr>
            <w:r w:rsidRPr="008B0608">
              <w:rPr>
                <w:b/>
                <w:bCs/>
              </w:rPr>
              <w:t>Precautionary statements (see 1.4.10.5.2 (c) and annex 3 sections 2 and 3)</w:t>
            </w:r>
          </w:p>
          <w:p w14:paraId="3F7BD56E" w14:textId="77777777" w:rsidR="00CB0F8F" w:rsidRPr="008B0608" w:rsidRDefault="00CB0F8F" w:rsidP="009D2487">
            <w:pPr>
              <w:tabs>
                <w:tab w:val="left" w:pos="252"/>
              </w:tabs>
              <w:spacing w:line="240" w:lineRule="auto"/>
              <w:ind w:left="92" w:hanging="28"/>
              <w:rPr>
                <w:lang w:val="en-GB"/>
              </w:rPr>
            </w:pPr>
            <w:r w:rsidRPr="008B0608">
              <w:t>Supplemental information as allowed or required by the competent</w:t>
            </w:r>
          </w:p>
          <w:p w14:paraId="0CB7B9E0" w14:textId="77777777" w:rsidR="00CB0F8F" w:rsidRPr="008B0608" w:rsidRDefault="00CB0F8F" w:rsidP="009D2487">
            <w:pPr>
              <w:tabs>
                <w:tab w:val="left" w:pos="252"/>
              </w:tabs>
              <w:spacing w:line="240" w:lineRule="auto"/>
              <w:ind w:left="92" w:hanging="28"/>
              <w:rPr>
                <w:lang w:val="en-GB"/>
              </w:rPr>
            </w:pPr>
            <w:r w:rsidRPr="008B0608">
              <w:t xml:space="preserve">authority as appropriate </w:t>
            </w:r>
            <w:r w:rsidRPr="00A922A8">
              <w:t>(see 1.4.10.5.4.2).</w:t>
            </w:r>
          </w:p>
          <w:p w14:paraId="7F6282D7" w14:textId="77777777" w:rsidR="00CB0F8F" w:rsidRPr="008B0608" w:rsidRDefault="00CB0F8F" w:rsidP="009D2487">
            <w:pPr>
              <w:spacing w:before="120" w:after="240" w:line="240" w:lineRule="auto"/>
              <w:ind w:left="92" w:hanging="28"/>
              <w:rPr>
                <w:lang w:val="en-GB"/>
              </w:rPr>
            </w:pPr>
            <w:r w:rsidRPr="008B0608">
              <w:rPr>
                <w:b/>
                <w:bCs/>
              </w:rPr>
              <w:t>Supplier identification (see 1.4.10.5.2 (e))</w:t>
            </w:r>
          </w:p>
        </w:tc>
      </w:tr>
    </w:tbl>
    <w:p w14:paraId="6AC3CE11" w14:textId="77777777" w:rsidR="00CB0F8F" w:rsidRPr="00A22868" w:rsidRDefault="00CB0F8F" w:rsidP="00CB0F8F">
      <w:pPr>
        <w:tabs>
          <w:tab w:val="left" w:pos="1134"/>
          <w:tab w:val="left" w:pos="1701"/>
          <w:tab w:val="left" w:pos="2268"/>
          <w:tab w:val="left" w:pos="2835"/>
          <w:tab w:val="left" w:pos="3402"/>
        </w:tabs>
        <w:spacing w:after="160"/>
        <w:jc w:val="center"/>
      </w:pPr>
    </w:p>
    <w:p w14:paraId="74C544EE" w14:textId="77777777" w:rsidR="00CB0F8F" w:rsidRPr="00A22868" w:rsidRDefault="00CB0F8F" w:rsidP="008B0608">
      <w:pPr>
        <w:pStyle w:val="BodyText3"/>
        <w:spacing w:before="240" w:after="60"/>
        <w:ind w:left="1134" w:right="1134"/>
        <w:rPr>
          <w:i/>
          <w:iCs/>
          <w:sz w:val="20"/>
        </w:rPr>
      </w:pPr>
      <w:r w:rsidRPr="00A22868">
        <w:rPr>
          <w:b/>
          <w:bCs/>
          <w:i/>
          <w:iCs/>
          <w:sz w:val="20"/>
        </w:rPr>
        <w:t>Note:</w:t>
      </w:r>
      <w:r w:rsidRPr="00A22868">
        <w:rPr>
          <w:i/>
          <w:iCs/>
          <w:sz w:val="20"/>
        </w:rPr>
        <w:t xml:space="preserve"> The GHS label and the Class 3 flammable liquid pictogram (commonly referred to as label in transport regulations, see 1.4.10.4) as well as any other markings required by the UN Model Regulations may also be presented in a combined format (see also example 7).”.</w:t>
      </w:r>
    </w:p>
    <w:p w14:paraId="4CCAD8D2" w14:textId="77777777" w:rsidR="00CB0F8F" w:rsidRPr="00A22868" w:rsidRDefault="00CB0F8F" w:rsidP="00CB0F8F">
      <w:pPr>
        <w:spacing w:after="160"/>
        <w:ind w:left="1418" w:hanging="1418"/>
      </w:pPr>
      <w:r w:rsidRPr="00A22868">
        <w:br w:type="page"/>
      </w:r>
    </w:p>
    <w:p w14:paraId="1CECC9AE" w14:textId="77777777" w:rsidR="00CB0F8F" w:rsidRPr="00A22868" w:rsidRDefault="00CB0F8F" w:rsidP="00CB0F8F">
      <w:pPr>
        <w:pStyle w:val="SingleTxtG"/>
        <w:rPr>
          <w:rStyle w:val="H1GChar"/>
        </w:rPr>
      </w:pPr>
      <w:r w:rsidRPr="008B0608">
        <w:rPr>
          <w:rStyle w:val="H1GChar"/>
        </w:rPr>
        <w:lastRenderedPageBreak/>
        <w:t>Example 5</w:t>
      </w:r>
    </w:p>
    <w:p w14:paraId="4301E670" w14:textId="58F02B10" w:rsidR="00CB0F8F" w:rsidRPr="00A22868" w:rsidRDefault="00CB0F8F" w:rsidP="00CB0F8F">
      <w:pPr>
        <w:pStyle w:val="SingleTxtG"/>
      </w:pPr>
      <w:r w:rsidRPr="00A22868">
        <w:t>Replace with the following:</w:t>
      </w:r>
    </w:p>
    <w:p w14:paraId="3AF22271" w14:textId="77777777" w:rsidR="00CB0F8F" w:rsidRPr="00A22868" w:rsidRDefault="00CB0F8F" w:rsidP="00CB0F8F">
      <w:pPr>
        <w:tabs>
          <w:tab w:val="left" w:pos="2552"/>
        </w:tabs>
        <w:spacing w:after="160"/>
        <w:ind w:left="1134"/>
        <w:rPr>
          <w:b/>
        </w:rPr>
      </w:pPr>
      <w:r w:rsidRPr="00A22868">
        <w:rPr>
          <w:b/>
        </w:rPr>
        <w:t>“Example 5:</w:t>
      </w:r>
      <w:r w:rsidRPr="00A22868">
        <w:rPr>
          <w:b/>
        </w:rPr>
        <w:tab/>
        <w:t xml:space="preserve">Single packaging (for example a </w:t>
      </w:r>
      <w:proofErr w:type="gramStart"/>
      <w:r w:rsidRPr="00A22868">
        <w:rPr>
          <w:b/>
        </w:rPr>
        <w:t xml:space="preserve">200 </w:t>
      </w:r>
      <w:r w:rsidRPr="008B0608">
        <w:rPr>
          <w:b/>
          <w:i/>
          <w:iCs/>
        </w:rPr>
        <w:t>l</w:t>
      </w:r>
      <w:proofErr w:type="gramEnd"/>
      <w:r w:rsidRPr="00A22868">
        <w:rPr>
          <w:b/>
        </w:rPr>
        <w:t xml:space="preserve"> drum) for a chemical with the classification: Flammable liquids, Category 2 and specific target organ toxicity-repeated exposure, Category 1 </w:t>
      </w:r>
    </w:p>
    <w:p w14:paraId="76201506" w14:textId="77777777" w:rsidR="00CB0F8F" w:rsidRPr="00A22868" w:rsidRDefault="00CB0F8F" w:rsidP="00CB0F8F">
      <w:r w:rsidRPr="00A22868">
        <w:rPr>
          <w:noProof/>
        </w:rPr>
        <w:drawing>
          <wp:anchor distT="0" distB="0" distL="114300" distR="114300" simplePos="0" relativeHeight="251694080" behindDoc="0" locked="1" layoutInCell="1" allowOverlap="1" wp14:anchorId="59E8E2DE" wp14:editId="565447EC">
            <wp:simplePos x="0" y="0"/>
            <wp:positionH relativeFrom="column">
              <wp:posOffset>3261995</wp:posOffset>
            </wp:positionH>
            <wp:positionV relativeFrom="paragraph">
              <wp:posOffset>169545</wp:posOffset>
            </wp:positionV>
            <wp:extent cx="1367790" cy="1367790"/>
            <wp:effectExtent l="0" t="0" r="0" b="0"/>
            <wp:wrapTopAndBottom/>
            <wp:docPr id="21"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page">
              <wp14:pctWidth>0</wp14:pctWidth>
            </wp14:sizeRelH>
            <wp14:sizeRelV relativeFrom="page">
              <wp14:pctHeight>0</wp14:pctHeight>
            </wp14:sizeRelV>
          </wp:anchor>
        </w:drawing>
      </w:r>
      <w:r w:rsidRPr="00A22868">
        <w:rPr>
          <w:noProof/>
        </w:rPr>
        <mc:AlternateContent>
          <mc:Choice Requires="wps">
            <w:drawing>
              <wp:anchor distT="0" distB="0" distL="114300" distR="114300" simplePos="0" relativeHeight="251692032" behindDoc="0" locked="1" layoutInCell="0" allowOverlap="1" wp14:anchorId="7A580A70" wp14:editId="1E95657F">
                <wp:simplePos x="0" y="0"/>
                <wp:positionH relativeFrom="column">
                  <wp:posOffset>1321435</wp:posOffset>
                </wp:positionH>
                <wp:positionV relativeFrom="paragraph">
                  <wp:posOffset>2353310</wp:posOffset>
                </wp:positionV>
                <wp:extent cx="1802130" cy="1322705"/>
                <wp:effectExtent l="0" t="0" r="26670" b="10795"/>
                <wp:wrapNone/>
                <wp:docPr id="194" name="Freeform 1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130" cy="1322705"/>
                        </a:xfrm>
                        <a:custGeom>
                          <a:avLst/>
                          <a:gdLst>
                            <a:gd name="T0" fmla="*/ 0 w 2664"/>
                            <a:gd name="T1" fmla="*/ 0 h 2923"/>
                            <a:gd name="T2" fmla="*/ 1691640 w 2664"/>
                            <a:gd name="T3" fmla="*/ 1856105 h 2923"/>
                            <a:gd name="T4" fmla="*/ 0 60000 65536"/>
                            <a:gd name="T5" fmla="*/ 0 60000 65536"/>
                          </a:gdLst>
                          <a:ahLst/>
                          <a:cxnLst>
                            <a:cxn ang="T4">
                              <a:pos x="T0" y="T1"/>
                            </a:cxn>
                            <a:cxn ang="T5">
                              <a:pos x="T2" y="T3"/>
                            </a:cxn>
                          </a:cxnLst>
                          <a:rect l="0" t="0" r="r" b="b"/>
                          <a:pathLst>
                            <a:path w="2664" h="2923">
                              <a:moveTo>
                                <a:pt x="0" y="0"/>
                              </a:moveTo>
                              <a:lnTo>
                                <a:pt x="2664" y="29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830DA" id="Freeform 1330" o:spid="_x0000_s1026" style="position:absolute;margin-left:104.05pt;margin-top:185.3pt;width:141.9pt;height:10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4,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" o:allowincell="f" path="m,l2664,2923e" filled="f">
                <v:path arrowok="t" o:connecttype="custom" o:connectlocs="0,0;1144352550,839917675" o:connectangles="0,0"/>
                <w10:anchorlock/>
              </v:shape>
            </w:pict>
          </mc:Fallback>
        </mc:AlternateContent>
      </w:r>
      <w:r w:rsidRPr="00A22868">
        <w:rPr>
          <w:noProof/>
        </w:rPr>
        <mc:AlternateContent>
          <mc:Choice Requires="wpg">
            <w:drawing>
              <wp:anchor distT="0" distB="0" distL="114300" distR="114300" simplePos="0" relativeHeight="251688960" behindDoc="0" locked="0" layoutInCell="1" allowOverlap="1" wp14:anchorId="646387E2" wp14:editId="5960E5A2">
                <wp:simplePos x="0" y="0"/>
                <wp:positionH relativeFrom="column">
                  <wp:posOffset>107910</wp:posOffset>
                </wp:positionH>
                <wp:positionV relativeFrom="paragraph">
                  <wp:posOffset>34805</wp:posOffset>
                </wp:positionV>
                <wp:extent cx="3155950" cy="3200400"/>
                <wp:effectExtent l="0" t="0" r="25400" b="19050"/>
                <wp:wrapNone/>
                <wp:docPr id="289"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0" cy="3200400"/>
                          <a:chOff x="1305" y="1829"/>
                          <a:chExt cx="4970" cy="5040"/>
                        </a:xfrm>
                      </wpg:grpSpPr>
                      <wpg:grpSp>
                        <wpg:cNvPr id="290" name="Group 1320"/>
                        <wpg:cNvGrpSpPr>
                          <a:grpSpLocks/>
                        </wpg:cNvGrpSpPr>
                        <wpg:grpSpPr bwMode="auto">
                          <a:xfrm>
                            <a:off x="1305" y="1829"/>
                            <a:ext cx="3240" cy="5040"/>
                            <a:chOff x="1305" y="1829"/>
                            <a:chExt cx="3240" cy="5040"/>
                          </a:xfrm>
                        </wpg:grpSpPr>
                        <wps:wsp>
                          <wps:cNvPr id="291" name="Rectangle 1321"/>
                          <wps:cNvSpPr>
                            <a:spLocks noChangeArrowheads="1"/>
                          </wps:cNvSpPr>
                          <wps:spPr bwMode="auto">
                            <a:xfrm>
                              <a:off x="1485" y="1829"/>
                              <a:ext cx="2880" cy="5040"/>
                            </a:xfrm>
                            <a:prstGeom prst="rect">
                              <a:avLst/>
                            </a:prstGeom>
                            <a:solidFill>
                              <a:srgbClr val="FFFFFF"/>
                            </a:solidFill>
                            <a:ln w="9525">
                              <a:solidFill>
                                <a:srgbClr val="000000"/>
                              </a:solidFill>
                              <a:miter lim="800000"/>
                              <a:headEnd/>
                              <a:tailEnd/>
                            </a:ln>
                          </wps:spPr>
                          <wps:txbx>
                            <w:txbxContent>
                              <w:p w14:paraId="12270452" w14:textId="77777777" w:rsidR="00CB0F8F" w:rsidRDefault="00CB0F8F" w:rsidP="00CB0F8F">
                                <w:pPr>
                                  <w:pStyle w:val="Style1"/>
                                </w:pPr>
                              </w:p>
                            </w:txbxContent>
                          </wps:txbx>
                          <wps:bodyPr rot="0" vert="horz" wrap="square" lIns="91440" tIns="45720" rIns="91440" bIns="45720" anchor="t" anchorCtr="0" upright="1">
                            <a:noAutofit/>
                          </wps:bodyPr>
                        </wps:wsp>
                        <wps:wsp>
                          <wps:cNvPr id="293" name="Rectangle 1322"/>
                          <wps:cNvSpPr>
                            <a:spLocks noChangeArrowheads="1"/>
                          </wps:cNvSpPr>
                          <wps:spPr bwMode="auto">
                            <a:xfrm>
                              <a:off x="1305" y="182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 name="Rectangle 1323"/>
                          <wps:cNvSpPr>
                            <a:spLocks noChangeArrowheads="1"/>
                          </wps:cNvSpPr>
                          <wps:spPr bwMode="auto">
                            <a:xfrm>
                              <a:off x="1305" y="290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1324"/>
                          <wps:cNvSpPr>
                            <a:spLocks noChangeArrowheads="1"/>
                          </wps:cNvSpPr>
                          <wps:spPr bwMode="auto">
                            <a:xfrm>
                              <a:off x="1305" y="578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1325"/>
                          <wps:cNvSpPr>
                            <a:spLocks noChangeArrowheads="1"/>
                          </wps:cNvSpPr>
                          <wps:spPr bwMode="auto">
                            <a:xfrm>
                              <a:off x="1305" y="6689"/>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AutoShape 1326"/>
                          <wps:cNvSpPr>
                            <a:spLocks noChangeArrowheads="1"/>
                          </wps:cNvSpPr>
                          <wps:spPr bwMode="auto">
                            <a:xfrm>
                              <a:off x="2316" y="3817"/>
                              <a:ext cx="903" cy="9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1327"/>
                          <wps:cNvSpPr>
                            <a:spLocks noChangeArrowheads="1"/>
                          </wps:cNvSpPr>
                          <wps:spPr bwMode="auto">
                            <a:xfrm>
                              <a:off x="2124" y="4897"/>
                              <a:ext cx="1260" cy="71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Text Box 1328"/>
                          <wps:cNvSpPr txBox="1">
                            <a:spLocks noChangeArrowheads="1"/>
                          </wps:cNvSpPr>
                          <wps:spPr bwMode="auto">
                            <a:xfrm>
                              <a:off x="1665" y="3267"/>
                              <a:ext cx="213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D6DD1" w14:textId="77777777" w:rsidR="00CB0F8F" w:rsidRPr="006A6BD8" w:rsidRDefault="00CB0F8F" w:rsidP="00CB0F8F">
                                <w:pPr>
                                  <w:pStyle w:val="Heading3"/>
                                  <w:rPr>
                                    <w:szCs w:val="22"/>
                                  </w:rPr>
                                </w:pPr>
                                <w:r>
                                  <w:rPr>
                                    <w:szCs w:val="22"/>
                                  </w:rPr>
                                  <w:t>Proper shipping name</w:t>
                                </w:r>
                                <w:r>
                                  <w:rPr>
                                    <w:szCs w:val="22"/>
                                  </w:rPr>
                                  <w:br/>
                                </w:r>
                                <w:r w:rsidRPr="006A6BD8">
                                  <w:rPr>
                                    <w:szCs w:val="22"/>
                                  </w:rPr>
                                  <w:t>UN</w:t>
                                </w:r>
                                <w:r>
                                  <w:rPr>
                                    <w:szCs w:val="22"/>
                                  </w:rPr>
                                  <w:t xml:space="preserve"> number</w:t>
                                </w:r>
                              </w:p>
                            </w:txbxContent>
                          </wps:txbx>
                          <wps:bodyPr rot="0" vert="horz" wrap="square" lIns="91440" tIns="0" rIns="91440" bIns="0" anchor="t" anchorCtr="0" upright="1">
                            <a:noAutofit/>
                          </wps:bodyPr>
                        </wps:wsp>
                      </wpg:grpSp>
                      <wps:wsp>
                        <wps:cNvPr id="302" name="Line 1329"/>
                        <wps:cNvCnPr>
                          <a:cxnSpLocks noChangeShapeType="1"/>
                        </wps:cNvCnPr>
                        <wps:spPr bwMode="auto">
                          <a:xfrm flipV="1">
                            <a:off x="3035" y="3114"/>
                            <a:ext cx="3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6387E2" id="Group 1319" o:spid="_x0000_s1039" style="position:absolute;margin-left:8.5pt;margin-top:2.75pt;width:248.5pt;height:252pt;z-index:251688960" coordorigin="1305,1829" coordsize="497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">
                <v:group id="Group 1320" o:spid="_x0000_s1040" style="position:absolute;left:1305;top:1829;width:3240;height:5040" coordorigin="1305,1829" coordsize="32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1321" o:spid="_x0000_s1041" style="position:absolute;left:1485;top:1829;width:28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">
                    <v:textbox>
                      <w:txbxContent>
                        <w:p w14:paraId="12270452" w14:textId="77777777" w:rsidR="00CB0F8F" w:rsidRDefault="00CB0F8F" w:rsidP="00CB0F8F">
                          <w:pPr>
                            <w:pStyle w:val="Style1"/>
                          </w:pPr>
                        </w:p>
                      </w:txbxContent>
                    </v:textbox>
                  </v:rect>
                  <v:rect id="Rectangle 1322" o:spid="_x0000_s1042" style="position:absolute;left:1305;top:182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rect id="Rectangle 1323" o:spid="_x0000_s1043" style="position:absolute;left:1305;top:290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jxxAAAANwAAAAPAAAAZHJzL2Rvd25yZXYueG1sRI9Bi8Iw&#10;FITvgv8hvIW9abpdXL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GX3KPHEAAAA3AAAAA8A&#10;AAAAAAAAAAAAAAAABwIAAGRycy9kb3ducmV2LnhtbFBLBQYAAAAAAwADALcAAAD4AgAAAAA=&#10;"/>
                  <v:rect id="Rectangle 1324" o:spid="_x0000_s1044" style="position:absolute;left:1305;top:578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"/>
                  <v:rect id="Rectangle 1325" o:spid="_x0000_s1045" style="position:absolute;left:1305;top:6689;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"/>
                  <v:shape id="AutoShape 1326" o:spid="_x0000_s1046" type="#_x0000_t4" style="position:absolute;left:2316;top:3817;width:90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"/>
                  <v:rect id="Rectangle 1327" o:spid="_x0000_s1047" style="position:absolute;left:2124;top:4897;width:1260;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shape id="Text Box 1328" o:spid="_x0000_s1048" type="#_x0000_t202" style="position:absolute;left:1665;top:3267;width:21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" stroked="f">
                    <v:textbox inset=",0,,0">
                      <w:txbxContent>
                        <w:p w14:paraId="7DDD6DD1" w14:textId="77777777" w:rsidR="00CB0F8F" w:rsidRPr="006A6BD8" w:rsidRDefault="00CB0F8F" w:rsidP="00CB0F8F">
                          <w:pPr>
                            <w:pStyle w:val="Heading3"/>
                            <w:rPr>
                              <w:szCs w:val="22"/>
                            </w:rPr>
                          </w:pPr>
                          <w:r>
                            <w:rPr>
                              <w:szCs w:val="22"/>
                            </w:rPr>
                            <w:t>Proper shipping name</w:t>
                          </w:r>
                          <w:r>
                            <w:rPr>
                              <w:szCs w:val="22"/>
                            </w:rPr>
                            <w:br/>
                          </w:r>
                          <w:r w:rsidRPr="006A6BD8">
                            <w:rPr>
                              <w:szCs w:val="22"/>
                            </w:rPr>
                            <w:t>UN</w:t>
                          </w:r>
                          <w:r>
                            <w:rPr>
                              <w:szCs w:val="22"/>
                            </w:rPr>
                            <w:t xml:space="preserve"> number</w:t>
                          </w:r>
                        </w:p>
                      </w:txbxContent>
                    </v:textbox>
                  </v:shape>
                </v:group>
                <v:line id="Line 1329" o:spid="_x0000_s1049" style="position:absolute;flip:y;visibility:visible;mso-wrap-style:square" from="3035,3114" to="6275,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v:group>
            </w:pict>
          </mc:Fallback>
        </mc:AlternateContent>
      </w:r>
    </w:p>
    <w:p w14:paraId="47D38E6D" w14:textId="77777777" w:rsidR="00CB0F8F" w:rsidRPr="00A22868" w:rsidRDefault="00CB0F8F" w:rsidP="00CB0F8F">
      <w:pPr>
        <w:jc w:val="center"/>
      </w:pPr>
    </w:p>
    <w:p w14:paraId="1A0BC032" w14:textId="77777777" w:rsidR="00CB0F8F" w:rsidRPr="00A22868" w:rsidRDefault="00CB0F8F" w:rsidP="00CB0F8F">
      <w:pPr>
        <w:jc w:val="center"/>
      </w:pPr>
    </w:p>
    <w:p w14:paraId="4FD8F469" w14:textId="77777777" w:rsidR="00CB0F8F" w:rsidRPr="00A22868" w:rsidRDefault="00CB0F8F" w:rsidP="00CB0F8F">
      <w:pPr>
        <w:jc w:val="center"/>
      </w:pPr>
    </w:p>
    <w:p w14:paraId="51254D77" w14:textId="77777777" w:rsidR="00CB0F8F" w:rsidRPr="00A22868" w:rsidRDefault="00CB0F8F" w:rsidP="00CB0F8F">
      <w:pPr>
        <w:jc w:val="center"/>
      </w:pPr>
    </w:p>
    <w:p w14:paraId="1F19A899" w14:textId="77777777" w:rsidR="00CB0F8F" w:rsidRPr="00A22868" w:rsidRDefault="00CB0F8F" w:rsidP="00CB0F8F">
      <w:pPr>
        <w:jc w:val="center"/>
      </w:pPr>
    </w:p>
    <w:p w14:paraId="3665AB4E" w14:textId="77777777" w:rsidR="00CB0F8F" w:rsidRPr="00A22868" w:rsidRDefault="00CB0F8F" w:rsidP="00CB0F8F">
      <w:pPr>
        <w:jc w:val="center"/>
      </w:pPr>
    </w:p>
    <w:p w14:paraId="7569B23D" w14:textId="77777777" w:rsidR="00CB0F8F" w:rsidRPr="00A22868" w:rsidRDefault="00CB0F8F" w:rsidP="00CB0F8F">
      <w:pPr>
        <w:jc w:val="center"/>
      </w:pPr>
    </w:p>
    <w:p w14:paraId="72E7C55E" w14:textId="77777777" w:rsidR="00CB0F8F" w:rsidRPr="00A22868" w:rsidRDefault="00CB0F8F" w:rsidP="00CB0F8F">
      <w:pPr>
        <w:jc w:val="center"/>
      </w:pPr>
    </w:p>
    <w:p w14:paraId="408BA70D" w14:textId="77777777" w:rsidR="00CB0F8F" w:rsidRPr="00A22868" w:rsidRDefault="00CB0F8F" w:rsidP="00CB0F8F">
      <w:pPr>
        <w:jc w:val="center"/>
      </w:pPr>
    </w:p>
    <w:p w14:paraId="489479F6" w14:textId="77777777" w:rsidR="00CB0F8F" w:rsidRPr="00A22868" w:rsidRDefault="00CB0F8F" w:rsidP="00CB0F8F">
      <w:pPr>
        <w:jc w:val="center"/>
      </w:pPr>
    </w:p>
    <w:p w14:paraId="03179CDA" w14:textId="77777777" w:rsidR="00CB0F8F" w:rsidRPr="00A22868" w:rsidRDefault="00CB0F8F" w:rsidP="00CB0F8F">
      <w:pPr>
        <w:jc w:val="center"/>
      </w:pPr>
    </w:p>
    <w:p w14:paraId="3BE8F970" w14:textId="77777777" w:rsidR="00CB0F8F" w:rsidRPr="00A22868" w:rsidRDefault="00CB0F8F" w:rsidP="00CB0F8F">
      <w:pPr>
        <w:jc w:val="center"/>
      </w:pPr>
    </w:p>
    <w:p w14:paraId="73B617E7" w14:textId="77777777" w:rsidR="00CB0F8F" w:rsidRPr="00A22868" w:rsidRDefault="00CB0F8F" w:rsidP="00CB0F8F">
      <w:pPr>
        <w:jc w:val="center"/>
      </w:pPr>
    </w:p>
    <w:p w14:paraId="2BBFDE13" w14:textId="77777777" w:rsidR="00CB0F8F" w:rsidRPr="00A22868" w:rsidRDefault="00CB0F8F" w:rsidP="00CB0F8F">
      <w:pPr>
        <w:jc w:val="center"/>
      </w:pPr>
    </w:p>
    <w:tbl>
      <w:tblPr>
        <w:tblStyle w:val="TableGrid"/>
        <w:tblW w:w="0" w:type="auto"/>
        <w:tblInd w:w="211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26"/>
        <w:gridCol w:w="4306"/>
      </w:tblGrid>
      <w:tr w:rsidR="00CB0F8F" w:rsidRPr="00A22868" w14:paraId="6256766D" w14:textId="77777777" w:rsidTr="009D2487">
        <w:tc>
          <w:tcPr>
            <w:tcW w:w="6432" w:type="dxa"/>
            <w:gridSpan w:val="2"/>
          </w:tcPr>
          <w:p w14:paraId="7AB73AC4" w14:textId="77777777" w:rsidR="00CB0F8F" w:rsidRPr="008B0608" w:rsidRDefault="00CB0F8F" w:rsidP="009D2487">
            <w:pPr>
              <w:spacing w:before="40" w:after="40" w:line="240" w:lineRule="auto"/>
              <w:ind w:left="92" w:right="74"/>
              <w:rPr>
                <w:lang w:val="en-GB"/>
              </w:rPr>
            </w:pPr>
            <w:r w:rsidRPr="00A22868">
              <w:rPr>
                <w:b/>
                <w:bCs/>
              </w:rPr>
              <w:t>Product identifier (see 1.4.10.5.2 (d))</w:t>
            </w:r>
          </w:p>
        </w:tc>
      </w:tr>
      <w:tr w:rsidR="00CB0F8F" w:rsidRPr="00A22868" w14:paraId="5CB483FF" w14:textId="77777777" w:rsidTr="009D2487">
        <w:tc>
          <w:tcPr>
            <w:tcW w:w="2126" w:type="dxa"/>
          </w:tcPr>
          <w:p w14:paraId="2A0A0BF1" w14:textId="77777777" w:rsidR="00CB0F8F" w:rsidRPr="008B0608" w:rsidRDefault="00CB0F8F" w:rsidP="009D2487">
            <w:pPr>
              <w:ind w:left="92"/>
              <w:jc w:val="center"/>
              <w:rPr>
                <w:lang w:val="en-GB"/>
              </w:rPr>
            </w:pPr>
          </w:p>
        </w:tc>
        <w:tc>
          <w:tcPr>
            <w:tcW w:w="4304" w:type="dxa"/>
          </w:tcPr>
          <w:p w14:paraId="5E78D5F2" w14:textId="77777777" w:rsidR="00CB0F8F" w:rsidRPr="008B0608" w:rsidRDefault="00CB0F8F" w:rsidP="009D2487">
            <w:pPr>
              <w:ind w:left="92"/>
              <w:jc w:val="center"/>
              <w:rPr>
                <w:lang w:val="en-GB"/>
              </w:rPr>
            </w:pPr>
          </w:p>
        </w:tc>
      </w:tr>
      <w:tr w:rsidR="00CB0F8F" w:rsidRPr="00A22868" w14:paraId="77A56ADA" w14:textId="77777777" w:rsidTr="009D2487">
        <w:trPr>
          <w:trHeight w:val="1140"/>
        </w:trPr>
        <w:tc>
          <w:tcPr>
            <w:tcW w:w="2126" w:type="dxa"/>
          </w:tcPr>
          <w:p w14:paraId="1438BABC" w14:textId="77777777" w:rsidR="00CB0F8F" w:rsidRPr="008B0608" w:rsidRDefault="00CB0F8F" w:rsidP="009D2487">
            <w:pPr>
              <w:ind w:left="92"/>
              <w:jc w:val="center"/>
              <w:rPr>
                <w:lang w:val="en-GB"/>
              </w:rPr>
            </w:pPr>
            <w:r w:rsidRPr="008B0608">
              <w:rPr>
                <w:noProof/>
              </w:rPr>
              <w:drawing>
                <wp:anchor distT="0" distB="0" distL="114300" distR="114300" simplePos="0" relativeHeight="251693056" behindDoc="1" locked="1" layoutInCell="1" allowOverlap="1" wp14:anchorId="75564D58" wp14:editId="0AE20C7A">
                  <wp:simplePos x="0" y="0"/>
                  <wp:positionH relativeFrom="column">
                    <wp:posOffset>196215</wp:posOffset>
                  </wp:positionH>
                  <wp:positionV relativeFrom="page">
                    <wp:posOffset>0</wp:posOffset>
                  </wp:positionV>
                  <wp:extent cx="773430" cy="773430"/>
                  <wp:effectExtent l="0" t="0" r="7620" b="7620"/>
                  <wp:wrapTight wrapText="bothSides">
                    <wp:wrapPolygon edited="0">
                      <wp:start x="9044" y="0"/>
                      <wp:lineTo x="532" y="9044"/>
                      <wp:lineTo x="0" y="10640"/>
                      <wp:lineTo x="0" y="11172"/>
                      <wp:lineTo x="9044" y="21281"/>
                      <wp:lineTo x="11704" y="21281"/>
                      <wp:lineTo x="20749" y="11704"/>
                      <wp:lineTo x="21281" y="10640"/>
                      <wp:lineTo x="20749" y="9044"/>
                      <wp:lineTo x="12236" y="0"/>
                      <wp:lineTo x="9044" y="0"/>
                    </wp:wrapPolygon>
                  </wp:wrapTight>
                  <wp:docPr id="158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pic:spPr>
                      </pic:pic>
                    </a:graphicData>
                  </a:graphic>
                  <wp14:sizeRelH relativeFrom="page">
                    <wp14:pctWidth>0</wp14:pctWidth>
                  </wp14:sizeRelH>
                  <wp14:sizeRelV relativeFrom="page">
                    <wp14:pctHeight>0</wp14:pctHeight>
                  </wp14:sizeRelV>
                </wp:anchor>
              </w:drawing>
            </w:r>
          </w:p>
        </w:tc>
        <w:tc>
          <w:tcPr>
            <w:tcW w:w="4304" w:type="dxa"/>
          </w:tcPr>
          <w:p w14:paraId="5F6083C1" w14:textId="77777777" w:rsidR="00CB0F8F" w:rsidRPr="008B0608" w:rsidRDefault="00CB0F8F" w:rsidP="009D2487">
            <w:pPr>
              <w:ind w:left="92"/>
              <w:rPr>
                <w:b/>
                <w:bCs/>
                <w:lang w:val="en-GB"/>
              </w:rPr>
            </w:pPr>
          </w:p>
          <w:p w14:paraId="14AB6B91" w14:textId="77777777" w:rsidR="00CB0F8F" w:rsidRPr="008B0608" w:rsidRDefault="00CB0F8F" w:rsidP="009D2487">
            <w:pPr>
              <w:ind w:left="92"/>
              <w:rPr>
                <w:b/>
                <w:bCs/>
                <w:lang w:val="en-GB"/>
              </w:rPr>
            </w:pPr>
            <w:r w:rsidRPr="00A22868">
              <w:rPr>
                <w:b/>
                <w:bCs/>
              </w:rPr>
              <w:t>SIGNAL WORD (see 1.4.10.5.2 (a))</w:t>
            </w:r>
          </w:p>
          <w:p w14:paraId="0F4A5519" w14:textId="77777777" w:rsidR="00CB0F8F" w:rsidRPr="008B0608" w:rsidRDefault="00CB0F8F" w:rsidP="009D2487">
            <w:pPr>
              <w:ind w:left="92"/>
              <w:rPr>
                <w:b/>
                <w:bCs/>
                <w:lang w:val="en-GB"/>
              </w:rPr>
            </w:pPr>
          </w:p>
          <w:p w14:paraId="31AF5522" w14:textId="77777777" w:rsidR="00CB0F8F" w:rsidRPr="008B0608" w:rsidRDefault="00CB0F8F" w:rsidP="009D2487">
            <w:pPr>
              <w:ind w:left="92"/>
              <w:rPr>
                <w:b/>
                <w:bCs/>
                <w:lang w:val="en-GB"/>
              </w:rPr>
            </w:pPr>
          </w:p>
          <w:p w14:paraId="2E61C3E8" w14:textId="77777777" w:rsidR="00CB0F8F" w:rsidRPr="008B0608" w:rsidRDefault="00CB0F8F" w:rsidP="009D2487">
            <w:pPr>
              <w:ind w:left="92"/>
              <w:rPr>
                <w:lang w:val="en-GB"/>
              </w:rPr>
            </w:pPr>
            <w:r w:rsidRPr="00A22868">
              <w:rPr>
                <w:b/>
                <w:bCs/>
              </w:rPr>
              <w:t>Hazard statements (see 1.4.10.5.2 (b))</w:t>
            </w:r>
          </w:p>
        </w:tc>
      </w:tr>
      <w:tr w:rsidR="00CB0F8F" w:rsidRPr="00A22868" w14:paraId="6230A8B9" w14:textId="77777777" w:rsidTr="009D2487">
        <w:tc>
          <w:tcPr>
            <w:tcW w:w="6432" w:type="dxa"/>
            <w:gridSpan w:val="2"/>
          </w:tcPr>
          <w:p w14:paraId="200129A7" w14:textId="77777777" w:rsidR="00CB0F8F" w:rsidRPr="008B0608" w:rsidRDefault="00CB0F8F" w:rsidP="009D2487">
            <w:pPr>
              <w:spacing w:before="120" w:after="240" w:line="240" w:lineRule="auto"/>
              <w:ind w:left="92"/>
              <w:rPr>
                <w:b/>
                <w:bCs/>
                <w:lang w:val="en-GB"/>
              </w:rPr>
            </w:pPr>
            <w:r w:rsidRPr="00A22868">
              <w:rPr>
                <w:b/>
                <w:bCs/>
              </w:rPr>
              <w:t xml:space="preserve">Precautionary statements </w:t>
            </w:r>
            <w:r w:rsidRPr="00A22868">
              <w:rPr>
                <w:b/>
                <w:bCs/>
                <w:u w:val="single"/>
              </w:rPr>
              <w:t>(</w:t>
            </w:r>
            <w:r w:rsidRPr="00A22868">
              <w:rPr>
                <w:b/>
                <w:bCs/>
              </w:rPr>
              <w:t>see 1.4.10.5.2 (c) and annex 3 sections 2 and 3)</w:t>
            </w:r>
          </w:p>
          <w:p w14:paraId="67A7BA44" w14:textId="77777777" w:rsidR="00CB0F8F" w:rsidRPr="008B0608" w:rsidRDefault="00CB0F8F" w:rsidP="009D2487">
            <w:pPr>
              <w:tabs>
                <w:tab w:val="left" w:pos="252"/>
              </w:tabs>
              <w:spacing w:line="240" w:lineRule="auto"/>
              <w:ind w:left="92" w:hanging="28"/>
              <w:rPr>
                <w:lang w:val="en-GB"/>
              </w:rPr>
            </w:pPr>
            <w:r w:rsidRPr="00A22868">
              <w:t>Supplemental information as allowed or required by the competent</w:t>
            </w:r>
          </w:p>
          <w:p w14:paraId="28A1B14D" w14:textId="77777777" w:rsidR="00CB0F8F" w:rsidRPr="008B0608" w:rsidRDefault="00CB0F8F" w:rsidP="009D2487">
            <w:pPr>
              <w:tabs>
                <w:tab w:val="left" w:pos="252"/>
              </w:tabs>
              <w:spacing w:line="240" w:lineRule="auto"/>
              <w:ind w:left="92" w:hanging="28"/>
              <w:rPr>
                <w:lang w:val="en-GB"/>
              </w:rPr>
            </w:pPr>
            <w:r w:rsidRPr="00A22868">
              <w:t>authority as appropriate (see 1.4.10.5.4.2).</w:t>
            </w:r>
          </w:p>
          <w:p w14:paraId="5E1B8E58" w14:textId="77777777" w:rsidR="00CB0F8F" w:rsidRPr="008B0608" w:rsidRDefault="00CB0F8F" w:rsidP="009D2487">
            <w:pPr>
              <w:spacing w:before="120" w:after="240" w:line="240" w:lineRule="auto"/>
              <w:ind w:left="92" w:hanging="28"/>
              <w:rPr>
                <w:lang w:val="en-GB"/>
              </w:rPr>
            </w:pPr>
            <w:r w:rsidRPr="00A22868">
              <w:rPr>
                <w:b/>
                <w:bCs/>
              </w:rPr>
              <w:t>Supplier identification (see 1.4.10.5.2 (e))</w:t>
            </w:r>
          </w:p>
        </w:tc>
      </w:tr>
    </w:tbl>
    <w:p w14:paraId="7FC5AA7A" w14:textId="77777777" w:rsidR="00CB0F8F" w:rsidRPr="00A22868" w:rsidRDefault="00CB0F8F" w:rsidP="00CB0F8F">
      <w:pPr>
        <w:jc w:val="center"/>
      </w:pPr>
    </w:p>
    <w:p w14:paraId="5D2A1263" w14:textId="77777777" w:rsidR="00CB0F8F" w:rsidRPr="00A22868" w:rsidRDefault="00CB0F8F" w:rsidP="008B0608">
      <w:pPr>
        <w:pStyle w:val="BodyText3"/>
        <w:tabs>
          <w:tab w:val="clear" w:pos="900"/>
        </w:tabs>
        <w:spacing w:before="60" w:after="60"/>
        <w:ind w:left="1134" w:right="1134"/>
        <w:rPr>
          <w:i/>
          <w:iCs/>
          <w:sz w:val="20"/>
        </w:rPr>
      </w:pPr>
      <w:r w:rsidRPr="00A22868">
        <w:rPr>
          <w:b/>
          <w:bCs/>
          <w:i/>
          <w:iCs/>
          <w:sz w:val="20"/>
        </w:rPr>
        <w:t>Note:</w:t>
      </w:r>
      <w:r w:rsidRPr="00A22868">
        <w:rPr>
          <w:i/>
          <w:iCs/>
          <w:sz w:val="20"/>
        </w:rPr>
        <w:tab/>
        <w:t>The GHS label and the Class 3 flammable liquid pictogram (commonly referred to as label in transport regulations, see 1.4.10.4) as well as any other markings required by the UN Model Regulations may also be presented in a combined format (see also example 7).”.</w:t>
      </w:r>
    </w:p>
    <w:p w14:paraId="759B25D6" w14:textId="77777777" w:rsidR="00CB0F8F" w:rsidRPr="00A22868" w:rsidRDefault="00CB0F8F" w:rsidP="00CB0F8F">
      <w:pPr>
        <w:pStyle w:val="BodyText3"/>
        <w:tabs>
          <w:tab w:val="left" w:pos="340"/>
        </w:tabs>
        <w:spacing w:before="60" w:after="60"/>
      </w:pPr>
      <w:r w:rsidRPr="00A22868">
        <w:br w:type="page"/>
      </w:r>
    </w:p>
    <w:p w14:paraId="5C078C3C" w14:textId="77777777" w:rsidR="00CB0F8F" w:rsidRPr="00A22868" w:rsidRDefault="00CB0F8F" w:rsidP="00CB0F8F">
      <w:pPr>
        <w:pStyle w:val="SingleTxtG"/>
        <w:rPr>
          <w:rStyle w:val="H1GChar"/>
        </w:rPr>
      </w:pPr>
      <w:r w:rsidRPr="008B0608">
        <w:rPr>
          <w:rStyle w:val="H1GChar"/>
        </w:rPr>
        <w:lastRenderedPageBreak/>
        <w:t>Example 6</w:t>
      </w:r>
    </w:p>
    <w:p w14:paraId="289BBFA0" w14:textId="10B0EB64" w:rsidR="00CB0F8F" w:rsidRPr="00A22868" w:rsidRDefault="00CB0F8F" w:rsidP="00CB0F8F">
      <w:pPr>
        <w:pStyle w:val="SingleTxtG"/>
      </w:pPr>
      <w:r w:rsidRPr="00A22868">
        <w:t>Replace with the following:</w:t>
      </w:r>
    </w:p>
    <w:p w14:paraId="7A133131" w14:textId="77777777" w:rsidR="00CB0F8F" w:rsidRPr="00A22868" w:rsidRDefault="00CB0F8F" w:rsidP="00CB0F8F">
      <w:pPr>
        <w:pStyle w:val="BodyText3"/>
        <w:tabs>
          <w:tab w:val="left" w:pos="340"/>
        </w:tabs>
        <w:spacing w:before="60" w:after="60"/>
        <w:ind w:left="1134"/>
        <w:rPr>
          <w:b/>
          <w:bCs/>
        </w:rPr>
      </w:pPr>
      <w:r w:rsidRPr="00A22868">
        <w:rPr>
          <w:b/>
          <w:bCs/>
        </w:rPr>
        <w:t xml:space="preserve">“Example 6: </w:t>
      </w:r>
      <w:r w:rsidRPr="00A22868">
        <w:rPr>
          <w:b/>
          <w:bCs/>
        </w:rPr>
        <w:tab/>
        <w:t xml:space="preserve">Single packaging (for example, a </w:t>
      </w:r>
      <w:proofErr w:type="gramStart"/>
      <w:r w:rsidRPr="00A22868">
        <w:rPr>
          <w:b/>
          <w:bCs/>
        </w:rPr>
        <w:t xml:space="preserve">200 </w:t>
      </w:r>
      <w:r w:rsidRPr="008B0608">
        <w:rPr>
          <w:b/>
          <w:bCs/>
          <w:i/>
          <w:iCs/>
        </w:rPr>
        <w:t>l</w:t>
      </w:r>
      <w:proofErr w:type="gramEnd"/>
      <w:r w:rsidRPr="00A22868">
        <w:rPr>
          <w:b/>
          <w:bCs/>
        </w:rPr>
        <w:t xml:space="preserve"> drum) for a chemical with the classification: Skin corrosion/irritation, Category 2 and serious eye damage/eye irritation, Category 2A”</w:t>
      </w:r>
    </w:p>
    <w:p w14:paraId="4D531D5C" w14:textId="77777777" w:rsidR="00CB0F8F" w:rsidRPr="00A22868" w:rsidRDefault="00CB0F8F" w:rsidP="00CB0F8F">
      <w:pPr>
        <w:tabs>
          <w:tab w:val="left" w:pos="1134"/>
          <w:tab w:val="left" w:pos="1701"/>
          <w:tab w:val="left" w:pos="2268"/>
          <w:tab w:val="left" w:pos="2835"/>
          <w:tab w:val="left" w:pos="3402"/>
        </w:tabs>
        <w:spacing w:after="160"/>
      </w:pPr>
    </w:p>
    <w:p w14:paraId="089A364E" w14:textId="77777777" w:rsidR="00CB0F8F" w:rsidRPr="00A22868" w:rsidRDefault="00CB0F8F" w:rsidP="00CB0F8F">
      <w:r w:rsidRPr="00A22868">
        <w:rPr>
          <w:noProof/>
        </w:rPr>
        <mc:AlternateContent>
          <mc:Choice Requires="wpg">
            <w:drawing>
              <wp:anchor distT="0" distB="0" distL="114300" distR="114300" simplePos="0" relativeHeight="251689984" behindDoc="0" locked="0" layoutInCell="1" allowOverlap="1" wp14:anchorId="1D056031" wp14:editId="7247F04B">
                <wp:simplePos x="0" y="0"/>
                <wp:positionH relativeFrom="column">
                  <wp:posOffset>594452</wp:posOffset>
                </wp:positionH>
                <wp:positionV relativeFrom="paragraph">
                  <wp:posOffset>43254</wp:posOffset>
                </wp:positionV>
                <wp:extent cx="1943100" cy="3200400"/>
                <wp:effectExtent l="0" t="0" r="19050" b="19050"/>
                <wp:wrapNone/>
                <wp:docPr id="180"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200400"/>
                          <a:chOff x="1881" y="2368"/>
                          <a:chExt cx="3240" cy="5040"/>
                        </a:xfrm>
                      </wpg:grpSpPr>
                      <wps:wsp>
                        <wps:cNvPr id="181" name="Rectangle 1332"/>
                        <wps:cNvSpPr>
                          <a:spLocks noChangeArrowheads="1"/>
                        </wps:cNvSpPr>
                        <wps:spPr bwMode="auto">
                          <a:xfrm>
                            <a:off x="2061" y="2368"/>
                            <a:ext cx="2880" cy="5040"/>
                          </a:xfrm>
                          <a:prstGeom prst="rect">
                            <a:avLst/>
                          </a:prstGeom>
                          <a:solidFill>
                            <a:srgbClr val="FFFFFF"/>
                          </a:solidFill>
                          <a:ln w="9525">
                            <a:solidFill>
                              <a:srgbClr val="000000"/>
                            </a:solidFill>
                            <a:miter lim="800000"/>
                            <a:headEnd/>
                            <a:tailEnd/>
                          </a:ln>
                        </wps:spPr>
                        <wps:txbx>
                          <w:txbxContent>
                            <w:p w14:paraId="32CAD553" w14:textId="77777777" w:rsidR="00CB0F8F" w:rsidRDefault="00CB0F8F" w:rsidP="00CB0F8F">
                              <w:pPr>
                                <w:pStyle w:val="Style1"/>
                              </w:pPr>
                            </w:p>
                          </w:txbxContent>
                        </wps:txbx>
                        <wps:bodyPr rot="0" vert="horz" wrap="square" lIns="91440" tIns="45720" rIns="91440" bIns="45720" anchor="t" anchorCtr="0" upright="1">
                          <a:noAutofit/>
                        </wps:bodyPr>
                      </wps:wsp>
                      <wps:wsp>
                        <wps:cNvPr id="182" name="Rectangle 1333"/>
                        <wps:cNvSpPr>
                          <a:spLocks noChangeArrowheads="1"/>
                        </wps:cNvSpPr>
                        <wps:spPr bwMode="auto">
                          <a:xfrm>
                            <a:off x="1881" y="236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1334"/>
                        <wps:cNvSpPr>
                          <a:spLocks noChangeArrowheads="1"/>
                        </wps:cNvSpPr>
                        <wps:spPr bwMode="auto">
                          <a:xfrm>
                            <a:off x="1881" y="344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1335"/>
                        <wps:cNvSpPr>
                          <a:spLocks noChangeArrowheads="1"/>
                        </wps:cNvSpPr>
                        <wps:spPr bwMode="auto">
                          <a:xfrm>
                            <a:off x="1881" y="632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1336"/>
                        <wps:cNvSpPr>
                          <a:spLocks noChangeArrowheads="1"/>
                        </wps:cNvSpPr>
                        <wps:spPr bwMode="auto">
                          <a:xfrm>
                            <a:off x="1881" y="7228"/>
                            <a:ext cx="32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Rectangle 1337"/>
                        <wps:cNvSpPr>
                          <a:spLocks noChangeArrowheads="1"/>
                        </wps:cNvSpPr>
                        <wps:spPr bwMode="auto">
                          <a:xfrm>
                            <a:off x="2766" y="5139"/>
                            <a:ext cx="1440" cy="10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6031" id="Group 1331" o:spid="_x0000_s1050" style="position:absolute;margin-left:46.8pt;margin-top:3.4pt;width:153pt;height:252pt;z-index:251689984" coordorigin="1881,2368" coordsize="32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">
                <v:rect id="Rectangle 1332" o:spid="_x0000_s1051" style="position:absolute;left:2061;top:2368;width:288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textbox>
                    <w:txbxContent>
                      <w:p w14:paraId="32CAD553" w14:textId="77777777" w:rsidR="00CB0F8F" w:rsidRDefault="00CB0F8F" w:rsidP="00CB0F8F">
                        <w:pPr>
                          <w:pStyle w:val="Style1"/>
                        </w:pPr>
                      </w:p>
                    </w:txbxContent>
                  </v:textbox>
                </v:rect>
                <v:rect id="Rectangle 1333" o:spid="_x0000_s1052" style="position:absolute;left:1881;top:236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rect id="Rectangle 1334" o:spid="_x0000_s1053" style="position:absolute;left:1881;top:344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"/>
                <v:rect id="Rectangle 1335" o:spid="_x0000_s1054" style="position:absolute;left:1881;top:632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rect id="Rectangle 1336" o:spid="_x0000_s1055" style="position:absolute;left:1881;top:7228;width:3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rect id="Rectangle 1337" o:spid="_x0000_s1056" style="position:absolute;left:2766;top:5139;width:144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group>
            </w:pict>
          </mc:Fallback>
        </mc:AlternateContent>
      </w:r>
    </w:p>
    <w:p w14:paraId="1F2206AF" w14:textId="77777777" w:rsidR="00CB0F8F" w:rsidRPr="00A22868" w:rsidRDefault="00CB0F8F" w:rsidP="00CB0F8F">
      <w:pPr>
        <w:tabs>
          <w:tab w:val="left" w:pos="1134"/>
          <w:tab w:val="left" w:pos="1701"/>
          <w:tab w:val="left" w:pos="2268"/>
          <w:tab w:val="left" w:pos="2835"/>
          <w:tab w:val="left" w:pos="3402"/>
        </w:tabs>
        <w:spacing w:after="160"/>
      </w:pPr>
    </w:p>
    <w:p w14:paraId="776731D3" w14:textId="77777777" w:rsidR="00CB0F8F" w:rsidRPr="00A22868" w:rsidRDefault="00CB0F8F" w:rsidP="00CB0F8F">
      <w:pPr>
        <w:tabs>
          <w:tab w:val="left" w:pos="1134"/>
          <w:tab w:val="left" w:pos="1701"/>
          <w:tab w:val="left" w:pos="2268"/>
          <w:tab w:val="left" w:pos="2835"/>
          <w:tab w:val="left" w:pos="3402"/>
        </w:tabs>
        <w:spacing w:after="160"/>
        <w:rPr>
          <w:b/>
        </w:rPr>
      </w:pPr>
    </w:p>
    <w:p w14:paraId="4CEF6C14" w14:textId="77777777" w:rsidR="00CB0F8F" w:rsidRPr="00A22868" w:rsidRDefault="00CB0F8F" w:rsidP="00CB0F8F">
      <w:pPr>
        <w:tabs>
          <w:tab w:val="left" w:pos="1134"/>
          <w:tab w:val="left" w:pos="1701"/>
          <w:tab w:val="left" w:pos="2268"/>
          <w:tab w:val="left" w:pos="2835"/>
          <w:tab w:val="left" w:pos="3402"/>
        </w:tabs>
        <w:spacing w:after="160"/>
        <w:rPr>
          <w:b/>
        </w:rPr>
      </w:pPr>
    </w:p>
    <w:p w14:paraId="181221FF" w14:textId="77777777" w:rsidR="00CB0F8F" w:rsidRPr="00A22868" w:rsidRDefault="00CB0F8F" w:rsidP="00CB0F8F"/>
    <w:p w14:paraId="0AAEE83D" w14:textId="77777777" w:rsidR="00CB0F8F" w:rsidRPr="00A22868" w:rsidRDefault="00CB0F8F" w:rsidP="00CB0F8F"/>
    <w:p w14:paraId="73103344" w14:textId="77777777" w:rsidR="00CB0F8F" w:rsidRPr="00A22868" w:rsidRDefault="00CB0F8F" w:rsidP="00CB0F8F"/>
    <w:p w14:paraId="4F8BA001" w14:textId="77777777" w:rsidR="00CB0F8F" w:rsidRPr="00A22868" w:rsidRDefault="00CB0F8F" w:rsidP="00CB0F8F"/>
    <w:p w14:paraId="3A861A35" w14:textId="77777777" w:rsidR="00CB0F8F" w:rsidRPr="00A22868" w:rsidRDefault="00CB0F8F" w:rsidP="00CB0F8F"/>
    <w:p w14:paraId="45A846E9" w14:textId="77777777" w:rsidR="00CB0F8F" w:rsidRPr="00A22868" w:rsidRDefault="00CB0F8F" w:rsidP="00CB0F8F"/>
    <w:p w14:paraId="63B52272" w14:textId="77777777" w:rsidR="00CB0F8F" w:rsidRPr="00A22868" w:rsidRDefault="00CB0F8F" w:rsidP="00CB0F8F"/>
    <w:p w14:paraId="36F76C65" w14:textId="77777777" w:rsidR="00CB0F8F" w:rsidRPr="00A22868" w:rsidRDefault="00CB0F8F" w:rsidP="00CB0F8F"/>
    <w:p w14:paraId="4D0637A1" w14:textId="77777777" w:rsidR="00CB0F8F" w:rsidRPr="00A22868" w:rsidRDefault="00CB0F8F" w:rsidP="00CB0F8F">
      <w:r w:rsidRPr="00A22868">
        <w:rPr>
          <w:noProof/>
        </w:rPr>
        <mc:AlternateContent>
          <mc:Choice Requires="wps">
            <w:drawing>
              <wp:anchor distT="0" distB="0" distL="114300" distR="114300" simplePos="0" relativeHeight="251696128" behindDoc="0" locked="0" layoutInCell="1" allowOverlap="1" wp14:anchorId="4CDA6BCD" wp14:editId="7266695E">
                <wp:simplePos x="0" y="0"/>
                <wp:positionH relativeFrom="column">
                  <wp:posOffset>1845557</wp:posOffset>
                </wp:positionH>
                <wp:positionV relativeFrom="paragraph">
                  <wp:posOffset>99571</wp:posOffset>
                </wp:positionV>
                <wp:extent cx="1641832" cy="1206857"/>
                <wp:effectExtent l="0" t="0" r="15875" b="12700"/>
                <wp:wrapNone/>
                <wp:docPr id="373" name="Freeform 1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1832" cy="1206857"/>
                        </a:xfrm>
                        <a:custGeom>
                          <a:avLst/>
                          <a:gdLst>
                            <a:gd name="T0" fmla="*/ 0 w 2589"/>
                            <a:gd name="T1" fmla="*/ 0 h 3025"/>
                            <a:gd name="T2" fmla="*/ 2589 w 2589"/>
                            <a:gd name="T3" fmla="*/ 3025 h 3025"/>
                          </a:gdLst>
                          <a:ahLst/>
                          <a:cxnLst>
                            <a:cxn ang="0">
                              <a:pos x="T0" y="T1"/>
                            </a:cxn>
                            <a:cxn ang="0">
                              <a:pos x="T2" y="T3"/>
                            </a:cxn>
                          </a:cxnLst>
                          <a:rect l="0" t="0" r="r" b="b"/>
                          <a:pathLst>
                            <a:path w="2589" h="3025">
                              <a:moveTo>
                                <a:pt x="0" y="0"/>
                              </a:moveTo>
                              <a:lnTo>
                                <a:pt x="2589" y="30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EDA64" id="Freeform 1338" o:spid="_x0000_s1026" style="position:absolute;margin-left:145.3pt;margin-top:7.85pt;width:129.3pt;height:9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9,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" path="m,l2589,3025e" filled="f">
                <v:path arrowok="t" o:connecttype="custom" o:connectlocs="0,0;1641832,1206857" o:connectangles="0,0"/>
              </v:shape>
            </w:pict>
          </mc:Fallback>
        </mc:AlternateContent>
      </w:r>
    </w:p>
    <w:p w14:paraId="02910CA2" w14:textId="77777777" w:rsidR="00CB0F8F" w:rsidRPr="00A22868" w:rsidRDefault="00CB0F8F" w:rsidP="00CB0F8F"/>
    <w:p w14:paraId="119E60F8" w14:textId="77777777" w:rsidR="00CB0F8F" w:rsidRPr="00A22868" w:rsidRDefault="00CB0F8F" w:rsidP="00CB0F8F"/>
    <w:p w14:paraId="03FAD3D4" w14:textId="77777777" w:rsidR="00CB0F8F" w:rsidRPr="00A22868" w:rsidRDefault="00CB0F8F" w:rsidP="00CB0F8F"/>
    <w:p w14:paraId="489D2C4E" w14:textId="77777777" w:rsidR="00CB0F8F" w:rsidRPr="00A22868" w:rsidRDefault="00CB0F8F" w:rsidP="00CB0F8F">
      <w:pPr>
        <w:pStyle w:val="BodyText"/>
        <w:rPr>
          <w:lang w:val="en-GB"/>
        </w:rPr>
      </w:pPr>
    </w:p>
    <w:p w14:paraId="50B98054" w14:textId="77777777" w:rsidR="00CB0F8F" w:rsidRPr="00A22868" w:rsidRDefault="00CB0F8F" w:rsidP="00CB0F8F">
      <w:pPr>
        <w:pStyle w:val="BodyText"/>
        <w:rPr>
          <w:b/>
          <w:lang w:val="en-GB"/>
        </w:rPr>
      </w:pPr>
    </w:p>
    <w:p w14:paraId="777D081B" w14:textId="77777777" w:rsidR="00CB0F8F" w:rsidRPr="00A22868" w:rsidRDefault="00CB0F8F" w:rsidP="00CB0F8F">
      <w:pPr>
        <w:pStyle w:val="BodyText"/>
        <w:rPr>
          <w:b/>
          <w:lang w:val="en-GB"/>
        </w:rPr>
      </w:pPr>
    </w:p>
    <w:tbl>
      <w:tblPr>
        <w:tblStyle w:val="TableGrid"/>
        <w:tblW w:w="6658" w:type="dxa"/>
        <w:tblInd w:w="29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52"/>
        <w:gridCol w:w="4306"/>
      </w:tblGrid>
      <w:tr w:rsidR="00CB0F8F" w:rsidRPr="00A22868" w14:paraId="0C7692BE" w14:textId="77777777" w:rsidTr="009D2487">
        <w:tc>
          <w:tcPr>
            <w:tcW w:w="6658" w:type="dxa"/>
            <w:gridSpan w:val="2"/>
          </w:tcPr>
          <w:p w14:paraId="12ACDBBD" w14:textId="77777777" w:rsidR="00CB0F8F" w:rsidRPr="008B0608" w:rsidRDefault="00CB0F8F" w:rsidP="009D2487">
            <w:pPr>
              <w:spacing w:before="40" w:after="40" w:line="240" w:lineRule="auto"/>
              <w:ind w:left="92" w:right="74"/>
              <w:rPr>
                <w:lang w:val="en-GB"/>
              </w:rPr>
            </w:pPr>
            <w:r w:rsidRPr="00A22868">
              <w:rPr>
                <w:b/>
                <w:bCs/>
              </w:rPr>
              <w:t>Product identifier (see 1.4.10.5.2 (d))</w:t>
            </w:r>
          </w:p>
        </w:tc>
      </w:tr>
      <w:tr w:rsidR="00CB0F8F" w:rsidRPr="00A22868" w14:paraId="5F5076CB" w14:textId="77777777" w:rsidTr="009D2487">
        <w:tc>
          <w:tcPr>
            <w:tcW w:w="2352" w:type="dxa"/>
          </w:tcPr>
          <w:p w14:paraId="3BE83587" w14:textId="77777777" w:rsidR="00CB0F8F" w:rsidRPr="008B0608" w:rsidRDefault="00CB0F8F" w:rsidP="009D2487">
            <w:pPr>
              <w:ind w:left="92"/>
              <w:jc w:val="center"/>
              <w:rPr>
                <w:lang w:val="en-GB"/>
              </w:rPr>
            </w:pPr>
          </w:p>
        </w:tc>
        <w:tc>
          <w:tcPr>
            <w:tcW w:w="4306" w:type="dxa"/>
          </w:tcPr>
          <w:p w14:paraId="565A3FDA" w14:textId="77777777" w:rsidR="00CB0F8F" w:rsidRPr="008B0608" w:rsidRDefault="00CB0F8F" w:rsidP="009D2487">
            <w:pPr>
              <w:ind w:left="92"/>
              <w:jc w:val="center"/>
              <w:rPr>
                <w:lang w:val="en-GB"/>
              </w:rPr>
            </w:pPr>
          </w:p>
        </w:tc>
      </w:tr>
      <w:tr w:rsidR="00CB0F8F" w:rsidRPr="00A22868" w14:paraId="34338EFF" w14:textId="77777777" w:rsidTr="009D2487">
        <w:trPr>
          <w:trHeight w:val="1140"/>
        </w:trPr>
        <w:tc>
          <w:tcPr>
            <w:tcW w:w="2352" w:type="dxa"/>
          </w:tcPr>
          <w:p w14:paraId="2CEA3977" w14:textId="77777777" w:rsidR="00CB0F8F" w:rsidRPr="008B0608" w:rsidRDefault="00CB0F8F" w:rsidP="009D2487">
            <w:pPr>
              <w:ind w:left="92"/>
              <w:jc w:val="center"/>
              <w:rPr>
                <w:lang w:val="en-GB"/>
              </w:rPr>
            </w:pPr>
            <w:r w:rsidRPr="008B0608">
              <w:rPr>
                <w:noProof/>
                <w:lang w:eastAsia="es-AR"/>
              </w:rPr>
              <w:drawing>
                <wp:anchor distT="0" distB="0" distL="114300" distR="114300" simplePos="0" relativeHeight="251695104" behindDoc="1" locked="0" layoutInCell="1" allowOverlap="1" wp14:anchorId="5DE52971" wp14:editId="3B73BC47">
                  <wp:simplePos x="0" y="0"/>
                  <wp:positionH relativeFrom="column">
                    <wp:posOffset>241343</wp:posOffset>
                  </wp:positionH>
                  <wp:positionV relativeFrom="paragraph">
                    <wp:posOffset>346</wp:posOffset>
                  </wp:positionV>
                  <wp:extent cx="795655" cy="795655"/>
                  <wp:effectExtent l="0" t="0" r="4445" b="4445"/>
                  <wp:wrapTight wrapText="bothSides">
                    <wp:wrapPolygon edited="0">
                      <wp:start x="9309" y="0"/>
                      <wp:lineTo x="0" y="10343"/>
                      <wp:lineTo x="0" y="10860"/>
                      <wp:lineTo x="9309" y="21204"/>
                      <wp:lineTo x="11895" y="21204"/>
                      <wp:lineTo x="20686" y="11377"/>
                      <wp:lineTo x="21204" y="10343"/>
                      <wp:lineTo x="11895" y="0"/>
                      <wp:lineTo x="9309" y="0"/>
                    </wp:wrapPolygon>
                  </wp:wrapTight>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06" w:type="dxa"/>
          </w:tcPr>
          <w:p w14:paraId="30AB5D67" w14:textId="77777777" w:rsidR="00CB0F8F" w:rsidRPr="008B0608" w:rsidRDefault="00CB0F8F" w:rsidP="009D2487">
            <w:pPr>
              <w:ind w:left="92"/>
              <w:rPr>
                <w:b/>
                <w:bCs/>
                <w:lang w:val="en-GB"/>
              </w:rPr>
            </w:pPr>
          </w:p>
          <w:p w14:paraId="392B03B9" w14:textId="77777777" w:rsidR="00CB0F8F" w:rsidRPr="008B0608" w:rsidRDefault="00CB0F8F" w:rsidP="009D2487">
            <w:pPr>
              <w:ind w:left="92"/>
              <w:rPr>
                <w:b/>
                <w:bCs/>
                <w:lang w:val="en-GB"/>
              </w:rPr>
            </w:pPr>
            <w:r w:rsidRPr="00A22868">
              <w:rPr>
                <w:b/>
                <w:bCs/>
              </w:rPr>
              <w:t>SIGNAL WORD (see 1.4.10.5.2 (a))</w:t>
            </w:r>
          </w:p>
          <w:p w14:paraId="423A98BD" w14:textId="77777777" w:rsidR="00CB0F8F" w:rsidRPr="008B0608" w:rsidRDefault="00CB0F8F" w:rsidP="009D2487">
            <w:pPr>
              <w:ind w:left="92"/>
              <w:rPr>
                <w:b/>
                <w:bCs/>
                <w:lang w:val="en-GB"/>
              </w:rPr>
            </w:pPr>
          </w:p>
          <w:p w14:paraId="5D025DE7" w14:textId="77777777" w:rsidR="00CB0F8F" w:rsidRPr="008B0608" w:rsidRDefault="00CB0F8F" w:rsidP="009D2487">
            <w:pPr>
              <w:ind w:left="92"/>
              <w:rPr>
                <w:b/>
                <w:bCs/>
                <w:lang w:val="en-GB"/>
              </w:rPr>
            </w:pPr>
          </w:p>
          <w:p w14:paraId="3ED95F8E" w14:textId="77777777" w:rsidR="00CB0F8F" w:rsidRPr="008B0608" w:rsidRDefault="00CB0F8F" w:rsidP="009D2487">
            <w:pPr>
              <w:ind w:left="92"/>
              <w:rPr>
                <w:lang w:val="en-GB"/>
              </w:rPr>
            </w:pPr>
            <w:r w:rsidRPr="00A22868">
              <w:rPr>
                <w:b/>
                <w:bCs/>
              </w:rPr>
              <w:t>Hazard statements (see 1.4.10.5.2 (b))</w:t>
            </w:r>
          </w:p>
        </w:tc>
      </w:tr>
      <w:tr w:rsidR="00CB0F8F" w:rsidRPr="00A22868" w14:paraId="2AC27AAD" w14:textId="77777777" w:rsidTr="009D2487">
        <w:tc>
          <w:tcPr>
            <w:tcW w:w="6658" w:type="dxa"/>
            <w:gridSpan w:val="2"/>
          </w:tcPr>
          <w:p w14:paraId="3901A042" w14:textId="77777777" w:rsidR="00CB0F8F" w:rsidRPr="00C07505" w:rsidRDefault="00CB0F8F" w:rsidP="009D2487">
            <w:pPr>
              <w:spacing w:before="120" w:after="240" w:line="240" w:lineRule="auto"/>
              <w:ind w:left="92"/>
              <w:rPr>
                <w:b/>
                <w:bCs/>
                <w:lang w:val="en-GB"/>
              </w:rPr>
            </w:pPr>
            <w:r w:rsidRPr="00C07505">
              <w:rPr>
                <w:b/>
                <w:bCs/>
              </w:rPr>
              <w:t>Precautionary statements (see 1.4.10.5.2 (c) and annex 3 sections 2 and 3)</w:t>
            </w:r>
          </w:p>
          <w:p w14:paraId="0E6DD2BB" w14:textId="77777777" w:rsidR="00CB0F8F" w:rsidRPr="00C07505" w:rsidRDefault="00CB0F8F" w:rsidP="009D2487">
            <w:pPr>
              <w:tabs>
                <w:tab w:val="left" w:pos="252"/>
              </w:tabs>
              <w:spacing w:line="240" w:lineRule="auto"/>
              <w:ind w:left="92" w:hanging="28"/>
              <w:rPr>
                <w:lang w:val="en-GB"/>
              </w:rPr>
            </w:pPr>
            <w:r w:rsidRPr="00C07505">
              <w:t>Supplemental information as allowed or required by the competent</w:t>
            </w:r>
          </w:p>
          <w:p w14:paraId="2639FFBD" w14:textId="77777777" w:rsidR="00CB0F8F" w:rsidRPr="00C07505" w:rsidRDefault="00CB0F8F" w:rsidP="009D2487">
            <w:pPr>
              <w:tabs>
                <w:tab w:val="left" w:pos="252"/>
              </w:tabs>
              <w:spacing w:line="240" w:lineRule="auto"/>
              <w:ind w:left="92" w:hanging="28"/>
              <w:rPr>
                <w:lang w:val="en-GB"/>
              </w:rPr>
            </w:pPr>
            <w:r w:rsidRPr="00C07505">
              <w:t>authority as appropriate (see 1.4.10.5.4.2).</w:t>
            </w:r>
          </w:p>
          <w:p w14:paraId="1A14CB28" w14:textId="77777777" w:rsidR="00CB0F8F" w:rsidRPr="008B0608" w:rsidRDefault="00CB0F8F" w:rsidP="009D2487">
            <w:pPr>
              <w:spacing w:before="120" w:after="240" w:line="240" w:lineRule="auto"/>
              <w:ind w:left="92" w:hanging="28"/>
              <w:rPr>
                <w:lang w:val="en-GB"/>
              </w:rPr>
            </w:pPr>
            <w:r w:rsidRPr="00C07505">
              <w:rPr>
                <w:b/>
                <w:bCs/>
              </w:rPr>
              <w:t>Supplier identification (see 1.4.10.5.2 (e))</w:t>
            </w:r>
          </w:p>
        </w:tc>
      </w:tr>
    </w:tbl>
    <w:p w14:paraId="01E8FAB8" w14:textId="77777777" w:rsidR="00CB0F8F" w:rsidRPr="00A22868" w:rsidRDefault="00CB0F8F" w:rsidP="00CB0F8F">
      <w:pPr>
        <w:jc w:val="right"/>
      </w:pPr>
      <w:r w:rsidRPr="00A22868">
        <w:t>”.</w:t>
      </w:r>
    </w:p>
    <w:p w14:paraId="6CD6FCEF" w14:textId="77777777" w:rsidR="00CB0F8F" w:rsidRPr="00A22868" w:rsidRDefault="00CB0F8F" w:rsidP="00CB0F8F">
      <w:pPr>
        <w:spacing w:after="240"/>
        <w:ind w:left="1418" w:hanging="1418"/>
      </w:pPr>
      <w:r w:rsidRPr="00A22868">
        <w:br w:type="page"/>
      </w:r>
    </w:p>
    <w:p w14:paraId="0EB23B2A" w14:textId="77777777" w:rsidR="00CB0F8F" w:rsidRPr="00A22868" w:rsidRDefault="00CB0F8F" w:rsidP="00CB0F8F">
      <w:pPr>
        <w:pStyle w:val="SingleTxtG"/>
        <w:rPr>
          <w:rStyle w:val="H1GChar"/>
        </w:rPr>
      </w:pPr>
      <w:r w:rsidRPr="008B0608">
        <w:rPr>
          <w:rStyle w:val="H1GChar"/>
        </w:rPr>
        <w:lastRenderedPageBreak/>
        <w:t>Example 7</w:t>
      </w:r>
    </w:p>
    <w:p w14:paraId="669461BE" w14:textId="2B289297" w:rsidR="00CB0F8F" w:rsidRPr="00A22868" w:rsidRDefault="00CB0F8F" w:rsidP="00CB0F8F">
      <w:pPr>
        <w:pStyle w:val="SingleTxtG"/>
      </w:pPr>
      <w:r w:rsidRPr="00A22868">
        <w:t>Replace with the following:</w:t>
      </w:r>
    </w:p>
    <w:p w14:paraId="6576ABA9" w14:textId="77777777" w:rsidR="00CB0F8F" w:rsidRPr="00A22868" w:rsidRDefault="00CB0F8F" w:rsidP="00CB0F8F">
      <w:pPr>
        <w:pStyle w:val="SingleTxtG"/>
      </w:pPr>
      <w:r w:rsidRPr="00A22868">
        <w:t>“</w:t>
      </w:r>
      <w:r w:rsidRPr="00A22868">
        <w:rPr>
          <w:b/>
          <w:bCs/>
        </w:rPr>
        <w:t xml:space="preserve">Example 7: </w:t>
      </w:r>
      <w:r w:rsidRPr="00A22868">
        <w:rPr>
          <w:b/>
          <w:bCs/>
        </w:rPr>
        <w:tab/>
        <w:t xml:space="preserve">Additional guidance when transport and other GHS information appear on single </w:t>
      </w:r>
      <w:proofErr w:type="spellStart"/>
      <w:proofErr w:type="gramStart"/>
      <w:r w:rsidRPr="00A22868">
        <w:rPr>
          <w:b/>
          <w:bCs/>
        </w:rPr>
        <w:t>packagings</w:t>
      </w:r>
      <w:proofErr w:type="spellEnd"/>
      <w:proofErr w:type="gramEnd"/>
    </w:p>
    <w:p w14:paraId="14A452FB" w14:textId="77777777" w:rsidR="00CB0F8F" w:rsidRPr="00A22868" w:rsidRDefault="00CB0F8F" w:rsidP="00CB0F8F">
      <w:pPr>
        <w:pStyle w:val="SingleTxtG"/>
        <w:tabs>
          <w:tab w:val="clear" w:pos="1701"/>
        </w:tabs>
        <w:ind w:left="1985" w:hanging="425"/>
      </w:pPr>
      <w:r w:rsidRPr="00A22868">
        <w:t>(a)</w:t>
      </w:r>
      <w:r w:rsidRPr="00A22868">
        <w:tab/>
        <w:t>Where transport and other GHS information appear on a single packaging, consideration must be given to ensure that the label elements are placed in a manner that addresses the needs of the different sectors. The GHS pictogram does not appear on the GHS label when a transport label for the same hazard is already used (see 1.4.10.5.1</w:t>
      </w:r>
      <w:proofErr w:type="gramStart"/>
      <w:r w:rsidRPr="00A22868">
        <w:t>);</w:t>
      </w:r>
      <w:proofErr w:type="gramEnd"/>
    </w:p>
    <w:p w14:paraId="7F101FD3" w14:textId="77777777" w:rsidR="00CB0F8F" w:rsidRPr="00A22868" w:rsidRDefault="00CB0F8F" w:rsidP="00CB0F8F">
      <w:pPr>
        <w:pStyle w:val="SingleTxtG"/>
        <w:tabs>
          <w:tab w:val="clear" w:pos="1701"/>
        </w:tabs>
        <w:ind w:left="1985" w:hanging="425"/>
      </w:pPr>
      <w:r w:rsidRPr="00A22868">
        <w:t>(b)</w:t>
      </w:r>
      <w:r w:rsidRPr="00A22868">
        <w:tab/>
        <w:t xml:space="preserve">Transport labels must convey information immediately in </w:t>
      </w:r>
      <w:proofErr w:type="gramStart"/>
      <w:r w:rsidRPr="00A22868">
        <w:t>an emergency situation</w:t>
      </w:r>
      <w:proofErr w:type="gramEnd"/>
      <w:r w:rsidRPr="00A22868">
        <w:t xml:space="preserve">. They must be able to be seen from a distance, as well as in conditions that are smoky or otherwise partially obscure the </w:t>
      </w:r>
      <w:proofErr w:type="gramStart"/>
      <w:r w:rsidRPr="00A22868">
        <w:t>package;</w:t>
      </w:r>
      <w:proofErr w:type="gramEnd"/>
    </w:p>
    <w:p w14:paraId="28A1EE25" w14:textId="77777777" w:rsidR="00CB0F8F" w:rsidRPr="00A22868" w:rsidRDefault="00CB0F8F" w:rsidP="00CB0F8F">
      <w:pPr>
        <w:pStyle w:val="SingleTxtG"/>
        <w:tabs>
          <w:tab w:val="clear" w:pos="1701"/>
        </w:tabs>
        <w:ind w:left="1985" w:hanging="425"/>
      </w:pPr>
      <w:r w:rsidRPr="00A22868">
        <w:t>(c)</w:t>
      </w:r>
      <w:r w:rsidRPr="00A22868">
        <w:tab/>
        <w:t xml:space="preserve">Transport labels are distinct in appearance from pictograms intended solely for non-transport purposes which helps to distinguish </w:t>
      </w:r>
      <w:proofErr w:type="gramStart"/>
      <w:r w:rsidRPr="00A22868">
        <w:t>them;</w:t>
      </w:r>
      <w:proofErr w:type="gramEnd"/>
    </w:p>
    <w:p w14:paraId="6739CB18" w14:textId="6598153E" w:rsidR="00CB0F8F" w:rsidRPr="00A22868" w:rsidRDefault="00CB0F8F" w:rsidP="00CB0F8F">
      <w:pPr>
        <w:pStyle w:val="SingleTxtG"/>
        <w:tabs>
          <w:tab w:val="clear" w:pos="1701"/>
        </w:tabs>
        <w:ind w:left="1985" w:hanging="425"/>
      </w:pPr>
      <w:r w:rsidRPr="00A22868">
        <w:t>(d)</w:t>
      </w:r>
      <w:r w:rsidRPr="00A22868">
        <w:tab/>
        <w:t>Transport labels may be placed on a separate panel of a GHS label to distinguish them from the other information or may be placed adjacent to the other GHS information on the packaging;</w:t>
      </w:r>
      <w:r w:rsidR="005F1193">
        <w:t xml:space="preserve"> and</w:t>
      </w:r>
    </w:p>
    <w:p w14:paraId="2F3146C4" w14:textId="047B50FC" w:rsidR="00CB0F8F" w:rsidRPr="00A22868" w:rsidRDefault="00CB0F8F" w:rsidP="00CB0F8F">
      <w:pPr>
        <w:pStyle w:val="SingleTxtG"/>
        <w:tabs>
          <w:tab w:val="clear" w:pos="1701"/>
        </w:tabs>
        <w:ind w:left="1985" w:hanging="425"/>
      </w:pPr>
      <w:r w:rsidRPr="00A22868">
        <w:t>(e)</w:t>
      </w:r>
      <w:r w:rsidRPr="00A22868">
        <w:tab/>
        <w:t xml:space="preserve">The pictograms may be distinguished by adjusting their size. </w:t>
      </w:r>
      <w:proofErr w:type="gramStart"/>
      <w:r w:rsidRPr="00A22868">
        <w:t>Generally speaking, the</w:t>
      </w:r>
      <w:proofErr w:type="gramEnd"/>
      <w:r w:rsidRPr="00A22868">
        <w:t xml:space="preserve"> size of the non-transport pictograms should be proportional to the size of the text of the other label elements. This would generally be smaller than the transport labels (the size of which is intentionally regulated), but such size adjustments should not affect the clarity or comprehensibility of the non-transport pictograms</w:t>
      </w:r>
      <w:r w:rsidR="005F1193">
        <w:t>.</w:t>
      </w:r>
    </w:p>
    <w:p w14:paraId="10748806" w14:textId="77777777" w:rsidR="00CB0F8F" w:rsidRPr="00A22868" w:rsidRDefault="00CB0F8F" w:rsidP="00CB0F8F">
      <w:pPr>
        <w:pStyle w:val="SingleTxtG"/>
        <w:ind w:left="1701"/>
      </w:pPr>
      <w:r w:rsidRPr="00A22868">
        <w:t xml:space="preserve">Following is an example of how such a label may appear for a chemical in a </w:t>
      </w:r>
      <w:proofErr w:type="gramStart"/>
      <w:r w:rsidRPr="00A22868">
        <w:t xml:space="preserve">200 </w:t>
      </w:r>
      <w:r w:rsidRPr="00A22868">
        <w:rPr>
          <w:i/>
          <w:iCs/>
        </w:rPr>
        <w:t>l</w:t>
      </w:r>
      <w:proofErr w:type="gramEnd"/>
      <w:r w:rsidRPr="00A22868">
        <w:rPr>
          <w:i/>
          <w:iCs/>
        </w:rPr>
        <w:t xml:space="preserve"> </w:t>
      </w:r>
      <w:r w:rsidRPr="00A22868">
        <w:t>drum for transport and use in the workplace.</w:t>
      </w:r>
    </w:p>
    <w:p w14:paraId="61931835" w14:textId="77777777" w:rsidR="00CB0F8F" w:rsidRPr="00A22868" w:rsidRDefault="00CB0F8F" w:rsidP="00CB0F8F">
      <w:pPr>
        <w:pStyle w:val="SingleTxtG"/>
        <w:ind w:left="1701"/>
      </w:pPr>
      <w:r w:rsidRPr="00A22868">
        <w:t>This example is not intended to cover all specific requirements which may have been included in national legislation implementing the GHS nor all possible supplemental information which may be voluntarily included (e.g. “Directions of use” or “Filling weight”) or which may be required by some competent authorities. It takes account of the required basic GHS label information as described in section 1.4.10.</w:t>
      </w:r>
    </w:p>
    <w:p w14:paraId="62E0C78E" w14:textId="77777777" w:rsidR="0085454A" w:rsidRPr="00A22868" w:rsidRDefault="0085454A"/>
    <w:p w14:paraId="39D4E142" w14:textId="77777777" w:rsidR="0085454A" w:rsidRPr="00A22868" w:rsidRDefault="0085454A"/>
    <w:p w14:paraId="746F68F1" w14:textId="77777777" w:rsidR="00747E48" w:rsidRPr="00A22868" w:rsidRDefault="00747E48" w:rsidP="004858F5">
      <w:pPr>
        <w:sectPr w:rsidR="00747E48" w:rsidRPr="00A22868" w:rsidSect="00D50FD0">
          <w:headerReference w:type="even" r:id="rId33"/>
          <w:headerReference w:type="default" r:id="rId34"/>
          <w:footerReference w:type="even" r:id="rId35"/>
          <w:footerReference w:type="default" r:id="rId36"/>
          <w:footerReference w:type="first" r:id="rId37"/>
          <w:endnotePr>
            <w:numFmt w:val="decimal"/>
          </w:endnotePr>
          <w:pgSz w:w="11907" w:h="16840" w:code="9"/>
          <w:pgMar w:top="1417" w:right="1134" w:bottom="1134" w:left="1134" w:header="850" w:footer="567" w:gutter="0"/>
          <w:cols w:space="720"/>
          <w:titlePg/>
          <w:docGrid w:linePitch="272"/>
        </w:sectPr>
      </w:pPr>
    </w:p>
    <w:p w14:paraId="7F9AE379" w14:textId="77777777" w:rsidR="00AB65DC" w:rsidRPr="00A22868" w:rsidRDefault="00AB65DC" w:rsidP="00AB65DC">
      <w:pPr>
        <w:pStyle w:val="H23G"/>
        <w:ind w:left="0" w:firstLine="0"/>
        <w:rPr>
          <w:rFonts w:asciiTheme="majorBidi" w:eastAsiaTheme="minorHAnsi" w:hAnsiTheme="majorBidi" w:cstheme="majorBidi"/>
        </w:rPr>
      </w:pPr>
      <w:r w:rsidRPr="00A22868">
        <w:rPr>
          <w:bCs/>
        </w:rPr>
        <w:lastRenderedPageBreak/>
        <w:t>Single packaging using 3 adjacent panels to convey multiple hazards</w:t>
      </w:r>
      <w:r w:rsidRPr="00A22868">
        <w:rPr>
          <w:rFonts w:eastAsiaTheme="minorHAnsi"/>
        </w:rPr>
        <w:t>:  A mixture</w:t>
      </w:r>
      <w:r w:rsidRPr="00A22868">
        <w:rPr>
          <w:rFonts w:asciiTheme="majorBidi" w:eastAsiaTheme="minorHAnsi" w:hAnsiTheme="majorBidi" w:cstheme="majorBidi"/>
        </w:rPr>
        <w:t xml:space="preserve"> with the classification: Flammable liquids Category 2; </w:t>
      </w:r>
      <w:bookmarkStart w:id="20" w:name="_Hlk121037942"/>
      <w:r w:rsidRPr="00A22868">
        <w:rPr>
          <w:rFonts w:asciiTheme="majorBidi" w:eastAsiaTheme="minorHAnsi" w:hAnsiTheme="majorBidi" w:cstheme="majorBidi"/>
        </w:rPr>
        <w:t>Acute toxicity (inhalation) Category 4, and Specific target organ toxicity - repeated exposure, Category 2</w:t>
      </w:r>
      <w:bookmarkEnd w:id="20"/>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46"/>
        <w:gridCol w:w="6521"/>
        <w:gridCol w:w="3015"/>
      </w:tblGrid>
      <w:tr w:rsidR="00AB65DC" w:rsidRPr="00A22868" w14:paraId="3A953826" w14:textId="77777777" w:rsidTr="004D33AF">
        <w:trPr>
          <w:trHeight w:val="1242"/>
        </w:trPr>
        <w:tc>
          <w:tcPr>
            <w:tcW w:w="3946" w:type="dxa"/>
            <w:vMerge w:val="restart"/>
          </w:tcPr>
          <w:p w14:paraId="74159AA8" w14:textId="77777777" w:rsidR="00AB65DC" w:rsidRPr="008B0608" w:rsidRDefault="00AB65DC" w:rsidP="004D33AF">
            <w:pPr>
              <w:spacing w:before="40" w:after="40" w:line="360" w:lineRule="auto"/>
              <w:ind w:left="100"/>
              <w:rPr>
                <w:rFonts w:asciiTheme="majorBidi" w:hAnsiTheme="majorBidi" w:cstheme="majorBidi"/>
                <w:b/>
                <w:bCs/>
                <w:lang w:val="en-GB"/>
              </w:rPr>
            </w:pPr>
            <w:r w:rsidRPr="00A22868">
              <w:rPr>
                <w:rFonts w:asciiTheme="majorBidi" w:hAnsiTheme="majorBidi" w:cstheme="majorBidi"/>
                <w:b/>
                <w:bCs/>
              </w:rPr>
              <w:t>PRODUCT identifier (see 1.4.10.5.2 (d))</w:t>
            </w:r>
          </w:p>
          <w:p w14:paraId="7BDB090D" w14:textId="77777777" w:rsidR="00AB65DC" w:rsidRPr="008B0608" w:rsidRDefault="00AB65DC" w:rsidP="004D33AF">
            <w:pPr>
              <w:spacing w:before="40" w:after="40"/>
              <w:ind w:left="100"/>
              <w:rPr>
                <w:rFonts w:asciiTheme="majorBidi" w:hAnsiTheme="majorBidi" w:cstheme="majorBidi"/>
                <w:u w:val="single"/>
                <w:lang w:val="en-GB"/>
              </w:rPr>
            </w:pPr>
            <w:r w:rsidRPr="00A22868">
              <w:rPr>
                <w:rFonts w:asciiTheme="majorBidi" w:hAnsiTheme="majorBidi" w:cstheme="majorBidi"/>
                <w:b/>
                <w:bCs/>
              </w:rPr>
              <w:t xml:space="preserve">Supplier identification </w:t>
            </w:r>
            <w:r w:rsidRPr="00A22868">
              <w:rPr>
                <w:rFonts w:asciiTheme="majorBidi" w:hAnsiTheme="majorBidi" w:cstheme="majorBidi"/>
                <w:b/>
                <w:color w:val="000000" w:themeColor="text1"/>
              </w:rPr>
              <w:t>(</w:t>
            </w:r>
            <w:r w:rsidRPr="00A22868">
              <w:rPr>
                <w:rFonts w:asciiTheme="majorBidi" w:hAnsiTheme="majorBidi" w:cstheme="majorBidi"/>
                <w:b/>
                <w:bCs/>
              </w:rPr>
              <w:t>(see 1.4.10.5.2 (e))</w:t>
            </w:r>
          </w:p>
          <w:p w14:paraId="1CF738D4" w14:textId="77777777" w:rsidR="00AB65DC" w:rsidRPr="008B0608" w:rsidRDefault="00AB65DC" w:rsidP="004D33AF">
            <w:pPr>
              <w:rPr>
                <w:rFonts w:asciiTheme="majorBidi" w:hAnsiTheme="majorBidi" w:cstheme="majorBidi"/>
                <w:b/>
                <w:bCs/>
                <w:lang w:val="en-GB"/>
              </w:rPr>
            </w:pPr>
          </w:p>
          <w:p w14:paraId="534BCF4B" w14:textId="77777777" w:rsidR="00AB65DC" w:rsidRPr="008B0608" w:rsidRDefault="00AB65DC" w:rsidP="004D33AF">
            <w:pPr>
              <w:rPr>
                <w:rFonts w:asciiTheme="majorBidi" w:hAnsiTheme="majorBidi" w:cstheme="majorBidi"/>
                <w:b/>
                <w:bCs/>
                <w:lang w:val="en-GB"/>
              </w:rPr>
            </w:pPr>
          </w:p>
          <w:p w14:paraId="1E5C4584" w14:textId="77777777" w:rsidR="00AB65DC" w:rsidRPr="008B0608" w:rsidRDefault="00AB65DC" w:rsidP="004D33AF">
            <w:pPr>
              <w:rPr>
                <w:rFonts w:asciiTheme="majorBidi" w:hAnsiTheme="majorBidi" w:cstheme="majorBidi"/>
                <w:b/>
                <w:bCs/>
                <w:lang w:val="en-GB"/>
              </w:rPr>
            </w:pPr>
          </w:p>
          <w:p w14:paraId="54E3A78D" w14:textId="77777777" w:rsidR="00AB65DC" w:rsidRPr="008B0608" w:rsidRDefault="00AB65DC" w:rsidP="004D33AF">
            <w:pPr>
              <w:rPr>
                <w:rFonts w:asciiTheme="majorBidi" w:hAnsiTheme="majorBidi" w:cstheme="majorBidi"/>
                <w:b/>
                <w:bCs/>
                <w:lang w:val="en-GB"/>
              </w:rPr>
            </w:pPr>
          </w:p>
          <w:p w14:paraId="3C9FBAD1" w14:textId="77777777" w:rsidR="00AB65DC" w:rsidRPr="008B0608" w:rsidRDefault="00AB65DC" w:rsidP="004D33AF">
            <w:pPr>
              <w:rPr>
                <w:rFonts w:asciiTheme="majorBidi" w:hAnsiTheme="majorBidi" w:cstheme="majorBidi"/>
                <w:b/>
                <w:bCs/>
                <w:lang w:val="en-GB"/>
              </w:rPr>
            </w:pPr>
          </w:p>
          <w:p w14:paraId="56CEC1A9" w14:textId="77777777" w:rsidR="00AB65DC" w:rsidRPr="008B0608" w:rsidRDefault="00AB65DC" w:rsidP="004D33AF">
            <w:pPr>
              <w:rPr>
                <w:rFonts w:asciiTheme="majorBidi" w:hAnsiTheme="majorBidi" w:cstheme="majorBidi"/>
                <w:b/>
                <w:bCs/>
                <w:lang w:val="en-GB"/>
              </w:rPr>
            </w:pPr>
          </w:p>
          <w:p w14:paraId="54E85326" w14:textId="77777777" w:rsidR="00AB65DC" w:rsidRPr="008B0608" w:rsidRDefault="00AB65DC" w:rsidP="004D33AF">
            <w:pPr>
              <w:rPr>
                <w:rFonts w:asciiTheme="majorBidi" w:hAnsiTheme="majorBidi" w:cstheme="majorBidi"/>
                <w:b/>
                <w:bCs/>
                <w:lang w:val="en-GB"/>
              </w:rPr>
            </w:pPr>
          </w:p>
          <w:p w14:paraId="6FCAC214" w14:textId="77777777" w:rsidR="00AB65DC" w:rsidRPr="008B0608" w:rsidRDefault="00AB65DC" w:rsidP="004D33AF">
            <w:pPr>
              <w:rPr>
                <w:rFonts w:asciiTheme="majorBidi" w:hAnsiTheme="majorBidi" w:cstheme="majorBidi"/>
                <w:b/>
                <w:bCs/>
                <w:lang w:val="en-GB"/>
              </w:rPr>
            </w:pPr>
          </w:p>
          <w:p w14:paraId="50845AF9" w14:textId="77777777" w:rsidR="00AB65DC" w:rsidRPr="008B0608" w:rsidRDefault="00AB65DC" w:rsidP="004D33AF">
            <w:pPr>
              <w:rPr>
                <w:rFonts w:asciiTheme="majorBidi" w:hAnsiTheme="majorBidi" w:cstheme="majorBidi"/>
                <w:b/>
                <w:bCs/>
                <w:lang w:val="en-GB"/>
              </w:rPr>
            </w:pPr>
          </w:p>
          <w:p w14:paraId="00A2D6E8" w14:textId="77777777" w:rsidR="00AB65DC" w:rsidRPr="008B0608" w:rsidRDefault="00AB65DC" w:rsidP="004D33AF">
            <w:pPr>
              <w:rPr>
                <w:rFonts w:asciiTheme="majorBidi" w:hAnsiTheme="majorBidi" w:cstheme="majorBidi"/>
                <w:b/>
                <w:bCs/>
                <w:lang w:val="en-GB"/>
              </w:rPr>
            </w:pPr>
          </w:p>
          <w:p w14:paraId="021B2A99" w14:textId="77777777" w:rsidR="00AB65DC" w:rsidRPr="008B0608" w:rsidRDefault="00AB65DC" w:rsidP="004D33AF">
            <w:pPr>
              <w:rPr>
                <w:rFonts w:asciiTheme="majorBidi" w:hAnsiTheme="majorBidi" w:cstheme="majorBidi"/>
                <w:b/>
                <w:bCs/>
                <w:lang w:val="en-GB"/>
              </w:rPr>
            </w:pPr>
          </w:p>
          <w:p w14:paraId="673DD86B" w14:textId="77777777" w:rsidR="00AB65DC" w:rsidRPr="008B0608" w:rsidRDefault="00AB65DC" w:rsidP="004D33AF">
            <w:pPr>
              <w:rPr>
                <w:rFonts w:asciiTheme="majorBidi" w:hAnsiTheme="majorBidi" w:cstheme="majorBidi"/>
                <w:b/>
                <w:bCs/>
                <w:lang w:val="en-GB"/>
              </w:rPr>
            </w:pPr>
          </w:p>
          <w:p w14:paraId="4AA465FC" w14:textId="77777777" w:rsidR="00AB65DC" w:rsidRPr="008B0608" w:rsidRDefault="00AB65DC" w:rsidP="004D33AF">
            <w:pPr>
              <w:rPr>
                <w:rFonts w:asciiTheme="majorBidi" w:hAnsiTheme="majorBidi" w:cstheme="majorBidi"/>
                <w:b/>
                <w:bCs/>
                <w:lang w:val="en-GB"/>
              </w:rPr>
            </w:pPr>
          </w:p>
          <w:p w14:paraId="1FE94F5D" w14:textId="77777777" w:rsidR="00AB65DC" w:rsidRPr="008B0608" w:rsidRDefault="00AB65DC" w:rsidP="004D33AF">
            <w:pPr>
              <w:rPr>
                <w:rFonts w:asciiTheme="majorBidi" w:hAnsiTheme="majorBidi" w:cstheme="majorBidi"/>
                <w:b/>
                <w:bCs/>
                <w:lang w:val="en-GB"/>
              </w:rPr>
            </w:pPr>
          </w:p>
          <w:p w14:paraId="54965BF4" w14:textId="77777777" w:rsidR="00AB65DC" w:rsidRPr="008B0608" w:rsidRDefault="00AB65DC" w:rsidP="004D33AF">
            <w:pPr>
              <w:rPr>
                <w:rFonts w:asciiTheme="majorBidi" w:hAnsiTheme="majorBidi" w:cstheme="majorBidi"/>
                <w:b/>
                <w:bCs/>
                <w:lang w:val="en-GB"/>
              </w:rPr>
            </w:pPr>
          </w:p>
          <w:p w14:paraId="2752902F" w14:textId="77777777" w:rsidR="00AB65DC" w:rsidRPr="008B0608" w:rsidRDefault="00AB65DC" w:rsidP="004D33AF">
            <w:pPr>
              <w:rPr>
                <w:rFonts w:asciiTheme="majorBidi" w:hAnsiTheme="majorBidi" w:cstheme="majorBidi"/>
                <w:b/>
                <w:bCs/>
                <w:lang w:val="en-GB"/>
              </w:rPr>
            </w:pPr>
          </w:p>
          <w:p w14:paraId="25722E2C" w14:textId="77777777" w:rsidR="00AB65DC" w:rsidRPr="008B0608" w:rsidRDefault="00AB65DC" w:rsidP="004D33AF">
            <w:pPr>
              <w:rPr>
                <w:rFonts w:asciiTheme="majorBidi" w:hAnsiTheme="majorBidi" w:cstheme="majorBidi"/>
                <w:b/>
                <w:bCs/>
                <w:lang w:val="en-GB"/>
              </w:rPr>
            </w:pPr>
          </w:p>
          <w:p w14:paraId="28621252" w14:textId="77777777" w:rsidR="00AB65DC" w:rsidRPr="008B0608" w:rsidRDefault="00AB65DC" w:rsidP="004D33AF">
            <w:pPr>
              <w:rPr>
                <w:rFonts w:asciiTheme="majorBidi" w:hAnsiTheme="majorBidi" w:cstheme="majorBidi"/>
                <w:b/>
                <w:bCs/>
                <w:lang w:val="en-GB"/>
              </w:rPr>
            </w:pPr>
          </w:p>
          <w:p w14:paraId="5565A071" w14:textId="77777777" w:rsidR="00AB65DC" w:rsidRPr="008B0608" w:rsidRDefault="00AB65DC" w:rsidP="004D33AF">
            <w:pPr>
              <w:rPr>
                <w:rFonts w:asciiTheme="majorBidi" w:hAnsiTheme="majorBidi" w:cstheme="majorBidi"/>
                <w:b/>
                <w:bCs/>
                <w:lang w:val="en-GB"/>
              </w:rPr>
            </w:pPr>
          </w:p>
          <w:p w14:paraId="36C8E1EC" w14:textId="77777777" w:rsidR="00AB65DC" w:rsidRPr="008B0608" w:rsidRDefault="00AB65DC" w:rsidP="004D33AF">
            <w:pPr>
              <w:rPr>
                <w:rFonts w:asciiTheme="majorBidi" w:hAnsiTheme="majorBidi" w:cstheme="majorBidi"/>
                <w:b/>
                <w:bCs/>
                <w:lang w:val="en-GB"/>
              </w:rPr>
            </w:pPr>
          </w:p>
          <w:p w14:paraId="538FF087" w14:textId="77777777" w:rsidR="00AB65DC" w:rsidRPr="008B0608" w:rsidRDefault="00AB65DC" w:rsidP="004D33AF">
            <w:pPr>
              <w:rPr>
                <w:rFonts w:asciiTheme="majorBidi" w:hAnsiTheme="majorBidi" w:cstheme="majorBidi"/>
                <w:b/>
                <w:bCs/>
                <w:lang w:val="en-GB"/>
              </w:rPr>
            </w:pPr>
          </w:p>
          <w:p w14:paraId="540B440F" w14:textId="77777777" w:rsidR="00AB65DC" w:rsidRPr="008B0608" w:rsidRDefault="00AB65DC" w:rsidP="004D33AF">
            <w:pPr>
              <w:rPr>
                <w:rFonts w:asciiTheme="majorBidi" w:hAnsiTheme="majorBidi" w:cstheme="majorBidi"/>
                <w:u w:val="single"/>
                <w:lang w:val="en-GB"/>
              </w:rPr>
            </w:pPr>
            <w:r w:rsidRPr="00A22868">
              <w:rPr>
                <w:rFonts w:asciiTheme="majorBidi" w:hAnsiTheme="majorBidi" w:cstheme="majorBidi"/>
                <w:b/>
                <w:bCs/>
              </w:rPr>
              <w:t xml:space="preserve">Expiration date: </w:t>
            </w:r>
          </w:p>
        </w:tc>
        <w:tc>
          <w:tcPr>
            <w:tcW w:w="6521" w:type="dxa"/>
          </w:tcPr>
          <w:p w14:paraId="4F3EC532" w14:textId="77777777" w:rsidR="00AB65DC" w:rsidRPr="008B0608" w:rsidRDefault="00AB65DC" w:rsidP="004D33AF">
            <w:pPr>
              <w:rPr>
                <w:rFonts w:asciiTheme="majorBidi" w:hAnsiTheme="majorBidi" w:cstheme="majorBidi"/>
                <w:u w:val="single"/>
                <w:lang w:val="en-GB"/>
              </w:rPr>
            </w:pPr>
            <w:r w:rsidRPr="008B0608">
              <w:rPr>
                <w:rFonts w:asciiTheme="majorBidi" w:hAnsiTheme="majorBidi" w:cstheme="majorBidi"/>
                <w:b/>
                <w:noProof/>
                <w:sz w:val="18"/>
                <w:szCs w:val="18"/>
              </w:rPr>
              <mc:AlternateContent>
                <mc:Choice Requires="wpg">
                  <w:drawing>
                    <wp:anchor distT="0" distB="0" distL="114300" distR="114300" simplePos="0" relativeHeight="251678720" behindDoc="1" locked="0" layoutInCell="1" allowOverlap="1" wp14:anchorId="439AF326" wp14:editId="2A6ED724">
                      <wp:simplePos x="0" y="0"/>
                      <wp:positionH relativeFrom="column">
                        <wp:posOffset>1250863</wp:posOffset>
                      </wp:positionH>
                      <wp:positionV relativeFrom="paragraph">
                        <wp:posOffset>61595</wp:posOffset>
                      </wp:positionV>
                      <wp:extent cx="1627200" cy="784800"/>
                      <wp:effectExtent l="0" t="0" r="0" b="0"/>
                      <wp:wrapTight wrapText="bothSides">
                        <wp:wrapPolygon edited="0">
                          <wp:start x="15681" y="0"/>
                          <wp:lineTo x="5059" y="0"/>
                          <wp:lineTo x="506" y="2623"/>
                          <wp:lineTo x="0" y="9969"/>
                          <wp:lineTo x="0" y="11019"/>
                          <wp:lineTo x="4300" y="20988"/>
                          <wp:lineTo x="16946" y="20988"/>
                          <wp:lineTo x="21246" y="11019"/>
                          <wp:lineTo x="21246" y="9969"/>
                          <wp:lineTo x="16693" y="0"/>
                          <wp:lineTo x="15681" y="0"/>
                        </wp:wrapPolygon>
                      </wp:wrapTight>
                      <wp:docPr id="23" name="Group 23"/>
                      <wp:cNvGraphicFramePr/>
                      <a:graphic xmlns:a="http://schemas.openxmlformats.org/drawingml/2006/main">
                        <a:graphicData uri="http://schemas.microsoft.com/office/word/2010/wordprocessingGroup">
                          <wpg:wgp>
                            <wpg:cNvGrpSpPr/>
                            <wpg:grpSpPr>
                              <a:xfrm>
                                <a:off x="0" y="0"/>
                                <a:ext cx="1627200" cy="784800"/>
                                <a:chOff x="0" y="0"/>
                                <a:chExt cx="1626321" cy="784213"/>
                              </a:xfrm>
                            </wpg:grpSpPr>
                            <pic:pic xmlns:pic="http://schemas.openxmlformats.org/drawingml/2006/picture">
                              <pic:nvPicPr>
                                <pic:cNvPr id="368" name="Picture 1370"/>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852256" y="0"/>
                                  <a:ext cx="774065" cy="774065"/>
                                </a:xfrm>
                                <a:prstGeom prst="rect">
                                  <a:avLst/>
                                </a:prstGeom>
                                <a:noFill/>
                              </pic:spPr>
                            </pic:pic>
                            <pic:pic xmlns:pic="http://schemas.openxmlformats.org/drawingml/2006/picture">
                              <pic:nvPicPr>
                                <pic:cNvPr id="369" name="Picture 137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8878"/>
                                  <a:ext cx="775335" cy="77533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D9F6958" id="Group 23" o:spid="_x0000_s1026" style="position:absolute;margin-left:98.5pt;margin-top:4.85pt;width:128.15pt;height:61.8pt;z-index:-251637760;mso-width-relative:margin;mso-height-relative:margin" coordsize="16263,784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">
                      <v:shape id="Picture 1370" o:spid="_x0000_s1027" type="#_x0000_t75" style="position:absolute;left:8522;width:7741;height:7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">
                        <v:imagedata r:id="rId38" o:title=""/>
                      </v:shape>
                      <v:shape id="Picture 1371" o:spid="_x0000_s1028" type="#_x0000_t75" style="position:absolute;top:88;width:7753;height:7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">
                        <v:imagedata r:id="rId39" o:title=""/>
                      </v:shape>
                      <w10:wrap type="tight"/>
                    </v:group>
                  </w:pict>
                </mc:Fallback>
              </mc:AlternateContent>
            </w:r>
          </w:p>
        </w:tc>
        <w:tc>
          <w:tcPr>
            <w:tcW w:w="3015" w:type="dxa"/>
            <w:vMerge w:val="restart"/>
          </w:tcPr>
          <w:p w14:paraId="361FEF86" w14:textId="77777777" w:rsidR="00AB65DC" w:rsidRPr="008B0608" w:rsidRDefault="00AB65DC" w:rsidP="004D33AF">
            <w:pPr>
              <w:jc w:val="center"/>
              <w:rPr>
                <w:rFonts w:asciiTheme="majorBidi" w:hAnsiTheme="majorBidi" w:cstheme="majorBidi"/>
                <w:b/>
                <w:bCs/>
                <w:lang w:val="en-GB"/>
              </w:rPr>
            </w:pPr>
            <w:r w:rsidRPr="008B0608">
              <w:rPr>
                <w:rFonts w:asciiTheme="majorBidi" w:hAnsiTheme="majorBidi" w:cstheme="majorBidi"/>
                <w:b/>
                <w:noProof/>
                <w:sz w:val="18"/>
                <w:szCs w:val="18"/>
                <w:highlight w:val="yellow"/>
              </w:rPr>
              <w:drawing>
                <wp:anchor distT="0" distB="0" distL="114300" distR="114300" simplePos="0" relativeHeight="251679744" behindDoc="1" locked="0" layoutInCell="1" allowOverlap="1" wp14:anchorId="79404DDA" wp14:editId="32F792DE">
                  <wp:simplePos x="0" y="0"/>
                  <wp:positionH relativeFrom="page">
                    <wp:posOffset>549</wp:posOffset>
                  </wp:positionH>
                  <wp:positionV relativeFrom="paragraph">
                    <wp:posOffset>235</wp:posOffset>
                  </wp:positionV>
                  <wp:extent cx="1886400" cy="1897200"/>
                  <wp:effectExtent l="0" t="0" r="0" b="8255"/>
                  <wp:wrapTight wrapText="bothSides">
                    <wp:wrapPolygon edited="0">
                      <wp:start x="0" y="0"/>
                      <wp:lineTo x="0" y="21477"/>
                      <wp:lineTo x="21382" y="21477"/>
                      <wp:lineTo x="213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86400" cy="1897200"/>
                          </a:xfrm>
                          <a:prstGeom prst="rect">
                            <a:avLst/>
                          </a:prstGeom>
                          <a:noFill/>
                        </pic:spPr>
                      </pic:pic>
                    </a:graphicData>
                  </a:graphic>
                  <wp14:sizeRelH relativeFrom="page">
                    <wp14:pctWidth>0</wp14:pctWidth>
                  </wp14:sizeRelH>
                  <wp14:sizeRelV relativeFrom="page">
                    <wp14:pctHeight>0</wp14:pctHeight>
                  </wp14:sizeRelV>
                </wp:anchor>
              </w:drawing>
            </w:r>
            <w:r w:rsidRPr="00A22868">
              <w:rPr>
                <w:rFonts w:asciiTheme="majorBidi" w:hAnsiTheme="majorBidi" w:cstheme="majorBidi"/>
                <w:b/>
                <w:bCs/>
              </w:rPr>
              <w:t>UN Number</w:t>
            </w:r>
          </w:p>
          <w:p w14:paraId="0234B1CA" w14:textId="77777777" w:rsidR="00AB65DC" w:rsidRPr="008B0608" w:rsidRDefault="00AB65DC" w:rsidP="004D33AF">
            <w:pPr>
              <w:jc w:val="center"/>
              <w:rPr>
                <w:rFonts w:asciiTheme="majorBidi" w:hAnsiTheme="majorBidi" w:cstheme="majorBidi"/>
                <w:u w:val="single"/>
                <w:lang w:val="en-GB"/>
              </w:rPr>
            </w:pPr>
            <w:r w:rsidRPr="00A22868">
              <w:rPr>
                <w:rFonts w:asciiTheme="majorBidi" w:hAnsiTheme="majorBidi" w:cstheme="majorBidi"/>
                <w:b/>
                <w:bCs/>
              </w:rPr>
              <w:t>Proper shipping name</w:t>
            </w:r>
            <w:r w:rsidRPr="00A22868">
              <w:rPr>
                <w:rFonts w:asciiTheme="majorBidi" w:hAnsiTheme="majorBidi" w:cstheme="majorBidi"/>
                <w:b/>
                <w:noProof/>
                <w:sz w:val="18"/>
                <w:szCs w:val="18"/>
                <w:highlight w:val="yellow"/>
              </w:rPr>
              <w:t xml:space="preserve"> </w:t>
            </w:r>
          </w:p>
        </w:tc>
      </w:tr>
      <w:tr w:rsidR="00AB65DC" w:rsidRPr="00A22868" w14:paraId="4E44E337" w14:textId="77777777" w:rsidTr="004D33AF">
        <w:tc>
          <w:tcPr>
            <w:tcW w:w="3946" w:type="dxa"/>
            <w:vMerge/>
          </w:tcPr>
          <w:p w14:paraId="0997D244" w14:textId="77777777" w:rsidR="00AB65DC" w:rsidRPr="008B0608" w:rsidRDefault="00AB65DC" w:rsidP="004D33AF">
            <w:pPr>
              <w:rPr>
                <w:rFonts w:asciiTheme="majorBidi" w:hAnsiTheme="majorBidi" w:cstheme="majorBidi"/>
                <w:u w:val="single"/>
                <w:lang w:val="en-GB"/>
              </w:rPr>
            </w:pPr>
          </w:p>
        </w:tc>
        <w:tc>
          <w:tcPr>
            <w:tcW w:w="6521" w:type="dxa"/>
          </w:tcPr>
          <w:p w14:paraId="206A379F" w14:textId="77777777" w:rsidR="00AB65DC" w:rsidRPr="008B0608" w:rsidRDefault="00AB65DC" w:rsidP="004D33AF">
            <w:pPr>
              <w:spacing w:before="40" w:line="228" w:lineRule="auto"/>
              <w:jc w:val="center"/>
              <w:rPr>
                <w:rFonts w:asciiTheme="majorBidi" w:hAnsiTheme="majorBidi" w:cstheme="majorBidi"/>
                <w:u w:val="single"/>
                <w:lang w:val="en-GB"/>
              </w:rPr>
            </w:pPr>
            <w:r w:rsidRPr="00A22868">
              <w:rPr>
                <w:rFonts w:asciiTheme="majorBidi" w:hAnsiTheme="majorBidi" w:cstheme="majorBidi"/>
                <w:b/>
                <w:sz w:val="18"/>
                <w:szCs w:val="18"/>
              </w:rPr>
              <w:t>Danger</w:t>
            </w:r>
          </w:p>
        </w:tc>
        <w:tc>
          <w:tcPr>
            <w:tcW w:w="3015" w:type="dxa"/>
            <w:vMerge/>
          </w:tcPr>
          <w:p w14:paraId="25E49C17" w14:textId="77777777" w:rsidR="00AB65DC" w:rsidRPr="008B0608" w:rsidRDefault="00AB65DC" w:rsidP="004D33AF">
            <w:pPr>
              <w:jc w:val="center"/>
              <w:rPr>
                <w:rFonts w:asciiTheme="majorBidi" w:hAnsiTheme="majorBidi" w:cstheme="majorBidi"/>
                <w:u w:val="single"/>
                <w:lang w:val="en-GB"/>
              </w:rPr>
            </w:pPr>
          </w:p>
        </w:tc>
      </w:tr>
      <w:tr w:rsidR="00AB65DC" w:rsidRPr="00A22868" w14:paraId="55D37E33" w14:textId="77777777" w:rsidTr="004D33AF">
        <w:tc>
          <w:tcPr>
            <w:tcW w:w="3946" w:type="dxa"/>
            <w:vMerge/>
          </w:tcPr>
          <w:p w14:paraId="43CD8C0C" w14:textId="77777777" w:rsidR="00AB65DC" w:rsidRPr="008B0608" w:rsidRDefault="00AB65DC" w:rsidP="004D33AF">
            <w:pPr>
              <w:rPr>
                <w:rFonts w:asciiTheme="majorBidi" w:hAnsiTheme="majorBidi" w:cstheme="majorBidi"/>
                <w:u w:val="single"/>
                <w:lang w:val="en-GB"/>
              </w:rPr>
            </w:pPr>
          </w:p>
        </w:tc>
        <w:tc>
          <w:tcPr>
            <w:tcW w:w="6521" w:type="dxa"/>
          </w:tcPr>
          <w:p w14:paraId="3F8284BF" w14:textId="77777777" w:rsidR="00AB65DC" w:rsidRPr="008B0608" w:rsidRDefault="00AB65DC" w:rsidP="004D33AF">
            <w:pPr>
              <w:spacing w:before="40" w:line="228" w:lineRule="auto"/>
              <w:ind w:left="1417"/>
              <w:rPr>
                <w:rFonts w:asciiTheme="majorBidi" w:hAnsiTheme="majorBidi" w:cstheme="majorBidi"/>
                <w:b/>
                <w:sz w:val="18"/>
                <w:szCs w:val="18"/>
                <w:lang w:val="en-GB"/>
              </w:rPr>
            </w:pPr>
          </w:p>
        </w:tc>
        <w:tc>
          <w:tcPr>
            <w:tcW w:w="3015" w:type="dxa"/>
            <w:vMerge/>
          </w:tcPr>
          <w:p w14:paraId="0D2B6BCE" w14:textId="77777777" w:rsidR="00AB65DC" w:rsidRPr="008B0608" w:rsidRDefault="00AB65DC" w:rsidP="004D33AF">
            <w:pPr>
              <w:rPr>
                <w:rFonts w:asciiTheme="majorBidi" w:hAnsiTheme="majorBidi" w:cstheme="majorBidi"/>
                <w:u w:val="single"/>
                <w:lang w:val="en-GB"/>
              </w:rPr>
            </w:pPr>
          </w:p>
        </w:tc>
      </w:tr>
      <w:tr w:rsidR="00AB65DC" w:rsidRPr="00A22868" w14:paraId="1B4CACCA" w14:textId="77777777" w:rsidTr="004D33AF">
        <w:trPr>
          <w:trHeight w:val="4879"/>
        </w:trPr>
        <w:tc>
          <w:tcPr>
            <w:tcW w:w="3946" w:type="dxa"/>
            <w:vMerge/>
          </w:tcPr>
          <w:p w14:paraId="2D9D457E" w14:textId="77777777" w:rsidR="00AB65DC" w:rsidRPr="008B0608" w:rsidRDefault="00AB65DC" w:rsidP="004D33AF">
            <w:pPr>
              <w:rPr>
                <w:rFonts w:asciiTheme="majorBidi" w:hAnsiTheme="majorBidi" w:cstheme="majorBidi"/>
                <w:u w:val="single"/>
                <w:lang w:val="en-GB"/>
              </w:rPr>
            </w:pPr>
          </w:p>
        </w:tc>
        <w:tc>
          <w:tcPr>
            <w:tcW w:w="6521" w:type="dxa"/>
          </w:tcPr>
          <w:p w14:paraId="057FB9E2" w14:textId="77777777" w:rsidR="00AB65DC" w:rsidRPr="008B0608" w:rsidRDefault="00AB65DC" w:rsidP="004D33AF">
            <w:pPr>
              <w:rPr>
                <w:rFonts w:asciiTheme="majorBidi" w:hAnsiTheme="majorBidi" w:cstheme="majorBidi"/>
                <w:b/>
                <w:sz w:val="18"/>
                <w:szCs w:val="18"/>
                <w:lang w:val="en-GB"/>
              </w:rPr>
            </w:pPr>
            <w:r w:rsidRPr="00A22868">
              <w:rPr>
                <w:rFonts w:asciiTheme="majorBidi" w:hAnsiTheme="majorBidi" w:cstheme="majorBidi"/>
                <w:b/>
                <w:sz w:val="18"/>
                <w:szCs w:val="18"/>
              </w:rPr>
              <w:t xml:space="preserve">Highly flammable liquid and </w:t>
            </w:r>
            <w:proofErr w:type="spellStart"/>
            <w:r w:rsidRPr="00A22868">
              <w:rPr>
                <w:rFonts w:asciiTheme="majorBidi" w:hAnsiTheme="majorBidi" w:cstheme="majorBidi"/>
                <w:b/>
                <w:sz w:val="18"/>
                <w:szCs w:val="18"/>
              </w:rPr>
              <w:t>vapour</w:t>
            </w:r>
            <w:proofErr w:type="spellEnd"/>
            <w:r w:rsidRPr="00A22868">
              <w:rPr>
                <w:rFonts w:asciiTheme="majorBidi" w:hAnsiTheme="majorBidi" w:cstheme="majorBidi"/>
                <w:b/>
                <w:sz w:val="18"/>
                <w:szCs w:val="18"/>
              </w:rPr>
              <w:t>.</w:t>
            </w:r>
          </w:p>
          <w:p w14:paraId="100AD50B" w14:textId="77777777" w:rsidR="00AB65DC" w:rsidRPr="008B0608" w:rsidRDefault="00AB65DC" w:rsidP="004D33AF">
            <w:pPr>
              <w:rPr>
                <w:rFonts w:asciiTheme="majorBidi" w:hAnsiTheme="majorBidi" w:cstheme="majorBidi"/>
                <w:b/>
                <w:sz w:val="18"/>
                <w:szCs w:val="18"/>
                <w:lang w:val="en-GB"/>
              </w:rPr>
            </w:pPr>
            <w:r w:rsidRPr="00A22868">
              <w:rPr>
                <w:rFonts w:asciiTheme="majorBidi" w:hAnsiTheme="majorBidi" w:cstheme="majorBidi"/>
                <w:b/>
                <w:sz w:val="18"/>
                <w:szCs w:val="18"/>
              </w:rPr>
              <w:t>Harmful if inhaled.</w:t>
            </w:r>
          </w:p>
          <w:p w14:paraId="0A9BB47B" w14:textId="77777777" w:rsidR="00AB65DC" w:rsidRPr="008B0608" w:rsidRDefault="00AB65DC" w:rsidP="004D33AF">
            <w:pPr>
              <w:rPr>
                <w:rFonts w:asciiTheme="majorBidi" w:hAnsiTheme="majorBidi" w:cstheme="majorBidi"/>
                <w:b/>
                <w:sz w:val="18"/>
                <w:szCs w:val="18"/>
                <w:lang w:val="en-GB"/>
              </w:rPr>
            </w:pPr>
            <w:r w:rsidRPr="00A22868">
              <w:rPr>
                <w:rFonts w:asciiTheme="majorBidi" w:hAnsiTheme="majorBidi" w:cstheme="majorBidi"/>
                <w:b/>
                <w:sz w:val="18"/>
                <w:szCs w:val="18"/>
              </w:rPr>
              <w:t>May cause liver and kidney damage through prolonged or repeated exposure.</w:t>
            </w:r>
          </w:p>
          <w:p w14:paraId="12678FFA" w14:textId="77777777" w:rsidR="00AB65DC" w:rsidRPr="008B0608" w:rsidRDefault="00AB65DC" w:rsidP="004D33AF">
            <w:pPr>
              <w:spacing w:before="80"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color w:val="000000" w:themeColor="text1"/>
                <w:sz w:val="18"/>
                <w:szCs w:val="18"/>
              </w:rPr>
              <w:t xml:space="preserve">Keep container tightly closed. </w:t>
            </w:r>
          </w:p>
          <w:p w14:paraId="2A0B33A0"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color w:val="000000" w:themeColor="text1"/>
                <w:sz w:val="18"/>
                <w:szCs w:val="18"/>
              </w:rPr>
              <w:t xml:space="preserve">Keep away from heat, hot surfaces, sparks, open </w:t>
            </w:r>
            <w:proofErr w:type="gramStart"/>
            <w:r w:rsidRPr="00A22868">
              <w:rPr>
                <w:rFonts w:asciiTheme="majorBidi" w:hAnsiTheme="majorBidi" w:cstheme="majorBidi"/>
                <w:color w:val="000000" w:themeColor="text1"/>
                <w:sz w:val="18"/>
                <w:szCs w:val="18"/>
              </w:rPr>
              <w:t>flames</w:t>
            </w:r>
            <w:proofErr w:type="gramEnd"/>
            <w:r w:rsidRPr="00A22868">
              <w:rPr>
                <w:rFonts w:asciiTheme="majorBidi" w:hAnsiTheme="majorBidi" w:cstheme="majorBidi"/>
                <w:color w:val="000000" w:themeColor="text1"/>
                <w:sz w:val="18"/>
                <w:szCs w:val="18"/>
              </w:rPr>
              <w:t xml:space="preserve"> and other ignition sources. No smoking. Store in a well- ventilated place. Keep cool. </w:t>
            </w:r>
          </w:p>
          <w:p w14:paraId="0AC857BF"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color w:val="000000" w:themeColor="text1"/>
                <w:sz w:val="18"/>
                <w:szCs w:val="18"/>
              </w:rPr>
              <w:t xml:space="preserve">Ground and bond container and receiving equipment. </w:t>
            </w:r>
          </w:p>
          <w:p w14:paraId="42DAECF7"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bCs/>
                <w:sz w:val="18"/>
                <w:szCs w:val="18"/>
              </w:rPr>
              <w:t xml:space="preserve">Use explosion-proof </w:t>
            </w:r>
            <w:r w:rsidRPr="00A22868">
              <w:rPr>
                <w:rStyle w:val="markedcontent"/>
                <w:rFonts w:asciiTheme="majorBidi" w:hAnsiTheme="majorBidi" w:cstheme="majorBidi"/>
                <w:sz w:val="18"/>
                <w:szCs w:val="18"/>
              </w:rPr>
              <w:t xml:space="preserve">ventilating </w:t>
            </w:r>
            <w:r w:rsidRPr="00A22868">
              <w:rPr>
                <w:rFonts w:asciiTheme="majorBidi" w:hAnsiTheme="majorBidi" w:cstheme="majorBidi"/>
                <w:bCs/>
                <w:sz w:val="18"/>
                <w:szCs w:val="18"/>
              </w:rPr>
              <w:t xml:space="preserve">equipment. </w:t>
            </w:r>
          </w:p>
          <w:p w14:paraId="63C18A82" w14:textId="77777777" w:rsidR="00AB65DC" w:rsidRPr="008B0608" w:rsidRDefault="00AB65DC" w:rsidP="004D33AF">
            <w:pPr>
              <w:spacing w:after="40" w:line="240" w:lineRule="auto"/>
              <w:rPr>
                <w:rFonts w:asciiTheme="majorBidi" w:hAnsiTheme="majorBidi" w:cstheme="majorBidi"/>
                <w:bCs/>
                <w:sz w:val="18"/>
                <w:szCs w:val="18"/>
                <w:lang w:val="en-GB"/>
              </w:rPr>
            </w:pPr>
            <w:r w:rsidRPr="00A22868">
              <w:rPr>
                <w:rFonts w:asciiTheme="majorBidi" w:hAnsiTheme="majorBidi" w:cstheme="majorBidi"/>
                <w:bCs/>
                <w:sz w:val="18"/>
                <w:szCs w:val="18"/>
              </w:rPr>
              <w:t>Use non-sparking tools.</w:t>
            </w:r>
          </w:p>
          <w:p w14:paraId="12EB81B5" w14:textId="77777777" w:rsidR="00AB65DC" w:rsidRPr="008B0608" w:rsidRDefault="00AB65DC" w:rsidP="004D33AF">
            <w:pPr>
              <w:spacing w:after="40" w:line="240" w:lineRule="auto"/>
              <w:rPr>
                <w:rFonts w:asciiTheme="majorBidi" w:hAnsiTheme="majorBidi" w:cstheme="majorBidi"/>
                <w:sz w:val="18"/>
                <w:szCs w:val="18"/>
                <w:lang w:val="en-GB"/>
              </w:rPr>
            </w:pPr>
            <w:r w:rsidRPr="00A22868">
              <w:rPr>
                <w:rFonts w:asciiTheme="majorBidi" w:hAnsiTheme="majorBidi" w:cstheme="majorBidi"/>
                <w:sz w:val="18"/>
                <w:szCs w:val="18"/>
              </w:rPr>
              <w:t>IF ON SKIN (or hair): Take off immediately all contaminated clothing. Rinse affected areas with water or shower.</w:t>
            </w:r>
          </w:p>
          <w:p w14:paraId="6FDBC67B" w14:textId="77777777" w:rsidR="00AB65DC" w:rsidRPr="008B0608" w:rsidRDefault="00AB65DC" w:rsidP="004D33AF">
            <w:pPr>
              <w:spacing w:after="40" w:line="240" w:lineRule="auto"/>
              <w:rPr>
                <w:rFonts w:asciiTheme="majorBidi" w:hAnsiTheme="majorBidi" w:cstheme="majorBidi"/>
                <w:bCs/>
                <w:sz w:val="18"/>
                <w:szCs w:val="18"/>
                <w:lang w:val="en-GB"/>
              </w:rPr>
            </w:pPr>
            <w:r w:rsidRPr="00A22868">
              <w:rPr>
                <w:rFonts w:asciiTheme="majorBidi" w:hAnsiTheme="majorBidi" w:cstheme="majorBidi"/>
                <w:bCs/>
                <w:sz w:val="18"/>
                <w:szCs w:val="18"/>
              </w:rPr>
              <w:t>In case of fire: Use dry chemical or carbon dioxide to extinguish.</w:t>
            </w:r>
          </w:p>
          <w:p w14:paraId="5D5A52B2"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bCs/>
                <w:sz w:val="18"/>
                <w:szCs w:val="18"/>
              </w:rPr>
              <w:t>Take action to prevent static discharges.</w:t>
            </w:r>
          </w:p>
          <w:p w14:paraId="6D2353CC"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color w:val="000000" w:themeColor="text1"/>
                <w:sz w:val="18"/>
                <w:szCs w:val="18"/>
              </w:rPr>
              <w:t>Use only outdoors or in a well-ventilated area.</w:t>
            </w:r>
          </w:p>
          <w:p w14:paraId="7F52B0D7"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Style w:val="cf01"/>
                <w:rFonts w:asciiTheme="majorBidi" w:hAnsiTheme="majorBidi" w:cstheme="majorBidi"/>
              </w:rPr>
              <w:t xml:space="preserve">Do not breathe mist, </w:t>
            </w:r>
            <w:proofErr w:type="spellStart"/>
            <w:proofErr w:type="gramStart"/>
            <w:r w:rsidRPr="00A22868">
              <w:rPr>
                <w:rStyle w:val="cf01"/>
                <w:rFonts w:asciiTheme="majorBidi" w:hAnsiTheme="majorBidi" w:cstheme="majorBidi"/>
              </w:rPr>
              <w:t>vapours</w:t>
            </w:r>
            <w:proofErr w:type="spellEnd"/>
            <w:proofErr w:type="gramEnd"/>
            <w:r w:rsidRPr="00A22868">
              <w:rPr>
                <w:rStyle w:val="cf01"/>
                <w:rFonts w:asciiTheme="majorBidi" w:hAnsiTheme="majorBidi" w:cstheme="majorBidi"/>
              </w:rPr>
              <w:t xml:space="preserve"> or spray.</w:t>
            </w:r>
          </w:p>
          <w:p w14:paraId="22573280"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Style w:val="cf01"/>
                <w:rFonts w:asciiTheme="majorBidi" w:hAnsiTheme="majorBidi" w:cstheme="majorBidi"/>
              </w:rPr>
              <w:t>Wear protective gloves, protective clothing, eye protection and face protection.</w:t>
            </w:r>
            <w:bookmarkStart w:id="21" w:name="_Hlk121070518"/>
          </w:p>
          <w:bookmarkEnd w:id="21"/>
          <w:p w14:paraId="06391EDD" w14:textId="77777777" w:rsidR="00AB65DC" w:rsidRPr="008B0608" w:rsidRDefault="00AB65DC" w:rsidP="004D33AF">
            <w:pPr>
              <w:spacing w:after="40" w:line="240" w:lineRule="auto"/>
              <w:rPr>
                <w:rFonts w:asciiTheme="majorBidi" w:hAnsiTheme="majorBidi" w:cstheme="majorBidi"/>
                <w:color w:val="000000" w:themeColor="text1"/>
                <w:sz w:val="18"/>
                <w:szCs w:val="18"/>
                <w:lang w:val="en-GB"/>
              </w:rPr>
            </w:pPr>
            <w:r w:rsidRPr="00A22868">
              <w:rPr>
                <w:rFonts w:asciiTheme="majorBidi" w:hAnsiTheme="majorBidi" w:cstheme="majorBidi"/>
                <w:color w:val="000000" w:themeColor="text1"/>
                <w:sz w:val="18"/>
                <w:szCs w:val="18"/>
              </w:rPr>
              <w:t xml:space="preserve">IF INHALED: Remove person to fresh air and keep comfortable for breathing. </w:t>
            </w:r>
          </w:p>
          <w:p w14:paraId="5861A6E7" w14:textId="77777777" w:rsidR="00AB65DC" w:rsidRPr="008B0608" w:rsidRDefault="00AB65DC" w:rsidP="004D33AF">
            <w:pPr>
              <w:spacing w:after="40" w:line="240" w:lineRule="auto"/>
              <w:rPr>
                <w:rFonts w:asciiTheme="majorBidi" w:hAnsiTheme="majorBidi" w:cstheme="majorBidi"/>
                <w:strike/>
                <w:color w:val="000000" w:themeColor="text1"/>
                <w:sz w:val="18"/>
                <w:szCs w:val="18"/>
                <w:lang w:val="en-GB"/>
              </w:rPr>
            </w:pPr>
            <w:r w:rsidRPr="00A22868">
              <w:rPr>
                <w:rFonts w:asciiTheme="majorBidi" w:hAnsiTheme="majorBidi" w:cstheme="majorBidi"/>
                <w:color w:val="000000" w:themeColor="text1"/>
                <w:sz w:val="18"/>
                <w:szCs w:val="18"/>
              </w:rPr>
              <w:t xml:space="preserve">Get medical help. </w:t>
            </w:r>
          </w:p>
          <w:p w14:paraId="354CC29C" w14:textId="77777777" w:rsidR="00AB65DC" w:rsidRPr="008B0608" w:rsidRDefault="00AB65DC" w:rsidP="004D33AF">
            <w:pPr>
              <w:spacing w:after="40" w:line="240" w:lineRule="auto"/>
              <w:rPr>
                <w:rFonts w:asciiTheme="majorBidi" w:hAnsiTheme="majorBidi" w:cstheme="majorBidi"/>
                <w:u w:val="single"/>
                <w:lang w:val="en-GB"/>
              </w:rPr>
            </w:pPr>
            <w:r w:rsidRPr="00A22868">
              <w:rPr>
                <w:rFonts w:asciiTheme="majorBidi" w:hAnsiTheme="majorBidi" w:cstheme="majorBidi"/>
                <w:color w:val="000000" w:themeColor="text1"/>
                <w:sz w:val="18"/>
                <w:szCs w:val="18"/>
              </w:rPr>
              <w:t xml:space="preserve">Dispose of contents/container to the municipal collection point in accordance </w:t>
            </w:r>
            <w:proofErr w:type="gramStart"/>
            <w:r w:rsidRPr="00A22868">
              <w:rPr>
                <w:rFonts w:asciiTheme="majorBidi" w:hAnsiTheme="majorBidi" w:cstheme="majorBidi"/>
                <w:color w:val="000000" w:themeColor="text1"/>
                <w:sz w:val="18"/>
                <w:szCs w:val="18"/>
              </w:rPr>
              <w:t>to</w:t>
            </w:r>
            <w:proofErr w:type="gramEnd"/>
            <w:r w:rsidRPr="00A22868">
              <w:rPr>
                <w:rFonts w:asciiTheme="majorBidi" w:hAnsiTheme="majorBidi" w:cstheme="majorBidi"/>
                <w:color w:val="000000" w:themeColor="text1"/>
                <w:sz w:val="18"/>
                <w:szCs w:val="18"/>
              </w:rPr>
              <w:t xml:space="preserve"> local/national regulations.</w:t>
            </w:r>
          </w:p>
        </w:tc>
        <w:tc>
          <w:tcPr>
            <w:tcW w:w="3015" w:type="dxa"/>
            <w:vMerge/>
          </w:tcPr>
          <w:p w14:paraId="5CD2BA94" w14:textId="77777777" w:rsidR="00AB65DC" w:rsidRPr="008B0608" w:rsidRDefault="00AB65DC" w:rsidP="004D33AF">
            <w:pPr>
              <w:rPr>
                <w:rFonts w:asciiTheme="majorBidi" w:hAnsiTheme="majorBidi" w:cstheme="majorBidi"/>
                <w:u w:val="single"/>
                <w:lang w:val="en-GB"/>
              </w:rPr>
            </w:pPr>
          </w:p>
        </w:tc>
      </w:tr>
      <w:tr w:rsidR="00AB65DC" w:rsidRPr="00A22868" w14:paraId="656271B4" w14:textId="77777777" w:rsidTr="004D33AF">
        <w:tc>
          <w:tcPr>
            <w:tcW w:w="3946" w:type="dxa"/>
          </w:tcPr>
          <w:p w14:paraId="678D7FDF" w14:textId="77777777" w:rsidR="00AB65DC" w:rsidRPr="008B0608" w:rsidRDefault="00AB65DC" w:rsidP="004D33AF">
            <w:pPr>
              <w:rPr>
                <w:rFonts w:asciiTheme="majorBidi" w:hAnsiTheme="majorBidi" w:cstheme="majorBidi"/>
                <w:u w:val="single"/>
                <w:lang w:val="en-GB"/>
              </w:rPr>
            </w:pPr>
          </w:p>
        </w:tc>
        <w:tc>
          <w:tcPr>
            <w:tcW w:w="6521" w:type="dxa"/>
          </w:tcPr>
          <w:p w14:paraId="3A6F7A95" w14:textId="77777777" w:rsidR="00AB65DC" w:rsidRPr="008B0608" w:rsidRDefault="00AB65DC" w:rsidP="004D33AF">
            <w:pPr>
              <w:rPr>
                <w:rFonts w:asciiTheme="majorBidi" w:hAnsiTheme="majorBidi" w:cstheme="majorBidi"/>
                <w:u w:val="single"/>
                <w:lang w:val="en-GB"/>
              </w:rPr>
            </w:pPr>
          </w:p>
        </w:tc>
        <w:tc>
          <w:tcPr>
            <w:tcW w:w="3015" w:type="dxa"/>
          </w:tcPr>
          <w:p w14:paraId="61BE8789" w14:textId="77777777" w:rsidR="00AB65DC" w:rsidRPr="008B0608" w:rsidRDefault="00AB65DC" w:rsidP="004D33AF">
            <w:pPr>
              <w:jc w:val="center"/>
              <w:rPr>
                <w:rFonts w:asciiTheme="majorBidi" w:hAnsiTheme="majorBidi" w:cstheme="majorBidi"/>
                <w:u w:val="single"/>
                <w:lang w:val="en-GB"/>
              </w:rPr>
            </w:pPr>
          </w:p>
        </w:tc>
      </w:tr>
    </w:tbl>
    <w:p w14:paraId="0CB0E58E" w14:textId="77777777" w:rsidR="00AB65DC" w:rsidRPr="00A22868" w:rsidRDefault="00AB65DC" w:rsidP="00AB65DC">
      <w:pPr>
        <w:spacing w:after="120" w:line="240" w:lineRule="auto"/>
        <w:ind w:left="1418" w:right="425"/>
        <w:rPr>
          <w:noProof/>
        </w:rPr>
      </w:pPr>
    </w:p>
    <w:p w14:paraId="7786BF71" w14:textId="209008D9" w:rsidR="00AF5DE1" w:rsidRPr="00A22868" w:rsidRDefault="00AB65DC" w:rsidP="00AB65DC">
      <w:pPr>
        <w:spacing w:before="240"/>
        <w:jc w:val="center"/>
      </w:pPr>
      <w:r w:rsidRPr="00A22868">
        <w:rPr>
          <w:noProof/>
          <w:u w:val="single"/>
        </w:rPr>
        <w:tab/>
      </w:r>
      <w:r w:rsidRPr="00A22868">
        <w:rPr>
          <w:noProof/>
          <w:u w:val="single"/>
        </w:rPr>
        <w:tab/>
      </w:r>
      <w:r w:rsidRPr="00A22868">
        <w:rPr>
          <w:noProof/>
          <w:u w:val="single"/>
        </w:rPr>
        <w:tab/>
      </w:r>
    </w:p>
    <w:sectPr w:rsidR="00AF5DE1" w:rsidRPr="00A22868" w:rsidSect="00747E48">
      <w:headerReference w:type="even" r:id="rId41"/>
      <w:headerReference w:type="default" r:id="rId42"/>
      <w:footerReference w:type="even" r:id="rId43"/>
      <w:footerReference w:type="default" r:id="rId44"/>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08CB" w14:textId="77777777" w:rsidR="008E408B" w:rsidRPr="00C47B2E" w:rsidRDefault="008E408B" w:rsidP="00C47B2E">
      <w:pPr>
        <w:pStyle w:val="Footer"/>
      </w:pPr>
    </w:p>
  </w:endnote>
  <w:endnote w:type="continuationSeparator" w:id="0">
    <w:p w14:paraId="384967F4" w14:textId="77777777" w:rsidR="008E408B" w:rsidRPr="00C47B2E" w:rsidRDefault="008E408B" w:rsidP="00C47B2E">
      <w:pPr>
        <w:pStyle w:val="Footer"/>
      </w:pPr>
    </w:p>
  </w:endnote>
  <w:endnote w:type="continuationNotice" w:id="1">
    <w:p w14:paraId="0CD4E8DC" w14:textId="77777777" w:rsidR="008E408B" w:rsidRPr="00C47B2E" w:rsidRDefault="008E408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6828" w14:textId="0B05800F" w:rsidR="00D94B05" w:rsidRPr="00D50FD0" w:rsidRDefault="00D50FD0" w:rsidP="00D50FD0">
    <w:pPr>
      <w:pStyle w:val="Footer"/>
      <w:tabs>
        <w:tab w:val="right" w:pos="9598"/>
        <w:tab w:val="right" w:pos="9638"/>
      </w:tabs>
      <w:rPr>
        <w:sz w:val="18"/>
      </w:rPr>
    </w:pPr>
    <w:r w:rsidRPr="00D50FD0">
      <w:rPr>
        <w:b/>
        <w:sz w:val="18"/>
      </w:rPr>
      <w:fldChar w:fldCharType="begin"/>
    </w:r>
    <w:r w:rsidRPr="00D50FD0">
      <w:rPr>
        <w:b/>
        <w:sz w:val="18"/>
      </w:rPr>
      <w:instrText xml:space="preserve"> PAGE  \* MERGEFORMAT </w:instrText>
    </w:r>
    <w:r w:rsidRPr="00D50FD0">
      <w:rPr>
        <w:b/>
        <w:sz w:val="18"/>
      </w:rPr>
      <w:fldChar w:fldCharType="separate"/>
    </w:r>
    <w:r w:rsidRPr="00D50FD0">
      <w:rPr>
        <w:b/>
        <w:noProof/>
        <w:sz w:val="18"/>
      </w:rPr>
      <w:t>2</w:t>
    </w:r>
    <w:r w:rsidRPr="00D50F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6975" w14:textId="3AD2B821" w:rsidR="00D94B05" w:rsidRPr="008B0608" w:rsidRDefault="00D50FD0" w:rsidP="008B0608">
    <w:pPr>
      <w:pStyle w:val="Footer"/>
      <w:tabs>
        <w:tab w:val="left" w:pos="5775"/>
        <w:tab w:val="right" w:pos="9598"/>
        <w:tab w:val="right" w:pos="9638"/>
      </w:tabs>
      <w:jc w:val="right"/>
      <w:rPr>
        <w:b/>
        <w:bCs/>
        <w:sz w:val="18"/>
      </w:rPr>
    </w:pPr>
    <w:r>
      <w:rPr>
        <w:b/>
        <w:sz w:val="18"/>
      </w:rPr>
      <w:tab/>
    </w:r>
    <w:r w:rsidRPr="008B0608">
      <w:rPr>
        <w:b/>
        <w:bCs/>
        <w:sz w:val="18"/>
      </w:rPr>
      <w:fldChar w:fldCharType="begin"/>
    </w:r>
    <w:r w:rsidRPr="008B0608">
      <w:rPr>
        <w:b/>
        <w:bCs/>
        <w:sz w:val="18"/>
      </w:rPr>
      <w:instrText xml:space="preserve"> PAGE  \* MERGEFORMAT </w:instrText>
    </w:r>
    <w:r w:rsidRPr="008B0608">
      <w:rPr>
        <w:b/>
        <w:bCs/>
        <w:sz w:val="18"/>
      </w:rPr>
      <w:fldChar w:fldCharType="separate"/>
    </w:r>
    <w:r w:rsidRPr="008B0608">
      <w:rPr>
        <w:b/>
        <w:bCs/>
        <w:noProof/>
        <w:sz w:val="18"/>
      </w:rPr>
      <w:t>3</w:t>
    </w:r>
    <w:r w:rsidRPr="008B0608">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24D" w14:textId="5323E38A" w:rsidR="00836504" w:rsidRDefault="00836504" w:rsidP="00836504">
    <w:pPr>
      <w:pStyle w:val="Footer"/>
    </w:pPr>
    <w:r w:rsidRPr="0027112F">
      <w:rPr>
        <w:noProof/>
        <w:lang w:val="en-US"/>
      </w:rPr>
      <w:drawing>
        <wp:anchor distT="0" distB="0" distL="114300" distR="114300" simplePos="0" relativeHeight="251665408" behindDoc="0" locked="1" layoutInCell="1" allowOverlap="1" wp14:anchorId="22DD03B2" wp14:editId="13E37FFC">
          <wp:simplePos x="0" y="0"/>
          <wp:positionH relativeFrom="column">
            <wp:posOffset>4558030</wp:posOffset>
          </wp:positionH>
          <wp:positionV relativeFrom="page">
            <wp:posOffset>10128250</wp:posOffset>
          </wp:positionV>
          <wp:extent cx="932400" cy="230400"/>
          <wp:effectExtent l="0" t="0" r="1270" b="0"/>
          <wp:wrapNone/>
          <wp:docPr id="321740380" name="Picture 321740380"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EB37B3D" w14:textId="4CFBC420" w:rsidR="00836504" w:rsidRPr="00836504" w:rsidRDefault="00836504" w:rsidP="00836504">
    <w:pPr>
      <w:pStyle w:val="Footer"/>
      <w:ind w:right="1134"/>
      <w:rPr>
        <w:sz w:val="20"/>
      </w:rPr>
    </w:pPr>
    <w:r>
      <w:rPr>
        <w:sz w:val="20"/>
      </w:rPr>
      <w:t>GE.24-</w:t>
    </w:r>
    <w:proofErr w:type="gramStart"/>
    <w:r>
      <w:rPr>
        <w:sz w:val="20"/>
      </w:rPr>
      <w:t>16981  (</w:t>
    </w:r>
    <w:proofErr w:type="gramEnd"/>
    <w:r>
      <w:rPr>
        <w:sz w:val="20"/>
      </w:rPr>
      <w:t>E)</w:t>
    </w:r>
    <w:r>
      <w:rPr>
        <w:noProof/>
        <w:sz w:val="20"/>
      </w:rPr>
      <w:drawing>
        <wp:anchor distT="0" distB="0" distL="114300" distR="114300" simplePos="0" relativeHeight="251666432" behindDoc="0" locked="0" layoutInCell="1" allowOverlap="1" wp14:anchorId="5EF4FE35" wp14:editId="2D7C91B6">
          <wp:simplePos x="0" y="0"/>
          <wp:positionH relativeFrom="margin">
            <wp:posOffset>5615940</wp:posOffset>
          </wp:positionH>
          <wp:positionV relativeFrom="margin">
            <wp:posOffset>8905875</wp:posOffset>
          </wp:positionV>
          <wp:extent cx="571500" cy="571500"/>
          <wp:effectExtent l="0" t="0" r="0" b="0"/>
          <wp:wrapNone/>
          <wp:docPr id="17777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6F45" w14:textId="7FD51D25" w:rsidR="00747E48" w:rsidRPr="00747E48" w:rsidRDefault="00747E48" w:rsidP="00747E48">
    <w:pPr>
      <w:pStyle w:val="Footer"/>
    </w:pPr>
    <w:r>
      <w:rPr>
        <w:noProof/>
      </w:rPr>
      <mc:AlternateContent>
        <mc:Choice Requires="wps">
          <w:drawing>
            <wp:anchor distT="0" distB="0" distL="114300" distR="114300" simplePos="0" relativeHeight="251663360" behindDoc="0" locked="0" layoutInCell="1" allowOverlap="1" wp14:anchorId="2DCC13BF" wp14:editId="02D27759">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F31BF38" w14:textId="77777777" w:rsidR="00747E48" w:rsidRPr="00D50FD0" w:rsidRDefault="00747E48" w:rsidP="00747E48">
                          <w:pPr>
                            <w:pStyle w:val="Footer"/>
                            <w:tabs>
                              <w:tab w:val="right" w:pos="9598"/>
                              <w:tab w:val="right" w:pos="9638"/>
                            </w:tabs>
                            <w:rPr>
                              <w:sz w:val="18"/>
                            </w:rPr>
                          </w:pPr>
                          <w:r w:rsidRPr="00D50FD0">
                            <w:rPr>
                              <w:b/>
                              <w:sz w:val="18"/>
                            </w:rPr>
                            <w:fldChar w:fldCharType="begin"/>
                          </w:r>
                          <w:r w:rsidRPr="00D50FD0">
                            <w:rPr>
                              <w:b/>
                              <w:sz w:val="18"/>
                            </w:rPr>
                            <w:instrText xml:space="preserve"> PAGE  \* MERGEFORMAT </w:instrText>
                          </w:r>
                          <w:r w:rsidRPr="00D50FD0">
                            <w:rPr>
                              <w:b/>
                              <w:sz w:val="18"/>
                            </w:rPr>
                            <w:fldChar w:fldCharType="separate"/>
                          </w:r>
                          <w:r>
                            <w:rPr>
                              <w:b/>
                              <w:sz w:val="18"/>
                            </w:rPr>
                            <w:t>4</w:t>
                          </w:r>
                          <w:r w:rsidRPr="00D50FD0">
                            <w:rPr>
                              <w:b/>
                              <w:sz w:val="18"/>
                            </w:rPr>
                            <w:fldChar w:fldCharType="end"/>
                          </w:r>
                          <w:r>
                            <w:rPr>
                              <w:sz w:val="18"/>
                            </w:rPr>
                            <w:tab/>
                          </w:r>
                        </w:p>
                        <w:p w14:paraId="31FC3248" w14:textId="77777777" w:rsidR="00747E48" w:rsidRDefault="00747E4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DCC13BF" id="_x0000_t202" coordsize="21600,21600" o:spt="202" path="m,l,21600r21600,l21600,xe">
              <v:stroke joinstyle="miter"/>
              <v:path gradientshapeok="t" o:connecttype="rect"/>
            </v:shapetype>
            <v:shape id="Text Box 6" o:spid="_x0000_s1059" type="#_x0000_t202" style="position:absolute;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F31BF38" w14:textId="77777777" w:rsidR="00747E48" w:rsidRPr="00D50FD0" w:rsidRDefault="00747E48" w:rsidP="00747E48">
                    <w:pPr>
                      <w:pStyle w:val="Footer"/>
                      <w:tabs>
                        <w:tab w:val="right" w:pos="9598"/>
                        <w:tab w:val="right" w:pos="9638"/>
                      </w:tabs>
                      <w:rPr>
                        <w:sz w:val="18"/>
                      </w:rPr>
                    </w:pPr>
                    <w:r w:rsidRPr="00D50FD0">
                      <w:rPr>
                        <w:b/>
                        <w:sz w:val="18"/>
                      </w:rPr>
                      <w:fldChar w:fldCharType="begin"/>
                    </w:r>
                    <w:r w:rsidRPr="00D50FD0">
                      <w:rPr>
                        <w:b/>
                        <w:sz w:val="18"/>
                      </w:rPr>
                      <w:instrText xml:space="preserve"> PAGE  \* MERGEFORMAT </w:instrText>
                    </w:r>
                    <w:r w:rsidRPr="00D50FD0">
                      <w:rPr>
                        <w:b/>
                        <w:sz w:val="18"/>
                      </w:rPr>
                      <w:fldChar w:fldCharType="separate"/>
                    </w:r>
                    <w:r>
                      <w:rPr>
                        <w:b/>
                        <w:sz w:val="18"/>
                      </w:rPr>
                      <w:t>4</w:t>
                    </w:r>
                    <w:r w:rsidRPr="00D50FD0">
                      <w:rPr>
                        <w:b/>
                        <w:sz w:val="18"/>
                      </w:rPr>
                      <w:fldChar w:fldCharType="end"/>
                    </w:r>
                    <w:r>
                      <w:rPr>
                        <w:sz w:val="18"/>
                      </w:rPr>
                      <w:tab/>
                    </w:r>
                  </w:p>
                  <w:p w14:paraId="31FC3248" w14:textId="77777777" w:rsidR="00747E48" w:rsidRDefault="00747E48"/>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8A51" w14:textId="24F9FFEB" w:rsidR="00747E48" w:rsidRPr="00747E48" w:rsidRDefault="00747E48" w:rsidP="00747E48">
    <w:pPr>
      <w:pStyle w:val="Footer"/>
    </w:pPr>
    <w:r>
      <w:rPr>
        <w:noProof/>
      </w:rPr>
      <mc:AlternateContent>
        <mc:Choice Requires="wps">
          <w:drawing>
            <wp:anchor distT="0" distB="0" distL="114300" distR="114300" simplePos="0" relativeHeight="251661312" behindDoc="0" locked="0" layoutInCell="1" allowOverlap="1" wp14:anchorId="25DBAE71" wp14:editId="72F4EEC6">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EDB9CC1" w14:textId="77777777" w:rsidR="00747E48" w:rsidRPr="00747E48" w:rsidRDefault="00747E48" w:rsidP="00747E48">
                          <w:pPr>
                            <w:pStyle w:val="Footer"/>
                            <w:tabs>
                              <w:tab w:val="left" w:pos="5775"/>
                              <w:tab w:val="right" w:pos="9598"/>
                              <w:tab w:val="right" w:pos="9638"/>
                            </w:tabs>
                            <w:jc w:val="right"/>
                            <w:rPr>
                              <w:b/>
                              <w:bCs/>
                              <w:sz w:val="18"/>
                            </w:rPr>
                          </w:pPr>
                          <w:r w:rsidRPr="00747E48">
                            <w:rPr>
                              <w:b/>
                              <w:bCs/>
                              <w:sz w:val="18"/>
                            </w:rPr>
                            <w:tab/>
                          </w:r>
                          <w:r w:rsidRPr="00747E48">
                            <w:rPr>
                              <w:b/>
                              <w:bCs/>
                              <w:sz w:val="18"/>
                            </w:rPr>
                            <w:fldChar w:fldCharType="begin"/>
                          </w:r>
                          <w:r w:rsidRPr="00747E48">
                            <w:rPr>
                              <w:b/>
                              <w:bCs/>
                              <w:sz w:val="18"/>
                            </w:rPr>
                            <w:instrText xml:space="preserve"> PAGE  \* MERGEFORMAT </w:instrText>
                          </w:r>
                          <w:r w:rsidRPr="00747E48">
                            <w:rPr>
                              <w:b/>
                              <w:bCs/>
                              <w:sz w:val="18"/>
                            </w:rPr>
                            <w:fldChar w:fldCharType="separate"/>
                          </w:r>
                          <w:r w:rsidRPr="00747E48">
                            <w:rPr>
                              <w:b/>
                              <w:bCs/>
                              <w:sz w:val="18"/>
                            </w:rPr>
                            <w:t>3</w:t>
                          </w:r>
                          <w:r w:rsidRPr="00747E48">
                            <w:rPr>
                              <w:b/>
                              <w:bCs/>
                              <w:sz w:val="18"/>
                            </w:rPr>
                            <w:fldChar w:fldCharType="end"/>
                          </w:r>
                        </w:p>
                        <w:p w14:paraId="4ACFD10B" w14:textId="77777777" w:rsidR="00747E48" w:rsidRPr="00747E48" w:rsidRDefault="00747E48">
                          <w:pPr>
                            <w:rPr>
                              <w:b/>
                              <w:bCs/>
                            </w:rPr>
                          </w:pP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5DBAE71" id="_x0000_t202" coordsize="21600,21600" o:spt="202" path="m,l,21600r21600,l21600,xe">
              <v:stroke joinstyle="miter"/>
              <v:path gradientshapeok="t" o:connecttype="rect"/>
            </v:shapetype>
            <v:shape id="Text Box 4" o:spid="_x0000_s1060" type="#_x0000_t202" style="position:absolute;margin-left:-34pt;margin-top:0;width:17pt;height:481.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6EDB9CC1" w14:textId="77777777" w:rsidR="00747E48" w:rsidRPr="00747E48" w:rsidRDefault="00747E48" w:rsidP="00747E48">
                    <w:pPr>
                      <w:pStyle w:val="Footer"/>
                      <w:tabs>
                        <w:tab w:val="left" w:pos="5775"/>
                        <w:tab w:val="right" w:pos="9598"/>
                        <w:tab w:val="right" w:pos="9638"/>
                      </w:tabs>
                      <w:jc w:val="right"/>
                      <w:rPr>
                        <w:b/>
                        <w:bCs/>
                        <w:sz w:val="18"/>
                      </w:rPr>
                    </w:pPr>
                    <w:r w:rsidRPr="00747E48">
                      <w:rPr>
                        <w:b/>
                        <w:bCs/>
                        <w:sz w:val="18"/>
                      </w:rPr>
                      <w:tab/>
                    </w:r>
                    <w:r w:rsidRPr="00747E48">
                      <w:rPr>
                        <w:b/>
                        <w:bCs/>
                        <w:sz w:val="18"/>
                      </w:rPr>
                      <w:fldChar w:fldCharType="begin"/>
                    </w:r>
                    <w:r w:rsidRPr="00747E48">
                      <w:rPr>
                        <w:b/>
                        <w:bCs/>
                        <w:sz w:val="18"/>
                      </w:rPr>
                      <w:instrText xml:space="preserve"> PAGE  \* MERGEFORMAT </w:instrText>
                    </w:r>
                    <w:r w:rsidRPr="00747E48">
                      <w:rPr>
                        <w:b/>
                        <w:bCs/>
                        <w:sz w:val="18"/>
                      </w:rPr>
                      <w:fldChar w:fldCharType="separate"/>
                    </w:r>
                    <w:r w:rsidRPr="00747E48">
                      <w:rPr>
                        <w:b/>
                        <w:bCs/>
                        <w:sz w:val="18"/>
                      </w:rPr>
                      <w:t>3</w:t>
                    </w:r>
                    <w:r w:rsidRPr="00747E48">
                      <w:rPr>
                        <w:b/>
                        <w:bCs/>
                        <w:sz w:val="18"/>
                      </w:rPr>
                      <w:fldChar w:fldCharType="end"/>
                    </w:r>
                  </w:p>
                  <w:p w14:paraId="4ACFD10B" w14:textId="77777777" w:rsidR="00747E48" w:rsidRPr="00747E48" w:rsidRDefault="00747E48">
                    <w:pPr>
                      <w:rPr>
                        <w:b/>
                        <w:bCs/>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0C41" w14:textId="77777777" w:rsidR="008E408B" w:rsidRPr="00C47B2E" w:rsidRDefault="008E408B" w:rsidP="00C47B2E">
      <w:pPr>
        <w:tabs>
          <w:tab w:val="right" w:pos="2155"/>
        </w:tabs>
        <w:spacing w:after="80" w:line="240" w:lineRule="auto"/>
        <w:ind w:left="680"/>
      </w:pPr>
      <w:r>
        <w:rPr>
          <w:u w:val="single"/>
        </w:rPr>
        <w:tab/>
      </w:r>
    </w:p>
  </w:footnote>
  <w:footnote w:type="continuationSeparator" w:id="0">
    <w:p w14:paraId="224E8A64" w14:textId="77777777" w:rsidR="008E408B" w:rsidRPr="00C47B2E" w:rsidRDefault="008E408B" w:rsidP="005E716E">
      <w:pPr>
        <w:tabs>
          <w:tab w:val="right" w:pos="2155"/>
        </w:tabs>
        <w:spacing w:after="80" w:line="240" w:lineRule="auto"/>
        <w:ind w:left="680"/>
      </w:pPr>
      <w:r>
        <w:rPr>
          <w:u w:val="single"/>
        </w:rPr>
        <w:tab/>
      </w:r>
    </w:p>
  </w:footnote>
  <w:footnote w:type="continuationNotice" w:id="1">
    <w:p w14:paraId="73C0467C" w14:textId="77777777" w:rsidR="008E408B" w:rsidRPr="00C47B2E" w:rsidRDefault="008E408B" w:rsidP="00C47B2E">
      <w:pPr>
        <w:pStyle w:val="Footer"/>
      </w:pPr>
    </w:p>
  </w:footnote>
  <w:footnote w:id="2">
    <w:p w14:paraId="3BF05BD5" w14:textId="77777777" w:rsidR="00AA6E93" w:rsidRPr="00E61560" w:rsidRDefault="00AA6E93" w:rsidP="00AA6E93">
      <w:pPr>
        <w:pStyle w:val="FootnoteText"/>
      </w:pPr>
      <w:r>
        <w:rPr>
          <w:rStyle w:val="FootnoteReference"/>
        </w:rPr>
        <w:tab/>
      </w:r>
      <w:r w:rsidRPr="00E61560">
        <w:rPr>
          <w:rStyle w:val="FootnoteReference"/>
          <w:sz w:val="20"/>
        </w:rPr>
        <w:t>*</w:t>
      </w:r>
      <w:r>
        <w:rPr>
          <w:rStyle w:val="FootnoteReference"/>
          <w:sz w:val="20"/>
        </w:rPr>
        <w:tab/>
      </w:r>
      <w:r>
        <w:t>A/75/6 (Sect. 20), par. 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300D" w14:textId="0F94811F" w:rsidR="00D50FD0" w:rsidRPr="00D50FD0" w:rsidRDefault="00836504">
    <w:pPr>
      <w:pStyle w:val="Header"/>
    </w:pPr>
    <w:r>
      <w:fldChar w:fldCharType="begin"/>
    </w:r>
    <w:r>
      <w:instrText xml:space="preserve"> TITLE  \* MERGEFORMAT </w:instrText>
    </w:r>
    <w:r>
      <w:fldChar w:fldCharType="separate"/>
    </w:r>
    <w:r w:rsidR="0054557A">
      <w:t>ST/SG/AC.10/C.4/2024/11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A554" w14:textId="20960E42" w:rsidR="00D94B05" w:rsidRPr="00D50FD0" w:rsidRDefault="00836504" w:rsidP="00D50FD0">
    <w:pPr>
      <w:pStyle w:val="Header"/>
      <w:jc w:val="right"/>
    </w:pPr>
    <w:r>
      <w:fldChar w:fldCharType="begin"/>
    </w:r>
    <w:r>
      <w:instrText xml:space="preserve"> TITLE  \* MERGEFORMAT </w:instrText>
    </w:r>
    <w:r>
      <w:fldChar w:fldCharType="separate"/>
    </w:r>
    <w:r w:rsidR="0054557A">
      <w:t>ST/SG/AC.10/C.4/2024/11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9A43" w14:textId="31703442" w:rsidR="00747E48" w:rsidRPr="00747E48" w:rsidRDefault="00747E48" w:rsidP="00747E48">
    <w:r>
      <w:rPr>
        <w:noProof/>
      </w:rPr>
      <mc:AlternateContent>
        <mc:Choice Requires="wps">
          <w:drawing>
            <wp:anchor distT="0" distB="0" distL="114300" distR="114300" simplePos="0" relativeHeight="251662336" behindDoc="0" locked="0" layoutInCell="1" allowOverlap="1" wp14:anchorId="3891857E" wp14:editId="1D3DC326">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7B2C9D9D" w14:textId="1F31524E" w:rsidR="00747E48" w:rsidRPr="00D50FD0" w:rsidRDefault="00836504" w:rsidP="00747E48">
                          <w:pPr>
                            <w:pStyle w:val="Header"/>
                          </w:pPr>
                          <w:r>
                            <w:fldChar w:fldCharType="begin"/>
                          </w:r>
                          <w:r>
                            <w:instrText xml:space="preserve"> TITLE  \* MERGEFORMAT </w:instrText>
                          </w:r>
                          <w:r>
                            <w:fldChar w:fldCharType="separate"/>
                          </w:r>
                          <w:r w:rsidR="0054557A">
                            <w:t>ST/SG/AC.10/C.4/2024/11</w:t>
                          </w:r>
                          <w:r>
                            <w:fldChar w:fldCharType="end"/>
                          </w:r>
                        </w:p>
                        <w:p w14:paraId="0405400A" w14:textId="77777777" w:rsidR="00747E48" w:rsidRDefault="00747E4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891857E" id="_x0000_t202" coordsize="21600,21600" o:spt="202" path="m,l,21600r21600,l21600,xe">
              <v:stroke joinstyle="miter"/>
              <v:path gradientshapeok="t" o:connecttype="rect"/>
            </v:shapetype>
            <v:shape id="Text Box 5" o:spid="_x0000_s1057" type="#_x0000_t202" style="position:absolute;margin-left:782.35pt;margin-top:0;width:17pt;height:481.9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7B2C9D9D" w14:textId="1F31524E" w:rsidR="00747E48" w:rsidRPr="00D50FD0" w:rsidRDefault="00000000" w:rsidP="00747E48">
                    <w:pPr>
                      <w:pStyle w:val="Header"/>
                    </w:pPr>
                    <w:fldSimple w:instr=" TITLE  \* MERGEFORMAT ">
                      <w:r w:rsidR="0054557A">
                        <w:t>ST/SG/AC.10/C.4/2024/11</w:t>
                      </w:r>
                    </w:fldSimple>
                  </w:p>
                  <w:p w14:paraId="0405400A" w14:textId="77777777" w:rsidR="00747E48" w:rsidRDefault="00747E48"/>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3627" w14:textId="54BB0EF2" w:rsidR="00747E48" w:rsidRPr="00747E48" w:rsidRDefault="00747E48" w:rsidP="00747E48">
    <w:pPr>
      <w:jc w:val="right"/>
    </w:pPr>
    <w:r>
      <w:rPr>
        <w:noProof/>
      </w:rPr>
      <mc:AlternateContent>
        <mc:Choice Requires="wps">
          <w:drawing>
            <wp:anchor distT="0" distB="0" distL="114300" distR="114300" simplePos="0" relativeHeight="251660288" behindDoc="0" locked="0" layoutInCell="1" allowOverlap="1" wp14:anchorId="273929CA" wp14:editId="45B76267">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8259D10" w14:textId="26CC786F" w:rsidR="00747E48" w:rsidRPr="00D50FD0" w:rsidRDefault="00836504" w:rsidP="00747E48">
                          <w:pPr>
                            <w:pStyle w:val="Header"/>
                            <w:jc w:val="right"/>
                          </w:pPr>
                          <w:r>
                            <w:fldChar w:fldCharType="begin"/>
                          </w:r>
                          <w:r>
                            <w:instrText xml:space="preserve"> TITLE  \* MERGEFORMAT </w:instrText>
                          </w:r>
                          <w:r>
                            <w:fldChar w:fldCharType="separate"/>
                          </w:r>
                          <w:r w:rsidR="0054557A">
                            <w:t>ST/SG/AC.10/C.4/2024/11</w:t>
                          </w:r>
                          <w:r>
                            <w:fldChar w:fldCharType="end"/>
                          </w:r>
                        </w:p>
                        <w:p w14:paraId="28EA5244" w14:textId="77777777" w:rsidR="00747E48" w:rsidRDefault="00747E4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73929CA" id="_x0000_t202" coordsize="21600,21600" o:spt="202" path="m,l,21600r21600,l21600,xe">
              <v:stroke joinstyle="miter"/>
              <v:path gradientshapeok="t" o:connecttype="rect"/>
            </v:shapetype>
            <v:shape id="Text Box 3" o:spid="_x0000_s1058" type="#_x0000_t202" style="position:absolute;left:0;text-align:left;margin-left:782.35pt;margin-top:0;width:17pt;height:481.9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18259D10" w14:textId="26CC786F" w:rsidR="00747E48" w:rsidRPr="00D50FD0" w:rsidRDefault="00000000" w:rsidP="00747E48">
                    <w:pPr>
                      <w:pStyle w:val="Header"/>
                      <w:jc w:val="right"/>
                    </w:pPr>
                    <w:fldSimple w:instr=" TITLE  \* MERGEFORMAT ">
                      <w:r w:rsidR="0054557A">
                        <w:t>ST/SG/AC.10/C.4/2024/11</w:t>
                      </w:r>
                    </w:fldSimple>
                  </w:p>
                  <w:p w14:paraId="28EA5244" w14:textId="77777777" w:rsidR="00747E48" w:rsidRDefault="00747E48"/>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655301">
    <w:abstractNumId w:val="15"/>
  </w:num>
  <w:num w:numId="2" w16cid:durableId="488448777">
    <w:abstractNumId w:val="14"/>
  </w:num>
  <w:num w:numId="3" w16cid:durableId="2066176471">
    <w:abstractNumId w:val="10"/>
  </w:num>
  <w:num w:numId="4" w16cid:durableId="1135373654">
    <w:abstractNumId w:val="17"/>
  </w:num>
  <w:num w:numId="5" w16cid:durableId="286785874">
    <w:abstractNumId w:val="18"/>
  </w:num>
  <w:num w:numId="6" w16cid:durableId="1119300279">
    <w:abstractNumId w:val="21"/>
  </w:num>
  <w:num w:numId="7" w16cid:durableId="439842780">
    <w:abstractNumId w:val="13"/>
  </w:num>
  <w:num w:numId="8" w16cid:durableId="1457988674">
    <w:abstractNumId w:val="11"/>
  </w:num>
  <w:num w:numId="9" w16cid:durableId="736823572">
    <w:abstractNumId w:val="19"/>
  </w:num>
  <w:num w:numId="10" w16cid:durableId="398290666">
    <w:abstractNumId w:val="11"/>
  </w:num>
  <w:num w:numId="11" w16cid:durableId="311448324">
    <w:abstractNumId w:val="19"/>
  </w:num>
  <w:num w:numId="12" w16cid:durableId="1402295362">
    <w:abstractNumId w:val="12"/>
  </w:num>
  <w:num w:numId="13" w16cid:durableId="1707173567">
    <w:abstractNumId w:val="12"/>
  </w:num>
  <w:num w:numId="14" w16cid:durableId="1530071166">
    <w:abstractNumId w:val="20"/>
  </w:num>
  <w:num w:numId="15" w16cid:durableId="214121656">
    <w:abstractNumId w:val="16"/>
  </w:num>
  <w:num w:numId="16" w16cid:durableId="354162743">
    <w:abstractNumId w:val="8"/>
  </w:num>
  <w:num w:numId="17" w16cid:durableId="745341430">
    <w:abstractNumId w:val="3"/>
  </w:num>
  <w:num w:numId="18" w16cid:durableId="2075810034">
    <w:abstractNumId w:val="2"/>
  </w:num>
  <w:num w:numId="19" w16cid:durableId="50079869">
    <w:abstractNumId w:val="1"/>
  </w:num>
  <w:num w:numId="20" w16cid:durableId="1846506609">
    <w:abstractNumId w:val="0"/>
  </w:num>
  <w:num w:numId="21" w16cid:durableId="1858618863">
    <w:abstractNumId w:val="9"/>
  </w:num>
  <w:num w:numId="22" w16cid:durableId="670259151">
    <w:abstractNumId w:val="7"/>
  </w:num>
  <w:num w:numId="23" w16cid:durableId="1982611238">
    <w:abstractNumId w:val="6"/>
  </w:num>
  <w:num w:numId="24" w16cid:durableId="1204976759">
    <w:abstractNumId w:val="5"/>
  </w:num>
  <w:num w:numId="25" w16cid:durableId="1080636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D0"/>
    <w:rsid w:val="00014045"/>
    <w:rsid w:val="00017311"/>
    <w:rsid w:val="000336B9"/>
    <w:rsid w:val="00034C79"/>
    <w:rsid w:val="00046E92"/>
    <w:rsid w:val="00056196"/>
    <w:rsid w:val="000561F8"/>
    <w:rsid w:val="00063C90"/>
    <w:rsid w:val="00070000"/>
    <w:rsid w:val="00074556"/>
    <w:rsid w:val="000A591F"/>
    <w:rsid w:val="000A782E"/>
    <w:rsid w:val="000D5FEB"/>
    <w:rsid w:val="000D699B"/>
    <w:rsid w:val="000D6D8E"/>
    <w:rsid w:val="000E24D4"/>
    <w:rsid w:val="000E7E32"/>
    <w:rsid w:val="000F0D22"/>
    <w:rsid w:val="000F38D4"/>
    <w:rsid w:val="00101B98"/>
    <w:rsid w:val="00131CEE"/>
    <w:rsid w:val="001443A5"/>
    <w:rsid w:val="001514D1"/>
    <w:rsid w:val="001758B1"/>
    <w:rsid w:val="001A6A46"/>
    <w:rsid w:val="001B491F"/>
    <w:rsid w:val="001C5090"/>
    <w:rsid w:val="001D6A8A"/>
    <w:rsid w:val="001F0775"/>
    <w:rsid w:val="001F4B2E"/>
    <w:rsid w:val="001F4CC7"/>
    <w:rsid w:val="001F5989"/>
    <w:rsid w:val="00201655"/>
    <w:rsid w:val="0022500F"/>
    <w:rsid w:val="002274EB"/>
    <w:rsid w:val="002318BA"/>
    <w:rsid w:val="0023268D"/>
    <w:rsid w:val="002338FD"/>
    <w:rsid w:val="00237215"/>
    <w:rsid w:val="00247D01"/>
    <w:rsid w:val="00247E2C"/>
    <w:rsid w:val="002506D0"/>
    <w:rsid w:val="002549EA"/>
    <w:rsid w:val="00257693"/>
    <w:rsid w:val="00261071"/>
    <w:rsid w:val="0026235A"/>
    <w:rsid w:val="002810EE"/>
    <w:rsid w:val="0028701F"/>
    <w:rsid w:val="002950D5"/>
    <w:rsid w:val="00296857"/>
    <w:rsid w:val="00296FA0"/>
    <w:rsid w:val="002A32CB"/>
    <w:rsid w:val="002A4A61"/>
    <w:rsid w:val="002A52E5"/>
    <w:rsid w:val="002B35D6"/>
    <w:rsid w:val="002B610A"/>
    <w:rsid w:val="002C2E8A"/>
    <w:rsid w:val="002D4EF3"/>
    <w:rsid w:val="002D5B2C"/>
    <w:rsid w:val="002D6C53"/>
    <w:rsid w:val="002E0EDD"/>
    <w:rsid w:val="002E1044"/>
    <w:rsid w:val="002E344B"/>
    <w:rsid w:val="002E5AFB"/>
    <w:rsid w:val="002F5595"/>
    <w:rsid w:val="002F7509"/>
    <w:rsid w:val="00311204"/>
    <w:rsid w:val="00312543"/>
    <w:rsid w:val="00312FD8"/>
    <w:rsid w:val="00320011"/>
    <w:rsid w:val="0032558B"/>
    <w:rsid w:val="00334F6A"/>
    <w:rsid w:val="00335185"/>
    <w:rsid w:val="0033633E"/>
    <w:rsid w:val="00342AC8"/>
    <w:rsid w:val="00343302"/>
    <w:rsid w:val="00375165"/>
    <w:rsid w:val="0037696A"/>
    <w:rsid w:val="003979DE"/>
    <w:rsid w:val="003B4550"/>
    <w:rsid w:val="003D2A18"/>
    <w:rsid w:val="003E5E29"/>
    <w:rsid w:val="003F77A7"/>
    <w:rsid w:val="00401BFC"/>
    <w:rsid w:val="00413386"/>
    <w:rsid w:val="004170F1"/>
    <w:rsid w:val="00461253"/>
    <w:rsid w:val="004669D8"/>
    <w:rsid w:val="004738C2"/>
    <w:rsid w:val="004858F5"/>
    <w:rsid w:val="00494EC0"/>
    <w:rsid w:val="004A2814"/>
    <w:rsid w:val="004B4FF7"/>
    <w:rsid w:val="004B7250"/>
    <w:rsid w:val="004C0622"/>
    <w:rsid w:val="004D5ABD"/>
    <w:rsid w:val="004E2070"/>
    <w:rsid w:val="004E6DC8"/>
    <w:rsid w:val="004E7AB9"/>
    <w:rsid w:val="004F06E0"/>
    <w:rsid w:val="004F61A6"/>
    <w:rsid w:val="004F73D0"/>
    <w:rsid w:val="005042C2"/>
    <w:rsid w:val="00523506"/>
    <w:rsid w:val="00523D6E"/>
    <w:rsid w:val="00537777"/>
    <w:rsid w:val="0054557A"/>
    <w:rsid w:val="00562412"/>
    <w:rsid w:val="0056426B"/>
    <w:rsid w:val="005D3438"/>
    <w:rsid w:val="005D43B9"/>
    <w:rsid w:val="005E30EC"/>
    <w:rsid w:val="005E716E"/>
    <w:rsid w:val="005F1193"/>
    <w:rsid w:val="006068F6"/>
    <w:rsid w:val="00613F08"/>
    <w:rsid w:val="00620F83"/>
    <w:rsid w:val="00624566"/>
    <w:rsid w:val="00627010"/>
    <w:rsid w:val="006311DC"/>
    <w:rsid w:val="006314E3"/>
    <w:rsid w:val="00637530"/>
    <w:rsid w:val="006476E1"/>
    <w:rsid w:val="006604DF"/>
    <w:rsid w:val="006638E5"/>
    <w:rsid w:val="00671529"/>
    <w:rsid w:val="0067265A"/>
    <w:rsid w:val="006969E1"/>
    <w:rsid w:val="006C547B"/>
    <w:rsid w:val="006C7882"/>
    <w:rsid w:val="006D13A5"/>
    <w:rsid w:val="006D25B2"/>
    <w:rsid w:val="006E167C"/>
    <w:rsid w:val="006E698A"/>
    <w:rsid w:val="006F1EF5"/>
    <w:rsid w:val="006F7A34"/>
    <w:rsid w:val="0070489D"/>
    <w:rsid w:val="007200A1"/>
    <w:rsid w:val="007203FE"/>
    <w:rsid w:val="00721B0D"/>
    <w:rsid w:val="007268F9"/>
    <w:rsid w:val="00747E48"/>
    <w:rsid w:val="00750282"/>
    <w:rsid w:val="0075795C"/>
    <w:rsid w:val="00764440"/>
    <w:rsid w:val="00765037"/>
    <w:rsid w:val="0077101B"/>
    <w:rsid w:val="00771F96"/>
    <w:rsid w:val="00790840"/>
    <w:rsid w:val="007C52B0"/>
    <w:rsid w:val="007C6033"/>
    <w:rsid w:val="007C651E"/>
    <w:rsid w:val="007D6701"/>
    <w:rsid w:val="007E464F"/>
    <w:rsid w:val="007F6E94"/>
    <w:rsid w:val="008103A9"/>
    <w:rsid w:val="008147C8"/>
    <w:rsid w:val="0081753A"/>
    <w:rsid w:val="008264E5"/>
    <w:rsid w:val="00836504"/>
    <w:rsid w:val="0085454A"/>
    <w:rsid w:val="00857D23"/>
    <w:rsid w:val="008608FA"/>
    <w:rsid w:val="00870FE8"/>
    <w:rsid w:val="0087153A"/>
    <w:rsid w:val="008822AE"/>
    <w:rsid w:val="008908F4"/>
    <w:rsid w:val="00890BC9"/>
    <w:rsid w:val="008A0A9D"/>
    <w:rsid w:val="008B0608"/>
    <w:rsid w:val="008B2527"/>
    <w:rsid w:val="008B7995"/>
    <w:rsid w:val="008B7D49"/>
    <w:rsid w:val="008C0164"/>
    <w:rsid w:val="008C7540"/>
    <w:rsid w:val="008E408B"/>
    <w:rsid w:val="008F6678"/>
    <w:rsid w:val="00906398"/>
    <w:rsid w:val="009258AA"/>
    <w:rsid w:val="00930186"/>
    <w:rsid w:val="009378BE"/>
    <w:rsid w:val="009411B4"/>
    <w:rsid w:val="009450D8"/>
    <w:rsid w:val="00946E5C"/>
    <w:rsid w:val="00946F1D"/>
    <w:rsid w:val="00950090"/>
    <w:rsid w:val="00964573"/>
    <w:rsid w:val="009731B0"/>
    <w:rsid w:val="00985D3F"/>
    <w:rsid w:val="009B0188"/>
    <w:rsid w:val="009B6E30"/>
    <w:rsid w:val="009C2D14"/>
    <w:rsid w:val="009D0139"/>
    <w:rsid w:val="009D15A8"/>
    <w:rsid w:val="009D6A3A"/>
    <w:rsid w:val="009D717D"/>
    <w:rsid w:val="009F2888"/>
    <w:rsid w:val="009F5CDC"/>
    <w:rsid w:val="00A0101C"/>
    <w:rsid w:val="00A072D7"/>
    <w:rsid w:val="00A20939"/>
    <w:rsid w:val="00A2109F"/>
    <w:rsid w:val="00A22868"/>
    <w:rsid w:val="00A312CF"/>
    <w:rsid w:val="00A3385A"/>
    <w:rsid w:val="00A37D04"/>
    <w:rsid w:val="00A451CF"/>
    <w:rsid w:val="00A47356"/>
    <w:rsid w:val="00A479CD"/>
    <w:rsid w:val="00A57318"/>
    <w:rsid w:val="00A661DF"/>
    <w:rsid w:val="00A748EC"/>
    <w:rsid w:val="00A77216"/>
    <w:rsid w:val="00A775CF"/>
    <w:rsid w:val="00A84574"/>
    <w:rsid w:val="00A90E74"/>
    <w:rsid w:val="00A922A8"/>
    <w:rsid w:val="00A93218"/>
    <w:rsid w:val="00A93CF5"/>
    <w:rsid w:val="00A96780"/>
    <w:rsid w:val="00AA6E93"/>
    <w:rsid w:val="00AB1ADD"/>
    <w:rsid w:val="00AB65DC"/>
    <w:rsid w:val="00AD1A9C"/>
    <w:rsid w:val="00AE0591"/>
    <w:rsid w:val="00AE35BD"/>
    <w:rsid w:val="00AE5892"/>
    <w:rsid w:val="00AF5DE1"/>
    <w:rsid w:val="00B01700"/>
    <w:rsid w:val="00B06045"/>
    <w:rsid w:val="00B206DD"/>
    <w:rsid w:val="00B339A9"/>
    <w:rsid w:val="00B51995"/>
    <w:rsid w:val="00B52EF4"/>
    <w:rsid w:val="00B5538D"/>
    <w:rsid w:val="00B777AD"/>
    <w:rsid w:val="00B825DA"/>
    <w:rsid w:val="00B91191"/>
    <w:rsid w:val="00BA2408"/>
    <w:rsid w:val="00BD3898"/>
    <w:rsid w:val="00BE0B45"/>
    <w:rsid w:val="00BE22C2"/>
    <w:rsid w:val="00BE59D5"/>
    <w:rsid w:val="00BE5EC8"/>
    <w:rsid w:val="00BE7A62"/>
    <w:rsid w:val="00BF071D"/>
    <w:rsid w:val="00BF1979"/>
    <w:rsid w:val="00C03015"/>
    <w:rsid w:val="00C0358D"/>
    <w:rsid w:val="00C07505"/>
    <w:rsid w:val="00C23863"/>
    <w:rsid w:val="00C35A27"/>
    <w:rsid w:val="00C369AD"/>
    <w:rsid w:val="00C478FB"/>
    <w:rsid w:val="00C47B2E"/>
    <w:rsid w:val="00C91083"/>
    <w:rsid w:val="00CA0EE9"/>
    <w:rsid w:val="00CB0F8F"/>
    <w:rsid w:val="00CB3448"/>
    <w:rsid w:val="00CB573E"/>
    <w:rsid w:val="00CC5DF6"/>
    <w:rsid w:val="00D25604"/>
    <w:rsid w:val="00D25A93"/>
    <w:rsid w:val="00D42372"/>
    <w:rsid w:val="00D50FD0"/>
    <w:rsid w:val="00D51FD2"/>
    <w:rsid w:val="00D63CD2"/>
    <w:rsid w:val="00D66434"/>
    <w:rsid w:val="00D704E6"/>
    <w:rsid w:val="00D77025"/>
    <w:rsid w:val="00D77332"/>
    <w:rsid w:val="00D84400"/>
    <w:rsid w:val="00D86A7C"/>
    <w:rsid w:val="00D87DC2"/>
    <w:rsid w:val="00D93887"/>
    <w:rsid w:val="00D94B05"/>
    <w:rsid w:val="00DC7379"/>
    <w:rsid w:val="00E02C2B"/>
    <w:rsid w:val="00E20732"/>
    <w:rsid w:val="00E21C27"/>
    <w:rsid w:val="00E21CAB"/>
    <w:rsid w:val="00E26BCF"/>
    <w:rsid w:val="00E3578B"/>
    <w:rsid w:val="00E37592"/>
    <w:rsid w:val="00E414B8"/>
    <w:rsid w:val="00E52109"/>
    <w:rsid w:val="00E52640"/>
    <w:rsid w:val="00E54A7D"/>
    <w:rsid w:val="00E75317"/>
    <w:rsid w:val="00E76742"/>
    <w:rsid w:val="00E768AF"/>
    <w:rsid w:val="00EA4BC5"/>
    <w:rsid w:val="00EB3C86"/>
    <w:rsid w:val="00EB5A13"/>
    <w:rsid w:val="00EC0CE6"/>
    <w:rsid w:val="00EC3D87"/>
    <w:rsid w:val="00EC7C1D"/>
    <w:rsid w:val="00ED18C5"/>
    <w:rsid w:val="00ED6C48"/>
    <w:rsid w:val="00EE3045"/>
    <w:rsid w:val="00F0502B"/>
    <w:rsid w:val="00F071F0"/>
    <w:rsid w:val="00F22C7C"/>
    <w:rsid w:val="00F3707F"/>
    <w:rsid w:val="00F529C0"/>
    <w:rsid w:val="00F65F5D"/>
    <w:rsid w:val="00F72C61"/>
    <w:rsid w:val="00F76B4D"/>
    <w:rsid w:val="00F8072F"/>
    <w:rsid w:val="00F822F9"/>
    <w:rsid w:val="00F86A3A"/>
    <w:rsid w:val="00F92152"/>
    <w:rsid w:val="00F92884"/>
    <w:rsid w:val="00F944B5"/>
    <w:rsid w:val="00F949CF"/>
    <w:rsid w:val="00FA42DA"/>
    <w:rsid w:val="00FA5EB6"/>
    <w:rsid w:val="00FC2224"/>
    <w:rsid w:val="00FC67A6"/>
    <w:rsid w:val="00FE0169"/>
    <w:rsid w:val="00FE2AC5"/>
    <w:rsid w:val="00FF7340"/>
    <w:rsid w:val="00FF7F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7C97E0"/>
  <w15:docId w15:val="{3DC0E911-E253-44C7-8344-5C6A6504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aliases w:val="GHS Chapter Heading"/>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aliases w:val="GHS Chapter Heading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paragraph" w:styleId="BalloonText">
    <w:name w:val="Balloon Text"/>
    <w:basedOn w:val="Normal"/>
    <w:link w:val="BalloonTextChar"/>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85454A"/>
    <w:pPr>
      <w:spacing w:line="240" w:lineRule="auto"/>
    </w:pPr>
  </w:style>
  <w:style w:type="character" w:styleId="CommentReference">
    <w:name w:val="annotation reference"/>
    <w:basedOn w:val="DefaultParagraphFont"/>
    <w:uiPriority w:val="99"/>
    <w:semiHidden/>
    <w:unhideWhenUsed/>
    <w:rsid w:val="0085454A"/>
    <w:rPr>
      <w:sz w:val="16"/>
      <w:szCs w:val="16"/>
    </w:rPr>
  </w:style>
  <w:style w:type="paragraph" w:styleId="CommentText">
    <w:name w:val="annotation text"/>
    <w:basedOn w:val="Normal"/>
    <w:link w:val="CommentTextChar"/>
    <w:uiPriority w:val="99"/>
    <w:unhideWhenUsed/>
    <w:rsid w:val="0085454A"/>
    <w:pPr>
      <w:spacing w:line="240" w:lineRule="auto"/>
    </w:pPr>
    <w:rPr>
      <w:rFonts w:eastAsiaTheme="minorEastAsia"/>
    </w:rPr>
  </w:style>
  <w:style w:type="character" w:customStyle="1" w:styleId="CommentTextChar">
    <w:name w:val="Comment Text Char"/>
    <w:basedOn w:val="DefaultParagraphFont"/>
    <w:link w:val="CommentText"/>
    <w:uiPriority w:val="99"/>
    <w:rsid w:val="0085454A"/>
    <w:rPr>
      <w:rFonts w:eastAsiaTheme="minorEastAsia"/>
    </w:rPr>
  </w:style>
  <w:style w:type="paragraph" w:styleId="CommentSubject">
    <w:name w:val="annotation subject"/>
    <w:basedOn w:val="CommentText"/>
    <w:next w:val="CommentText"/>
    <w:link w:val="CommentSubjectChar"/>
    <w:uiPriority w:val="99"/>
    <w:semiHidden/>
    <w:unhideWhenUsed/>
    <w:rsid w:val="0085454A"/>
    <w:rPr>
      <w:b/>
      <w:bCs/>
    </w:rPr>
  </w:style>
  <w:style w:type="character" w:customStyle="1" w:styleId="CommentSubjectChar">
    <w:name w:val="Comment Subject Char"/>
    <w:basedOn w:val="CommentTextChar"/>
    <w:link w:val="CommentSubject"/>
    <w:uiPriority w:val="99"/>
    <w:semiHidden/>
    <w:rsid w:val="0085454A"/>
    <w:rPr>
      <w:rFonts w:eastAsiaTheme="minorEastAsia"/>
      <w:b/>
      <w:bCs/>
    </w:rPr>
  </w:style>
  <w:style w:type="character" w:customStyle="1" w:styleId="SingleTxtGChar">
    <w:name w:val="_ Single Txt_G Char"/>
    <w:link w:val="SingleTxtG"/>
    <w:qFormat/>
    <w:locked/>
    <w:rsid w:val="0085454A"/>
  </w:style>
  <w:style w:type="character" w:customStyle="1" w:styleId="H1GChar">
    <w:name w:val="_ H_1_G Char"/>
    <w:link w:val="H1G"/>
    <w:rsid w:val="0085454A"/>
    <w:rPr>
      <w:b/>
      <w:sz w:val="24"/>
    </w:rPr>
  </w:style>
  <w:style w:type="paragraph" w:customStyle="1" w:styleId="GHS1stline">
    <w:name w:val="GHS_1st line"/>
    <w:basedOn w:val="Normal"/>
    <w:qFormat/>
    <w:rsid w:val="0085454A"/>
    <w:pPr>
      <w:tabs>
        <w:tab w:val="left" w:pos="1418"/>
        <w:tab w:val="left" w:pos="1985"/>
        <w:tab w:val="left" w:pos="2552"/>
        <w:tab w:val="left" w:pos="3119"/>
        <w:tab w:val="left" w:pos="3686"/>
      </w:tabs>
      <w:autoSpaceDE w:val="0"/>
      <w:autoSpaceDN w:val="0"/>
      <w:adjustRightInd w:val="0"/>
      <w:spacing w:after="240" w:line="240" w:lineRule="auto"/>
      <w:ind w:firstLine="1418"/>
      <w:jc w:val="both"/>
    </w:pPr>
    <w:rPr>
      <w:rFonts w:eastAsia="Times New Roman"/>
      <w:lang w:eastAsia="en-US"/>
    </w:rPr>
  </w:style>
  <w:style w:type="paragraph" w:customStyle="1" w:styleId="GHSHeading3">
    <w:name w:val="GHSHeading3"/>
    <w:basedOn w:val="Heading3"/>
    <w:rsid w:val="0085454A"/>
    <w:pPr>
      <w:keepNext/>
      <w:tabs>
        <w:tab w:val="left" w:pos="1418"/>
      </w:tabs>
      <w:autoSpaceDE w:val="0"/>
      <w:autoSpaceDN w:val="0"/>
      <w:adjustRightInd w:val="0"/>
    </w:pPr>
    <w:rPr>
      <w:rFonts w:eastAsia="Times New Roman"/>
      <w:b/>
      <w:bCs/>
      <w:color w:val="000000"/>
      <w:sz w:val="22"/>
      <w:szCs w:val="22"/>
      <w:lang w:eastAsia="fr-FR"/>
    </w:rPr>
  </w:style>
  <w:style w:type="character" w:customStyle="1" w:styleId="HChGChar">
    <w:name w:val="_ H _Ch_G Char"/>
    <w:link w:val="HChG"/>
    <w:rsid w:val="0085454A"/>
    <w:rPr>
      <w:b/>
      <w:sz w:val="28"/>
    </w:rPr>
  </w:style>
  <w:style w:type="paragraph" w:styleId="BodyText">
    <w:name w:val="Body Text"/>
    <w:basedOn w:val="Normal"/>
    <w:link w:val="BodyTextChar"/>
    <w:rsid w:val="0085454A"/>
    <w:pPr>
      <w:autoSpaceDE w:val="0"/>
      <w:autoSpaceDN w:val="0"/>
      <w:adjustRightInd w:val="0"/>
      <w:spacing w:after="120" w:line="240" w:lineRule="auto"/>
    </w:pPr>
    <w:rPr>
      <w:rFonts w:eastAsia="Times New Roman"/>
      <w:sz w:val="22"/>
      <w:lang w:val="fr-FR" w:eastAsia="fr-FR"/>
    </w:rPr>
  </w:style>
  <w:style w:type="character" w:customStyle="1" w:styleId="BodyTextChar">
    <w:name w:val="Body Text Char"/>
    <w:basedOn w:val="DefaultParagraphFont"/>
    <w:link w:val="BodyText"/>
    <w:rsid w:val="0085454A"/>
    <w:rPr>
      <w:rFonts w:eastAsia="Times New Roman"/>
      <w:sz w:val="22"/>
      <w:lang w:val="fr-FR" w:eastAsia="fr-FR"/>
    </w:rPr>
  </w:style>
  <w:style w:type="paragraph" w:customStyle="1" w:styleId="Style1">
    <w:name w:val="Style1"/>
    <w:basedOn w:val="Normal"/>
    <w:rsid w:val="0085454A"/>
    <w:pPr>
      <w:widowControl w:val="0"/>
      <w:spacing w:line="240" w:lineRule="auto"/>
      <w:jc w:val="both"/>
    </w:pPr>
    <w:rPr>
      <w:rFonts w:eastAsia="Times New Roman"/>
      <w:snapToGrid w:val="0"/>
      <w:sz w:val="24"/>
      <w:lang w:val="en-US" w:eastAsia="en-US"/>
    </w:rPr>
  </w:style>
  <w:style w:type="paragraph" w:styleId="BodyText3">
    <w:name w:val="Body Text 3"/>
    <w:basedOn w:val="Normal"/>
    <w:link w:val="BodyText3Char"/>
    <w:rsid w:val="0085454A"/>
    <w:pPr>
      <w:widowControl w:val="0"/>
      <w:tabs>
        <w:tab w:val="left" w:pos="900"/>
        <w:tab w:val="left" w:pos="1134"/>
        <w:tab w:val="left" w:pos="1701"/>
        <w:tab w:val="left" w:pos="2268"/>
        <w:tab w:val="left" w:pos="2835"/>
        <w:tab w:val="left" w:pos="3402"/>
      </w:tabs>
      <w:autoSpaceDE w:val="0"/>
      <w:autoSpaceDN w:val="0"/>
      <w:adjustRightInd w:val="0"/>
      <w:spacing w:line="240" w:lineRule="auto"/>
      <w:jc w:val="both"/>
    </w:pPr>
    <w:rPr>
      <w:rFonts w:eastAsia="Times New Roman"/>
      <w:color w:val="000000"/>
      <w:sz w:val="22"/>
      <w:lang w:eastAsia="fr-FR"/>
    </w:rPr>
  </w:style>
  <w:style w:type="character" w:customStyle="1" w:styleId="BodyText3Char">
    <w:name w:val="Body Text 3 Char"/>
    <w:basedOn w:val="DefaultParagraphFont"/>
    <w:link w:val="BodyText3"/>
    <w:rsid w:val="0085454A"/>
    <w:rPr>
      <w:rFonts w:eastAsia="Times New Roman"/>
      <w:color w:val="000000"/>
      <w:sz w:val="22"/>
      <w:lang w:eastAsia="fr-FR"/>
    </w:rPr>
  </w:style>
  <w:style w:type="character" w:customStyle="1" w:styleId="cf01">
    <w:name w:val="cf01"/>
    <w:basedOn w:val="DefaultParagraphFont"/>
    <w:rsid w:val="0085454A"/>
    <w:rPr>
      <w:rFonts w:ascii="Segoe UI" w:hAnsi="Segoe UI" w:cs="Segoe UI" w:hint="default"/>
      <w:sz w:val="18"/>
      <w:szCs w:val="18"/>
    </w:rPr>
  </w:style>
  <w:style w:type="character" w:customStyle="1" w:styleId="markedcontent">
    <w:name w:val="markedcontent"/>
    <w:basedOn w:val="DefaultParagraphFont"/>
    <w:rsid w:val="0085454A"/>
  </w:style>
  <w:style w:type="character" w:customStyle="1" w:styleId="SingleTxtGCar">
    <w:name w:val="_ Single Txt_G Car"/>
    <w:uiPriority w:val="99"/>
    <w:rsid w:val="0085454A"/>
  </w:style>
  <w:style w:type="character" w:customStyle="1" w:styleId="H23GChar">
    <w:name w:val="_ H_2/3_G Char"/>
    <w:link w:val="H23G"/>
    <w:locked/>
    <w:rsid w:val="0085454A"/>
    <w:rPr>
      <w:b/>
    </w:rPr>
  </w:style>
  <w:style w:type="character" w:customStyle="1" w:styleId="StyleBold">
    <w:name w:val="Style Bold"/>
    <w:rsid w:val="0085454A"/>
    <w:rPr>
      <w:rFonts w:ascii="Times New Roman" w:hAnsi="Times New Roman" w:cs="Times New Roman" w:hint="default"/>
      <w:b/>
      <w:bCs/>
    </w:rPr>
  </w:style>
  <w:style w:type="character" w:customStyle="1" w:styleId="StyleItalic">
    <w:name w:val="Style Italic"/>
    <w:rsid w:val="0085454A"/>
    <w:rPr>
      <w:rFonts w:ascii="Times New Roman" w:hAnsi="Times New Roman" w:cs="Times New Roman" w:hint="default"/>
      <w:i/>
      <w:iCs/>
    </w:rPr>
  </w:style>
  <w:style w:type="character" w:styleId="Emphasis">
    <w:name w:val="Emphasis"/>
    <w:basedOn w:val="DefaultParagraphFont"/>
    <w:uiPriority w:val="20"/>
    <w:qFormat/>
    <w:rsid w:val="00CB0F8F"/>
    <w:rPr>
      <w:i/>
      <w:iCs/>
    </w:rPr>
  </w:style>
  <w:style w:type="paragraph" w:customStyle="1" w:styleId="GHSH04">
    <w:name w:val="GHSH04"/>
    <w:basedOn w:val="Normal"/>
    <w:qFormat/>
    <w:rsid w:val="00CB0F8F"/>
    <w:pPr>
      <w:keepNext/>
      <w:keepLines/>
      <w:tabs>
        <w:tab w:val="left" w:pos="1418"/>
        <w:tab w:val="left" w:pos="1985"/>
        <w:tab w:val="left" w:pos="2552"/>
        <w:tab w:val="left" w:pos="3119"/>
        <w:tab w:val="left" w:pos="3686"/>
      </w:tabs>
      <w:autoSpaceDE w:val="0"/>
      <w:autoSpaceDN w:val="0"/>
      <w:adjustRightInd w:val="0"/>
      <w:spacing w:after="240" w:line="240" w:lineRule="auto"/>
      <w:jc w:val="both"/>
    </w:pPr>
    <w:rPr>
      <w:rFonts w:eastAsia="Times New Roman"/>
      <w:b/>
      <w:bCs/>
      <w:i/>
      <w:color w:val="000000"/>
      <w:szCs w:val="22"/>
      <w:lang w:eastAsia="fr-FR"/>
    </w:rPr>
  </w:style>
  <w:style w:type="paragraph" w:customStyle="1" w:styleId="GHSH05">
    <w:name w:val="GHSH05"/>
    <w:basedOn w:val="Normal"/>
    <w:qFormat/>
    <w:rsid w:val="00CB0F8F"/>
    <w:pPr>
      <w:keepNext/>
      <w:keepLines/>
      <w:widowControl w:val="0"/>
      <w:tabs>
        <w:tab w:val="left" w:pos="1418"/>
        <w:tab w:val="left" w:pos="1985"/>
        <w:tab w:val="left" w:pos="2552"/>
        <w:tab w:val="left" w:pos="3119"/>
        <w:tab w:val="left" w:pos="3686"/>
      </w:tabs>
      <w:spacing w:after="240" w:line="240" w:lineRule="auto"/>
      <w:jc w:val="both"/>
    </w:pPr>
    <w:rPr>
      <w:rFonts w:eastAsia="Times New Roman"/>
      <w:snapToGrid w:val="0"/>
      <w:color w:val="000000"/>
      <w:szCs w:val="22"/>
      <w:lang w:eastAsia="en-US"/>
    </w:rPr>
  </w:style>
  <w:style w:type="character" w:customStyle="1" w:styleId="GHStextChar">
    <w:name w:val="GHS_text Char"/>
    <w:link w:val="GHStext"/>
    <w:locked/>
    <w:rsid w:val="00CB0F8F"/>
    <w:rPr>
      <w:rFonts w:ascii="SimSun" w:hAnsi="SimSun"/>
      <w:color w:val="000000"/>
      <w:szCs w:val="22"/>
      <w:lang w:val="es-ES" w:eastAsia="en-US"/>
    </w:rPr>
  </w:style>
  <w:style w:type="paragraph" w:customStyle="1" w:styleId="GHStext">
    <w:name w:val="GHS_text"/>
    <w:basedOn w:val="Normal"/>
    <w:link w:val="GHStextChar"/>
    <w:qFormat/>
    <w:rsid w:val="00CB0F8F"/>
    <w:pPr>
      <w:snapToGrid w:val="0"/>
      <w:spacing w:after="240" w:line="240" w:lineRule="auto"/>
      <w:jc w:val="both"/>
    </w:pPr>
    <w:rPr>
      <w:rFonts w:ascii="SimSun" w:hAnsi="SimSun"/>
      <w:color w:val="000000"/>
      <w:szCs w:val="22"/>
      <w:lang w:val="es-ES" w:eastAsia="en-US"/>
    </w:rPr>
  </w:style>
  <w:style w:type="character" w:customStyle="1" w:styleId="ui-provider">
    <w:name w:val="ui-provider"/>
    <w:basedOn w:val="DefaultParagraphFont"/>
    <w:rsid w:val="00CB0F8F"/>
  </w:style>
  <w:style w:type="paragraph" w:customStyle="1" w:styleId="Default">
    <w:name w:val="Default"/>
    <w:uiPriority w:val="99"/>
    <w:rsid w:val="00CB0F8F"/>
    <w:pPr>
      <w:autoSpaceDE w:val="0"/>
      <w:autoSpaceDN w:val="0"/>
      <w:adjustRightInd w:val="0"/>
      <w:spacing w:line="240" w:lineRule="auto"/>
    </w:pPr>
    <w:rPr>
      <w:rFonts w:eastAsia="Times New Roman"/>
      <w:color w:val="000000"/>
      <w:sz w:val="24"/>
      <w:szCs w:val="24"/>
      <w:lang w:val="en-US" w:eastAsia="en-US"/>
    </w:rPr>
  </w:style>
  <w:style w:type="character" w:customStyle="1" w:styleId="normaltextrun">
    <w:name w:val="normaltextrun"/>
    <w:basedOn w:val="DefaultParagraphFont"/>
    <w:rsid w:val="00CB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9" Type="http://schemas.openxmlformats.org/officeDocument/2006/relationships/image" Target="media/image100.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eader" Target="header2.xml"/><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doi.org/10.1787/b92879a4-en" TargetMode="External"/><Relationship Id="rId17"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image" Target="media/image16.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32" Type="http://schemas.openxmlformats.org/officeDocument/2006/relationships/image" Target="media/image14.wmf"/><Relationship Id="rId37" Type="http://schemas.openxmlformats.org/officeDocument/2006/relationships/footer" Target="footer3.xml"/><Relationship Id="rId40" Type="http://schemas.openxmlformats.org/officeDocument/2006/relationships/image" Target="media/image17.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8" Type="http://schemas.openxmlformats.org/officeDocument/2006/relationships/image" Target="media/image11.wmf"/><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3.wmf"/><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bin"/><Relationship Id="rId35" Type="http://schemas.openxmlformats.org/officeDocument/2006/relationships/footer" Target="footer1.xml"/><Relationship Id="rId43"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36CB6-F750-4D62-A346-3305D813058B}"/>
</file>

<file path=customXml/itemProps2.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3.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0E96D6C7-A69F-4CC1-9C48-E5514C6C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29</Pages>
  <Words>9857</Words>
  <Characters>56574</Characters>
  <Application>Microsoft Office Word</Application>
  <DocSecurity>0</DocSecurity>
  <Lines>1452</Lines>
  <Paragraphs>577</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ST/SG/AC.10/C.4/2024/11</vt:lpstr>
      <vt:lpstr>    Consolidated list of draft amemendments adopted by the Sub-Committee at its fo</vt:lpstr>
      <vt:lpstr>        Note by the secretariat</vt:lpstr>
      <vt:lpstr>        Proposed conforming changes  to cChapter 1.2</vt:lpstr>
      <vt:lpstr>        Chapter 4.2</vt:lpstr>
      <vt:lpstr>        “4.2.2	Classification criteria</vt:lpstr>
      <vt:lpstr>        “4.2.3	Hazard communication</vt:lpstr>
      <vt:lpstr>        Proposed conforming changes to aAnnex 1</vt:lpstr>
      <vt:lpstr>        Proposed conforming changes to aAnnex 3, section 1</vt:lpstr>
      <vt:lpstr>        Proposed conforming changes to Aannex 3, section 2</vt:lpstr>
      <vt:lpstr>        Aannex 3, section 3</vt:lpstr>
      <vt:lpstr>        Proposed conforming changes to Annex 3, section 3</vt:lpstr>
      <vt:lpstr>    Proposed amendments to aAnnex 7 of the GHS (examples 1 to 7)</vt:lpstr>
      <vt:lpstr/>
    </vt:vector>
  </TitlesOfParts>
  <Company/>
  <LinksUpToDate>false</LinksUpToDate>
  <CharactersWithSpaces>66158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ST/SG/AC.10/C.4/2024/11</dc:title>
  <dc:subject>2416981</dc:subject>
  <dc:creator>Rosa Garcia-Couto</dc:creator>
  <cp:keywords/>
  <dc:description/>
  <cp:lastModifiedBy>Pauline Anne Escalante</cp:lastModifiedBy>
  <cp:revision>2</cp:revision>
  <cp:lastPrinted>2024-09-02T11:55:00Z</cp:lastPrinted>
  <dcterms:created xsi:type="dcterms:W3CDTF">2024-09-19T08:28:00Z</dcterms:created>
  <dcterms:modified xsi:type="dcterms:W3CDTF">2024-09-19T08:28:00Z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0x010100C351874580DE274AB11582BCB027F582</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