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076651" w14:paraId="59587B8E" w14:textId="77777777" w:rsidTr="00F01738">
        <w:trPr>
          <w:trHeight w:hRule="exact" w:val="851"/>
        </w:trPr>
        <w:tc>
          <w:tcPr>
            <w:tcW w:w="1276" w:type="dxa"/>
            <w:tcBorders>
              <w:bottom w:val="single" w:sz="4" w:space="0" w:color="auto"/>
            </w:tcBorders>
          </w:tcPr>
          <w:p w14:paraId="0CC8FED0" w14:textId="77777777" w:rsidR="00132EA9" w:rsidRPr="00DB58B5" w:rsidRDefault="00132EA9" w:rsidP="00F01738"/>
        </w:tc>
        <w:tc>
          <w:tcPr>
            <w:tcW w:w="2268" w:type="dxa"/>
            <w:tcBorders>
              <w:bottom w:val="single" w:sz="4" w:space="0" w:color="auto"/>
            </w:tcBorders>
            <w:vAlign w:val="bottom"/>
          </w:tcPr>
          <w:p w14:paraId="15E42C02" w14:textId="77777777" w:rsidR="00132EA9" w:rsidRPr="00076651" w:rsidRDefault="00132EA9" w:rsidP="00F01738">
            <w:pPr>
              <w:spacing w:after="80" w:line="300" w:lineRule="exact"/>
              <w:rPr>
                <w:sz w:val="28"/>
              </w:rPr>
            </w:pPr>
            <w:r w:rsidRPr="00076651">
              <w:rPr>
                <w:sz w:val="28"/>
              </w:rPr>
              <w:t>Nations Unies</w:t>
            </w:r>
          </w:p>
        </w:tc>
        <w:tc>
          <w:tcPr>
            <w:tcW w:w="6095" w:type="dxa"/>
            <w:gridSpan w:val="2"/>
            <w:tcBorders>
              <w:bottom w:val="single" w:sz="4" w:space="0" w:color="auto"/>
            </w:tcBorders>
            <w:vAlign w:val="bottom"/>
          </w:tcPr>
          <w:p w14:paraId="6D791646" w14:textId="4CF927C3" w:rsidR="00132EA9" w:rsidRPr="00E652E3" w:rsidRDefault="00E652E3" w:rsidP="00E652E3">
            <w:pPr>
              <w:jc w:val="right"/>
            </w:pPr>
            <w:r w:rsidRPr="00E652E3">
              <w:rPr>
                <w:sz w:val="40"/>
              </w:rPr>
              <w:t>ST</w:t>
            </w:r>
            <w:r>
              <w:t>/SG/AC.10/C.3/2024/58</w:t>
            </w:r>
          </w:p>
        </w:tc>
      </w:tr>
      <w:tr w:rsidR="00132EA9" w:rsidRPr="00076651" w14:paraId="6A73233A" w14:textId="77777777" w:rsidTr="00F01738">
        <w:trPr>
          <w:trHeight w:hRule="exact" w:val="2835"/>
        </w:trPr>
        <w:tc>
          <w:tcPr>
            <w:tcW w:w="1276" w:type="dxa"/>
            <w:tcBorders>
              <w:top w:val="single" w:sz="4" w:space="0" w:color="auto"/>
              <w:bottom w:val="single" w:sz="12" w:space="0" w:color="auto"/>
            </w:tcBorders>
          </w:tcPr>
          <w:p w14:paraId="3288E7CE" w14:textId="77777777" w:rsidR="00132EA9" w:rsidRPr="00076651" w:rsidRDefault="00132EA9" w:rsidP="00F01738">
            <w:pPr>
              <w:spacing w:before="120"/>
              <w:jc w:val="center"/>
            </w:pPr>
            <w:r w:rsidRPr="00076651">
              <w:rPr>
                <w:noProof/>
                <w:lang w:eastAsia="fr-CH"/>
              </w:rPr>
              <w:drawing>
                <wp:inline distT="0" distB="0" distL="0" distR="0" wp14:anchorId="5C9BB5AD" wp14:editId="5C95A6A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318EEB" w14:textId="77777777" w:rsidR="00132EA9" w:rsidRPr="00076651" w:rsidRDefault="00132EA9" w:rsidP="00F01738">
            <w:pPr>
              <w:spacing w:before="120" w:line="420" w:lineRule="exact"/>
              <w:rPr>
                <w:b/>
                <w:sz w:val="40"/>
                <w:szCs w:val="40"/>
              </w:rPr>
            </w:pPr>
            <w:r w:rsidRPr="00076651">
              <w:rPr>
                <w:b/>
                <w:sz w:val="40"/>
                <w:szCs w:val="40"/>
              </w:rPr>
              <w:t>Secrétariat</w:t>
            </w:r>
          </w:p>
        </w:tc>
        <w:tc>
          <w:tcPr>
            <w:tcW w:w="2835" w:type="dxa"/>
            <w:tcBorders>
              <w:top w:val="single" w:sz="4" w:space="0" w:color="auto"/>
              <w:bottom w:val="single" w:sz="12" w:space="0" w:color="auto"/>
            </w:tcBorders>
          </w:tcPr>
          <w:p w14:paraId="0D44B959" w14:textId="77777777" w:rsidR="00132EA9" w:rsidRPr="00076651" w:rsidRDefault="00701BD7" w:rsidP="00701BD7">
            <w:pPr>
              <w:spacing w:before="240" w:line="240" w:lineRule="exact"/>
            </w:pPr>
            <w:r w:rsidRPr="00076651">
              <w:t>Distr. générale</w:t>
            </w:r>
          </w:p>
          <w:p w14:paraId="208734FF" w14:textId="78F9004D" w:rsidR="00701BD7" w:rsidRPr="00076651" w:rsidRDefault="007D6E66" w:rsidP="00701BD7">
            <w:pPr>
              <w:spacing w:line="240" w:lineRule="exact"/>
            </w:pPr>
            <w:r>
              <w:t>12</w:t>
            </w:r>
            <w:r w:rsidR="00701BD7" w:rsidRPr="00076651">
              <w:t xml:space="preserve"> </w:t>
            </w:r>
            <w:r w:rsidR="00455A2D" w:rsidRPr="00076651">
              <w:t>septembre</w:t>
            </w:r>
            <w:r w:rsidR="00701BD7" w:rsidRPr="00076651">
              <w:t xml:space="preserve"> 2024</w:t>
            </w:r>
          </w:p>
          <w:p w14:paraId="7E08CDCF" w14:textId="0F5E8BDE" w:rsidR="00701BD7" w:rsidRPr="00076651" w:rsidRDefault="001668E4" w:rsidP="00701BD7">
            <w:pPr>
              <w:spacing w:line="240" w:lineRule="exact"/>
            </w:pPr>
            <w:r w:rsidRPr="00076651">
              <w:t>Français</w:t>
            </w:r>
          </w:p>
          <w:p w14:paraId="32CC80BA" w14:textId="597CF7B9" w:rsidR="00701BD7" w:rsidRPr="00076651" w:rsidRDefault="00701BD7" w:rsidP="00701BD7">
            <w:pPr>
              <w:spacing w:line="240" w:lineRule="exact"/>
            </w:pPr>
            <w:r w:rsidRPr="00076651">
              <w:t xml:space="preserve">Original : </w:t>
            </w:r>
            <w:r w:rsidR="001668E4" w:rsidRPr="00076651">
              <w:t xml:space="preserve">anglais et </w:t>
            </w:r>
            <w:r w:rsidRPr="00076651">
              <w:t>français</w:t>
            </w:r>
          </w:p>
        </w:tc>
      </w:tr>
    </w:tbl>
    <w:p w14:paraId="5FC46B13" w14:textId="77777777" w:rsidR="001668E4" w:rsidRPr="00076651" w:rsidRDefault="001668E4" w:rsidP="009744DF">
      <w:pPr>
        <w:spacing w:before="120"/>
        <w:rPr>
          <w:b/>
          <w:sz w:val="24"/>
          <w:szCs w:val="24"/>
        </w:rPr>
      </w:pPr>
      <w:r w:rsidRPr="00076651">
        <w:rPr>
          <w:b/>
          <w:sz w:val="24"/>
          <w:szCs w:val="24"/>
        </w:rPr>
        <w:t>Comité d’experts du transport des marchandises dangereuses</w:t>
      </w:r>
      <w:r w:rsidRPr="00076651">
        <w:rPr>
          <w:b/>
          <w:sz w:val="24"/>
          <w:szCs w:val="24"/>
        </w:rPr>
        <w:br/>
        <w:t>et du Système général harmonisé de classification</w:t>
      </w:r>
      <w:r w:rsidRPr="00076651">
        <w:rPr>
          <w:b/>
          <w:sz w:val="24"/>
          <w:szCs w:val="24"/>
        </w:rPr>
        <w:br/>
        <w:t>et d’étiquetage des produits chimiques</w:t>
      </w:r>
    </w:p>
    <w:p w14:paraId="0D4C9E2F" w14:textId="77777777" w:rsidR="001668E4" w:rsidRPr="00076651" w:rsidRDefault="001668E4" w:rsidP="009744DF">
      <w:pPr>
        <w:spacing w:before="120"/>
        <w:rPr>
          <w:b/>
        </w:rPr>
      </w:pPr>
      <w:r w:rsidRPr="00076651">
        <w:rPr>
          <w:b/>
        </w:rPr>
        <w:t>Sous-Comité d’experts du transport des marchandises dangereuses</w:t>
      </w:r>
    </w:p>
    <w:p w14:paraId="4F5D223A" w14:textId="0342E7AA" w:rsidR="001668E4" w:rsidRPr="00076651" w:rsidRDefault="00814C44" w:rsidP="009744DF">
      <w:pPr>
        <w:spacing w:before="120"/>
        <w:rPr>
          <w:b/>
        </w:rPr>
      </w:pPr>
      <w:r w:rsidRPr="00076651">
        <w:rPr>
          <w:b/>
        </w:rPr>
        <w:t>Soixante-cinquième</w:t>
      </w:r>
      <w:r w:rsidR="001668E4" w:rsidRPr="00076651">
        <w:rPr>
          <w:b/>
        </w:rPr>
        <w:t xml:space="preserve"> session</w:t>
      </w:r>
    </w:p>
    <w:p w14:paraId="42F6EAE7" w14:textId="52AC6B97" w:rsidR="001668E4" w:rsidRPr="00076651" w:rsidRDefault="001668E4" w:rsidP="009744DF">
      <w:r w:rsidRPr="00076651">
        <w:t xml:space="preserve">Genève, </w:t>
      </w:r>
      <w:r w:rsidR="00797DFC" w:rsidRPr="00076651">
        <w:t>2</w:t>
      </w:r>
      <w:r w:rsidR="00797DFC">
        <w:t>5</w:t>
      </w:r>
      <w:r w:rsidR="00797DFC" w:rsidRPr="00076651">
        <w:t xml:space="preserve"> </w:t>
      </w:r>
      <w:r w:rsidR="00814C44" w:rsidRPr="00076651">
        <w:t>novembre</w:t>
      </w:r>
      <w:r w:rsidR="00FB5E21" w:rsidRPr="00076651">
        <w:t>-3 décembre 2024</w:t>
      </w:r>
      <w:r w:rsidRPr="00076651">
        <w:t xml:space="preserve"> </w:t>
      </w:r>
    </w:p>
    <w:p w14:paraId="159E85F9" w14:textId="583BB680" w:rsidR="001668E4" w:rsidRPr="00076651" w:rsidRDefault="001668E4" w:rsidP="009744DF">
      <w:r w:rsidRPr="00076651">
        <w:t xml:space="preserve">Point </w:t>
      </w:r>
      <w:r w:rsidR="00FB5E21" w:rsidRPr="00076651">
        <w:t>2 a)</w:t>
      </w:r>
      <w:r w:rsidRPr="00076651">
        <w:t xml:space="preserve"> de l’ordre du jour provisoire</w:t>
      </w:r>
    </w:p>
    <w:p w14:paraId="6389C4CF" w14:textId="0427F3AB" w:rsidR="002A333E" w:rsidRPr="00076651" w:rsidRDefault="002A333E" w:rsidP="002A333E">
      <w:pPr>
        <w:rPr>
          <w:rFonts w:eastAsiaTheme="minorHAnsi"/>
          <w:b/>
          <w:bCs/>
          <w:lang w:val="fr-FR" w:eastAsia="en-US"/>
        </w:rPr>
      </w:pPr>
      <w:r w:rsidRPr="00076651">
        <w:rPr>
          <w:rFonts w:eastAsiaTheme="minorHAnsi"/>
          <w:b/>
          <w:bCs/>
          <w:lang w:val="fr-FR" w:eastAsia="en-US"/>
        </w:rPr>
        <w:t xml:space="preserve">Recommandations du Sous-Comité formulées à ses </w:t>
      </w:r>
      <w:r w:rsidRPr="00076651">
        <w:rPr>
          <w:rFonts w:eastAsiaTheme="minorHAnsi"/>
          <w:b/>
          <w:bCs/>
          <w:lang w:val="fr-FR" w:eastAsia="en-US"/>
        </w:rPr>
        <w:br/>
      </w:r>
      <w:r w:rsidR="002023CD" w:rsidRPr="00076651">
        <w:rPr>
          <w:rFonts w:eastAsiaTheme="minorHAnsi"/>
          <w:b/>
          <w:bCs/>
          <w:lang w:val="fr-FR" w:eastAsia="en-US"/>
        </w:rPr>
        <w:t>soixante-deuxième, soixante-troisième et soixante-quatrième</w:t>
      </w:r>
      <w:r w:rsidRPr="00076651">
        <w:rPr>
          <w:rFonts w:eastAsiaTheme="minorHAnsi"/>
          <w:b/>
          <w:bCs/>
          <w:lang w:val="fr-FR" w:eastAsia="en-US"/>
        </w:rPr>
        <w:t xml:space="preserve"> sessions </w:t>
      </w:r>
      <w:r w:rsidRPr="00076651">
        <w:rPr>
          <w:rFonts w:eastAsiaTheme="minorHAnsi"/>
          <w:b/>
          <w:bCs/>
          <w:lang w:val="fr-FR" w:eastAsia="en-US"/>
        </w:rPr>
        <w:br/>
        <w:t>et questions en suspens :</w:t>
      </w:r>
    </w:p>
    <w:p w14:paraId="375036EE" w14:textId="77777777" w:rsidR="002A333E" w:rsidRPr="00076651" w:rsidRDefault="002A333E" w:rsidP="002A333E">
      <w:pPr>
        <w:rPr>
          <w:rFonts w:eastAsiaTheme="minorHAnsi"/>
          <w:b/>
          <w:bCs/>
          <w:lang w:val="fr-FR" w:eastAsia="en-US"/>
        </w:rPr>
      </w:pPr>
      <w:r w:rsidRPr="00076651">
        <w:rPr>
          <w:rFonts w:eastAsiaTheme="minorHAnsi"/>
          <w:b/>
          <w:bCs/>
          <w:lang w:val="fr-FR" w:eastAsia="en-US"/>
        </w:rPr>
        <w:t>examen des projets d’amendements déjà adoptés durant la période biennale</w:t>
      </w:r>
    </w:p>
    <w:p w14:paraId="4FC7220D" w14:textId="77777777" w:rsidR="00D71986" w:rsidRPr="00076651" w:rsidRDefault="00D71986" w:rsidP="00D71986">
      <w:pPr>
        <w:keepNext/>
        <w:keepLines/>
        <w:tabs>
          <w:tab w:val="right" w:pos="851"/>
        </w:tabs>
        <w:spacing w:before="360" w:after="240" w:line="300" w:lineRule="exact"/>
        <w:ind w:left="1134" w:right="1134" w:hanging="1134"/>
        <w:rPr>
          <w:b/>
          <w:sz w:val="28"/>
        </w:rPr>
      </w:pPr>
      <w:r w:rsidRPr="00076651">
        <w:rPr>
          <w:b/>
          <w:sz w:val="28"/>
        </w:rPr>
        <w:tab/>
      </w:r>
      <w:r w:rsidRPr="00076651">
        <w:rPr>
          <w:b/>
          <w:sz w:val="28"/>
        </w:rPr>
        <w:tab/>
        <w:t>Liste consolidée des projets d’amendements</w:t>
      </w:r>
    </w:p>
    <w:p w14:paraId="25722DFB" w14:textId="77777777" w:rsidR="00D71986" w:rsidRPr="00076651" w:rsidRDefault="00D71986" w:rsidP="00D71986">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b/>
          <w:sz w:val="24"/>
        </w:rPr>
      </w:pPr>
      <w:r w:rsidRPr="00076651">
        <w:rPr>
          <w:b/>
          <w:sz w:val="24"/>
        </w:rPr>
        <w:tab/>
      </w:r>
      <w:r w:rsidRPr="00076651">
        <w:rPr>
          <w:b/>
          <w:sz w:val="24"/>
        </w:rPr>
        <w:tab/>
        <w:t>Note du secrétariat</w:t>
      </w:r>
      <w:r w:rsidRPr="007D6E66">
        <w:rPr>
          <w:b/>
        </w:rPr>
        <w:footnoteReference w:customMarkFollows="1" w:id="2"/>
        <w:t>*</w:t>
      </w:r>
    </w:p>
    <w:p w14:paraId="285AC72F" w14:textId="3F464CB1" w:rsidR="00D71986" w:rsidRPr="00076651" w:rsidRDefault="00D71986" w:rsidP="00D71986">
      <w:pPr>
        <w:spacing w:after="120"/>
        <w:ind w:left="1134" w:right="1134"/>
        <w:jc w:val="both"/>
        <w:rPr>
          <w:lang w:val="fr-FR"/>
        </w:rPr>
      </w:pPr>
      <w:r w:rsidRPr="00076651">
        <w:rPr>
          <w:lang w:val="fr-FR"/>
        </w:rPr>
        <w:t xml:space="preserve">Le présent document contient une liste consolidée des projets d’amendements adoptés par le Sous-Comité d’experts lors de ses </w:t>
      </w:r>
      <w:r w:rsidR="00870D05" w:rsidRPr="00076651">
        <w:rPr>
          <w:lang w:val="fr-FR"/>
        </w:rPr>
        <w:t>soixante-deuxième, soixante-troisième et soixante-quatrième sessions</w:t>
      </w:r>
      <w:r w:rsidRPr="00076651">
        <w:rPr>
          <w:lang w:val="fr-FR"/>
        </w:rPr>
        <w:t xml:space="preserve"> comme suit :</w:t>
      </w:r>
    </w:p>
    <w:p w14:paraId="3D98171D" w14:textId="595609B9" w:rsidR="00D71986" w:rsidRPr="00076651" w:rsidRDefault="00D71986" w:rsidP="00D71986">
      <w:pPr>
        <w:spacing w:after="120"/>
        <w:ind w:left="1985" w:right="1134" w:hanging="851"/>
        <w:jc w:val="both"/>
        <w:rPr>
          <w:lang w:val="fr-FR"/>
        </w:rPr>
      </w:pPr>
      <w:r w:rsidRPr="00076651">
        <w:rPr>
          <w:rFonts w:eastAsia="SimSun"/>
          <w:lang w:val="fr-FR"/>
        </w:rPr>
        <w:t>Partie</w:t>
      </w:r>
      <w:r w:rsidRPr="00076651">
        <w:rPr>
          <w:lang w:val="fr-FR"/>
        </w:rPr>
        <w:t xml:space="preserve"> I</w:t>
      </w:r>
      <w:r w:rsidRPr="00076651">
        <w:rPr>
          <w:lang w:val="fr-FR"/>
        </w:rPr>
        <w:tab/>
        <w:t>Projet d’amendements à la vingt-</w:t>
      </w:r>
      <w:r w:rsidR="00870D05" w:rsidRPr="00076651">
        <w:rPr>
          <w:lang w:val="fr-FR"/>
        </w:rPr>
        <w:t>troisième</w:t>
      </w:r>
      <w:r w:rsidRPr="00076651">
        <w:rPr>
          <w:lang w:val="fr-FR"/>
        </w:rPr>
        <w:t xml:space="preserve"> édition révisée des Recommandations relatives au transport des marchandises dangereuses, Règlement type (ST/SG/AC.10/1/Rev.2</w:t>
      </w:r>
      <w:r w:rsidR="00870D05" w:rsidRPr="00076651">
        <w:rPr>
          <w:lang w:val="fr-FR"/>
        </w:rPr>
        <w:t>3</w:t>
      </w:r>
      <w:r w:rsidRPr="00076651">
        <w:rPr>
          <w:lang w:val="fr-FR"/>
        </w:rPr>
        <w:t>)</w:t>
      </w:r>
    </w:p>
    <w:p w14:paraId="0EBB807D" w14:textId="75B1A95D" w:rsidR="00D71986" w:rsidRPr="00076651" w:rsidRDefault="00D71986" w:rsidP="00D71986">
      <w:pPr>
        <w:spacing w:after="120"/>
        <w:ind w:left="1985" w:right="1134" w:hanging="851"/>
        <w:jc w:val="both"/>
        <w:rPr>
          <w:lang w:val="fr-FR"/>
        </w:rPr>
      </w:pPr>
      <w:r w:rsidRPr="00076651">
        <w:rPr>
          <w:lang w:val="fr-FR"/>
        </w:rPr>
        <w:t>Partie II</w:t>
      </w:r>
      <w:r w:rsidRPr="00076651">
        <w:rPr>
          <w:lang w:val="fr-FR"/>
        </w:rPr>
        <w:tab/>
        <w:t xml:space="preserve">Projet d’amendements à la </w:t>
      </w:r>
      <w:r w:rsidR="00D50CC9" w:rsidRPr="00076651">
        <w:rPr>
          <w:lang w:val="fr-FR"/>
        </w:rPr>
        <w:t>huitième</w:t>
      </w:r>
      <w:r w:rsidRPr="00076651">
        <w:rPr>
          <w:lang w:val="fr-FR"/>
        </w:rPr>
        <w:t xml:space="preserve"> édition révisée du Manuel d’épreuves et de critères (ST/SG/AC.10/11/Rev.</w:t>
      </w:r>
      <w:r w:rsidR="00D50CC9" w:rsidRPr="00076651">
        <w:rPr>
          <w:lang w:val="fr-FR"/>
        </w:rPr>
        <w:t>8</w:t>
      </w:r>
      <w:r w:rsidRPr="00076651">
        <w:rPr>
          <w:lang w:val="fr-FR"/>
        </w:rPr>
        <w:t>)</w:t>
      </w:r>
    </w:p>
    <w:p w14:paraId="7C87EC57" w14:textId="0582BCD2" w:rsidR="00815E32" w:rsidRPr="00076651" w:rsidRDefault="00815E32">
      <w:pPr>
        <w:rPr>
          <w:lang w:val="fr-FR"/>
        </w:rPr>
      </w:pPr>
      <w:r w:rsidRPr="00076651">
        <w:rPr>
          <w:lang w:val="fr-FR"/>
        </w:rPr>
        <w:br w:type="page"/>
      </w:r>
    </w:p>
    <w:p w14:paraId="09502B32" w14:textId="77777777" w:rsidR="00A36353" w:rsidRPr="00076651" w:rsidRDefault="00A36353" w:rsidP="00A36353">
      <w:pPr>
        <w:pStyle w:val="HChG"/>
        <w:rPr>
          <w:lang w:val="fr-FR"/>
        </w:rPr>
      </w:pPr>
      <w:r w:rsidRPr="00076651">
        <w:rPr>
          <w:lang w:val="fr-FR"/>
        </w:rPr>
        <w:lastRenderedPageBreak/>
        <w:tab/>
        <w:t>I.</w:t>
      </w:r>
      <w:r w:rsidRPr="00076651">
        <w:rPr>
          <w:lang w:val="fr-FR"/>
        </w:rPr>
        <w:tab/>
        <w:t>Projet d'amendements à la vingt-troisième édition révisée des Recommandations relatives au transport des marchandises dangereuses, Règlement type (ST/SG/AC.10/1/Rev.23)</w:t>
      </w:r>
    </w:p>
    <w:p w14:paraId="6395DEF3" w14:textId="77777777" w:rsidR="00A36353" w:rsidRPr="00076651" w:rsidRDefault="00A36353" w:rsidP="00A36353">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1.2</w:t>
      </w:r>
    </w:p>
    <w:p w14:paraId="34EB0BBD" w14:textId="77777777" w:rsidR="0032272E" w:rsidRPr="00076651" w:rsidRDefault="0032272E" w:rsidP="0032272E">
      <w:pPr>
        <w:pStyle w:val="SingleTxtG"/>
        <w:tabs>
          <w:tab w:val="clear" w:pos="1701"/>
        </w:tabs>
        <w:ind w:left="2268" w:hanging="1134"/>
        <w:rPr>
          <w:lang w:val="fr-FR"/>
        </w:rPr>
      </w:pPr>
      <w:r w:rsidRPr="00076651">
        <w:rPr>
          <w:lang w:val="fr-FR"/>
        </w:rPr>
        <w:t>1.2.1</w:t>
      </w:r>
      <w:r w:rsidRPr="00076651">
        <w:rPr>
          <w:lang w:val="fr-FR"/>
        </w:rPr>
        <w:tab/>
        <w:t>Dans la définition de « </w:t>
      </w:r>
      <w:r w:rsidRPr="00076651">
        <w:rPr>
          <w:i/>
          <w:iCs/>
          <w:lang w:val="fr-FR"/>
        </w:rPr>
        <w:t>Conteneur pour vrac</w:t>
      </w:r>
      <w:r w:rsidRPr="00076651">
        <w:rPr>
          <w:lang w:val="fr-FR"/>
        </w:rPr>
        <w:t> », dernier paragraphe, remplacer « compartiments de charge » par « compartiments de chargement ».</w:t>
      </w:r>
    </w:p>
    <w:p w14:paraId="0796FC8D" w14:textId="032C0F7A" w:rsidR="00A36353" w:rsidRPr="00076651" w:rsidRDefault="00A36353" w:rsidP="00A36353">
      <w:pPr>
        <w:spacing w:after="120"/>
        <w:ind w:left="2268" w:right="1134" w:hanging="1134"/>
        <w:jc w:val="both"/>
        <w:rPr>
          <w:rFonts w:eastAsiaTheme="minorHAnsi"/>
          <w:lang w:val="fr-FR" w:eastAsia="en-US"/>
        </w:rPr>
      </w:pPr>
      <w:r w:rsidRPr="00076651">
        <w:rPr>
          <w:rFonts w:eastAsiaTheme="minorHAnsi"/>
          <w:lang w:val="fr-FR" w:eastAsia="en-US"/>
        </w:rPr>
        <w:tab/>
        <w:t xml:space="preserve">Dans la définition de </w:t>
      </w:r>
      <w:r w:rsidRPr="00076651">
        <w:rPr>
          <w:rFonts w:eastAsiaTheme="minorHAnsi"/>
          <w:i/>
          <w:iCs/>
          <w:lang w:val="fr-FR" w:eastAsia="en-US"/>
        </w:rPr>
        <w:t>Bouteille</w:t>
      </w:r>
      <w:r w:rsidRPr="00076651">
        <w:rPr>
          <w:rFonts w:eastAsiaTheme="minorHAnsi"/>
          <w:lang w:val="fr-FR" w:eastAsia="en-US"/>
        </w:rPr>
        <w:t xml:space="preserve">, à la fin, après « 150 </w:t>
      </w:r>
      <w:r w:rsidRPr="00076651">
        <w:rPr>
          <w:rFonts w:eastAsiaTheme="minorHAnsi"/>
          <w:i/>
          <w:iCs/>
          <w:lang w:val="fr-FR" w:eastAsia="en-US"/>
        </w:rPr>
        <w:t>l</w:t>
      </w:r>
      <w:r w:rsidRPr="00076651">
        <w:rPr>
          <w:rFonts w:eastAsiaTheme="minorHAnsi"/>
          <w:lang w:val="fr-FR" w:eastAsia="en-US"/>
        </w:rPr>
        <w:t> », ajouter « , dont le produit pression volume d’épreuve ne dépasse pas 1,5 million de bar litres ».</w:t>
      </w:r>
    </w:p>
    <w:p w14:paraId="315F3E35" w14:textId="7DC898D3" w:rsidR="006D1EC3" w:rsidRPr="00076651" w:rsidRDefault="006D1EC3" w:rsidP="006D1EC3">
      <w:pPr>
        <w:spacing w:after="120"/>
        <w:ind w:left="2268" w:right="1134"/>
        <w:jc w:val="both"/>
        <w:rPr>
          <w:rFonts w:eastAsiaTheme="minorHAnsi"/>
          <w:lang w:val="fr-FR" w:eastAsia="en-US"/>
        </w:rPr>
      </w:pPr>
      <w:r w:rsidRPr="00076651">
        <w:rPr>
          <w:rFonts w:eastAsiaTheme="minorHAnsi"/>
          <w:lang w:val="fr-FR" w:eastAsia="en-US"/>
        </w:rPr>
        <w:t xml:space="preserve">Dans la définition de </w:t>
      </w:r>
      <w:r w:rsidRPr="00076651">
        <w:rPr>
          <w:rFonts w:eastAsiaTheme="minorHAnsi"/>
          <w:i/>
          <w:iCs/>
          <w:lang w:val="fr-FR" w:eastAsia="en-US"/>
        </w:rPr>
        <w:t>Cadre de bouteilles</w:t>
      </w:r>
      <w:r w:rsidRPr="00076651">
        <w:rPr>
          <w:rFonts w:eastAsiaTheme="minorHAnsi"/>
          <w:lang w:val="fr-FR" w:eastAsia="en-US"/>
        </w:rPr>
        <w:t>, à la fin, après le point-virgule, ajouter « Le produit pression-volume d’épreuve</w:t>
      </w:r>
      <w:r w:rsidRPr="00076651">
        <w:rPr>
          <w:rStyle w:val="ui-provider"/>
          <w:rFonts w:eastAsiaTheme="minorHAnsi"/>
          <w:lang w:val="fr-FR"/>
        </w:rPr>
        <w:t>, compte tenu de la contenance totale en eau de tous les récipients à pression dans le cadre,</w:t>
      </w:r>
      <w:r w:rsidRPr="00076651">
        <w:rPr>
          <w:rFonts w:eastAsiaTheme="minorHAnsi"/>
          <w:lang w:val="fr-FR" w:eastAsia="en-US"/>
        </w:rPr>
        <w:t xml:space="preserve"> ne doit pas dépasser 1,5 million de bar litres ; ».</w:t>
      </w:r>
    </w:p>
    <w:p w14:paraId="563568AF" w14:textId="77777777" w:rsidR="00865424" w:rsidRPr="00076651" w:rsidRDefault="00865424" w:rsidP="00865424">
      <w:pPr>
        <w:pStyle w:val="SingleTxtG"/>
        <w:tabs>
          <w:tab w:val="clear" w:pos="1701"/>
        </w:tabs>
        <w:ind w:left="2268" w:hanging="1134"/>
        <w:rPr>
          <w:lang w:val="fr-FR"/>
        </w:rPr>
      </w:pPr>
      <w:r w:rsidRPr="00076651">
        <w:rPr>
          <w:lang w:val="fr-FR"/>
        </w:rPr>
        <w:tab/>
        <w:t>Dans la définition de « </w:t>
      </w:r>
      <w:r w:rsidRPr="00076651">
        <w:rPr>
          <w:i/>
          <w:iCs/>
          <w:lang w:val="fr-FR"/>
        </w:rPr>
        <w:t>Masse nette de matières explosibles</w:t>
      </w:r>
      <w:r w:rsidRPr="00076651">
        <w:rPr>
          <w:lang w:val="fr-FR"/>
        </w:rPr>
        <w:t> », après « “quantité nette de matières explosibles” », remplacer la virgule par « ou » et supprimer « , ou “poids net de matières explosibles” ».</w:t>
      </w:r>
    </w:p>
    <w:p w14:paraId="2CE2BD21" w14:textId="139BD150" w:rsidR="00865424" w:rsidRPr="00076651" w:rsidRDefault="00865424" w:rsidP="00865424">
      <w:pPr>
        <w:spacing w:after="120"/>
        <w:ind w:left="2268" w:right="1134"/>
        <w:jc w:val="both"/>
        <w:rPr>
          <w:rFonts w:eastAsiaTheme="minorHAnsi"/>
          <w:lang w:val="fr-FR" w:eastAsia="en-US"/>
        </w:rPr>
      </w:pPr>
      <w:r w:rsidRPr="00076651">
        <w:rPr>
          <w:rFonts w:eastAsiaTheme="minorHAnsi"/>
          <w:lang w:val="fr-FR" w:eastAsia="en-US"/>
        </w:rPr>
        <w:t xml:space="preserve">Dans la définition de </w:t>
      </w:r>
      <w:r w:rsidRPr="00076651">
        <w:rPr>
          <w:i/>
          <w:iCs/>
          <w:lang w:val="fr-FR"/>
        </w:rPr>
        <w:t>Récipient à pression de secours</w:t>
      </w:r>
      <w:r w:rsidRPr="00076651">
        <w:rPr>
          <w:lang w:val="fr-FR"/>
        </w:rPr>
        <w:t xml:space="preserve">, supprimer « d’une contenance en eau ne dépassant pas 3 000 </w:t>
      </w:r>
      <w:r w:rsidRPr="00076651">
        <w:rPr>
          <w:i/>
          <w:iCs/>
          <w:lang w:val="fr-FR"/>
        </w:rPr>
        <w:t>l</w:t>
      </w:r>
      <w:r w:rsidRPr="00076651">
        <w:rPr>
          <w:lang w:val="fr-FR"/>
        </w:rPr>
        <w:t> » et, après « ou non conformes », ajouter « , et dont le produit pression volume d’épreuve total ne dépasse pas 1,5 million de bar litres, ».</w:t>
      </w:r>
    </w:p>
    <w:p w14:paraId="466372C2" w14:textId="77777777" w:rsidR="00A36353" w:rsidRPr="00076651" w:rsidRDefault="00A36353" w:rsidP="00A36353">
      <w:pPr>
        <w:spacing w:after="120"/>
        <w:ind w:left="2268" w:right="1134"/>
        <w:jc w:val="both"/>
        <w:rPr>
          <w:rFonts w:eastAsiaTheme="minorHAnsi"/>
          <w:lang w:val="fr-FR" w:eastAsia="en-US"/>
        </w:rPr>
      </w:pPr>
      <w:r w:rsidRPr="00076651">
        <w:rPr>
          <w:rFonts w:eastAsiaTheme="minorHAnsi"/>
          <w:lang w:val="fr-FR" w:eastAsia="en-US"/>
        </w:rPr>
        <w:t xml:space="preserve">Dans la définition de </w:t>
      </w:r>
      <w:r w:rsidRPr="00076651">
        <w:rPr>
          <w:rFonts w:eastAsiaTheme="minorHAnsi"/>
          <w:i/>
          <w:iCs/>
          <w:lang w:val="fr-FR" w:eastAsia="en-US"/>
        </w:rPr>
        <w:t>Tube</w:t>
      </w:r>
      <w:r w:rsidRPr="00076651">
        <w:rPr>
          <w:rFonts w:eastAsiaTheme="minorHAnsi"/>
          <w:lang w:val="fr-FR" w:eastAsia="en-US"/>
        </w:rPr>
        <w:t xml:space="preserve">, à la fin, après « 3000 </w:t>
      </w:r>
      <w:r w:rsidRPr="00076651">
        <w:rPr>
          <w:rFonts w:eastAsiaTheme="minorHAnsi"/>
          <w:i/>
          <w:iCs/>
          <w:lang w:val="fr-FR" w:eastAsia="en-US"/>
        </w:rPr>
        <w:t>l</w:t>
      </w:r>
      <w:r w:rsidRPr="00076651">
        <w:rPr>
          <w:rFonts w:eastAsiaTheme="minorHAnsi"/>
          <w:lang w:val="fr-FR" w:eastAsia="en-US"/>
        </w:rPr>
        <w:t> »,ajouter « , dont le produit pression volume d’épreuve ne dépasse pas 1,5 million de bar litres ».</w:t>
      </w:r>
    </w:p>
    <w:p w14:paraId="3214A498" w14:textId="77777777" w:rsidR="00865424" w:rsidRPr="00076651" w:rsidRDefault="00865424" w:rsidP="00865424">
      <w:pPr>
        <w:pStyle w:val="SingleTxtG"/>
        <w:tabs>
          <w:tab w:val="clear" w:pos="1701"/>
          <w:tab w:val="clear" w:pos="2268"/>
        </w:tabs>
        <w:ind w:left="2268" w:hanging="1134"/>
        <w:rPr>
          <w:lang w:val="fr-FR"/>
        </w:rPr>
      </w:pPr>
      <w:bookmarkStart w:id="0" w:name="_Hlk139486323"/>
      <w:r w:rsidRPr="00076651">
        <w:rPr>
          <w:lang w:val="fr-FR"/>
        </w:rPr>
        <w:tab/>
        <w:t xml:space="preserve">Dans la définition de </w:t>
      </w:r>
      <w:r w:rsidRPr="00076651">
        <w:rPr>
          <w:i/>
          <w:iCs/>
          <w:lang w:val="fr-FR"/>
        </w:rPr>
        <w:t>Taux de remplissage</w:t>
      </w:r>
      <w:r w:rsidRPr="00076651">
        <w:rPr>
          <w:lang w:val="fr-FR"/>
        </w:rPr>
        <w:t>, remplacer « un récipient à pression » par « le moyen de rétention ».</w:t>
      </w:r>
    </w:p>
    <w:bookmarkEnd w:id="0"/>
    <w:p w14:paraId="2EEE5E44" w14:textId="77777777" w:rsidR="00A37F9A" w:rsidRPr="00076651" w:rsidRDefault="00A37F9A" w:rsidP="00BC0E36">
      <w:pPr>
        <w:tabs>
          <w:tab w:val="left" w:pos="2268"/>
          <w:tab w:val="left" w:pos="2552"/>
        </w:tabs>
        <w:spacing w:after="120"/>
        <w:ind w:left="2268" w:right="1134" w:hanging="1134"/>
        <w:jc w:val="both"/>
        <w:rPr>
          <w:rFonts w:eastAsiaTheme="minorHAnsi"/>
          <w:lang w:val="fr-FR" w:eastAsia="en-US"/>
        </w:rPr>
      </w:pPr>
      <w:r w:rsidRPr="00076651">
        <w:rPr>
          <w:rFonts w:eastAsiaTheme="minorHAnsi"/>
          <w:lang w:val="fr-FR" w:eastAsia="en-US"/>
        </w:rPr>
        <w:tab/>
        <w:t>Ajouter les nouvelles définitions suivantes dans l’ordre alphabétique :</w:t>
      </w:r>
    </w:p>
    <w:p w14:paraId="09A332A5" w14:textId="77777777" w:rsidR="00A37F9A" w:rsidRPr="00076651" w:rsidRDefault="00A37F9A" w:rsidP="00A37F9A">
      <w:pPr>
        <w:spacing w:after="120"/>
        <w:ind w:left="1134" w:right="1134"/>
        <w:jc w:val="both"/>
        <w:rPr>
          <w:lang w:val="fr-FR"/>
        </w:rPr>
      </w:pPr>
      <w:r w:rsidRPr="00076651">
        <w:rPr>
          <w:lang w:val="fr-FR"/>
        </w:rPr>
        <w:t>« </w:t>
      </w:r>
      <w:r w:rsidRPr="00076651">
        <w:rPr>
          <w:i/>
          <w:iCs/>
          <w:lang w:val="fr-FR"/>
        </w:rPr>
        <w:t xml:space="preserve">Produit pression-volume (produit </w:t>
      </w:r>
      <w:proofErr w:type="spellStart"/>
      <w:r w:rsidRPr="00076651">
        <w:rPr>
          <w:i/>
          <w:iCs/>
          <w:lang w:val="fr-FR"/>
        </w:rPr>
        <w:t>pV</w:t>
      </w:r>
      <w:proofErr w:type="spellEnd"/>
      <w:r w:rsidRPr="00076651">
        <w:rPr>
          <w:i/>
          <w:iCs/>
          <w:lang w:val="fr-FR"/>
        </w:rPr>
        <w:t>)</w:t>
      </w:r>
      <w:r w:rsidRPr="00076651">
        <w:rPr>
          <w:lang w:val="fr-FR"/>
        </w:rPr>
        <w:t>, la valeur résultant de la multiplication de la contenance en eau (utilisable) d’une enceinte par sa pression maximale appropriée pendant le remplissage et l'utilisation (par exemple, la pression d'épreuve ou la pression de chargement), telle qu'elle est référencée pour le type d'enceinte concerné. Elle est exprimée en bar litres ; ».</w:t>
      </w:r>
    </w:p>
    <w:p w14:paraId="54DA928C" w14:textId="77777777" w:rsidR="00A37F9A" w:rsidRPr="00076651" w:rsidRDefault="00A37F9A" w:rsidP="00A37F9A">
      <w:pPr>
        <w:spacing w:after="120"/>
        <w:ind w:left="1134" w:right="1134"/>
        <w:jc w:val="both"/>
        <w:rPr>
          <w:lang w:val="fr-FR"/>
        </w:rPr>
      </w:pPr>
      <w:r w:rsidRPr="00076651">
        <w:rPr>
          <w:lang w:val="fr-FR"/>
        </w:rPr>
        <w:t>« </w:t>
      </w:r>
      <w:r w:rsidRPr="00076651">
        <w:rPr>
          <w:i/>
          <w:iCs/>
          <w:lang w:val="fr-FR"/>
        </w:rPr>
        <w:t>Contenance en eau utilisable</w:t>
      </w:r>
      <w:r w:rsidRPr="00076651">
        <w:rPr>
          <w:lang w:val="fr-FR"/>
        </w:rPr>
        <w:t>, la contenance en eau des récipients à pression de secours, restant après l'installation d'un équipement dans un récipient à pression de secours, qui est nécessaire pour, par exemple, ouvrir ou percer un récipient à pression stocké à l'intérieur d'un récipient à pression de secours fermé. La contenance en eau utilisable peut être inférieure à la contenance en eau initialement approuvée et marquée. Elle est exprimée en litres ; ».</w:t>
      </w:r>
    </w:p>
    <w:p w14:paraId="4E5BB9A8" w14:textId="0844B8E4" w:rsidR="00865424" w:rsidRPr="00076651" w:rsidRDefault="00865424" w:rsidP="00865424">
      <w:pPr>
        <w:spacing w:after="120"/>
        <w:ind w:left="1134" w:right="1134"/>
        <w:jc w:val="both"/>
        <w:rPr>
          <w:i/>
          <w:iCs/>
          <w:lang w:val="fr-FR" w:eastAsia="en-US"/>
        </w:rPr>
      </w:pPr>
      <w:r w:rsidRPr="00076651">
        <w:rPr>
          <w:i/>
          <w:iCs/>
          <w:lang w:val="fr-FR" w:eastAsia="en-US"/>
        </w:rPr>
        <w:t>(Document</w:t>
      </w:r>
      <w:r w:rsidR="00B05A94" w:rsidRPr="00076651">
        <w:rPr>
          <w:i/>
          <w:iCs/>
          <w:lang w:val="fr-FR" w:eastAsia="en-US"/>
        </w:rPr>
        <w:t>s</w:t>
      </w:r>
      <w:r w:rsidRPr="00076651">
        <w:rPr>
          <w:i/>
          <w:iCs/>
          <w:lang w:val="fr-FR" w:eastAsia="en-US"/>
        </w:rPr>
        <w:t xml:space="preserve"> de référence : </w:t>
      </w:r>
      <w:r w:rsidRPr="00076651">
        <w:rPr>
          <w:i/>
          <w:iCs/>
        </w:rPr>
        <w:t>ST/SG/AC.10/C.3/124, annexe I et ST/SG/AC.10/C.3/126, annexe I</w:t>
      </w:r>
      <w:r w:rsidRPr="00076651">
        <w:rPr>
          <w:i/>
          <w:iCs/>
          <w:lang w:val="fr-FR" w:eastAsia="en-US"/>
        </w:rPr>
        <w:t>)</w:t>
      </w:r>
    </w:p>
    <w:p w14:paraId="55B9C3F8" w14:textId="77777777" w:rsidR="00F5333E" w:rsidRPr="00076651" w:rsidRDefault="00F5333E" w:rsidP="00F5333E">
      <w:pPr>
        <w:pStyle w:val="SingleTxtG"/>
        <w:ind w:left="2268" w:hanging="1134"/>
        <w:rPr>
          <w:rFonts w:eastAsiaTheme="minorHAnsi"/>
          <w:lang w:val="fr-FR" w:eastAsia="en-US"/>
        </w:rPr>
      </w:pPr>
      <w:r w:rsidRPr="00076651">
        <w:rPr>
          <w:rFonts w:eastAsiaTheme="minorHAnsi"/>
          <w:lang w:val="fr-FR" w:eastAsia="en-US"/>
        </w:rPr>
        <w:t>1.2.2.1</w:t>
      </w:r>
      <w:r w:rsidRPr="00076651">
        <w:rPr>
          <w:rFonts w:eastAsiaTheme="minorHAnsi"/>
          <w:lang w:val="fr-FR" w:eastAsia="en-US"/>
        </w:rPr>
        <w:tab/>
      </w:r>
      <w:r w:rsidRPr="00076651">
        <w:rPr>
          <w:rFonts w:eastAsiaTheme="minorHAnsi"/>
          <w:lang w:val="fr-FR" w:eastAsia="en-US"/>
        </w:rPr>
        <w:tab/>
        <w:t>Dans le tableau, dans la deuxième ligne pour « Masse », dans la colonne « Autre unité admise », après « (tonne) » ajouter « (tonne métrique) ».</w:t>
      </w:r>
    </w:p>
    <w:p w14:paraId="7E7FD93E" w14:textId="1763849D" w:rsidR="00A36353" w:rsidRPr="00076651" w:rsidRDefault="00A36353" w:rsidP="00BC0E36">
      <w:pPr>
        <w:tabs>
          <w:tab w:val="left" w:pos="2268"/>
        </w:tabs>
        <w:spacing w:after="120"/>
        <w:ind w:left="1134" w:right="1134"/>
        <w:jc w:val="both"/>
        <w:rPr>
          <w:lang w:val="fr-FR" w:eastAsia="en-US"/>
        </w:rPr>
      </w:pPr>
      <w:r w:rsidRPr="00076651">
        <w:rPr>
          <w:lang w:val="fr-FR" w:eastAsia="en-US"/>
        </w:rPr>
        <w:tab/>
        <w:t xml:space="preserve">Dans la note </w:t>
      </w:r>
      <w:r w:rsidRPr="00076651">
        <w:rPr>
          <w:vertAlign w:val="superscript"/>
          <w:lang w:val="fr-FR" w:eastAsia="en-US"/>
        </w:rPr>
        <w:t>a</w:t>
      </w:r>
      <w:r w:rsidRPr="00076651">
        <w:rPr>
          <w:lang w:val="fr-FR" w:eastAsia="en-US"/>
        </w:rPr>
        <w:t xml:space="preserve"> relative au 1.2.2.1 :</w:t>
      </w:r>
    </w:p>
    <w:p w14:paraId="09BE2280" w14:textId="77777777" w:rsidR="00A36353" w:rsidRPr="00076651" w:rsidRDefault="00A36353" w:rsidP="00A36353">
      <w:pPr>
        <w:pStyle w:val="Bullet1G"/>
        <w:numPr>
          <w:ilvl w:val="0"/>
          <w:numId w:val="1"/>
        </w:numPr>
        <w:tabs>
          <w:tab w:val="clear" w:pos="1701"/>
          <w:tab w:val="num" w:pos="2438"/>
        </w:tabs>
        <w:ind w:left="2438"/>
        <w:rPr>
          <w:lang w:val="fr-FR" w:eastAsia="en-US"/>
        </w:rPr>
      </w:pPr>
      <w:r w:rsidRPr="00076651">
        <w:rPr>
          <w:lang w:val="fr-FR" w:eastAsia="en-US"/>
        </w:rPr>
        <w:t>Supprimer les sections pour « Force » et « Contrainte » ;</w:t>
      </w:r>
    </w:p>
    <w:p w14:paraId="5E3E4F75" w14:textId="77777777" w:rsidR="00A36353" w:rsidRPr="00076651" w:rsidRDefault="00A36353" w:rsidP="00A36353">
      <w:pPr>
        <w:pStyle w:val="Bullet1G"/>
        <w:numPr>
          <w:ilvl w:val="0"/>
          <w:numId w:val="1"/>
        </w:numPr>
        <w:tabs>
          <w:tab w:val="clear" w:pos="1701"/>
          <w:tab w:val="num" w:pos="2438"/>
        </w:tabs>
        <w:ind w:left="2438"/>
        <w:rPr>
          <w:lang w:val="fr-FR" w:eastAsia="en-US"/>
        </w:rPr>
      </w:pPr>
      <w:r w:rsidRPr="00076651">
        <w:rPr>
          <w:lang w:val="fr-FR" w:eastAsia="en-US"/>
        </w:rPr>
        <w:t>Dans la section pour « Pression » :</w:t>
      </w:r>
    </w:p>
    <w:p w14:paraId="177B15DF"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rPr>
          <w:lang w:val="fr-FR" w:eastAsia="en-US"/>
        </w:rPr>
        <w:t xml:space="preserve">Pour « 1 Pa », supprimer « = </w:t>
      </w:r>
      <w:r w:rsidRPr="00076651">
        <w:rPr>
          <w:i/>
          <w:iCs/>
          <w:lang w:val="en-US"/>
        </w:rPr>
        <w:t xml:space="preserve">1,02 </w:t>
      </w:r>
      <w:r w:rsidRPr="00076651">
        <w:rPr>
          <w:rFonts w:ascii="Symbol" w:eastAsia="Symbol" w:hAnsi="Symbol" w:cs="Symbol"/>
          <w:i/>
          <w:iCs/>
        </w:rPr>
        <w:sym w:font="Symbol" w:char="F0B4"/>
      </w:r>
      <w:r w:rsidRPr="00076651">
        <w:rPr>
          <w:i/>
          <w:iCs/>
          <w:lang w:val="en-US"/>
        </w:rPr>
        <w:t xml:space="preserve"> 10</w:t>
      </w:r>
      <w:r w:rsidRPr="00076651">
        <w:t>⁻</w:t>
      </w:r>
      <w:r w:rsidRPr="00076651">
        <w:rPr>
          <w:i/>
          <w:iCs/>
          <w:lang w:val="en-US"/>
        </w:rPr>
        <w:t>⁵ kg/cm</w:t>
      </w:r>
      <w:r w:rsidRPr="00076651">
        <w:rPr>
          <w:i/>
          <w:iCs/>
        </w:rPr>
        <w:t>²</w:t>
      </w:r>
      <w:r w:rsidRPr="00076651">
        <w:t> </w:t>
      </w:r>
      <w:r w:rsidRPr="00076651">
        <w:rPr>
          <w:lang w:val="fr-FR" w:eastAsia="en-US"/>
        </w:rPr>
        <w:t xml:space="preserve">= </w:t>
      </w:r>
      <w:r w:rsidRPr="00076651">
        <w:rPr>
          <w:i/>
          <w:iCs/>
          <w:lang w:val="en-US"/>
        </w:rPr>
        <w:t xml:space="preserve">0,75 </w:t>
      </w:r>
      <w:r w:rsidRPr="00076651">
        <w:rPr>
          <w:rFonts w:ascii="Symbol" w:eastAsia="Symbol" w:hAnsi="Symbol" w:cs="Symbol"/>
          <w:i/>
          <w:iCs/>
        </w:rPr>
        <w:sym w:font="Symbol" w:char="F0B4"/>
      </w:r>
      <w:r w:rsidRPr="00076651">
        <w:rPr>
          <w:i/>
          <w:iCs/>
          <w:lang w:val="en-US"/>
        </w:rPr>
        <w:t xml:space="preserve"> 10</w:t>
      </w:r>
      <w:r w:rsidRPr="00076651">
        <w:t>⁻</w:t>
      </w:r>
      <w:r w:rsidRPr="00076651">
        <w:rPr>
          <w:i/>
          <w:iCs/>
        </w:rPr>
        <w:t>²</w:t>
      </w:r>
      <w:r w:rsidRPr="00076651">
        <w:rPr>
          <w:i/>
          <w:iCs/>
          <w:lang w:val="en-US"/>
        </w:rPr>
        <w:t xml:space="preserve"> torr</w:t>
      </w:r>
      <w:r w:rsidRPr="00076651">
        <w:rPr>
          <w:i/>
          <w:iCs/>
        </w:rPr>
        <w:t> </w:t>
      </w:r>
      <w:r w:rsidRPr="00076651">
        <w:t>» ;</w:t>
      </w:r>
    </w:p>
    <w:p w14:paraId="6802C1BC"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rPr>
          <w:lang w:val="fr-FR" w:eastAsia="en-US"/>
        </w:rPr>
        <w:t xml:space="preserve">Pour « 1 Bar », supprimer « = </w:t>
      </w:r>
      <w:r w:rsidRPr="00076651">
        <w:rPr>
          <w:i/>
          <w:iCs/>
        </w:rPr>
        <w:t xml:space="preserve">1,02 kg/cm² </w:t>
      </w:r>
      <w:r w:rsidRPr="00076651">
        <w:rPr>
          <w:lang w:val="fr-FR" w:eastAsia="en-US"/>
        </w:rPr>
        <w:t xml:space="preserve">= </w:t>
      </w:r>
      <w:r w:rsidRPr="00076651">
        <w:rPr>
          <w:i/>
          <w:iCs/>
        </w:rPr>
        <w:t>750 torr</w:t>
      </w:r>
      <w:r w:rsidRPr="00076651">
        <w:t> » ;</w:t>
      </w:r>
    </w:p>
    <w:p w14:paraId="4CCF2C34"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t>Supprimer les lignes pour « </w:t>
      </w:r>
      <w:r w:rsidRPr="00076651">
        <w:rPr>
          <w:i/>
          <w:iCs/>
        </w:rPr>
        <w:t>1 kg/cm²</w:t>
      </w:r>
      <w:r w:rsidRPr="00076651">
        <w:t> » et pour « </w:t>
      </w:r>
      <w:r w:rsidRPr="00076651">
        <w:rPr>
          <w:i/>
          <w:iCs/>
        </w:rPr>
        <w:t>1 torr</w:t>
      </w:r>
      <w:r w:rsidRPr="00076651">
        <w:t> » ;</w:t>
      </w:r>
    </w:p>
    <w:p w14:paraId="42DF97BD" w14:textId="77777777" w:rsidR="00A36353" w:rsidRPr="00076651" w:rsidRDefault="00A36353" w:rsidP="00A36353">
      <w:pPr>
        <w:pStyle w:val="Bullet1G"/>
        <w:numPr>
          <w:ilvl w:val="0"/>
          <w:numId w:val="1"/>
        </w:numPr>
        <w:tabs>
          <w:tab w:val="clear" w:pos="1701"/>
          <w:tab w:val="num" w:pos="2438"/>
        </w:tabs>
        <w:ind w:left="2438"/>
        <w:rPr>
          <w:lang w:val="fr-FR" w:eastAsia="en-US"/>
        </w:rPr>
      </w:pPr>
      <w:r w:rsidRPr="00076651">
        <w:rPr>
          <w:lang w:val="fr-FR" w:eastAsia="en-US"/>
        </w:rPr>
        <w:t>Dans la section pour « Travail, Énergie, Quantité de chaleur » :</w:t>
      </w:r>
    </w:p>
    <w:p w14:paraId="16CD0721"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rPr>
          <w:lang w:val="fr-FR" w:eastAsia="en-US"/>
        </w:rPr>
        <w:t xml:space="preserve">Pour « 1 J », supprimer « = </w:t>
      </w:r>
      <w:r w:rsidRPr="00076651">
        <w:rPr>
          <w:i/>
          <w:iCs/>
        </w:rPr>
        <w:t>0,102 kgm </w:t>
      </w:r>
      <w:r w:rsidRPr="00076651">
        <w:t>» ;</w:t>
      </w:r>
    </w:p>
    <w:p w14:paraId="52972BD1"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rPr>
          <w:lang w:val="fr-FR" w:eastAsia="en-US"/>
        </w:rPr>
        <w:lastRenderedPageBreak/>
        <w:t xml:space="preserve">Pour « 1 kWh », supprimer « = </w:t>
      </w:r>
      <w:r w:rsidRPr="00076651">
        <w:rPr>
          <w:i/>
          <w:iCs/>
        </w:rPr>
        <w:t xml:space="preserve">367 </w:t>
      </w:r>
      <w:r w:rsidRPr="00076651">
        <w:rPr>
          <w:rFonts w:ascii="Symbol" w:eastAsia="Symbol" w:hAnsi="Symbol" w:cs="Symbol"/>
          <w:i/>
          <w:iCs/>
        </w:rPr>
        <w:sym w:font="Symbol" w:char="F0B4"/>
      </w:r>
      <w:r w:rsidRPr="00076651">
        <w:rPr>
          <w:i/>
          <w:iCs/>
        </w:rPr>
        <w:t xml:space="preserve"> 10³ kgm </w:t>
      </w:r>
      <w:r w:rsidRPr="00076651">
        <w:t>» ;</w:t>
      </w:r>
    </w:p>
    <w:p w14:paraId="0C78DEED"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t>Supprimer la ligne pour « </w:t>
      </w:r>
      <w:r w:rsidRPr="00076651">
        <w:rPr>
          <w:i/>
          <w:iCs/>
        </w:rPr>
        <w:t>1 kgm</w:t>
      </w:r>
      <w:r w:rsidRPr="00076651">
        <w:t> » ;</w:t>
      </w:r>
    </w:p>
    <w:p w14:paraId="140CD017"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t xml:space="preserve">Pour « 1 kcal », supprimer « = </w:t>
      </w:r>
      <w:r w:rsidRPr="00076651">
        <w:rPr>
          <w:i/>
          <w:iCs/>
        </w:rPr>
        <w:t>427 kgm</w:t>
      </w:r>
      <w:r w:rsidRPr="00076651">
        <w:t> » ;</w:t>
      </w:r>
    </w:p>
    <w:p w14:paraId="4A97B95A" w14:textId="77777777" w:rsidR="00A36353" w:rsidRPr="00076651" w:rsidRDefault="00A36353" w:rsidP="00A36353">
      <w:pPr>
        <w:pStyle w:val="Bullet1G"/>
        <w:numPr>
          <w:ilvl w:val="0"/>
          <w:numId w:val="1"/>
        </w:numPr>
        <w:tabs>
          <w:tab w:val="clear" w:pos="1701"/>
          <w:tab w:val="num" w:pos="2438"/>
        </w:tabs>
        <w:ind w:left="2438"/>
        <w:rPr>
          <w:lang w:val="fr-FR" w:eastAsia="en-US"/>
        </w:rPr>
      </w:pPr>
      <w:r w:rsidRPr="00076651">
        <w:rPr>
          <w:lang w:val="fr-FR" w:eastAsia="en-US"/>
        </w:rPr>
        <w:t>Dans la section pour « Puissance » :</w:t>
      </w:r>
    </w:p>
    <w:p w14:paraId="39AE97F9"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rPr>
          <w:lang w:val="fr-FR" w:eastAsia="en-US"/>
        </w:rPr>
        <w:t xml:space="preserve">Pour « 1 W », supprimer « = </w:t>
      </w:r>
      <w:r w:rsidRPr="00076651">
        <w:rPr>
          <w:i/>
          <w:iCs/>
        </w:rPr>
        <w:t>0,102 kgm/s </w:t>
      </w:r>
      <w:r w:rsidRPr="00076651">
        <w:t>» ;</w:t>
      </w:r>
    </w:p>
    <w:p w14:paraId="7A0902F8"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t>Supprimer la ligne pour « </w:t>
      </w:r>
      <w:r w:rsidRPr="00076651">
        <w:rPr>
          <w:i/>
          <w:iCs/>
        </w:rPr>
        <w:t>1 kgm/s</w:t>
      </w:r>
      <w:r w:rsidRPr="00076651">
        <w:t> » ;</w:t>
      </w:r>
    </w:p>
    <w:p w14:paraId="46C3EA4A"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rPr>
          <w:lang w:val="fr-FR" w:eastAsia="en-US"/>
        </w:rPr>
        <w:t xml:space="preserve">Pour « 1 kcal/h », supprimer « = </w:t>
      </w:r>
      <w:r w:rsidRPr="00076651">
        <w:rPr>
          <w:i/>
          <w:iCs/>
        </w:rPr>
        <w:t>0,119 kgm/s </w:t>
      </w:r>
      <w:r w:rsidRPr="00076651">
        <w:t>» ;</w:t>
      </w:r>
    </w:p>
    <w:p w14:paraId="64FFFF02" w14:textId="77777777" w:rsidR="00A36353" w:rsidRPr="00076651" w:rsidRDefault="00A36353" w:rsidP="00A36353">
      <w:pPr>
        <w:pStyle w:val="Bullet1G"/>
        <w:numPr>
          <w:ilvl w:val="0"/>
          <w:numId w:val="1"/>
        </w:numPr>
        <w:tabs>
          <w:tab w:val="clear" w:pos="1701"/>
          <w:tab w:val="num" w:pos="2438"/>
        </w:tabs>
        <w:ind w:left="2438"/>
        <w:rPr>
          <w:lang w:val="fr-FR" w:eastAsia="en-US"/>
        </w:rPr>
      </w:pPr>
      <w:r w:rsidRPr="00076651">
        <w:rPr>
          <w:lang w:val="fr-FR" w:eastAsia="en-US"/>
        </w:rPr>
        <w:t>Dans la section pour « Viscosité dynamique » :</w:t>
      </w:r>
    </w:p>
    <w:p w14:paraId="4BE6DFAB"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rPr>
          <w:lang w:val="fr-FR" w:eastAsia="en-US"/>
        </w:rPr>
        <w:t xml:space="preserve">Pour « 1 Pa s », supprimer « = </w:t>
      </w:r>
      <w:r w:rsidRPr="00076651">
        <w:rPr>
          <w:i/>
          <w:iCs/>
        </w:rPr>
        <w:t>0,102 kg/m² </w:t>
      </w:r>
      <w:r w:rsidRPr="00076651">
        <w:t>» ;</w:t>
      </w:r>
    </w:p>
    <w:p w14:paraId="731F8B32"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rPr>
          <w:lang w:val="fr-FR" w:eastAsia="en-US"/>
        </w:rPr>
        <w:t xml:space="preserve">Pour « 1 P », supprimer « = </w:t>
      </w:r>
      <w:r w:rsidRPr="00076651">
        <w:rPr>
          <w:i/>
        </w:rPr>
        <w:t xml:space="preserve">1,02 </w:t>
      </w:r>
      <w:r w:rsidRPr="00076651">
        <w:rPr>
          <w:rFonts w:ascii="Symbol" w:eastAsia="Symbol" w:hAnsi="Symbol" w:cs="Symbol"/>
          <w:i/>
        </w:rPr>
        <w:sym w:font="Symbol" w:char="F0B4"/>
      </w:r>
      <w:r w:rsidRPr="00076651">
        <w:rPr>
          <w:i/>
        </w:rPr>
        <w:t xml:space="preserve"> 10</w:t>
      </w:r>
      <w:r w:rsidRPr="00076651">
        <w:t>⁻</w:t>
      </w:r>
      <w:r w:rsidRPr="00076651">
        <w:rPr>
          <w:i/>
          <w:iCs/>
        </w:rPr>
        <w:t>²</w:t>
      </w:r>
      <w:r w:rsidRPr="00076651">
        <w:rPr>
          <w:i/>
        </w:rPr>
        <w:t xml:space="preserve"> </w:t>
      </w:r>
      <w:proofErr w:type="spellStart"/>
      <w:r w:rsidRPr="00076651">
        <w:rPr>
          <w:i/>
        </w:rPr>
        <w:t>kgs</w:t>
      </w:r>
      <w:proofErr w:type="spellEnd"/>
      <w:r w:rsidRPr="00076651">
        <w:rPr>
          <w:i/>
        </w:rPr>
        <w:t>/m</w:t>
      </w:r>
      <w:r w:rsidRPr="00076651">
        <w:rPr>
          <w:i/>
          <w:iCs/>
        </w:rPr>
        <w:t>² </w:t>
      </w:r>
      <w:r w:rsidRPr="00076651">
        <w:t>» ;</w:t>
      </w:r>
    </w:p>
    <w:p w14:paraId="1C2BE278" w14:textId="77777777" w:rsidR="00A36353" w:rsidRPr="00076651" w:rsidRDefault="00A36353" w:rsidP="00A36353">
      <w:pPr>
        <w:pStyle w:val="Bullet1G"/>
        <w:numPr>
          <w:ilvl w:val="0"/>
          <w:numId w:val="1"/>
        </w:numPr>
        <w:tabs>
          <w:tab w:val="clear" w:pos="1701"/>
          <w:tab w:val="num" w:pos="2835"/>
        </w:tabs>
        <w:ind w:left="2835"/>
        <w:rPr>
          <w:lang w:val="fr-FR" w:eastAsia="en-US"/>
        </w:rPr>
      </w:pPr>
      <w:r w:rsidRPr="00076651">
        <w:t>Supprimer la ligne pour « </w:t>
      </w:r>
      <w:r w:rsidRPr="00076651">
        <w:rPr>
          <w:i/>
          <w:iCs/>
        </w:rPr>
        <w:t xml:space="preserve">1 </w:t>
      </w:r>
      <w:proofErr w:type="spellStart"/>
      <w:r w:rsidRPr="00076651">
        <w:rPr>
          <w:i/>
        </w:rPr>
        <w:t>kgs</w:t>
      </w:r>
      <w:proofErr w:type="spellEnd"/>
      <w:r w:rsidRPr="00076651">
        <w:rPr>
          <w:i/>
        </w:rPr>
        <w:t>/m</w:t>
      </w:r>
      <w:r w:rsidRPr="00076651">
        <w:rPr>
          <w:i/>
          <w:iCs/>
        </w:rPr>
        <w:t>²</w:t>
      </w:r>
      <w:r w:rsidRPr="00076651">
        <w:t> » ;</w:t>
      </w:r>
    </w:p>
    <w:p w14:paraId="5A9BDF3F" w14:textId="4C1EB704" w:rsidR="00A36353" w:rsidRPr="00076651" w:rsidRDefault="00B14684" w:rsidP="00A36353">
      <w:pPr>
        <w:spacing w:after="120"/>
        <w:ind w:left="1134" w:right="1134"/>
        <w:jc w:val="both"/>
        <w:rPr>
          <w:i/>
          <w:iCs/>
          <w:lang w:val="fr-FR" w:eastAsia="en-US"/>
        </w:rPr>
      </w:pPr>
      <w:r w:rsidRPr="00076651">
        <w:rPr>
          <w:i/>
          <w:iCs/>
          <w:lang w:val="fr-FR" w:eastAsia="en-US"/>
        </w:rPr>
        <w:t>(Document</w:t>
      </w:r>
      <w:r w:rsidR="00B05A94" w:rsidRPr="00076651">
        <w:rPr>
          <w:i/>
          <w:iCs/>
          <w:lang w:val="fr-FR" w:eastAsia="en-US"/>
        </w:rPr>
        <w:t>s</w:t>
      </w:r>
      <w:r w:rsidRPr="00076651">
        <w:rPr>
          <w:i/>
          <w:iCs/>
          <w:lang w:val="fr-FR" w:eastAsia="en-US"/>
        </w:rPr>
        <w:t xml:space="preserve"> de référence : ST/SG/AC.10/C.3/124, annexe I</w:t>
      </w:r>
      <w:r w:rsidR="00D763BF" w:rsidRPr="00076651">
        <w:rPr>
          <w:i/>
          <w:iCs/>
          <w:lang w:val="fr-FR" w:eastAsia="en-US"/>
        </w:rPr>
        <w:t xml:space="preserve"> et </w:t>
      </w:r>
      <w:r w:rsidR="00D763BF" w:rsidRPr="00076651">
        <w:rPr>
          <w:i/>
          <w:iCs/>
        </w:rPr>
        <w:t>ST/SG/AC.10/C.3/128, annexe II</w:t>
      </w:r>
      <w:r w:rsidRPr="00076651">
        <w:rPr>
          <w:i/>
          <w:iCs/>
          <w:lang w:val="fr-FR" w:eastAsia="en-US"/>
        </w:rPr>
        <w:t>)</w:t>
      </w:r>
    </w:p>
    <w:p w14:paraId="28D062EF" w14:textId="77777777" w:rsidR="00A36353" w:rsidRPr="00076651" w:rsidRDefault="00A36353" w:rsidP="00A36353">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2.0</w:t>
      </w:r>
    </w:p>
    <w:p w14:paraId="5D7025A4" w14:textId="77777777" w:rsidR="00A36353" w:rsidRPr="00076651" w:rsidRDefault="00A36353" w:rsidP="00A36353">
      <w:pPr>
        <w:pStyle w:val="SingleTxtG"/>
        <w:tabs>
          <w:tab w:val="clear" w:pos="1701"/>
          <w:tab w:val="clear" w:pos="2268"/>
        </w:tabs>
        <w:ind w:left="2268" w:hanging="1134"/>
        <w:rPr>
          <w:lang w:val="fr-FR"/>
        </w:rPr>
      </w:pPr>
      <w:r w:rsidRPr="00076651">
        <w:rPr>
          <w:lang w:val="fr-FR"/>
        </w:rPr>
        <w:t>2.0.3.1</w:t>
      </w:r>
      <w:r w:rsidRPr="00076651">
        <w:rPr>
          <w:lang w:val="fr-FR"/>
        </w:rPr>
        <w:tab/>
        <w:t>Dans la note de bas de page 3, supprimer « ou les préparations » ; remplacer « ou à l'absorption cutanée seulement » par « et à l'absorption cutanée » ; à la fin, ajouter « (voir le nota sous 2.6.2.2.4.1 et le 2.8.2.4) ».</w:t>
      </w:r>
    </w:p>
    <w:p w14:paraId="7019D3BD"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43A0AEC4" w14:textId="77777777" w:rsidR="00E7145B" w:rsidRPr="00076651" w:rsidRDefault="00E7145B" w:rsidP="00E7145B">
      <w:pPr>
        <w:pStyle w:val="SingleTxtG"/>
        <w:tabs>
          <w:tab w:val="clear" w:pos="1701"/>
          <w:tab w:val="clear" w:pos="2268"/>
          <w:tab w:val="clear" w:pos="2835"/>
        </w:tabs>
        <w:ind w:left="2268" w:hanging="1134"/>
        <w:rPr>
          <w:lang w:val="fr-FR"/>
        </w:rPr>
      </w:pPr>
      <w:r w:rsidRPr="00076651">
        <w:rPr>
          <w:lang w:val="fr-FR"/>
        </w:rPr>
        <w:t>2.0.4.3</w:t>
      </w:r>
      <w:r w:rsidRPr="00076651">
        <w:rPr>
          <w:lang w:val="fr-FR"/>
        </w:rPr>
        <w:tab/>
        <w:t>Ajouter un nouveau 2.0.4.3.2 et un nouveau 2.0.4.3.3 pour lire comme suit :</w:t>
      </w:r>
    </w:p>
    <w:p w14:paraId="065D6442" w14:textId="77777777" w:rsidR="00E7145B" w:rsidRPr="00076651" w:rsidRDefault="00E7145B" w:rsidP="00E7145B">
      <w:pPr>
        <w:pStyle w:val="SingleTxtG"/>
        <w:tabs>
          <w:tab w:val="clear" w:pos="1701"/>
          <w:tab w:val="clear" w:pos="2268"/>
          <w:tab w:val="clear" w:pos="2835"/>
        </w:tabs>
        <w:ind w:left="2268" w:hanging="1134"/>
        <w:rPr>
          <w:lang w:val="fr-FR"/>
        </w:rPr>
      </w:pPr>
      <w:r w:rsidRPr="00076651">
        <w:rPr>
          <w:lang w:val="fr-FR"/>
        </w:rPr>
        <w:t>« 2.0.4.3.2</w:t>
      </w:r>
      <w:r w:rsidRPr="00076651">
        <w:rPr>
          <w:lang w:val="fr-FR"/>
        </w:rPr>
        <w:tab/>
        <w:t xml:space="preserve">Les échantillons de matières organiques dont les groupes fonctionnels sont énumérés dans les tableaux A6.1 ou A6.3 de l’appendice 6 du </w:t>
      </w:r>
      <w:r w:rsidRPr="00076651">
        <w:rPr>
          <w:i/>
          <w:iCs/>
          <w:lang w:val="fr-FR"/>
        </w:rPr>
        <w:t>Manuel d’épreuves et de critères</w:t>
      </w:r>
      <w:r w:rsidRPr="00076651">
        <w:rPr>
          <w:lang w:val="fr-FR"/>
        </w:rPr>
        <w:t xml:space="preserve"> peuvent être affectés à l’un des numéros ONU appropriés pour les matières </w:t>
      </w:r>
      <w:proofErr w:type="spellStart"/>
      <w:r w:rsidRPr="00076651">
        <w:rPr>
          <w:lang w:val="fr-FR"/>
        </w:rPr>
        <w:t>autoréactives</w:t>
      </w:r>
      <w:proofErr w:type="spellEnd"/>
      <w:r w:rsidRPr="00076651">
        <w:rPr>
          <w:lang w:val="fr-FR"/>
        </w:rPr>
        <w:t xml:space="preserve"> du type C (No ONU 3223, 3224, 3233 ou 3234, selon le cas) de la Division 4.1 et transportés conformément aux dispositions du 2.4.2.3.2.4 b) pour le transport en quantités ne dépassant pas 200 g par emballage extérieur, à condition :</w:t>
      </w:r>
    </w:p>
    <w:p w14:paraId="47DBDD4A" w14:textId="77777777" w:rsidR="00E7145B" w:rsidRPr="00076651" w:rsidRDefault="00E7145B" w:rsidP="00E7145B">
      <w:pPr>
        <w:pStyle w:val="SingleTxtG"/>
        <w:ind w:left="2835" w:hanging="567"/>
        <w:rPr>
          <w:lang w:val="fr-FR"/>
        </w:rPr>
      </w:pPr>
      <w:r w:rsidRPr="00076651">
        <w:rPr>
          <w:lang w:val="fr-FR"/>
        </w:rPr>
        <w:t>a)</w:t>
      </w:r>
      <w:r w:rsidRPr="00076651">
        <w:rPr>
          <w:lang w:val="fr-FR"/>
        </w:rPr>
        <w:tab/>
        <w:t>Qu’ils satisfassent aux critères des 2.0.4.3.1 a) à c) ; et</w:t>
      </w:r>
    </w:p>
    <w:p w14:paraId="58C54B41" w14:textId="77777777" w:rsidR="00E7145B" w:rsidRPr="00076651" w:rsidRDefault="00E7145B" w:rsidP="00E7145B">
      <w:pPr>
        <w:pStyle w:val="SingleTxtG"/>
        <w:ind w:left="2835" w:hanging="567"/>
        <w:rPr>
          <w:lang w:val="fr-FR"/>
        </w:rPr>
      </w:pPr>
      <w:r w:rsidRPr="00076651">
        <w:rPr>
          <w:lang w:val="fr-FR"/>
        </w:rPr>
        <w:t>b)</w:t>
      </w:r>
      <w:r w:rsidRPr="00076651">
        <w:rPr>
          <w:lang w:val="fr-FR"/>
        </w:rPr>
        <w:tab/>
        <w:t>Que leur énergie de décomposition soit :</w:t>
      </w:r>
    </w:p>
    <w:p w14:paraId="23E4E19E" w14:textId="77777777" w:rsidR="00E7145B" w:rsidRPr="00076651" w:rsidRDefault="00E7145B" w:rsidP="00DB194A">
      <w:pPr>
        <w:pStyle w:val="SingleTxtG"/>
        <w:tabs>
          <w:tab w:val="clear" w:pos="2835"/>
        </w:tabs>
        <w:ind w:left="3402" w:hanging="567"/>
        <w:rPr>
          <w:lang w:val="fr-FR"/>
        </w:rPr>
      </w:pPr>
      <w:r w:rsidRPr="00076651">
        <w:rPr>
          <w:lang w:val="fr-FR"/>
        </w:rPr>
        <w:t>i)</w:t>
      </w:r>
      <w:r w:rsidRPr="00076651">
        <w:rPr>
          <w:lang w:val="fr-FR"/>
        </w:rPr>
        <w:tab/>
        <w:t xml:space="preserve">Inférieure à 1 500 J/g pour les sels ou les complexes de composés organiques ; </w:t>
      </w:r>
    </w:p>
    <w:p w14:paraId="1EB03E8C" w14:textId="77777777" w:rsidR="00E7145B" w:rsidRPr="00076651" w:rsidRDefault="00E7145B" w:rsidP="00DB194A">
      <w:pPr>
        <w:pStyle w:val="SingleTxtG"/>
        <w:tabs>
          <w:tab w:val="clear" w:pos="2835"/>
        </w:tabs>
        <w:ind w:left="3402" w:hanging="567"/>
        <w:rPr>
          <w:lang w:val="fr-FR"/>
        </w:rPr>
      </w:pPr>
      <w:r w:rsidRPr="00076651">
        <w:rPr>
          <w:lang w:val="fr-FR"/>
        </w:rPr>
        <w:t>ii)</w:t>
      </w:r>
      <w:r w:rsidRPr="00076651">
        <w:rPr>
          <w:lang w:val="fr-FR"/>
        </w:rPr>
        <w:tab/>
        <w:t xml:space="preserve">Inférieure à 2 000 J/g pour les autres matières organiques ; </w:t>
      </w:r>
    </w:p>
    <w:p w14:paraId="6A5C33A9" w14:textId="3DE024EF" w:rsidR="00E7145B" w:rsidRPr="00076651" w:rsidRDefault="00E7145B" w:rsidP="00DB194A">
      <w:pPr>
        <w:pStyle w:val="SingleTxtG"/>
        <w:tabs>
          <w:tab w:val="clear" w:pos="2835"/>
        </w:tabs>
        <w:ind w:left="3402" w:hanging="567"/>
        <w:rPr>
          <w:lang w:val="fr-FR"/>
        </w:rPr>
      </w:pPr>
      <w:r w:rsidRPr="00076651">
        <w:rPr>
          <w:lang w:val="fr-FR"/>
        </w:rPr>
        <w:t>iii)</w:t>
      </w:r>
      <w:r w:rsidRPr="00076651">
        <w:rPr>
          <w:lang w:val="fr-FR"/>
        </w:rPr>
        <w:tab/>
        <w:t xml:space="preserve">Supérieure ou égale à 1 500 J/g pour les sels et complexes de composés organiques, dans les cas où le résultat de l’épreuve C.1 n’est pas « Oui, rapidement » et, dans n'importe quelle épreuve de la série F, le résultat de l’épreuve n'est pas « Réaction significative » ; </w:t>
      </w:r>
      <w:r w:rsidR="00061ABA" w:rsidRPr="00076651">
        <w:rPr>
          <w:lang w:val="fr-FR"/>
        </w:rPr>
        <w:t>or</w:t>
      </w:r>
    </w:p>
    <w:p w14:paraId="6E36BA13" w14:textId="77777777" w:rsidR="00E7145B" w:rsidRPr="00076651" w:rsidRDefault="00E7145B" w:rsidP="00DB194A">
      <w:pPr>
        <w:pStyle w:val="SingleTxtG"/>
        <w:tabs>
          <w:tab w:val="clear" w:pos="2835"/>
        </w:tabs>
        <w:ind w:left="3402" w:hanging="567"/>
        <w:rPr>
          <w:lang w:val="fr-FR"/>
        </w:rPr>
      </w:pPr>
      <w:r w:rsidRPr="00076651">
        <w:rPr>
          <w:lang w:val="fr-FR"/>
        </w:rPr>
        <w:t>iv)</w:t>
      </w:r>
      <w:r w:rsidRPr="00076651">
        <w:rPr>
          <w:lang w:val="fr-FR"/>
        </w:rPr>
        <w:tab/>
        <w:t xml:space="preserve">Supérieure ou égale à 2 000 J/g pour les autres matières organiques, dans les cas où le résultat de l’épreuve C.1 n’est pas « Oui, rapidement » et, dans n'importe quelle épreuve de la série F, le résultat de l’épreuve n'est pas « Réaction significative ». </w:t>
      </w:r>
    </w:p>
    <w:p w14:paraId="448D6962" w14:textId="5BB9AAE0" w:rsidR="00E7145B" w:rsidRPr="00076651" w:rsidRDefault="00E7145B" w:rsidP="00E7145B">
      <w:pPr>
        <w:pStyle w:val="SingleTxtG"/>
        <w:ind w:left="2268"/>
        <w:rPr>
          <w:lang w:val="fr-FR"/>
        </w:rPr>
      </w:pPr>
      <w:r w:rsidRPr="00076651">
        <w:rPr>
          <w:lang w:val="fr-FR"/>
        </w:rPr>
        <w:t xml:space="preserve">L’évaluation des conditions énoncées aux b) iii) et iv) peut reposer sur une seule épreuve C.1 et sur une seule épreuve de la série F. Si les critères énoncés au b) sont satisfaits, on peut supposer que l’échantillon n’est pas plus dangereux </w:t>
      </w:r>
      <w:r w:rsidR="005B1C27" w:rsidRPr="00076651">
        <w:rPr>
          <w:lang w:val="fr-FR"/>
        </w:rPr>
        <w:t xml:space="preserve">que les </w:t>
      </w:r>
      <w:r w:rsidRPr="00076651">
        <w:rPr>
          <w:lang w:val="fr-FR"/>
        </w:rPr>
        <w:t>matière</w:t>
      </w:r>
      <w:r w:rsidR="005B1C27" w:rsidRPr="00076651">
        <w:rPr>
          <w:lang w:val="fr-FR"/>
        </w:rPr>
        <w:t>s</w:t>
      </w:r>
      <w:r w:rsidRPr="00076651">
        <w:rPr>
          <w:lang w:val="fr-FR"/>
        </w:rPr>
        <w:t xml:space="preserve"> </w:t>
      </w:r>
      <w:proofErr w:type="spellStart"/>
      <w:r w:rsidRPr="00076651">
        <w:rPr>
          <w:lang w:val="fr-FR"/>
        </w:rPr>
        <w:t>autoréactive</w:t>
      </w:r>
      <w:r w:rsidR="005B1C27" w:rsidRPr="00076651">
        <w:rPr>
          <w:lang w:val="fr-FR"/>
        </w:rPr>
        <w:t>s</w:t>
      </w:r>
      <w:proofErr w:type="spellEnd"/>
      <w:r w:rsidRPr="00076651">
        <w:rPr>
          <w:lang w:val="fr-FR"/>
        </w:rPr>
        <w:t xml:space="preserve"> du type B.</w:t>
      </w:r>
    </w:p>
    <w:p w14:paraId="00109F76" w14:textId="3FAEE377" w:rsidR="00E7145B" w:rsidRPr="00076651" w:rsidRDefault="00E7145B" w:rsidP="00E7145B">
      <w:pPr>
        <w:pStyle w:val="SingleTxtG"/>
        <w:ind w:left="2268"/>
        <w:rPr>
          <w:lang w:val="fr-FR"/>
        </w:rPr>
      </w:pPr>
      <w:r w:rsidRPr="00076651">
        <w:rPr>
          <w:lang w:val="fr-FR"/>
        </w:rPr>
        <w:lastRenderedPageBreak/>
        <w:t xml:space="preserve">La section 20.3.4 du </w:t>
      </w:r>
      <w:r w:rsidRPr="00076651">
        <w:rPr>
          <w:i/>
          <w:iCs/>
          <w:lang w:val="fr-FR"/>
        </w:rPr>
        <w:t>Manuel d’épreuves et de critères</w:t>
      </w:r>
      <w:r w:rsidRPr="00076651">
        <w:rPr>
          <w:lang w:val="fr-FR"/>
        </w:rPr>
        <w:t xml:space="preserve"> </w:t>
      </w:r>
      <w:r w:rsidR="002515A3" w:rsidRPr="00076651">
        <w:rPr>
          <w:lang w:val="fr-FR"/>
        </w:rPr>
        <w:t xml:space="preserve">décrit </w:t>
      </w:r>
      <w:r w:rsidRPr="00076651">
        <w:rPr>
          <w:lang w:val="fr-FR"/>
        </w:rPr>
        <w:t xml:space="preserve">une méthode appropriée </w:t>
      </w:r>
      <w:r w:rsidR="00461C27" w:rsidRPr="00076651">
        <w:rPr>
          <w:lang w:val="fr-FR"/>
        </w:rPr>
        <w:t>pour</w:t>
      </w:r>
      <w:r w:rsidRPr="00076651">
        <w:rPr>
          <w:lang w:val="fr-FR"/>
        </w:rPr>
        <w:t xml:space="preserve"> déterminer </w:t>
      </w:r>
      <w:r w:rsidR="008923EE" w:rsidRPr="00076651">
        <w:rPr>
          <w:lang w:val="fr-FR"/>
        </w:rPr>
        <w:t xml:space="preserve">les </w:t>
      </w:r>
      <w:r w:rsidR="008268DF" w:rsidRPr="00076651">
        <w:rPr>
          <w:lang w:val="fr-FR"/>
        </w:rPr>
        <w:t>prescriptions</w:t>
      </w:r>
      <w:r w:rsidR="008923EE" w:rsidRPr="00076651">
        <w:rPr>
          <w:lang w:val="fr-FR"/>
        </w:rPr>
        <w:t xml:space="preserve"> en matière de contrôle de la température</w:t>
      </w:r>
      <w:r w:rsidRPr="00076651">
        <w:rPr>
          <w:lang w:val="fr-FR"/>
        </w:rPr>
        <w:t>.</w:t>
      </w:r>
    </w:p>
    <w:p w14:paraId="18C21097" w14:textId="595F766B" w:rsidR="00E7145B" w:rsidRPr="00076651" w:rsidRDefault="00E7145B" w:rsidP="00E7145B">
      <w:pPr>
        <w:pStyle w:val="SingleTxtG"/>
        <w:tabs>
          <w:tab w:val="clear" w:pos="1701"/>
          <w:tab w:val="clear" w:pos="2268"/>
          <w:tab w:val="clear" w:pos="2835"/>
        </w:tabs>
        <w:ind w:left="2268"/>
        <w:rPr>
          <w:lang w:val="fr-FR"/>
        </w:rPr>
      </w:pPr>
      <w:r w:rsidRPr="00076651">
        <w:rPr>
          <w:lang w:val="fr-FR"/>
        </w:rPr>
        <w:t xml:space="preserve">Les échantillons qui ne satisfont pas aux critères énoncés au b) iii) ou iv) peuvent être transportés à la condition que l’autorité compétente du pays d’origine délivre </w:t>
      </w:r>
      <w:r w:rsidR="00D95B51" w:rsidRPr="00076651">
        <w:rPr>
          <w:lang w:val="fr-FR"/>
        </w:rPr>
        <w:t>une autorisation</w:t>
      </w:r>
      <w:r w:rsidRPr="00076651">
        <w:rPr>
          <w:lang w:val="fr-FR"/>
        </w:rPr>
        <w:t xml:space="preserve">. La déclaration </w:t>
      </w:r>
      <w:r w:rsidR="00554918" w:rsidRPr="00076651">
        <w:rPr>
          <w:lang w:val="fr-FR"/>
        </w:rPr>
        <w:t xml:space="preserve">d’autorisation </w:t>
      </w:r>
      <w:r w:rsidRPr="00076651">
        <w:rPr>
          <w:lang w:val="fr-FR"/>
        </w:rPr>
        <w:t>doit être fondée sur les renseignements disponibles et mentionner le classement et les conditions de transport applicables. L’échantillon peut également être dissous ou dilué avec un composé inerte pour former un mélange homogène conformément aux critères énoncés au b) i) ou ii), selon le cas.</w:t>
      </w:r>
    </w:p>
    <w:p w14:paraId="68033677" w14:textId="3E4EC368" w:rsidR="00E7145B" w:rsidRPr="00076651" w:rsidRDefault="00E7145B" w:rsidP="00E7145B">
      <w:pPr>
        <w:pStyle w:val="SingleTxtG"/>
        <w:ind w:left="2268" w:hanging="1134"/>
        <w:rPr>
          <w:lang w:val="fr-FR"/>
        </w:rPr>
      </w:pPr>
      <w:r w:rsidRPr="00076651">
        <w:rPr>
          <w:lang w:val="fr-FR"/>
        </w:rPr>
        <w:t>2.0.4.3.3</w:t>
      </w:r>
      <w:r w:rsidRPr="00076651">
        <w:rPr>
          <w:lang w:val="fr-FR"/>
        </w:rPr>
        <w:tab/>
        <w:t xml:space="preserve">Le </w:t>
      </w:r>
      <w:bookmarkStart w:id="1" w:name="_Hlk170893534"/>
      <w:r w:rsidRPr="00076651">
        <w:rPr>
          <w:lang w:val="fr-FR"/>
        </w:rPr>
        <w:t xml:space="preserve">classement des échantillons de matières énergétiques </w:t>
      </w:r>
      <w:bookmarkEnd w:id="1"/>
      <w:r w:rsidRPr="00076651">
        <w:rPr>
          <w:lang w:val="fr-FR"/>
        </w:rPr>
        <w:t>est représenté sous forme de diagramme logique à la figure 2.0.1.</w:t>
      </w:r>
    </w:p>
    <w:p w14:paraId="5E4D50E8" w14:textId="77777777" w:rsidR="00E7145B" w:rsidRPr="00076651" w:rsidRDefault="00E7145B" w:rsidP="00E7145B">
      <w:pPr>
        <w:pStyle w:val="SingleTxtG"/>
        <w:ind w:left="2268" w:hanging="1134"/>
        <w:rPr>
          <w:lang w:val="fr-FR"/>
        </w:rPr>
      </w:pPr>
    </w:p>
    <w:p w14:paraId="5725CE90" w14:textId="77777777" w:rsidR="00E7145B" w:rsidRPr="00076651" w:rsidRDefault="00E7145B" w:rsidP="00E7145B">
      <w:pPr>
        <w:pStyle w:val="SingleTxtG"/>
        <w:ind w:left="2268" w:hanging="1134"/>
        <w:rPr>
          <w:lang w:val="fr-FR"/>
        </w:rPr>
      </w:pPr>
      <w:r w:rsidRPr="00076651">
        <w:rPr>
          <w:b/>
          <w:bCs/>
          <w:lang w:val="fr-FR"/>
        </w:rPr>
        <w:br w:type="page"/>
      </w:r>
    </w:p>
    <w:p w14:paraId="607254EF" w14:textId="77777777" w:rsidR="00E7145B" w:rsidRPr="00076651" w:rsidRDefault="00E7145B" w:rsidP="00E7145B">
      <w:pPr>
        <w:pStyle w:val="SingleTxtG"/>
        <w:keepNext/>
        <w:tabs>
          <w:tab w:val="clear" w:pos="1701"/>
          <w:tab w:val="clear" w:pos="2268"/>
          <w:tab w:val="clear" w:pos="2835"/>
        </w:tabs>
        <w:jc w:val="center"/>
        <w:rPr>
          <w:b/>
          <w:bCs/>
          <w:lang w:val="fr-FR"/>
        </w:rPr>
      </w:pPr>
      <w:r w:rsidRPr="00076651">
        <w:rPr>
          <w:b/>
          <w:bCs/>
          <w:lang w:val="fr-FR"/>
        </w:rPr>
        <w:lastRenderedPageBreak/>
        <w:t>Figure 2.0.1: classement des échantillons de matières énergétiques</w:t>
      </w:r>
    </w:p>
    <w:p w14:paraId="1D3140E0" w14:textId="69027687" w:rsidR="00E7145B" w:rsidRPr="00076651" w:rsidDel="00B54A76" w:rsidRDefault="00E7145B" w:rsidP="00E7145B">
      <w:pPr>
        <w:pStyle w:val="SingleTxtG"/>
        <w:rPr>
          <w:i/>
          <w:iCs/>
          <w:lang w:val="fr-FR"/>
        </w:rPr>
      </w:pPr>
      <w:r w:rsidRPr="00F239DC" w:rsidDel="00B54A76">
        <w:rPr>
          <w:b/>
          <w:bCs/>
          <w:i/>
          <w:iCs/>
          <w:lang w:val="fr-FR"/>
        </w:rPr>
        <w:t>Note du secrétariat :</w:t>
      </w:r>
      <w:r w:rsidRPr="00076651" w:rsidDel="00B54A76">
        <w:rPr>
          <w:i/>
          <w:iCs/>
          <w:lang w:val="fr-FR"/>
        </w:rPr>
        <w:t xml:space="preserve"> La figure 2.0.1 a été éditée par le secrétariat après </w:t>
      </w:r>
      <w:r w:rsidR="00224126" w:rsidRPr="00076651">
        <w:rPr>
          <w:i/>
          <w:iCs/>
          <w:lang w:val="fr-FR"/>
        </w:rPr>
        <w:t>la soixante-quatrième session</w:t>
      </w:r>
      <w:r w:rsidRPr="00076651" w:rsidDel="00B54A76">
        <w:rPr>
          <w:i/>
          <w:iCs/>
          <w:lang w:val="fr-FR"/>
        </w:rPr>
        <w:t>, en consultation avec les auteurs de la proposition originale.</w:t>
      </w:r>
    </w:p>
    <w:p w14:paraId="05928202" w14:textId="77777777" w:rsidR="00E7145B" w:rsidRPr="00076651" w:rsidRDefault="00E7145B" w:rsidP="00E7145B">
      <w:pPr>
        <w:pStyle w:val="SingleTxtG"/>
        <w:keepNext/>
        <w:tabs>
          <w:tab w:val="clear" w:pos="1701"/>
          <w:tab w:val="clear" w:pos="2268"/>
          <w:tab w:val="clear" w:pos="2835"/>
        </w:tabs>
        <w:jc w:val="center"/>
        <w:rPr>
          <w:b/>
          <w:bCs/>
          <w:lang w:val="fr-FR"/>
        </w:rPr>
      </w:pPr>
    </w:p>
    <w:p w14:paraId="609235C8" w14:textId="77777777" w:rsidR="00E7145B" w:rsidRPr="00076651" w:rsidRDefault="00E7145B" w:rsidP="00E7145B">
      <w:pPr>
        <w:jc w:val="center"/>
        <w:rPr>
          <w:rFonts w:eastAsiaTheme="minorHAnsi"/>
          <w:b/>
          <w:sz w:val="24"/>
          <w:lang w:val="fr-FR" w:eastAsia="en-US"/>
        </w:rPr>
      </w:pPr>
      <w:r w:rsidRPr="00076651">
        <w:rPr>
          <w:rFonts w:eastAsiaTheme="minorHAnsi"/>
          <w:b/>
          <w:sz w:val="24"/>
          <w:lang w:val="fr-FR" w:eastAsia="en-US"/>
        </w:rPr>
        <w:object w:dxaOrig="8001" w:dyaOrig="11661" w14:anchorId="6F71D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05pt;height:564.85pt" o:ole="">
            <v:imagedata r:id="rId12" o:title=""/>
          </v:shape>
          <o:OLEObject Type="Embed" ProgID="Visio.Drawing.15" ShapeID="_x0000_i1025" DrawAspect="Content" ObjectID="_1788162990" r:id="rId13"/>
        </w:object>
      </w:r>
    </w:p>
    <w:p w14:paraId="64261631" w14:textId="77777777" w:rsidR="00E7145B" w:rsidRPr="00076651" w:rsidRDefault="00E7145B" w:rsidP="00E7145B">
      <w:pPr>
        <w:rPr>
          <w:b/>
          <w:bCs/>
          <w:lang w:val="fr-FR"/>
        </w:rPr>
      </w:pPr>
      <w:r w:rsidRPr="00076651">
        <w:rPr>
          <w:b/>
          <w:bCs/>
          <w:lang w:val="fr-FR"/>
        </w:rPr>
        <w:br w:type="page"/>
      </w:r>
    </w:p>
    <w:p w14:paraId="242E3C28" w14:textId="77777777" w:rsidR="00E7145B" w:rsidRPr="00076651" w:rsidRDefault="00E7145B" w:rsidP="00E7145B">
      <w:pPr>
        <w:pStyle w:val="SingleTxtG"/>
        <w:keepNext/>
        <w:tabs>
          <w:tab w:val="clear" w:pos="1701"/>
          <w:tab w:val="clear" w:pos="2268"/>
          <w:tab w:val="clear" w:pos="2835"/>
        </w:tabs>
        <w:ind w:left="2268" w:hanging="1134"/>
        <w:jc w:val="center"/>
        <w:rPr>
          <w:b/>
          <w:bCs/>
          <w:i/>
          <w:iCs/>
          <w:lang w:val="fr-FR"/>
        </w:rPr>
      </w:pPr>
      <w:r w:rsidRPr="00076651">
        <w:rPr>
          <w:b/>
          <w:bCs/>
          <w:lang w:val="fr-FR"/>
        </w:rPr>
        <w:lastRenderedPageBreak/>
        <w:t>Figure 2.0.1: classement des échantillons de matières énergétiques</w:t>
      </w:r>
      <w:r w:rsidRPr="00076651">
        <w:rPr>
          <w:b/>
          <w:bCs/>
          <w:i/>
          <w:iCs/>
          <w:lang w:val="fr-FR"/>
        </w:rPr>
        <w:t xml:space="preserve"> (suite)</w:t>
      </w:r>
    </w:p>
    <w:p w14:paraId="1CC682A8" w14:textId="77777777" w:rsidR="00E7145B" w:rsidRPr="00076651" w:rsidRDefault="00E7145B" w:rsidP="00E7145B">
      <w:pPr>
        <w:pStyle w:val="SingleTxtG"/>
        <w:keepNext/>
        <w:tabs>
          <w:tab w:val="clear" w:pos="1701"/>
          <w:tab w:val="clear" w:pos="2268"/>
          <w:tab w:val="clear" w:pos="2835"/>
        </w:tabs>
        <w:ind w:left="1701" w:hanging="1559"/>
        <w:jc w:val="left"/>
        <w:rPr>
          <w:b/>
          <w:bCs/>
          <w:i/>
          <w:iCs/>
          <w:lang w:val="fr-FR"/>
        </w:rPr>
      </w:pPr>
      <w:r w:rsidRPr="00076651">
        <w:rPr>
          <w:b/>
          <w:bCs/>
          <w:i/>
          <w:iCs/>
          <w:lang w:val="fr-FR"/>
        </w:rPr>
        <w:object w:dxaOrig="12050" w:dyaOrig="15710" w14:anchorId="7DB27E35">
          <v:shape id="_x0000_i1026" type="#_x0000_t75" style="width:506.55pt;height:662.95pt" o:ole="">
            <v:imagedata r:id="rId14" o:title=""/>
          </v:shape>
          <o:OLEObject Type="Embed" ProgID="Visio.Drawing.15" ShapeID="_x0000_i1026" DrawAspect="Content" ObjectID="_1788162991" r:id="rId15"/>
        </w:object>
      </w:r>
    </w:p>
    <w:p w14:paraId="3FA97ACF"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3D4FD0D4" w14:textId="3025D805" w:rsidR="0065297B" w:rsidRPr="00076651" w:rsidRDefault="0065297B" w:rsidP="0065297B">
      <w:pPr>
        <w:pStyle w:val="SingleTxtG"/>
        <w:tabs>
          <w:tab w:val="clear" w:pos="1701"/>
        </w:tabs>
        <w:ind w:left="2410" w:hanging="1276"/>
        <w:rPr>
          <w:lang w:val="fr-FR"/>
        </w:rPr>
      </w:pPr>
      <w:r w:rsidRPr="00076651">
        <w:rPr>
          <w:lang w:val="fr-FR"/>
        </w:rPr>
        <w:lastRenderedPageBreak/>
        <w:t>2.0.5.2</w:t>
      </w:r>
      <w:r w:rsidRPr="00076651">
        <w:rPr>
          <w:lang w:val="fr-FR"/>
        </w:rPr>
        <w:tab/>
      </w:r>
      <w:r w:rsidRPr="00076651">
        <w:rPr>
          <w:lang w:val="fr-FR"/>
        </w:rPr>
        <w:tab/>
        <w:t xml:space="preserve">Dans la deuxième phrase, après « piles et batteries au lithium » ajouter « métal, au lithium ionique et au sodium ionique ». Dans la troisième phrase, après « piles ou batteries au lithium » ajouter « métal, au lithium ionique </w:t>
      </w:r>
      <w:r w:rsidR="005A40F4" w:rsidRPr="00076651">
        <w:rPr>
          <w:lang w:val="fr-FR"/>
        </w:rPr>
        <w:t xml:space="preserve">ou </w:t>
      </w:r>
      <w:r w:rsidRPr="00076651">
        <w:rPr>
          <w:lang w:val="fr-FR"/>
        </w:rPr>
        <w:t xml:space="preserve">au sodium ionique » et après « piles ou batteries » ajouter « au lithium métal, au lithium ionique </w:t>
      </w:r>
      <w:r w:rsidR="00F43DA3" w:rsidRPr="00076651">
        <w:rPr>
          <w:lang w:val="fr-FR"/>
        </w:rPr>
        <w:t xml:space="preserve">ou </w:t>
      </w:r>
      <w:r w:rsidRPr="00076651">
        <w:rPr>
          <w:lang w:val="fr-FR"/>
        </w:rPr>
        <w:t>au sodium ionique ».</w:t>
      </w:r>
    </w:p>
    <w:p w14:paraId="55C0C81E"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4CA2B99E" w14:textId="77777777" w:rsidR="00A36353" w:rsidRPr="00076651" w:rsidRDefault="00A36353" w:rsidP="00A36353">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2.1</w:t>
      </w:r>
    </w:p>
    <w:p w14:paraId="19B7AEFA" w14:textId="3550E04F" w:rsidR="00A36353" w:rsidRPr="00076651" w:rsidRDefault="00F9379E" w:rsidP="00A36353">
      <w:pPr>
        <w:pStyle w:val="SingleTxtG"/>
        <w:tabs>
          <w:tab w:val="clear" w:pos="1701"/>
          <w:tab w:val="clear" w:pos="2268"/>
        </w:tabs>
        <w:ind w:left="2268" w:hanging="1134"/>
        <w:rPr>
          <w:lang w:val="fr-FR"/>
        </w:rPr>
      </w:pPr>
      <w:r w:rsidRPr="00076651">
        <w:rPr>
          <w:lang w:val="fr-FR"/>
        </w:rPr>
        <w:t>[</w:t>
      </w:r>
      <w:r w:rsidR="00A36353" w:rsidRPr="00076651">
        <w:rPr>
          <w:lang w:val="fr-FR"/>
        </w:rPr>
        <w:t>2.1.1.1</w:t>
      </w:r>
      <w:r w:rsidR="00A36353" w:rsidRPr="00076651">
        <w:rPr>
          <w:lang w:val="fr-FR"/>
        </w:rPr>
        <w:tab/>
        <w:t>À l’alinéa b), après, « à l’exception » ajouter « de ceux qui sont trop dangereux pour être transportés ou ».</w:t>
      </w:r>
      <w:r w:rsidRPr="00076651">
        <w:rPr>
          <w:lang w:val="fr-FR"/>
        </w:rPr>
        <w:t>]</w:t>
      </w:r>
    </w:p>
    <w:p w14:paraId="78FF3B12"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10E42B20" w14:textId="77777777" w:rsidR="00A36353" w:rsidRPr="00076651" w:rsidRDefault="00A36353" w:rsidP="00A36353">
      <w:pPr>
        <w:pStyle w:val="SingleTxtG"/>
        <w:tabs>
          <w:tab w:val="clear" w:pos="1701"/>
          <w:tab w:val="clear" w:pos="2268"/>
        </w:tabs>
        <w:ind w:left="2268" w:hanging="1134"/>
        <w:rPr>
          <w:lang w:val="fr-FR"/>
        </w:rPr>
      </w:pPr>
      <w:r w:rsidRPr="00076651">
        <w:rPr>
          <w:lang w:val="fr-FR"/>
        </w:rPr>
        <w:t>[2.1.1.3</w:t>
      </w:r>
      <w:r w:rsidRPr="00076651">
        <w:rPr>
          <w:lang w:val="fr-FR"/>
        </w:rPr>
        <w:tab/>
        <w:t>À l’alinéa e), supprimer « </w:t>
      </w:r>
      <w:r w:rsidRPr="00076651">
        <w:t>au sens du 2.1.1.1 c) ».]</w:t>
      </w:r>
    </w:p>
    <w:p w14:paraId="6F285819"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593A03F3" w14:textId="77777777" w:rsidR="00C33DF6" w:rsidRPr="00076651" w:rsidRDefault="00C33DF6" w:rsidP="00C33DF6">
      <w:pPr>
        <w:pStyle w:val="SingleTxtG"/>
        <w:tabs>
          <w:tab w:val="clear" w:pos="1701"/>
          <w:tab w:val="clear" w:pos="2268"/>
          <w:tab w:val="clear" w:pos="2835"/>
        </w:tabs>
        <w:ind w:left="2268" w:hanging="1134"/>
        <w:rPr>
          <w:lang w:val="fr-FR"/>
        </w:rPr>
      </w:pPr>
      <w:r w:rsidRPr="00076651">
        <w:rPr>
          <w:lang w:val="fr-FR"/>
        </w:rPr>
        <w:t>2.1.3.2.2</w:t>
      </w:r>
      <w:r w:rsidRPr="00076651">
        <w:rPr>
          <w:lang w:val="fr-FR"/>
        </w:rPr>
        <w:tab/>
        <w:t>Dans la première phrase, remplacer « sept » par « huit ».</w:t>
      </w:r>
    </w:p>
    <w:p w14:paraId="7702BF5A"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54FC9F2F" w14:textId="77777777" w:rsidR="00A36353" w:rsidRPr="00076651" w:rsidRDefault="00A36353" w:rsidP="00A36353">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2.5</w:t>
      </w:r>
    </w:p>
    <w:p w14:paraId="3341A9FD" w14:textId="21814F3C" w:rsidR="00470B9F" w:rsidRPr="00076651" w:rsidRDefault="00470B9F" w:rsidP="00470B9F">
      <w:pPr>
        <w:pStyle w:val="SingleTxtG"/>
        <w:tabs>
          <w:tab w:val="clear" w:pos="1701"/>
        </w:tabs>
        <w:ind w:left="2268" w:hanging="1134"/>
        <w:rPr>
          <w:rFonts w:eastAsiaTheme="minorHAnsi"/>
          <w:lang w:val="fr-FR" w:eastAsia="en-US"/>
        </w:rPr>
      </w:pPr>
      <w:r w:rsidRPr="00076651">
        <w:rPr>
          <w:rFonts w:eastAsiaTheme="minorHAnsi"/>
          <w:lang w:val="fr-FR" w:eastAsia="en-US"/>
        </w:rPr>
        <w:t>2.5.3.2.4</w:t>
      </w:r>
      <w:r w:rsidRPr="00076651">
        <w:rPr>
          <w:rFonts w:eastAsiaTheme="minorHAnsi"/>
          <w:lang w:val="fr-FR" w:eastAsia="en-US"/>
        </w:rPr>
        <w:tab/>
        <w:t>Dans le tableau, insérer les nouvelles rubriques suivantes :</w:t>
      </w:r>
    </w:p>
    <w:tbl>
      <w:tblPr>
        <w:tblW w:w="5000" w:type="pct"/>
        <w:tblLayout w:type="fixed"/>
        <w:tblCellMar>
          <w:left w:w="0" w:type="dxa"/>
          <w:right w:w="0" w:type="dxa"/>
        </w:tblCellMar>
        <w:tblLook w:val="0000" w:firstRow="0" w:lastRow="0" w:firstColumn="0" w:lastColumn="0" w:noHBand="0" w:noVBand="0"/>
      </w:tblPr>
      <w:tblGrid>
        <w:gridCol w:w="2545"/>
        <w:gridCol w:w="1400"/>
        <w:gridCol w:w="632"/>
        <w:gridCol w:w="632"/>
        <w:gridCol w:w="632"/>
        <w:gridCol w:w="535"/>
        <w:gridCol w:w="566"/>
        <w:gridCol w:w="793"/>
        <w:gridCol w:w="766"/>
        <w:gridCol w:w="499"/>
        <w:gridCol w:w="628"/>
      </w:tblGrid>
      <w:tr w:rsidR="00470B9F" w:rsidRPr="00076651" w14:paraId="6A0A9EDF" w14:textId="77777777" w:rsidTr="00076651">
        <w:trPr>
          <w:trHeight w:val="794"/>
        </w:trPr>
        <w:tc>
          <w:tcPr>
            <w:tcW w:w="1322" w:type="pct"/>
            <w:tcBorders>
              <w:top w:val="single" w:sz="4" w:space="0" w:color="auto"/>
              <w:left w:val="single" w:sz="4" w:space="0" w:color="auto"/>
              <w:bottom w:val="single" w:sz="4" w:space="0" w:color="auto"/>
              <w:right w:val="single" w:sz="4" w:space="0" w:color="auto"/>
            </w:tcBorders>
          </w:tcPr>
          <w:p w14:paraId="79230D52" w14:textId="77777777" w:rsidR="00470B9F" w:rsidRPr="00076651" w:rsidRDefault="00470B9F" w:rsidP="00076651">
            <w:pPr>
              <w:spacing w:before="60" w:after="60"/>
              <w:ind w:left="57" w:right="57"/>
              <w:rPr>
                <w:rFonts w:eastAsiaTheme="minorHAnsi"/>
                <w:sz w:val="18"/>
                <w:szCs w:val="18"/>
                <w:lang w:val="fr-FR" w:eastAsia="en-US"/>
              </w:rPr>
            </w:pPr>
            <w:r w:rsidRPr="00076651">
              <w:rPr>
                <w:sz w:val="18"/>
                <w:lang w:val="fr-FR"/>
              </w:rPr>
              <w:t xml:space="preserve">PEROXYPIVALATE DE </w:t>
            </w:r>
            <w:proofErr w:type="spellStart"/>
            <w:r w:rsidRPr="00076651">
              <w:rPr>
                <w:sz w:val="18"/>
                <w:lang w:val="fr-FR"/>
              </w:rPr>
              <w:t>tert</w:t>
            </w:r>
            <w:proofErr w:type="spellEnd"/>
            <w:r w:rsidRPr="00076651">
              <w:rPr>
                <w:sz w:val="18"/>
                <w:lang w:val="fr-FR"/>
              </w:rPr>
              <w:t>-AMYLE</w:t>
            </w:r>
          </w:p>
        </w:tc>
        <w:tc>
          <w:tcPr>
            <w:tcW w:w="727" w:type="pct"/>
            <w:tcBorders>
              <w:top w:val="single" w:sz="4" w:space="0" w:color="auto"/>
              <w:left w:val="nil"/>
              <w:bottom w:val="single" w:sz="4" w:space="0" w:color="auto"/>
              <w:right w:val="single" w:sz="4" w:space="0" w:color="auto"/>
            </w:tcBorders>
            <w:shd w:val="clear" w:color="auto" w:fill="auto"/>
            <w:noWrap/>
          </w:tcPr>
          <w:p w14:paraId="50C30EC1" w14:textId="77777777" w:rsidR="00470B9F" w:rsidRPr="00076651" w:rsidRDefault="00470B9F" w:rsidP="00076651">
            <w:pPr>
              <w:spacing w:before="60" w:after="60"/>
              <w:ind w:left="57" w:right="57"/>
              <w:jc w:val="center"/>
              <w:rPr>
                <w:rFonts w:eastAsiaTheme="minorHAnsi"/>
                <w:sz w:val="18"/>
                <w:szCs w:val="18"/>
                <w:lang w:val="fr-FR" w:eastAsia="en-US"/>
              </w:rPr>
            </w:pPr>
            <w:r w:rsidRPr="00076651">
              <w:rPr>
                <w:sz w:val="18"/>
                <w:lang w:val="fr-FR"/>
              </w:rPr>
              <w:t>≤72</w:t>
            </w:r>
          </w:p>
        </w:tc>
        <w:tc>
          <w:tcPr>
            <w:tcW w:w="328" w:type="pct"/>
            <w:tcBorders>
              <w:top w:val="single" w:sz="4" w:space="0" w:color="auto"/>
              <w:left w:val="nil"/>
              <w:bottom w:val="single" w:sz="4" w:space="0" w:color="auto"/>
              <w:right w:val="single" w:sz="4" w:space="0" w:color="auto"/>
            </w:tcBorders>
            <w:shd w:val="clear" w:color="auto" w:fill="auto"/>
            <w:noWrap/>
          </w:tcPr>
          <w:p w14:paraId="6619E7A4" w14:textId="77777777" w:rsidR="00470B9F" w:rsidRPr="00076651" w:rsidRDefault="00470B9F" w:rsidP="00076651">
            <w:pPr>
              <w:spacing w:before="60" w:after="60"/>
              <w:ind w:left="57" w:right="57"/>
              <w:jc w:val="center"/>
              <w:rPr>
                <w:rFonts w:eastAsiaTheme="minorHAnsi"/>
                <w:sz w:val="18"/>
                <w:szCs w:val="18"/>
                <w:lang w:val="fr-FR" w:eastAsia="en-US"/>
              </w:rPr>
            </w:pPr>
            <w:r w:rsidRPr="00076651">
              <w:rPr>
                <w:sz w:val="18"/>
                <w:lang w:val="fr-FR"/>
              </w:rPr>
              <w:t>≥28</w:t>
            </w:r>
          </w:p>
        </w:tc>
        <w:tc>
          <w:tcPr>
            <w:tcW w:w="328" w:type="pct"/>
            <w:tcBorders>
              <w:top w:val="single" w:sz="4" w:space="0" w:color="auto"/>
              <w:left w:val="nil"/>
              <w:bottom w:val="single" w:sz="4" w:space="0" w:color="auto"/>
              <w:right w:val="single" w:sz="4" w:space="0" w:color="auto"/>
            </w:tcBorders>
            <w:shd w:val="clear" w:color="auto" w:fill="auto"/>
            <w:noWrap/>
          </w:tcPr>
          <w:p w14:paraId="0AD85D24" w14:textId="77777777" w:rsidR="00470B9F" w:rsidRPr="00076651" w:rsidRDefault="00470B9F" w:rsidP="00076651">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2979EA66" w14:textId="16CEC5C3" w:rsidR="00470B9F" w:rsidRPr="00076651" w:rsidRDefault="00470B9F" w:rsidP="00076651">
            <w:pPr>
              <w:spacing w:before="60" w:after="60"/>
              <w:ind w:left="57" w:right="57"/>
              <w:jc w:val="center"/>
              <w:rPr>
                <w:rFonts w:eastAsiaTheme="minorHAnsi"/>
                <w:sz w:val="18"/>
                <w:szCs w:val="18"/>
                <w:lang w:val="fr-FR" w:eastAsia="en-US"/>
              </w:rPr>
            </w:pPr>
          </w:p>
        </w:tc>
        <w:tc>
          <w:tcPr>
            <w:tcW w:w="278" w:type="pct"/>
            <w:tcBorders>
              <w:top w:val="single" w:sz="4" w:space="0" w:color="auto"/>
              <w:left w:val="nil"/>
              <w:bottom w:val="single" w:sz="4" w:space="0" w:color="auto"/>
              <w:right w:val="single" w:sz="4" w:space="0" w:color="auto"/>
            </w:tcBorders>
            <w:shd w:val="clear" w:color="auto" w:fill="auto"/>
            <w:noWrap/>
          </w:tcPr>
          <w:p w14:paraId="452206FF" w14:textId="77777777" w:rsidR="00470B9F" w:rsidRPr="00076651" w:rsidRDefault="00470B9F" w:rsidP="00076651">
            <w:pPr>
              <w:spacing w:before="60" w:after="60"/>
              <w:ind w:left="57" w:right="57"/>
              <w:jc w:val="center"/>
              <w:rPr>
                <w:rFonts w:eastAsiaTheme="minorHAnsi"/>
                <w:sz w:val="18"/>
                <w:szCs w:val="18"/>
                <w:lang w:val="fr-FR" w:eastAsia="en-US"/>
              </w:rPr>
            </w:pPr>
          </w:p>
        </w:tc>
        <w:tc>
          <w:tcPr>
            <w:tcW w:w="294" w:type="pct"/>
            <w:tcBorders>
              <w:top w:val="single" w:sz="4" w:space="0" w:color="auto"/>
              <w:left w:val="nil"/>
              <w:bottom w:val="single" w:sz="4" w:space="0" w:color="auto"/>
              <w:right w:val="single" w:sz="4" w:space="0" w:color="auto"/>
            </w:tcBorders>
            <w:shd w:val="clear" w:color="auto" w:fill="auto"/>
            <w:noWrap/>
          </w:tcPr>
          <w:p w14:paraId="45734A77" w14:textId="77777777" w:rsidR="00470B9F" w:rsidRPr="00076651" w:rsidRDefault="00470B9F" w:rsidP="00076651">
            <w:pPr>
              <w:spacing w:before="60" w:after="60"/>
              <w:ind w:left="57" w:right="57"/>
              <w:jc w:val="center"/>
              <w:rPr>
                <w:rFonts w:eastAsiaTheme="minorHAnsi"/>
                <w:sz w:val="18"/>
                <w:szCs w:val="18"/>
                <w:lang w:val="fr-FR" w:eastAsia="en-US"/>
              </w:rPr>
            </w:pPr>
            <w:r w:rsidRPr="00076651">
              <w:rPr>
                <w:sz w:val="18"/>
                <w:szCs w:val="18"/>
                <w:lang w:val="fr-FR"/>
              </w:rPr>
              <w:t>OP7</w:t>
            </w:r>
          </w:p>
        </w:tc>
        <w:tc>
          <w:tcPr>
            <w:tcW w:w="412" w:type="pct"/>
            <w:tcBorders>
              <w:top w:val="single" w:sz="4" w:space="0" w:color="auto"/>
              <w:left w:val="nil"/>
              <w:bottom w:val="single" w:sz="4" w:space="0" w:color="auto"/>
              <w:right w:val="single" w:sz="4" w:space="0" w:color="auto"/>
            </w:tcBorders>
            <w:shd w:val="clear" w:color="auto" w:fill="auto"/>
            <w:noWrap/>
          </w:tcPr>
          <w:p w14:paraId="72FC8B4C" w14:textId="77777777" w:rsidR="00470B9F" w:rsidRPr="00076651" w:rsidRDefault="00470B9F" w:rsidP="00076651">
            <w:pPr>
              <w:spacing w:before="60" w:after="60"/>
              <w:ind w:left="57" w:right="57"/>
              <w:jc w:val="center"/>
              <w:rPr>
                <w:rFonts w:eastAsiaTheme="minorHAnsi"/>
                <w:sz w:val="18"/>
                <w:szCs w:val="18"/>
                <w:lang w:val="fr-FR" w:eastAsia="en-US"/>
              </w:rPr>
            </w:pPr>
            <w:r w:rsidRPr="00076651">
              <w:rPr>
                <w:sz w:val="18"/>
                <w:szCs w:val="18"/>
                <w:lang w:val="fr-FR"/>
              </w:rPr>
              <w:t>+10 °C</w:t>
            </w:r>
          </w:p>
        </w:tc>
        <w:tc>
          <w:tcPr>
            <w:tcW w:w="398" w:type="pct"/>
            <w:tcBorders>
              <w:top w:val="single" w:sz="4" w:space="0" w:color="auto"/>
              <w:left w:val="nil"/>
              <w:bottom w:val="single" w:sz="4" w:space="0" w:color="auto"/>
              <w:right w:val="single" w:sz="4" w:space="0" w:color="auto"/>
            </w:tcBorders>
            <w:shd w:val="clear" w:color="auto" w:fill="auto"/>
            <w:noWrap/>
          </w:tcPr>
          <w:p w14:paraId="5D78DB2B" w14:textId="77777777" w:rsidR="00470B9F" w:rsidRPr="00076651" w:rsidRDefault="00470B9F" w:rsidP="00076651">
            <w:pPr>
              <w:spacing w:before="60" w:after="60"/>
              <w:ind w:left="57" w:right="57"/>
              <w:jc w:val="center"/>
              <w:rPr>
                <w:rFonts w:eastAsiaTheme="minorHAnsi"/>
                <w:sz w:val="18"/>
                <w:szCs w:val="18"/>
                <w:lang w:val="fr-FR" w:eastAsia="en-US"/>
              </w:rPr>
            </w:pPr>
            <w:r w:rsidRPr="00076651">
              <w:rPr>
                <w:sz w:val="18"/>
                <w:szCs w:val="18"/>
                <w:lang w:val="fr-FR"/>
              </w:rPr>
              <w:t>+15 °C</w:t>
            </w:r>
          </w:p>
        </w:tc>
        <w:tc>
          <w:tcPr>
            <w:tcW w:w="259" w:type="pct"/>
            <w:tcBorders>
              <w:top w:val="single" w:sz="4" w:space="0" w:color="auto"/>
              <w:left w:val="nil"/>
              <w:bottom w:val="single" w:sz="4" w:space="0" w:color="auto"/>
              <w:right w:val="single" w:sz="4" w:space="0" w:color="auto"/>
            </w:tcBorders>
            <w:shd w:val="clear" w:color="auto" w:fill="auto"/>
            <w:noWrap/>
          </w:tcPr>
          <w:p w14:paraId="007CE481" w14:textId="77777777" w:rsidR="00470B9F" w:rsidRPr="00076651" w:rsidRDefault="00470B9F" w:rsidP="00076651">
            <w:pPr>
              <w:spacing w:before="60" w:after="60"/>
              <w:ind w:left="57" w:right="57"/>
              <w:jc w:val="center"/>
              <w:rPr>
                <w:rFonts w:eastAsiaTheme="minorHAnsi"/>
                <w:sz w:val="14"/>
                <w:szCs w:val="14"/>
                <w:lang w:val="fr-FR" w:eastAsia="en-US"/>
              </w:rPr>
            </w:pPr>
            <w:r w:rsidRPr="00076651">
              <w:rPr>
                <w:sz w:val="18"/>
                <w:lang w:val="fr-FR"/>
              </w:rPr>
              <w:t>3115</w:t>
            </w:r>
          </w:p>
        </w:tc>
        <w:tc>
          <w:tcPr>
            <w:tcW w:w="326" w:type="pct"/>
            <w:tcBorders>
              <w:top w:val="single" w:sz="4" w:space="0" w:color="auto"/>
              <w:left w:val="nil"/>
              <w:bottom w:val="single" w:sz="4" w:space="0" w:color="auto"/>
              <w:right w:val="single" w:sz="4" w:space="0" w:color="auto"/>
            </w:tcBorders>
            <w:shd w:val="clear" w:color="auto" w:fill="auto"/>
            <w:noWrap/>
          </w:tcPr>
          <w:p w14:paraId="5256E135" w14:textId="77777777" w:rsidR="00470B9F" w:rsidRPr="00076651" w:rsidRDefault="00470B9F" w:rsidP="00076651">
            <w:pPr>
              <w:spacing w:before="60" w:after="60"/>
              <w:ind w:left="57" w:right="57"/>
              <w:jc w:val="center"/>
              <w:rPr>
                <w:rFonts w:eastAsiaTheme="minorHAnsi"/>
                <w:sz w:val="18"/>
                <w:szCs w:val="18"/>
                <w:lang w:val="fr-FR" w:eastAsia="en-US"/>
              </w:rPr>
            </w:pPr>
          </w:p>
        </w:tc>
      </w:tr>
      <w:tr w:rsidR="00470B9F" w:rsidRPr="00076651" w14:paraId="4D3DA05A" w14:textId="77777777" w:rsidTr="00076651">
        <w:trPr>
          <w:trHeight w:val="794"/>
        </w:trPr>
        <w:tc>
          <w:tcPr>
            <w:tcW w:w="1322" w:type="pct"/>
            <w:tcBorders>
              <w:top w:val="single" w:sz="4" w:space="0" w:color="auto"/>
              <w:left w:val="single" w:sz="4" w:space="0" w:color="auto"/>
              <w:bottom w:val="single" w:sz="4" w:space="0" w:color="auto"/>
              <w:right w:val="single" w:sz="4" w:space="0" w:color="auto"/>
            </w:tcBorders>
          </w:tcPr>
          <w:p w14:paraId="347DB68A" w14:textId="77777777" w:rsidR="00470B9F" w:rsidRPr="00076651" w:rsidRDefault="00470B9F" w:rsidP="00076651">
            <w:pPr>
              <w:spacing w:before="60" w:after="60"/>
              <w:ind w:left="57" w:right="57"/>
              <w:rPr>
                <w:sz w:val="18"/>
                <w:lang w:val="fr-FR"/>
              </w:rPr>
            </w:pPr>
            <w:r w:rsidRPr="00076651">
              <w:rPr>
                <w:sz w:val="18"/>
                <w:lang w:val="fr-FR"/>
              </w:rPr>
              <w:t>Dérivés du 1,2,4,5,7,8-HEXOXONANE et du 3,6,9-TRIMÉTHYL-3,6,9-tris (éthyle et propyle)</w:t>
            </w:r>
          </w:p>
        </w:tc>
        <w:tc>
          <w:tcPr>
            <w:tcW w:w="727" w:type="pct"/>
            <w:tcBorders>
              <w:top w:val="single" w:sz="4" w:space="0" w:color="auto"/>
              <w:left w:val="nil"/>
              <w:bottom w:val="single" w:sz="4" w:space="0" w:color="auto"/>
              <w:right w:val="single" w:sz="4" w:space="0" w:color="auto"/>
            </w:tcBorders>
            <w:shd w:val="clear" w:color="auto" w:fill="auto"/>
            <w:noWrap/>
          </w:tcPr>
          <w:p w14:paraId="55D0AAB1" w14:textId="77777777" w:rsidR="00470B9F" w:rsidRPr="00076651" w:rsidRDefault="00470B9F" w:rsidP="00076651">
            <w:pPr>
              <w:spacing w:before="60" w:after="60"/>
              <w:ind w:left="57" w:right="57"/>
              <w:jc w:val="center"/>
              <w:rPr>
                <w:sz w:val="18"/>
                <w:lang w:val="fr-FR"/>
              </w:rPr>
            </w:pPr>
            <w:r w:rsidRPr="00076651">
              <w:rPr>
                <w:sz w:val="18"/>
                <w:szCs w:val="18"/>
                <w:lang w:val="fr-FR"/>
              </w:rPr>
              <w:t>≤41</w:t>
            </w:r>
          </w:p>
        </w:tc>
        <w:tc>
          <w:tcPr>
            <w:tcW w:w="328" w:type="pct"/>
            <w:tcBorders>
              <w:top w:val="single" w:sz="4" w:space="0" w:color="auto"/>
              <w:left w:val="nil"/>
              <w:bottom w:val="single" w:sz="4" w:space="0" w:color="auto"/>
              <w:right w:val="single" w:sz="4" w:space="0" w:color="auto"/>
            </w:tcBorders>
            <w:shd w:val="clear" w:color="auto" w:fill="auto"/>
            <w:noWrap/>
          </w:tcPr>
          <w:p w14:paraId="41312AFB" w14:textId="77777777" w:rsidR="00470B9F" w:rsidRPr="00076651" w:rsidRDefault="00470B9F" w:rsidP="00076651">
            <w:pPr>
              <w:spacing w:before="60" w:after="60"/>
              <w:ind w:left="57" w:right="57"/>
              <w:jc w:val="center"/>
              <w:rPr>
                <w:sz w:val="18"/>
                <w:lang w:val="fr-FR"/>
              </w:rPr>
            </w:pPr>
            <w:r w:rsidRPr="00076651">
              <w:rPr>
                <w:sz w:val="18"/>
                <w:szCs w:val="18"/>
                <w:lang w:val="fr-FR"/>
              </w:rPr>
              <w:t>≥59</w:t>
            </w:r>
          </w:p>
        </w:tc>
        <w:tc>
          <w:tcPr>
            <w:tcW w:w="328" w:type="pct"/>
            <w:tcBorders>
              <w:top w:val="single" w:sz="4" w:space="0" w:color="auto"/>
              <w:left w:val="nil"/>
              <w:bottom w:val="single" w:sz="4" w:space="0" w:color="auto"/>
              <w:right w:val="single" w:sz="4" w:space="0" w:color="auto"/>
            </w:tcBorders>
            <w:shd w:val="clear" w:color="auto" w:fill="auto"/>
            <w:noWrap/>
          </w:tcPr>
          <w:p w14:paraId="164AC17E" w14:textId="77777777" w:rsidR="00470B9F" w:rsidRPr="00076651" w:rsidRDefault="00470B9F" w:rsidP="00076651">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4CEDBE3D" w14:textId="77777777" w:rsidR="00470B9F" w:rsidRPr="00076651" w:rsidRDefault="00470B9F" w:rsidP="00076651">
            <w:pPr>
              <w:spacing w:before="60" w:after="60"/>
              <w:ind w:left="57" w:right="57"/>
              <w:jc w:val="center"/>
              <w:rPr>
                <w:rFonts w:eastAsiaTheme="minorHAnsi"/>
                <w:sz w:val="18"/>
                <w:szCs w:val="18"/>
                <w:lang w:val="fr-FR" w:eastAsia="en-US"/>
              </w:rPr>
            </w:pPr>
          </w:p>
        </w:tc>
        <w:tc>
          <w:tcPr>
            <w:tcW w:w="278" w:type="pct"/>
            <w:tcBorders>
              <w:top w:val="single" w:sz="4" w:space="0" w:color="auto"/>
              <w:left w:val="nil"/>
              <w:bottom w:val="single" w:sz="4" w:space="0" w:color="auto"/>
              <w:right w:val="single" w:sz="4" w:space="0" w:color="auto"/>
            </w:tcBorders>
            <w:shd w:val="clear" w:color="auto" w:fill="auto"/>
            <w:noWrap/>
          </w:tcPr>
          <w:p w14:paraId="57A7FE3B" w14:textId="77777777" w:rsidR="00470B9F" w:rsidRPr="00076651" w:rsidRDefault="00470B9F" w:rsidP="00076651">
            <w:pPr>
              <w:spacing w:before="60" w:after="60"/>
              <w:ind w:left="57" w:right="57"/>
              <w:jc w:val="center"/>
              <w:rPr>
                <w:rFonts w:eastAsiaTheme="minorHAnsi"/>
                <w:sz w:val="18"/>
                <w:szCs w:val="18"/>
                <w:lang w:val="fr-FR" w:eastAsia="en-US"/>
              </w:rPr>
            </w:pPr>
          </w:p>
        </w:tc>
        <w:tc>
          <w:tcPr>
            <w:tcW w:w="294" w:type="pct"/>
            <w:tcBorders>
              <w:top w:val="single" w:sz="4" w:space="0" w:color="auto"/>
              <w:left w:val="nil"/>
              <w:bottom w:val="single" w:sz="4" w:space="0" w:color="auto"/>
              <w:right w:val="single" w:sz="4" w:space="0" w:color="auto"/>
            </w:tcBorders>
            <w:shd w:val="clear" w:color="auto" w:fill="auto"/>
            <w:noWrap/>
          </w:tcPr>
          <w:p w14:paraId="62D0EFA1" w14:textId="77777777" w:rsidR="00470B9F" w:rsidRPr="00076651" w:rsidRDefault="00470B9F" w:rsidP="00076651">
            <w:pPr>
              <w:spacing w:before="60" w:after="60"/>
              <w:ind w:left="57" w:right="57"/>
              <w:jc w:val="center"/>
              <w:rPr>
                <w:rFonts w:eastAsiaTheme="minorHAnsi"/>
                <w:sz w:val="18"/>
                <w:szCs w:val="18"/>
                <w:lang w:val="fr-FR" w:eastAsia="en-US"/>
              </w:rPr>
            </w:pPr>
            <w:r w:rsidRPr="00076651">
              <w:rPr>
                <w:sz w:val="18"/>
                <w:szCs w:val="18"/>
                <w:lang w:val="fr-FR"/>
              </w:rPr>
              <w:t>OP7</w:t>
            </w:r>
          </w:p>
        </w:tc>
        <w:tc>
          <w:tcPr>
            <w:tcW w:w="412" w:type="pct"/>
            <w:tcBorders>
              <w:top w:val="single" w:sz="4" w:space="0" w:color="auto"/>
              <w:left w:val="nil"/>
              <w:bottom w:val="single" w:sz="4" w:space="0" w:color="auto"/>
              <w:right w:val="single" w:sz="4" w:space="0" w:color="auto"/>
            </w:tcBorders>
            <w:shd w:val="clear" w:color="auto" w:fill="auto"/>
            <w:noWrap/>
          </w:tcPr>
          <w:p w14:paraId="0485D74C" w14:textId="77777777" w:rsidR="00470B9F" w:rsidRPr="00076651" w:rsidRDefault="00470B9F" w:rsidP="00076651">
            <w:pPr>
              <w:spacing w:before="60" w:after="60"/>
              <w:ind w:left="57" w:right="57"/>
              <w:jc w:val="center"/>
              <w:rPr>
                <w:rFonts w:eastAsiaTheme="minorHAnsi"/>
                <w:sz w:val="18"/>
                <w:szCs w:val="18"/>
                <w:lang w:val="fr-FR" w:eastAsia="en-US"/>
              </w:rPr>
            </w:pPr>
          </w:p>
        </w:tc>
        <w:tc>
          <w:tcPr>
            <w:tcW w:w="398" w:type="pct"/>
            <w:tcBorders>
              <w:top w:val="single" w:sz="4" w:space="0" w:color="auto"/>
              <w:left w:val="nil"/>
              <w:bottom w:val="single" w:sz="4" w:space="0" w:color="auto"/>
              <w:right w:val="single" w:sz="4" w:space="0" w:color="auto"/>
            </w:tcBorders>
            <w:shd w:val="clear" w:color="auto" w:fill="auto"/>
            <w:noWrap/>
          </w:tcPr>
          <w:p w14:paraId="1DA12FFD" w14:textId="77777777" w:rsidR="00470B9F" w:rsidRPr="00076651" w:rsidRDefault="00470B9F" w:rsidP="00076651">
            <w:pPr>
              <w:spacing w:before="60" w:after="60"/>
              <w:ind w:left="57" w:right="57"/>
              <w:jc w:val="center"/>
              <w:rPr>
                <w:rFonts w:eastAsiaTheme="minorHAnsi"/>
                <w:sz w:val="18"/>
                <w:szCs w:val="18"/>
                <w:lang w:val="fr-FR" w:eastAsia="en-US"/>
              </w:rPr>
            </w:pPr>
          </w:p>
        </w:tc>
        <w:tc>
          <w:tcPr>
            <w:tcW w:w="259" w:type="pct"/>
            <w:tcBorders>
              <w:top w:val="single" w:sz="4" w:space="0" w:color="auto"/>
              <w:left w:val="nil"/>
              <w:bottom w:val="single" w:sz="4" w:space="0" w:color="auto"/>
              <w:right w:val="single" w:sz="4" w:space="0" w:color="auto"/>
            </w:tcBorders>
            <w:shd w:val="clear" w:color="auto" w:fill="auto"/>
            <w:noWrap/>
          </w:tcPr>
          <w:p w14:paraId="4BBACB49" w14:textId="77777777" w:rsidR="00470B9F" w:rsidRPr="00076651" w:rsidRDefault="00470B9F" w:rsidP="00076651">
            <w:pPr>
              <w:spacing w:before="60" w:after="60"/>
              <w:ind w:left="57" w:right="57"/>
              <w:jc w:val="center"/>
              <w:rPr>
                <w:rFonts w:eastAsiaTheme="minorHAnsi"/>
                <w:sz w:val="14"/>
                <w:szCs w:val="14"/>
                <w:lang w:val="fr-FR" w:eastAsia="en-US"/>
              </w:rPr>
            </w:pPr>
            <w:r w:rsidRPr="00076651">
              <w:rPr>
                <w:sz w:val="18"/>
                <w:lang w:val="fr-FR"/>
              </w:rPr>
              <w:t>3105</w:t>
            </w:r>
          </w:p>
        </w:tc>
        <w:tc>
          <w:tcPr>
            <w:tcW w:w="326" w:type="pct"/>
            <w:tcBorders>
              <w:top w:val="single" w:sz="4" w:space="0" w:color="auto"/>
              <w:left w:val="nil"/>
              <w:bottom w:val="single" w:sz="4" w:space="0" w:color="auto"/>
              <w:right w:val="single" w:sz="4" w:space="0" w:color="auto"/>
            </w:tcBorders>
            <w:shd w:val="clear" w:color="auto" w:fill="auto"/>
            <w:noWrap/>
          </w:tcPr>
          <w:p w14:paraId="58158935" w14:textId="77777777" w:rsidR="00470B9F" w:rsidRPr="00076651" w:rsidRDefault="00470B9F" w:rsidP="00076651">
            <w:pPr>
              <w:spacing w:before="60" w:after="60"/>
              <w:ind w:left="57" w:right="57"/>
              <w:jc w:val="center"/>
              <w:rPr>
                <w:rFonts w:eastAsiaTheme="minorHAnsi"/>
                <w:sz w:val="18"/>
                <w:szCs w:val="18"/>
                <w:lang w:val="fr-FR" w:eastAsia="en-US"/>
              </w:rPr>
            </w:pPr>
            <w:r w:rsidRPr="00076651">
              <w:rPr>
                <w:sz w:val="18"/>
                <w:lang w:val="fr-FR"/>
              </w:rPr>
              <w:t>35)</w:t>
            </w:r>
          </w:p>
        </w:tc>
      </w:tr>
    </w:tbl>
    <w:p w14:paraId="7A73C309" w14:textId="7297607C" w:rsidR="00A36353" w:rsidRPr="00076651" w:rsidRDefault="00A36353" w:rsidP="004C3D24">
      <w:pPr>
        <w:pStyle w:val="SingleTxtG"/>
        <w:tabs>
          <w:tab w:val="clear" w:pos="1701"/>
          <w:tab w:val="clear" w:pos="2268"/>
        </w:tabs>
        <w:spacing w:before="120"/>
        <w:ind w:left="2268" w:hanging="1134"/>
        <w:rPr>
          <w:lang w:val="fr-FR"/>
        </w:rPr>
      </w:pPr>
      <w:r w:rsidRPr="00076651">
        <w:rPr>
          <w:lang w:val="fr-FR"/>
        </w:rPr>
        <w:tab/>
        <w:t>Dans la note 34) après le tableau, avant « </w:t>
      </w:r>
      <w:r w:rsidRPr="00076651">
        <w:rPr>
          <w:i/>
          <w:iCs/>
          <w:lang w:val="fr-FR"/>
        </w:rPr>
        <w:t>≥ 55 %</w:t>
      </w:r>
      <w:r w:rsidRPr="00076651">
        <w:rPr>
          <w:lang w:val="fr-FR"/>
        </w:rPr>
        <w:t> », supprimer « </w:t>
      </w:r>
      <w:r w:rsidRPr="00076651">
        <w:rPr>
          <w:i/>
          <w:iCs/>
          <w:lang w:val="fr-FR"/>
        </w:rPr>
        <w:t>au moins</w:t>
      </w:r>
      <w:r w:rsidRPr="00076651">
        <w:rPr>
          <w:lang w:val="fr-FR"/>
        </w:rPr>
        <w:t> ».</w:t>
      </w:r>
    </w:p>
    <w:p w14:paraId="7608E3B3" w14:textId="77777777" w:rsidR="00A53BF2" w:rsidRPr="00076651" w:rsidRDefault="00A53BF2" w:rsidP="00A53BF2">
      <w:pPr>
        <w:tabs>
          <w:tab w:val="left" w:pos="1701"/>
          <w:tab w:val="left" w:pos="2268"/>
          <w:tab w:val="left" w:pos="2835"/>
        </w:tabs>
        <w:spacing w:before="240" w:after="120"/>
        <w:ind w:left="1134" w:right="1134"/>
        <w:jc w:val="both"/>
        <w:rPr>
          <w:rFonts w:eastAsiaTheme="minorHAnsi"/>
          <w:lang w:val="fr-FR" w:eastAsia="en-US"/>
        </w:rPr>
      </w:pPr>
      <w:r w:rsidRPr="00076651">
        <w:rPr>
          <w:rFonts w:eastAsiaTheme="minorHAnsi"/>
          <w:lang w:val="fr-FR" w:eastAsia="en-US"/>
        </w:rPr>
        <w:tab/>
      </w:r>
      <w:r w:rsidRPr="00076651">
        <w:rPr>
          <w:rFonts w:eastAsiaTheme="minorHAnsi"/>
          <w:lang w:val="fr-FR" w:eastAsia="en-US"/>
        </w:rPr>
        <w:tab/>
        <w:t>Après le tableau, ajouter la nouvelle observation suivante :</w:t>
      </w:r>
    </w:p>
    <w:p w14:paraId="4E144B34" w14:textId="77777777" w:rsidR="00A53BF2" w:rsidRPr="00076651" w:rsidRDefault="00A53BF2" w:rsidP="00A53BF2">
      <w:pPr>
        <w:tabs>
          <w:tab w:val="left" w:pos="1701"/>
          <w:tab w:val="left" w:pos="2268"/>
          <w:tab w:val="left" w:pos="2835"/>
        </w:tabs>
        <w:spacing w:after="120"/>
        <w:ind w:left="2835" w:right="1134" w:hanging="567"/>
        <w:jc w:val="both"/>
        <w:rPr>
          <w:rFonts w:eastAsiaTheme="minorHAnsi"/>
          <w:lang w:val="fr-FR" w:eastAsia="en-US"/>
        </w:rPr>
      </w:pPr>
      <w:r w:rsidRPr="00076651">
        <w:rPr>
          <w:rFonts w:eastAsiaTheme="minorHAnsi"/>
          <w:lang w:val="fr-FR" w:eastAsia="en-US"/>
        </w:rPr>
        <w:t xml:space="preserve">« 35) </w:t>
      </w:r>
      <w:r w:rsidRPr="00076651">
        <w:rPr>
          <w:rFonts w:eastAsiaTheme="minorHAnsi"/>
          <w:lang w:val="fr-FR" w:eastAsia="en-US"/>
        </w:rPr>
        <w:tab/>
      </w:r>
      <w:r w:rsidRPr="00076651">
        <w:rPr>
          <w:rFonts w:eastAsiaTheme="minorHAnsi"/>
          <w:i/>
          <w:iCs/>
          <w:lang w:val="fr-FR" w:eastAsia="en-US"/>
        </w:rPr>
        <w:t>Oxygène actif ≤ 7,3 %.</w:t>
      </w:r>
      <w:r w:rsidRPr="00076651">
        <w:rPr>
          <w:rFonts w:eastAsiaTheme="minorHAnsi"/>
          <w:lang w:val="fr-FR" w:eastAsia="en-US"/>
        </w:rPr>
        <w:t> »</w:t>
      </w:r>
    </w:p>
    <w:p w14:paraId="19F45320" w14:textId="77777777" w:rsidR="00C2338D" w:rsidRPr="00076651" w:rsidRDefault="00C2338D" w:rsidP="00C2338D">
      <w:pPr>
        <w:spacing w:after="120"/>
        <w:ind w:left="1134" w:right="1134"/>
        <w:jc w:val="both"/>
        <w:rPr>
          <w:i/>
          <w:iCs/>
          <w:lang w:val="fr-FR" w:eastAsia="en-US"/>
        </w:rPr>
      </w:pPr>
      <w:r w:rsidRPr="00076651">
        <w:rPr>
          <w:i/>
          <w:iCs/>
          <w:lang w:val="fr-FR" w:eastAsia="en-US"/>
        </w:rPr>
        <w:t xml:space="preserve">(Documents de référence : </w:t>
      </w:r>
      <w:r w:rsidRPr="00076651">
        <w:rPr>
          <w:i/>
          <w:iCs/>
        </w:rPr>
        <w:t>ST/SG/AC.10/C.3/124, annexe I et ST/SG/AC.10/C.3/126, annexe I</w:t>
      </w:r>
      <w:r w:rsidRPr="00076651">
        <w:rPr>
          <w:i/>
          <w:iCs/>
          <w:lang w:val="fr-FR" w:eastAsia="en-US"/>
        </w:rPr>
        <w:t>)</w:t>
      </w:r>
    </w:p>
    <w:p w14:paraId="26C2E206" w14:textId="77777777" w:rsidR="00A36353" w:rsidRPr="00076651" w:rsidRDefault="00A36353" w:rsidP="00A36353">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2.6</w:t>
      </w:r>
    </w:p>
    <w:p w14:paraId="1D65BC93" w14:textId="3EA92785" w:rsidR="00A36353" w:rsidRPr="00076651" w:rsidRDefault="00A36353" w:rsidP="00A36353">
      <w:pPr>
        <w:pStyle w:val="SingleTxtG"/>
        <w:tabs>
          <w:tab w:val="clear" w:pos="1701"/>
          <w:tab w:val="clear" w:pos="2268"/>
        </w:tabs>
        <w:ind w:left="2268" w:hanging="1134"/>
        <w:rPr>
          <w:lang w:val="fr-FR"/>
        </w:rPr>
      </w:pPr>
      <w:r w:rsidRPr="00076651">
        <w:rPr>
          <w:lang w:val="fr-FR"/>
        </w:rPr>
        <w:t>2.6.2.2.4.1</w:t>
      </w:r>
      <w:r w:rsidRPr="00076651">
        <w:rPr>
          <w:lang w:val="fr-FR"/>
        </w:rPr>
        <w:tab/>
      </w:r>
      <w:r w:rsidR="00684BA6" w:rsidRPr="00076651">
        <w:rPr>
          <w:lang w:val="fr-FR"/>
        </w:rPr>
        <w:t xml:space="preserve">La première modification ne s’applique pas au texte français. </w:t>
      </w:r>
      <w:r w:rsidRPr="00076651">
        <w:rPr>
          <w:lang w:val="fr-FR"/>
        </w:rPr>
        <w:t>Dans le nota, à la fin, remplacer « (voir 2.8.2.4) » par « (voir la note de bas de page 3 du 2.0.3.1 et le 2.8.2.4) »</w:t>
      </w:r>
    </w:p>
    <w:p w14:paraId="280A1B93"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26BBF440" w14:textId="77777777" w:rsidR="00C17788" w:rsidRPr="00076651" w:rsidRDefault="00C17788" w:rsidP="00C17788">
      <w:pPr>
        <w:pStyle w:val="SingleTxtG"/>
        <w:tabs>
          <w:tab w:val="clear" w:pos="1701"/>
        </w:tabs>
        <w:ind w:left="2268" w:hanging="1134"/>
        <w:rPr>
          <w:rFonts w:eastAsiaTheme="minorHAnsi"/>
          <w:lang w:val="fr-FR" w:eastAsia="en-US"/>
        </w:rPr>
      </w:pPr>
      <w:r w:rsidRPr="00076651">
        <w:rPr>
          <w:rFonts w:eastAsiaTheme="minorHAnsi"/>
          <w:lang w:val="fr-FR" w:eastAsia="en-US"/>
        </w:rPr>
        <w:t>[2.6.3.2.2</w:t>
      </w:r>
      <w:r w:rsidRPr="00076651">
        <w:rPr>
          <w:rFonts w:eastAsiaTheme="minorHAnsi"/>
          <w:lang w:val="fr-FR" w:eastAsia="en-US"/>
        </w:rPr>
        <w:tab/>
        <w:t>Remplacer « </w:t>
      </w:r>
      <w:r w:rsidRPr="00076651">
        <w:rPr>
          <w:lang w:val="fr-FR"/>
        </w:rPr>
        <w:t>catégories définies ci-après : » par « </w:t>
      </w:r>
      <w:r w:rsidRPr="00076651">
        <w:rPr>
          <w:rFonts w:eastAsiaTheme="minorHAnsi"/>
          <w:lang w:val="fr-FR" w:eastAsia="en-US"/>
        </w:rPr>
        <w:t>catégories A et B. ».]</w:t>
      </w:r>
    </w:p>
    <w:p w14:paraId="612B65A9"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7EAE50CB" w14:textId="77777777" w:rsidR="00C17788" w:rsidRPr="00076651" w:rsidRDefault="00C17788" w:rsidP="00C17788">
      <w:pPr>
        <w:pStyle w:val="SingleTxtG"/>
        <w:tabs>
          <w:tab w:val="clear" w:pos="1701"/>
        </w:tabs>
        <w:rPr>
          <w:lang w:val="fr-FR"/>
        </w:rPr>
      </w:pPr>
      <w:r w:rsidRPr="00076651">
        <w:rPr>
          <w:lang w:val="fr-FR"/>
        </w:rPr>
        <w:t>[2.6.3.2.2.1</w:t>
      </w:r>
      <w:r w:rsidRPr="00076651">
        <w:rPr>
          <w:lang w:val="fr-FR"/>
        </w:rPr>
        <w:tab/>
        <w:t>Modifier le texte avant le tableau pour lire comme suit :</w:t>
      </w:r>
    </w:p>
    <w:p w14:paraId="005E72E3" w14:textId="77777777" w:rsidR="00C17788" w:rsidRPr="00076651" w:rsidRDefault="00C17788" w:rsidP="00C17788">
      <w:pPr>
        <w:pStyle w:val="SingleTxtG"/>
        <w:rPr>
          <w:lang w:val="fr-FR"/>
        </w:rPr>
      </w:pPr>
      <w:r w:rsidRPr="00076651">
        <w:rPr>
          <w:lang w:val="fr-FR"/>
        </w:rPr>
        <w:t>« 2.6.3.2.2.1</w:t>
      </w:r>
      <w:r w:rsidRPr="00076651">
        <w:rPr>
          <w:lang w:val="fr-FR"/>
        </w:rPr>
        <w:tab/>
        <w:t xml:space="preserve">Catégorie A </w:t>
      </w:r>
    </w:p>
    <w:p w14:paraId="426A1ABF" w14:textId="77777777" w:rsidR="00C17788" w:rsidRPr="00076651" w:rsidRDefault="00C17788" w:rsidP="00C17788">
      <w:pPr>
        <w:pStyle w:val="SingleTxtG"/>
        <w:tabs>
          <w:tab w:val="clear" w:pos="1701"/>
        </w:tabs>
        <w:rPr>
          <w:lang w:val="fr-FR"/>
        </w:rPr>
      </w:pPr>
      <w:r w:rsidRPr="00076651">
        <w:rPr>
          <w:lang w:val="fr-FR"/>
        </w:rPr>
        <w:tab/>
        <w:t xml:space="preserve">Une matière infectieuse qui, de la manière dont elle est transportée, peut, lorsqu’une exposition se produit, provoquer une invalidité permanente ou une maladie mortelle ou potentiellement mortelle chez l’homme ou l’animal, jusque-là en bonne santé, </w:t>
      </w:r>
      <w:r w:rsidRPr="00076651">
        <w:rPr>
          <w:lang w:val="fr-FR"/>
        </w:rPr>
        <w:lastRenderedPageBreak/>
        <w:t>est affectée à la catégorie A. Des exemples de matières répondant à ces critères figurent dans le tableau accompagnant le présent paragraphe.</w:t>
      </w:r>
    </w:p>
    <w:p w14:paraId="7B90F8A3" w14:textId="77777777" w:rsidR="00C17788" w:rsidRPr="00076651" w:rsidRDefault="00C17788" w:rsidP="00C17788">
      <w:pPr>
        <w:pStyle w:val="SingleTxtG"/>
        <w:tabs>
          <w:tab w:val="clear" w:pos="1701"/>
        </w:tabs>
        <w:rPr>
          <w:lang w:val="fr-FR"/>
        </w:rPr>
      </w:pPr>
      <w:r w:rsidRPr="00076651">
        <w:rPr>
          <w:lang w:val="fr-FR"/>
        </w:rPr>
        <w:tab/>
        <w:t>Les matières infectieuses répondant à ces critères qui provoquent des maladies chez l’homme ou à la fois chez l’homme et chez l’animal sont affectées au No ONU 2814. Celles qui ne provoquent des maladies que chez l’animal sont affectées au No ONU 2900.</w:t>
      </w:r>
    </w:p>
    <w:p w14:paraId="039F78FC" w14:textId="77777777" w:rsidR="00C17788" w:rsidRPr="00076651" w:rsidRDefault="00C17788" w:rsidP="00C17788">
      <w:pPr>
        <w:pStyle w:val="SingleTxtG"/>
        <w:tabs>
          <w:tab w:val="clear" w:pos="1701"/>
        </w:tabs>
        <w:rPr>
          <w:lang w:val="fr-FR"/>
        </w:rPr>
      </w:pPr>
      <w:r w:rsidRPr="00076651">
        <w:rPr>
          <w:lang w:val="fr-FR"/>
        </w:rPr>
        <w:tab/>
        <w:t>L’affectation aux Nos ONU 2814 ou 2900 est fondée sur les antécédents médicaux et symptômes connus de l’être humain ou animal source, les conditions endémiques locales ou le jugement du spécialiste concernant l’état individuel de l’être humain ou animal source.</w:t>
      </w:r>
    </w:p>
    <w:p w14:paraId="17F10117" w14:textId="77777777" w:rsidR="00C17788" w:rsidRPr="00076651" w:rsidRDefault="00C17788" w:rsidP="00C17788">
      <w:pPr>
        <w:pStyle w:val="SingleTxtG"/>
        <w:tabs>
          <w:tab w:val="clear" w:pos="1701"/>
        </w:tabs>
        <w:rPr>
          <w:lang w:val="fr-FR"/>
        </w:rPr>
      </w:pPr>
      <w:r w:rsidRPr="00076651">
        <w:rPr>
          <w:lang w:val="fr-FR"/>
        </w:rPr>
        <w:tab/>
        <w:t>Le tableau ci-après n’est pas exhaustif. Les matières infectieuses, y compris les agents pathogènes nouveaux ou émergents, qui n’y figurent pas mais répondent aux mêmes critères doivent être classées dans la catégorie A. En outre, une matière dont on ne peut déterminer si elle répond ou non aux critères doit être incluse dans la catégorie A. Pour faire face aux situations sanitaires émergentes, des informations plus récentes sur les catégories applicables peuvent être obtenues auprès des organisations intergouvernementales de santé humaine et animale et des autorités nationales.</w:t>
      </w:r>
    </w:p>
    <w:p w14:paraId="13C382E9" w14:textId="77777777" w:rsidR="00C17788" w:rsidRPr="00076651" w:rsidRDefault="00C17788" w:rsidP="00C17788">
      <w:pPr>
        <w:pStyle w:val="SingleTxtG"/>
        <w:tabs>
          <w:tab w:val="clear" w:pos="1701"/>
        </w:tabs>
        <w:rPr>
          <w:i/>
          <w:iCs/>
          <w:lang w:val="fr-FR"/>
        </w:rPr>
      </w:pPr>
      <w:r w:rsidRPr="00076651">
        <w:rPr>
          <w:b/>
          <w:bCs/>
          <w:i/>
          <w:iCs/>
          <w:lang w:val="fr-FR"/>
        </w:rPr>
        <w:t xml:space="preserve">NOTA 1 : </w:t>
      </w:r>
      <w:r w:rsidRPr="00076651">
        <w:rPr>
          <w:i/>
          <w:iCs/>
          <w:lang w:val="fr-FR"/>
        </w:rPr>
        <w:t>Une exposition a lieu lorsqu’une matière infectieuse s’échappe de l’emballage de protection et entre en contact avec un être humain ou un animal.</w:t>
      </w:r>
    </w:p>
    <w:p w14:paraId="4E81D6EC" w14:textId="77777777" w:rsidR="00C17788" w:rsidRPr="00076651" w:rsidRDefault="00C17788" w:rsidP="00C17788">
      <w:pPr>
        <w:pStyle w:val="SingleTxtG"/>
        <w:rPr>
          <w:lang w:val="fr-FR"/>
        </w:rPr>
      </w:pPr>
      <w:r w:rsidRPr="00076651">
        <w:rPr>
          <w:lang w:val="fr-FR"/>
        </w:rPr>
        <w:tab/>
      </w:r>
      <w:r w:rsidRPr="00076651">
        <w:rPr>
          <w:b/>
          <w:bCs/>
          <w:i/>
          <w:iCs/>
          <w:lang w:val="fr-FR"/>
        </w:rPr>
        <w:t>2 :</w:t>
      </w:r>
      <w:r w:rsidRPr="00076651">
        <w:rPr>
          <w:lang w:val="fr-FR"/>
        </w:rPr>
        <w:t xml:space="preserve"> </w:t>
      </w:r>
      <w:r w:rsidRPr="00076651">
        <w:rPr>
          <w:i/>
          <w:iCs/>
          <w:lang w:val="fr-FR"/>
        </w:rPr>
        <w:t>La désignation officielle de transport pour le No ONU 2814 est « MATIÈRE INFECTIEUSE POUR L’HOMME ». La désignation officielle de transport pour le No ONU 2900 est « MATIÈRE INFECTIEUSE POUR LES ANIMAUX uniquement ».</w:t>
      </w:r>
      <w:r w:rsidRPr="00076651">
        <w:rPr>
          <w:lang w:val="fr-FR"/>
        </w:rPr>
        <w:t xml:space="preserve"> </w:t>
      </w:r>
    </w:p>
    <w:p w14:paraId="661EF100" w14:textId="77777777" w:rsidR="00C17788" w:rsidRPr="00076651" w:rsidRDefault="00C17788" w:rsidP="00C17788">
      <w:pPr>
        <w:pStyle w:val="SingleTxtG"/>
        <w:tabs>
          <w:tab w:val="clear" w:pos="2268"/>
        </w:tabs>
        <w:rPr>
          <w:lang w:val="fr-FR"/>
        </w:rPr>
      </w:pPr>
      <w:r w:rsidRPr="00076651">
        <w:rPr>
          <w:lang w:val="fr-FR"/>
        </w:rPr>
        <w:tab/>
      </w:r>
      <w:r w:rsidRPr="00076651">
        <w:rPr>
          <w:b/>
          <w:bCs/>
          <w:i/>
          <w:iCs/>
          <w:lang w:val="fr-FR"/>
        </w:rPr>
        <w:t xml:space="preserve">3 : </w:t>
      </w:r>
      <w:r w:rsidRPr="00076651">
        <w:rPr>
          <w:i/>
          <w:iCs/>
          <w:lang w:val="fr-FR"/>
        </w:rPr>
        <w:t>Dans le tableau ci-après, les micro-organismes mentionnés en italiques sont des bactéries ou des champignons.</w:t>
      </w:r>
      <w:r w:rsidRPr="00076651">
        <w:rPr>
          <w:lang w:val="fr-FR"/>
        </w:rPr>
        <w:t> »</w:t>
      </w:r>
    </w:p>
    <w:p w14:paraId="4C1081F6" w14:textId="77777777" w:rsidR="00C17788" w:rsidRPr="00076651" w:rsidRDefault="00C17788" w:rsidP="00C17788">
      <w:pPr>
        <w:pStyle w:val="SingleTxtG"/>
        <w:tabs>
          <w:tab w:val="clear" w:pos="1701"/>
        </w:tabs>
        <w:rPr>
          <w:lang w:val="fr-FR"/>
        </w:rPr>
      </w:pPr>
      <w:r w:rsidRPr="00076651">
        <w:rPr>
          <w:lang w:val="fr-FR"/>
        </w:rPr>
        <w:tab/>
        <w:t>Dans le titre du tableau, supprimer « (2.6.3.2.2.1 a)) ».]</w:t>
      </w:r>
    </w:p>
    <w:p w14:paraId="32544DE7"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079CC31B" w14:textId="786D0E86" w:rsidR="00C17788" w:rsidRPr="00076651" w:rsidDel="009A10ED" w:rsidRDefault="00C17788" w:rsidP="00C17788">
      <w:pPr>
        <w:pStyle w:val="SingleTxtG"/>
        <w:rPr>
          <w:rFonts w:eastAsiaTheme="minorHAnsi"/>
          <w:i/>
          <w:iCs/>
          <w:lang w:val="fr-FR" w:eastAsia="en-US"/>
        </w:rPr>
      </w:pPr>
      <w:r w:rsidRPr="00076651">
        <w:rPr>
          <w:rFonts w:eastAsiaTheme="minorHAnsi"/>
          <w:b/>
          <w:bCs/>
          <w:i/>
          <w:iCs/>
          <w:lang w:val="fr-FR" w:eastAsia="en-US"/>
        </w:rPr>
        <w:t>Not</w:t>
      </w:r>
      <w:r w:rsidR="00134F65" w:rsidRPr="00076651">
        <w:rPr>
          <w:rFonts w:eastAsiaTheme="minorHAnsi"/>
          <w:b/>
          <w:bCs/>
          <w:i/>
          <w:iCs/>
          <w:lang w:val="fr-FR" w:eastAsia="en-US"/>
        </w:rPr>
        <w:t>e du secrétariat</w:t>
      </w:r>
      <w:r w:rsidR="00F642EC" w:rsidRPr="00076651">
        <w:rPr>
          <w:rFonts w:eastAsiaTheme="minorHAnsi"/>
          <w:b/>
          <w:bCs/>
          <w:i/>
          <w:iCs/>
          <w:lang w:val="fr-FR" w:eastAsia="en-US"/>
        </w:rPr>
        <w:t> </w:t>
      </w:r>
      <w:r w:rsidRPr="00076651" w:rsidDel="009A10ED">
        <w:rPr>
          <w:rFonts w:eastAsiaTheme="minorHAnsi"/>
          <w:b/>
          <w:bCs/>
          <w:i/>
          <w:iCs/>
          <w:lang w:val="fr-FR" w:eastAsia="en-US"/>
        </w:rPr>
        <w:t>:</w:t>
      </w:r>
      <w:r w:rsidRPr="00076651" w:rsidDel="009A10ED">
        <w:rPr>
          <w:rFonts w:eastAsiaTheme="minorHAnsi"/>
          <w:i/>
          <w:iCs/>
          <w:lang w:val="fr-FR" w:eastAsia="en-US"/>
        </w:rPr>
        <w:t xml:space="preserve"> Les crochets ne s'appliquent qu'aux amendements rédactionnels du document informel INF.68/Rev.1</w:t>
      </w:r>
      <w:r w:rsidR="00241732" w:rsidRPr="00076651">
        <w:rPr>
          <w:rFonts w:eastAsiaTheme="minorHAnsi"/>
          <w:i/>
          <w:iCs/>
          <w:lang w:val="fr-FR" w:eastAsia="en-US"/>
        </w:rPr>
        <w:t xml:space="preserve"> de la soixante-quatrième session</w:t>
      </w:r>
      <w:r w:rsidRPr="00076651">
        <w:rPr>
          <w:rFonts w:eastAsiaTheme="minorHAnsi"/>
          <w:i/>
          <w:iCs/>
          <w:lang w:val="fr-FR" w:eastAsia="en-US"/>
        </w:rPr>
        <w:t>.</w:t>
      </w:r>
      <w:r w:rsidRPr="00076651" w:rsidDel="009A10ED">
        <w:rPr>
          <w:rFonts w:eastAsiaTheme="minorHAnsi"/>
          <w:i/>
          <w:iCs/>
          <w:lang w:val="fr-FR" w:eastAsia="en-US"/>
        </w:rPr>
        <w:t xml:space="preserve"> Ils ne s'appliquent pas aux amendements venant du document informel INF.58/Rev.1</w:t>
      </w:r>
      <w:r w:rsidR="00241732" w:rsidRPr="00076651">
        <w:rPr>
          <w:rFonts w:eastAsiaTheme="minorHAnsi"/>
          <w:i/>
          <w:iCs/>
          <w:lang w:val="fr-FR" w:eastAsia="en-US"/>
        </w:rPr>
        <w:t xml:space="preserve"> de la soixante-quatrième session</w:t>
      </w:r>
      <w:r w:rsidRPr="00076651">
        <w:rPr>
          <w:rFonts w:eastAsiaTheme="minorHAnsi"/>
          <w:i/>
          <w:iCs/>
          <w:lang w:val="fr-FR" w:eastAsia="en-US"/>
        </w:rPr>
        <w:t>.</w:t>
      </w:r>
    </w:p>
    <w:p w14:paraId="23F59F34" w14:textId="77777777" w:rsidR="00C17788" w:rsidRPr="00076651" w:rsidRDefault="00C17788" w:rsidP="00C17788">
      <w:pPr>
        <w:pStyle w:val="SingleTxtG"/>
        <w:tabs>
          <w:tab w:val="clear" w:pos="1701"/>
        </w:tabs>
        <w:rPr>
          <w:lang w:val="fr-FR"/>
        </w:rPr>
      </w:pPr>
      <w:r w:rsidRPr="00076651">
        <w:rPr>
          <w:lang w:val="fr-FR"/>
        </w:rPr>
        <w:t>[2.6.3.2.2.2</w:t>
      </w:r>
      <w:r w:rsidRPr="00076651">
        <w:rPr>
          <w:lang w:val="fr-FR"/>
        </w:rPr>
        <w:tab/>
        <w:t>Modifier le texte avant le Nota pour lire comme suit :</w:t>
      </w:r>
    </w:p>
    <w:p w14:paraId="20E950CE" w14:textId="77777777" w:rsidR="00C17788" w:rsidRPr="00076651" w:rsidRDefault="00C17788" w:rsidP="00C17788">
      <w:pPr>
        <w:pStyle w:val="SingleTxtG"/>
        <w:tabs>
          <w:tab w:val="clear" w:pos="1701"/>
        </w:tabs>
        <w:rPr>
          <w:lang w:val="fr-FR"/>
        </w:rPr>
      </w:pPr>
      <w:r w:rsidRPr="00076651">
        <w:rPr>
          <w:lang w:val="fr-FR"/>
        </w:rPr>
        <w:t>« 2.6.3.2.2.2</w:t>
      </w:r>
      <w:r w:rsidRPr="00076651">
        <w:rPr>
          <w:lang w:val="fr-FR"/>
        </w:rPr>
        <w:tab/>
        <w:t>Catégorie B</w:t>
      </w:r>
    </w:p>
    <w:p w14:paraId="31CDAA2E" w14:textId="77777777" w:rsidR="00C17788" w:rsidRPr="00076651" w:rsidRDefault="00C17788" w:rsidP="00C17788">
      <w:pPr>
        <w:pStyle w:val="SingleTxtG"/>
        <w:tabs>
          <w:tab w:val="clear" w:pos="1701"/>
        </w:tabs>
        <w:rPr>
          <w:lang w:val="fr-FR"/>
        </w:rPr>
      </w:pPr>
      <w:r w:rsidRPr="00076651">
        <w:rPr>
          <w:lang w:val="fr-FR"/>
        </w:rPr>
        <w:tab/>
        <w:t>Une matière infectieuse qui ne répond pas aux critères de classification dans la catégorie A est affectée à la catégorie B. Les matières infectieuses de la catégorie B doivent être affectées au No ONU 3373. »]</w:t>
      </w:r>
    </w:p>
    <w:p w14:paraId="4F1D7945"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1564DCC6" w14:textId="77777777" w:rsidR="00A36353" w:rsidRPr="00076651" w:rsidRDefault="00A36353" w:rsidP="00A36353">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2.8</w:t>
      </w:r>
    </w:p>
    <w:p w14:paraId="59764602" w14:textId="77777777" w:rsidR="00A36353" w:rsidRPr="00076651" w:rsidRDefault="00A36353" w:rsidP="00A36353">
      <w:pPr>
        <w:pStyle w:val="SingleTxtG"/>
        <w:tabs>
          <w:tab w:val="clear" w:pos="1701"/>
          <w:tab w:val="clear" w:pos="2268"/>
        </w:tabs>
        <w:ind w:left="2268" w:hanging="1134"/>
      </w:pPr>
      <w:r w:rsidRPr="00076651">
        <w:rPr>
          <w:lang w:val="fr-FR"/>
        </w:rPr>
        <w:t>2.8.2.4</w:t>
      </w:r>
      <w:r w:rsidRPr="00076651">
        <w:rPr>
          <w:lang w:val="fr-FR"/>
        </w:rPr>
        <w:tab/>
        <w:t>Remplacer « Une matière » par « Les matières » et accorder le verbe en conséquence. La deuxième modification ne s’applique pas au texte français. À la fin, remplacer « </w:t>
      </w:r>
      <w:r w:rsidRPr="00076651">
        <w:t xml:space="preserve">(voir Nota au 2.6.2.2.4.1) » par « (voir </w:t>
      </w:r>
      <w:r w:rsidRPr="00076651">
        <w:rPr>
          <w:lang w:val="fr-FR"/>
        </w:rPr>
        <w:t>la note de bas de page 3 du 2.0.3.1 et</w:t>
      </w:r>
      <w:r w:rsidRPr="00076651">
        <w:t xml:space="preserve"> le nota sous 2.6.2.2.4.1) ».</w:t>
      </w:r>
    </w:p>
    <w:p w14:paraId="50C3156A"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302BC167" w14:textId="77777777" w:rsidR="00A36353" w:rsidRPr="00076651" w:rsidRDefault="00A36353" w:rsidP="00A36353">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2.9</w:t>
      </w:r>
    </w:p>
    <w:p w14:paraId="57A5C5D4" w14:textId="13F848BF" w:rsidR="00B2401F" w:rsidRPr="00076651" w:rsidRDefault="00B2401F" w:rsidP="002803DE">
      <w:pPr>
        <w:pStyle w:val="SingleTxtG"/>
        <w:tabs>
          <w:tab w:val="clear" w:pos="1701"/>
        </w:tabs>
        <w:ind w:left="2268" w:hanging="1134"/>
        <w:rPr>
          <w:rFonts w:eastAsiaTheme="minorHAnsi"/>
          <w:lang w:val="fr-FR" w:eastAsia="en-US"/>
        </w:rPr>
      </w:pPr>
      <w:r w:rsidRPr="00076651">
        <w:rPr>
          <w:rFonts w:eastAsiaTheme="minorHAnsi"/>
          <w:lang w:val="fr-FR" w:eastAsia="en-US"/>
        </w:rPr>
        <w:t>2.9.2</w:t>
      </w:r>
      <w:r w:rsidRPr="00076651">
        <w:rPr>
          <w:rFonts w:eastAsiaTheme="minorHAnsi"/>
          <w:lang w:val="fr-FR" w:eastAsia="en-US"/>
        </w:rPr>
        <w:tab/>
        <w:t xml:space="preserve">Sous « Accumulateurs au sodium ionique », </w:t>
      </w:r>
      <w:r w:rsidR="00DD280C" w:rsidRPr="00076651">
        <w:rPr>
          <w:rFonts w:eastAsiaTheme="minorHAnsi"/>
          <w:lang w:val="fr-FR" w:eastAsia="en-US"/>
        </w:rPr>
        <w:t xml:space="preserve">diviser la rubrique pour 3552 </w:t>
      </w:r>
      <w:r w:rsidR="00F6441C" w:rsidRPr="00076651">
        <w:rPr>
          <w:rFonts w:eastAsiaTheme="minorHAnsi"/>
          <w:lang w:val="fr-FR" w:eastAsia="en-US"/>
        </w:rPr>
        <w:t>en deux lignes comme suit :</w:t>
      </w:r>
    </w:p>
    <w:p w14:paraId="779C0817" w14:textId="1FFFD9A2" w:rsidR="00D27484" w:rsidRPr="00076651" w:rsidRDefault="00D27484" w:rsidP="00D27484">
      <w:pPr>
        <w:pStyle w:val="SingleTxtG"/>
        <w:ind w:left="2268" w:hanging="1134"/>
        <w:rPr>
          <w:rFonts w:eastAsiaTheme="minorHAnsi"/>
          <w:lang w:val="fr-FR" w:eastAsia="en-US"/>
        </w:rPr>
      </w:pPr>
      <w:r w:rsidRPr="00076651">
        <w:rPr>
          <w:rFonts w:eastAsiaTheme="minorHAnsi"/>
          <w:lang w:val="fr-FR" w:eastAsia="en-US"/>
        </w:rPr>
        <w:t xml:space="preserve">« 3552 </w:t>
      </w:r>
      <w:r w:rsidRPr="00076651">
        <w:rPr>
          <w:rFonts w:eastAsiaTheme="minorHAnsi"/>
          <w:lang w:val="fr-FR" w:eastAsia="en-US"/>
        </w:rPr>
        <w:tab/>
        <w:t>ACCUMULATEURS AU SODIUM IONIQUE CONTENUS DANS UN ÉQUIPEMENT ou</w:t>
      </w:r>
    </w:p>
    <w:p w14:paraId="4AE35038" w14:textId="38B785A7" w:rsidR="00527897" w:rsidRPr="00076651" w:rsidRDefault="00D27484" w:rsidP="002803DE">
      <w:pPr>
        <w:pStyle w:val="SingleTxtG"/>
        <w:tabs>
          <w:tab w:val="clear" w:pos="1701"/>
        </w:tabs>
        <w:ind w:left="2268" w:hanging="1134"/>
        <w:rPr>
          <w:rFonts w:eastAsiaTheme="minorHAnsi"/>
          <w:lang w:val="fr-FR" w:eastAsia="en-US"/>
        </w:rPr>
      </w:pPr>
      <w:r w:rsidRPr="00076651">
        <w:rPr>
          <w:rFonts w:eastAsiaTheme="minorHAnsi"/>
          <w:lang w:val="fr-FR" w:eastAsia="en-US"/>
        </w:rPr>
        <w:lastRenderedPageBreak/>
        <w:t>3552</w:t>
      </w:r>
      <w:r w:rsidRPr="00076651">
        <w:rPr>
          <w:rFonts w:eastAsiaTheme="minorHAnsi"/>
          <w:lang w:val="fr-FR" w:eastAsia="en-US"/>
        </w:rPr>
        <w:tab/>
        <w:t>ACCUMULATEURS AU SODIUM IONIQUE EMBALLÉS AVEC UN ÉQUIPEMENT, à électrolyte organique »</w:t>
      </w:r>
    </w:p>
    <w:p w14:paraId="77094383" w14:textId="4EE81A83" w:rsidR="002803DE" w:rsidRPr="00076651" w:rsidRDefault="00527897" w:rsidP="002803DE">
      <w:pPr>
        <w:pStyle w:val="SingleTxtG"/>
        <w:tabs>
          <w:tab w:val="clear" w:pos="1701"/>
        </w:tabs>
        <w:ind w:left="2268" w:hanging="1134"/>
        <w:rPr>
          <w:rFonts w:eastAsiaTheme="minorHAnsi"/>
          <w:lang w:val="fr-FR" w:eastAsia="en-US"/>
        </w:rPr>
      </w:pPr>
      <w:r w:rsidRPr="00076651">
        <w:rPr>
          <w:rFonts w:eastAsiaTheme="minorHAnsi"/>
          <w:lang w:val="fr-FR" w:eastAsia="en-US"/>
        </w:rPr>
        <w:tab/>
      </w:r>
      <w:r w:rsidR="00F6441C" w:rsidRPr="00076651">
        <w:rPr>
          <w:rFonts w:eastAsiaTheme="minorHAnsi"/>
          <w:lang w:val="fr-FR" w:eastAsia="en-US"/>
        </w:rPr>
        <w:t xml:space="preserve">Après </w:t>
      </w:r>
      <w:r w:rsidR="002803DE" w:rsidRPr="00076651">
        <w:rPr>
          <w:rFonts w:eastAsiaTheme="minorHAnsi"/>
          <w:lang w:val="fr-FR" w:eastAsia="en-US"/>
        </w:rPr>
        <w:t>l</w:t>
      </w:r>
      <w:r w:rsidR="00F6441C" w:rsidRPr="00076651">
        <w:rPr>
          <w:rFonts w:eastAsiaTheme="minorHAnsi"/>
          <w:lang w:val="fr-FR" w:eastAsia="en-US"/>
        </w:rPr>
        <w:t>es</w:t>
      </w:r>
      <w:r w:rsidR="002803DE" w:rsidRPr="00076651">
        <w:rPr>
          <w:rFonts w:eastAsiaTheme="minorHAnsi"/>
          <w:lang w:val="fr-FR" w:eastAsia="en-US"/>
        </w:rPr>
        <w:t xml:space="preserve"> ligne</w:t>
      </w:r>
      <w:r w:rsidR="00F6441C" w:rsidRPr="00076651">
        <w:rPr>
          <w:rFonts w:eastAsiaTheme="minorHAnsi"/>
          <w:lang w:val="fr-FR" w:eastAsia="en-US"/>
        </w:rPr>
        <w:t>s</w:t>
      </w:r>
      <w:r w:rsidR="002803DE" w:rsidRPr="00076651">
        <w:rPr>
          <w:rFonts w:eastAsiaTheme="minorHAnsi"/>
          <w:lang w:val="fr-FR" w:eastAsia="en-US"/>
        </w:rPr>
        <w:t xml:space="preserve"> pour 3552, ajouter la nouvelle ligne suivante :</w:t>
      </w:r>
    </w:p>
    <w:p w14:paraId="396FF9B1" w14:textId="77777777" w:rsidR="002803DE" w:rsidRPr="00076651" w:rsidRDefault="002803DE" w:rsidP="002803DE">
      <w:pPr>
        <w:pStyle w:val="SingleTxtG"/>
        <w:tabs>
          <w:tab w:val="clear" w:pos="1701"/>
        </w:tabs>
        <w:ind w:left="2268" w:hanging="1134"/>
        <w:rPr>
          <w:lang w:val="fr-FR"/>
        </w:rPr>
      </w:pPr>
      <w:r w:rsidRPr="00076651">
        <w:rPr>
          <w:rFonts w:eastAsiaTheme="minorHAnsi"/>
          <w:lang w:val="fr-FR" w:eastAsia="en-US"/>
        </w:rPr>
        <w:t>« 3536</w:t>
      </w:r>
      <w:r w:rsidRPr="00076651">
        <w:rPr>
          <w:rFonts w:eastAsiaTheme="minorHAnsi"/>
          <w:lang w:val="fr-FR" w:eastAsia="en-US"/>
        </w:rPr>
        <w:tab/>
      </w:r>
      <w:r w:rsidRPr="00076651">
        <w:rPr>
          <w:lang w:val="fr-FR"/>
        </w:rPr>
        <w:t>ACCUMULATEURS AU SODIUM IONIQUE INSTALLÉS DANS DES ENGINS DE TRANSPORT »</w:t>
      </w:r>
    </w:p>
    <w:p w14:paraId="334F866C" w14:textId="5CAC92E4" w:rsidR="00EE67D8" w:rsidRPr="00076651" w:rsidRDefault="00EE67D8" w:rsidP="00AA3DA0">
      <w:pPr>
        <w:pStyle w:val="SingleTxtG"/>
        <w:tabs>
          <w:tab w:val="clear" w:pos="2268"/>
        </w:tabs>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00527897" w:rsidRPr="00076651">
        <w:rPr>
          <w:i/>
          <w:iCs/>
        </w:rPr>
        <w:t xml:space="preserve"> et modification </w:t>
      </w:r>
      <w:r w:rsidR="00294F7B" w:rsidRPr="00076651">
        <w:rPr>
          <w:i/>
          <w:iCs/>
        </w:rPr>
        <w:t>rédactionnelle supplémentaire</w:t>
      </w:r>
      <w:r w:rsidRPr="00076651">
        <w:rPr>
          <w:rFonts w:eastAsiaTheme="minorHAnsi"/>
          <w:i/>
          <w:iCs/>
          <w:lang w:val="fr-FR" w:eastAsia="en-US"/>
        </w:rPr>
        <w:t>)</w:t>
      </w:r>
    </w:p>
    <w:p w14:paraId="4454654E" w14:textId="77777777" w:rsidR="0000711F" w:rsidRPr="00076651" w:rsidRDefault="0000711F" w:rsidP="0000711F">
      <w:pPr>
        <w:pStyle w:val="SingleTxtG"/>
        <w:tabs>
          <w:tab w:val="clear" w:pos="1701"/>
        </w:tabs>
        <w:spacing w:after="100"/>
        <w:ind w:left="2268" w:hanging="1134"/>
        <w:rPr>
          <w:lang w:val="fr-FR"/>
        </w:rPr>
      </w:pPr>
      <w:r w:rsidRPr="00076651">
        <w:rPr>
          <w:lang w:val="fr-FR"/>
        </w:rPr>
        <w:t>2.9.4</w:t>
      </w:r>
      <w:r w:rsidRPr="00076651">
        <w:rPr>
          <w:lang w:val="fr-FR"/>
        </w:rPr>
        <w:tab/>
        <w:t>Dans le premier paragraphe, avant les alinéas, remplacer « contenues dans un équipement » par « contenues dans un objet, un moteur, un équipement ou un véhicule » et modifier la fin pour lire comme suit : « … sous quelque forme que ce soit peuvent être transportées, sous la rubrique appropriée, si elles satisfont aux dispositions ci-après : »</w:t>
      </w:r>
    </w:p>
    <w:p w14:paraId="19A76609" w14:textId="1EEE0727" w:rsidR="00A36353" w:rsidRPr="00076651" w:rsidRDefault="00A36353" w:rsidP="00A36353">
      <w:pPr>
        <w:pStyle w:val="SingleTxtG"/>
        <w:tabs>
          <w:tab w:val="clear" w:pos="1701"/>
          <w:tab w:val="clear" w:pos="2268"/>
        </w:tabs>
        <w:ind w:left="2268" w:hanging="1134"/>
        <w:rPr>
          <w:lang w:val="fr-FR"/>
        </w:rPr>
      </w:pPr>
      <w:r w:rsidRPr="00076651">
        <w:rPr>
          <w:lang w:val="fr-FR"/>
        </w:rPr>
        <w:tab/>
        <w:t>À l’alinéa g), dans le nota, supprimer « pour les piles ou batteries au lithium ou les équipements avec des piles ou batteries au lithium installées ».</w:t>
      </w:r>
    </w:p>
    <w:p w14:paraId="04D18684" w14:textId="28EC5963" w:rsidR="00B70E95" w:rsidRPr="00076651" w:rsidRDefault="00B70E95" w:rsidP="00B70E95">
      <w:pPr>
        <w:pStyle w:val="SingleTxtG"/>
        <w:tabs>
          <w:tab w:val="clear" w:pos="1701"/>
        </w:tabs>
        <w:spacing w:after="100"/>
      </w:pPr>
      <w:r w:rsidRPr="00076651">
        <w:rPr>
          <w:lang w:val="fr-FR"/>
        </w:rPr>
        <w:tab/>
        <w:t xml:space="preserve">Ajouter un nouvel alinéa h), </w:t>
      </w:r>
      <w:r w:rsidR="00E74E2D" w:rsidRPr="00076651">
        <w:rPr>
          <w:lang w:val="fr-FR"/>
        </w:rPr>
        <w:t xml:space="preserve">pour lire </w:t>
      </w:r>
      <w:r w:rsidRPr="00076651">
        <w:rPr>
          <w:lang w:val="fr-FR"/>
        </w:rPr>
        <w:t>comme suit :</w:t>
      </w:r>
    </w:p>
    <w:p w14:paraId="75222E5F" w14:textId="394DFED0" w:rsidR="00B70E95" w:rsidRPr="00076651" w:rsidRDefault="00B70E95" w:rsidP="00B70E95">
      <w:pPr>
        <w:pStyle w:val="SingleTxtG"/>
        <w:tabs>
          <w:tab w:val="clear" w:pos="1701"/>
          <w:tab w:val="clear" w:pos="2268"/>
        </w:tabs>
        <w:spacing w:after="100"/>
        <w:ind w:left="2268" w:hanging="1134"/>
      </w:pPr>
      <w:r w:rsidRPr="00076651">
        <w:rPr>
          <w:lang w:val="fr-FR"/>
        </w:rPr>
        <w:t>« h)</w:t>
      </w:r>
      <w:r w:rsidRPr="00076651">
        <w:rPr>
          <w:lang w:val="fr-FR"/>
        </w:rPr>
        <w:tab/>
        <w:t xml:space="preserve">Les batteries hybrides, comportant des piles au lithium ionique et des piles au sodium ionique (voir la disposition spéciale 410 du chapitre 3.3), doivent satisfaire aux </w:t>
      </w:r>
      <w:r w:rsidR="00502578" w:rsidRPr="00076651">
        <w:rPr>
          <w:lang w:val="fr-FR"/>
        </w:rPr>
        <w:t xml:space="preserve">conditions </w:t>
      </w:r>
      <w:r w:rsidRPr="00076651">
        <w:rPr>
          <w:lang w:val="fr-FR"/>
        </w:rPr>
        <w:t>suivantes :</w:t>
      </w:r>
    </w:p>
    <w:p w14:paraId="3B59EA19" w14:textId="77777777" w:rsidR="00B70E95" w:rsidRPr="00076651" w:rsidRDefault="00B70E95" w:rsidP="00B70E95">
      <w:pPr>
        <w:pStyle w:val="SingleTxtG"/>
        <w:tabs>
          <w:tab w:val="clear" w:pos="1701"/>
          <w:tab w:val="clear" w:pos="2268"/>
          <w:tab w:val="clear" w:pos="2835"/>
        </w:tabs>
        <w:spacing w:after="100"/>
        <w:ind w:left="2835" w:hanging="567"/>
      </w:pPr>
      <w:r w:rsidRPr="00076651">
        <w:rPr>
          <w:lang w:val="fr-FR"/>
        </w:rPr>
        <w:t>i)</w:t>
      </w:r>
      <w:r w:rsidRPr="00076651">
        <w:rPr>
          <w:lang w:val="fr-FR"/>
        </w:rPr>
        <w:tab/>
        <w:t>Les piles au lithium ionique et les piles au sodium ionique sont reliées électriquement ;</w:t>
      </w:r>
    </w:p>
    <w:p w14:paraId="03769707" w14:textId="77777777" w:rsidR="00B70E95" w:rsidRPr="00076651" w:rsidRDefault="00B70E95" w:rsidP="00B70E95">
      <w:pPr>
        <w:pStyle w:val="SingleTxtG"/>
        <w:tabs>
          <w:tab w:val="clear" w:pos="1701"/>
          <w:tab w:val="clear" w:pos="2268"/>
          <w:tab w:val="clear" w:pos="2835"/>
        </w:tabs>
        <w:spacing w:after="100"/>
        <w:ind w:left="2835" w:hanging="567"/>
      </w:pPr>
      <w:r w:rsidRPr="00076651">
        <w:rPr>
          <w:lang w:val="fr-FR"/>
        </w:rPr>
        <w:t>ii)</w:t>
      </w:r>
      <w:r w:rsidRPr="00076651">
        <w:rPr>
          <w:lang w:val="fr-FR"/>
        </w:rPr>
        <w:tab/>
        <w:t>La batterie a été testée de la même façon qu’une batterie au lithium ionique conformément au 2.9.4 a) ;</w:t>
      </w:r>
    </w:p>
    <w:p w14:paraId="778CA821" w14:textId="77777777" w:rsidR="00B70E95" w:rsidRPr="00076651" w:rsidRDefault="00B70E95" w:rsidP="00B70E95">
      <w:pPr>
        <w:pStyle w:val="SingleTxtG"/>
        <w:tabs>
          <w:tab w:val="clear" w:pos="1701"/>
          <w:tab w:val="clear" w:pos="2268"/>
          <w:tab w:val="clear" w:pos="2835"/>
        </w:tabs>
        <w:spacing w:after="100"/>
        <w:ind w:left="2835" w:hanging="567"/>
        <w:rPr>
          <w:lang w:val="fr-FR"/>
        </w:rPr>
      </w:pPr>
      <w:r w:rsidRPr="00076651">
        <w:rPr>
          <w:lang w:val="fr-FR"/>
        </w:rPr>
        <w:t>iii)</w:t>
      </w:r>
      <w:r w:rsidRPr="00076651">
        <w:rPr>
          <w:lang w:val="fr-FR"/>
        </w:rPr>
        <w:tab/>
        <w:t xml:space="preserve">Il est démontré que chaque composant de la batterie (pile au lithium ionique et pile au sodium ionique) est d’un type qui satisfait aux prescriptions d’épreuves pertinentes </w:t>
      </w:r>
      <w:r w:rsidRPr="00076651">
        <w:rPr>
          <w:rFonts w:ascii="TimesNewRomanPSMT" w:hAnsi="TimesNewRomanPSMT" w:cs="TimesNewRomanPSMT"/>
        </w:rPr>
        <w:t xml:space="preserve">de la sous-section 38.3 de la troisième partie du </w:t>
      </w:r>
      <w:r w:rsidRPr="00076651">
        <w:rPr>
          <w:rFonts w:ascii="TimesNewRomanPS-ItalicMT" w:hAnsi="TimesNewRomanPS-ItalicMT" w:cs="TimesNewRomanPS-ItalicMT"/>
          <w:i/>
          <w:iCs/>
        </w:rPr>
        <w:t>Manuel d’épreuves et de critères</w:t>
      </w:r>
      <w:r w:rsidRPr="00076651">
        <w:rPr>
          <w:lang w:val="fr-FR"/>
        </w:rPr>
        <w:t>. »</w:t>
      </w:r>
    </w:p>
    <w:p w14:paraId="6958138B" w14:textId="3CB4D5C3"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(Document</w:t>
      </w:r>
      <w:r w:rsidR="00D86EB8" w:rsidRPr="00076651">
        <w:rPr>
          <w:rStyle w:val="ui-provider"/>
          <w:rFonts w:eastAsiaTheme="minorHAnsi"/>
          <w:i/>
          <w:iCs/>
          <w:lang w:val="fr-FR"/>
        </w:rPr>
        <w:t>s</w:t>
      </w:r>
      <w:r w:rsidRPr="00076651">
        <w:rPr>
          <w:rStyle w:val="ui-provider"/>
          <w:rFonts w:eastAsiaTheme="minorHAnsi"/>
          <w:i/>
          <w:iCs/>
          <w:lang w:val="fr-FR"/>
        </w:rPr>
        <w:t xml:space="preserve"> de référence : </w:t>
      </w:r>
      <w:r w:rsidR="00D86EB8" w:rsidRPr="00076651">
        <w:rPr>
          <w:i/>
          <w:iCs/>
        </w:rPr>
        <w:t xml:space="preserve">ST/SG/AC.10/C.3/124, annexe I et </w:t>
      </w:r>
      <w:r w:rsidRPr="00076651">
        <w:rPr>
          <w:i/>
          <w:iCs/>
        </w:rPr>
        <w:t>ST/SG/AC.10/C.3/126, annexe</w:t>
      </w:r>
      <w:r w:rsidR="00D86EB8" w:rsidRPr="00076651">
        <w:rPr>
          <w:i/>
          <w:iCs/>
        </w:rPr>
        <w:t> </w:t>
      </w:r>
      <w:r w:rsidRPr="00076651">
        <w:rPr>
          <w:i/>
          <w:iCs/>
        </w:rPr>
        <w:t>I</w:t>
      </w:r>
      <w:r w:rsidRPr="00076651">
        <w:rPr>
          <w:rStyle w:val="ui-provider"/>
          <w:rFonts w:eastAsiaTheme="minorHAnsi"/>
          <w:i/>
          <w:iCs/>
          <w:lang w:val="fr-FR"/>
        </w:rPr>
        <w:t>)</w:t>
      </w:r>
    </w:p>
    <w:p w14:paraId="1F9FEE7E" w14:textId="77777777" w:rsidR="00D45689" w:rsidRPr="00076651" w:rsidRDefault="00D45689" w:rsidP="00D45689">
      <w:pPr>
        <w:pStyle w:val="SingleTxtG"/>
        <w:tabs>
          <w:tab w:val="clear" w:pos="1701"/>
        </w:tabs>
        <w:spacing w:after="100"/>
        <w:ind w:left="2268" w:hanging="1134"/>
        <w:rPr>
          <w:lang w:val="fr-FR"/>
        </w:rPr>
      </w:pPr>
      <w:r w:rsidRPr="00076651">
        <w:rPr>
          <w:lang w:val="fr-FR"/>
        </w:rPr>
        <w:t>2.9.5</w:t>
      </w:r>
      <w:r w:rsidRPr="00076651">
        <w:rPr>
          <w:lang w:val="fr-FR"/>
        </w:rPr>
        <w:tab/>
        <w:t>Dans le premier paragraphe, remplacer « contenues dans un équipement » par « contenues dans un objet, un moteur, un équipement ou un véhicule » et modifier la fin pour lire comme suit : « … comme électrolyte peuvent être transportées, sous la rubrique appropriée, si elles satisfont aux dispositions ci-après : ». Supprimer la phrase d’introduction avant les alinéas.</w:t>
      </w:r>
    </w:p>
    <w:p w14:paraId="5B2D5305" w14:textId="3A61C629" w:rsidR="00A36353" w:rsidRPr="00076651" w:rsidRDefault="00A36353" w:rsidP="00A36353">
      <w:pPr>
        <w:pStyle w:val="SingleTxtG"/>
        <w:tabs>
          <w:tab w:val="clear" w:pos="1701"/>
          <w:tab w:val="clear" w:pos="2268"/>
        </w:tabs>
        <w:ind w:left="2268" w:hanging="1134"/>
        <w:rPr>
          <w:lang w:val="fr-FR"/>
        </w:rPr>
      </w:pPr>
      <w:r w:rsidRPr="00076651">
        <w:rPr>
          <w:lang w:val="fr-FR"/>
        </w:rPr>
        <w:tab/>
        <w:t>À l’alinéa a), à la fin, ajouter le nouveau nota suivant :</w:t>
      </w:r>
    </w:p>
    <w:p w14:paraId="74D6DA47" w14:textId="77777777" w:rsidR="00A36353" w:rsidRPr="00076651" w:rsidRDefault="00A36353" w:rsidP="00A36353">
      <w:pPr>
        <w:pStyle w:val="SingleTxtG"/>
        <w:tabs>
          <w:tab w:val="clear" w:pos="1701"/>
          <w:tab w:val="clear" w:pos="2268"/>
        </w:tabs>
        <w:ind w:left="2268" w:hanging="1134"/>
        <w:rPr>
          <w:lang w:val="fr-FR"/>
        </w:rPr>
      </w:pPr>
      <w:r w:rsidRPr="00076651">
        <w:rPr>
          <w:lang w:val="fr-FR"/>
        </w:rPr>
        <w:t>« </w:t>
      </w:r>
      <w:r w:rsidRPr="00076651">
        <w:rPr>
          <w:b/>
          <w:bCs/>
          <w:i/>
          <w:iCs/>
          <w:lang w:val="fr-FR"/>
        </w:rPr>
        <w:t>NOTA :</w:t>
      </w:r>
      <w:r w:rsidRPr="00076651">
        <w:rPr>
          <w:i/>
          <w:iCs/>
          <w:lang w:val="fr-FR"/>
        </w:rPr>
        <w:tab/>
        <w:t>Les batteries doivent être conformes à un type ayant satisfait aux prescriptions des épreuves de la sous-section 38.3 de la troisième partie du Manuel d'épreuves et de critères, que les piles dont elles sont composées soient conformes à un type éprouvé ou non.</w:t>
      </w:r>
      <w:r w:rsidRPr="00076651">
        <w:rPr>
          <w:lang w:val="fr-FR"/>
        </w:rPr>
        <w:t> »</w:t>
      </w:r>
    </w:p>
    <w:p w14:paraId="7180D279" w14:textId="77777777" w:rsidR="00A36353" w:rsidRPr="00076651" w:rsidRDefault="00A36353" w:rsidP="00A36353">
      <w:pPr>
        <w:pStyle w:val="SingleTxtG"/>
        <w:tabs>
          <w:tab w:val="clear" w:pos="1701"/>
          <w:tab w:val="clear" w:pos="2268"/>
        </w:tabs>
        <w:ind w:left="2268" w:hanging="1134"/>
        <w:rPr>
          <w:lang w:val="fr-FR"/>
        </w:rPr>
      </w:pPr>
      <w:r w:rsidRPr="00076651">
        <w:rPr>
          <w:lang w:val="fr-FR"/>
        </w:rPr>
        <w:tab/>
        <w:t>À l’alinéa f), à la fin, ajouter le nouveau nota suivant :</w:t>
      </w:r>
    </w:p>
    <w:p w14:paraId="76174F62" w14:textId="003548A2" w:rsidR="00A36353" w:rsidRPr="00076651" w:rsidRDefault="00A36353" w:rsidP="00A36353">
      <w:pPr>
        <w:pStyle w:val="SingleTxtG"/>
        <w:tabs>
          <w:tab w:val="clear" w:pos="1701"/>
          <w:tab w:val="clear" w:pos="2268"/>
        </w:tabs>
        <w:ind w:left="2268" w:hanging="1134"/>
        <w:rPr>
          <w:lang w:val="fr-FR"/>
        </w:rPr>
      </w:pPr>
      <w:r w:rsidRPr="00076651">
        <w:rPr>
          <w:lang w:val="fr-FR"/>
        </w:rPr>
        <w:t>« </w:t>
      </w:r>
      <w:r w:rsidRPr="00076651">
        <w:rPr>
          <w:b/>
          <w:bCs/>
          <w:i/>
          <w:iCs/>
          <w:lang w:val="fr-FR"/>
        </w:rPr>
        <w:t>NOTA :</w:t>
      </w:r>
      <w:r w:rsidRPr="00076651">
        <w:rPr>
          <w:i/>
          <w:iCs/>
          <w:lang w:val="fr-FR"/>
        </w:rPr>
        <w:tab/>
        <w:t xml:space="preserve">Le terme « mettre à disposition » signifie que les fabricants et les distributeurs ultérieurs </w:t>
      </w:r>
      <w:r w:rsidR="00336A32" w:rsidRPr="00076651">
        <w:rPr>
          <w:i/>
          <w:iCs/>
          <w:lang w:val="fr-FR"/>
        </w:rPr>
        <w:t>veillent à ce que</w:t>
      </w:r>
      <w:r w:rsidRPr="00076651">
        <w:rPr>
          <w:i/>
          <w:iCs/>
          <w:lang w:val="fr-FR"/>
        </w:rPr>
        <w:t xml:space="preserve"> le résumé du procès-verbal d’épreuve soit accessible afin que l'expéditeur ou d'autres personnes de la chaîne d'approvisionnement puissent confirmer la conformité.</w:t>
      </w:r>
      <w:r w:rsidRPr="00076651">
        <w:rPr>
          <w:lang w:val="fr-FR"/>
        </w:rPr>
        <w:t> »</w:t>
      </w:r>
    </w:p>
    <w:p w14:paraId="7CA81AF4" w14:textId="5D664C7B" w:rsidR="00B14684" w:rsidRPr="00076651" w:rsidRDefault="00B14684" w:rsidP="002A4B18">
      <w:pPr>
        <w:spacing w:after="120"/>
        <w:ind w:left="1134" w:right="1134"/>
        <w:jc w:val="both"/>
        <w:rPr>
          <w:i/>
          <w:iCs/>
          <w:lang w:val="fr-FR" w:eastAsia="en-US"/>
        </w:rPr>
      </w:pPr>
      <w:r w:rsidRPr="00076651">
        <w:rPr>
          <w:i/>
          <w:iCs/>
          <w:lang w:val="fr-FR" w:eastAsia="en-US"/>
        </w:rPr>
        <w:t>(Document</w:t>
      </w:r>
      <w:r w:rsidR="002A4B18" w:rsidRPr="00076651">
        <w:rPr>
          <w:i/>
          <w:iCs/>
          <w:lang w:val="fr-FR" w:eastAsia="en-US"/>
        </w:rPr>
        <w:t>s</w:t>
      </w:r>
      <w:r w:rsidRPr="00076651">
        <w:rPr>
          <w:i/>
          <w:iCs/>
          <w:lang w:val="fr-FR" w:eastAsia="en-US"/>
        </w:rPr>
        <w:t xml:space="preserve"> de référence : </w:t>
      </w:r>
      <w:r w:rsidRPr="00076651">
        <w:rPr>
          <w:i/>
          <w:iCs/>
        </w:rPr>
        <w:t>ST/SG/AC.10/C.3/124, annexe I</w:t>
      </w:r>
      <w:r w:rsidR="002A4B18" w:rsidRPr="00076651">
        <w:rPr>
          <w:i/>
          <w:iCs/>
        </w:rPr>
        <w:t xml:space="preserve"> et ST/SG/AC.10/C.3/126, annexe I</w:t>
      </w:r>
      <w:r w:rsidRPr="00076651">
        <w:rPr>
          <w:i/>
          <w:iCs/>
          <w:lang w:val="fr-FR" w:eastAsia="en-US"/>
        </w:rPr>
        <w:t>)</w:t>
      </w:r>
    </w:p>
    <w:p w14:paraId="27AACAAA" w14:textId="77777777" w:rsidR="00F16BEA" w:rsidRPr="00076651" w:rsidRDefault="00F16BEA" w:rsidP="00F16BEA">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3.2, Liste des marchandises dangereuses</w:t>
      </w:r>
    </w:p>
    <w:p w14:paraId="31DAC607" w14:textId="77777777" w:rsidR="00C07D4D" w:rsidRPr="00076651" w:rsidRDefault="00C07D4D" w:rsidP="00C07D4D">
      <w:pPr>
        <w:pStyle w:val="SingleTxtG"/>
        <w:rPr>
          <w:lang w:val="fr-FR"/>
        </w:rPr>
      </w:pPr>
      <w:r w:rsidRPr="00076651">
        <w:rPr>
          <w:lang w:val="fr-FR"/>
        </w:rPr>
        <w:t>Pour les Nos ONU 0012 et 0014, dans la colonne (9), ajouter « PP98 » au regard de P130.</w:t>
      </w:r>
    </w:p>
    <w:p w14:paraId="5C74868E"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5E2DA988" w14:textId="77777777" w:rsidR="00F16BEA" w:rsidRPr="00076651" w:rsidRDefault="00F16BEA" w:rsidP="00F16BEA">
      <w:pPr>
        <w:pStyle w:val="SingleTxtG"/>
        <w:rPr>
          <w:lang w:val="fr-FR"/>
        </w:rPr>
      </w:pPr>
      <w:r w:rsidRPr="00076651">
        <w:rPr>
          <w:rFonts w:eastAsiaTheme="minorHAnsi"/>
          <w:lang w:val="fr-FR" w:eastAsia="en-US"/>
        </w:rPr>
        <w:lastRenderedPageBreak/>
        <w:t xml:space="preserve">Pour les Nos ONU </w:t>
      </w:r>
      <w:r w:rsidRPr="00076651">
        <w:rPr>
          <w:lang w:val="fr-FR"/>
        </w:rPr>
        <w:t xml:space="preserve">1040, 1041 et 3300, </w:t>
      </w:r>
      <w:r w:rsidRPr="00076651">
        <w:rPr>
          <w:rFonts w:eastAsiaTheme="minorHAnsi"/>
          <w:lang w:val="fr-FR" w:eastAsia="en-US"/>
        </w:rPr>
        <w:t>dans la colonne (4), ajouter « 8 ».</w:t>
      </w:r>
    </w:p>
    <w:p w14:paraId="4797D9FD"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3F5E4BC8" w14:textId="77777777" w:rsidR="008144FC" w:rsidRPr="00076651" w:rsidRDefault="008144FC" w:rsidP="008144FC">
      <w:pPr>
        <w:pStyle w:val="SingleTxtG"/>
        <w:rPr>
          <w:lang w:val="fr-FR"/>
        </w:rPr>
      </w:pPr>
      <w:r w:rsidRPr="00076651">
        <w:rPr>
          <w:rFonts w:eastAsiaTheme="minorHAnsi"/>
          <w:lang w:val="fr-FR" w:eastAsia="en-US"/>
        </w:rPr>
        <w:t xml:space="preserve">Pour les Nos ONU </w:t>
      </w:r>
      <w:r w:rsidRPr="00076651">
        <w:rPr>
          <w:lang w:val="fr-FR"/>
        </w:rPr>
        <w:t xml:space="preserve">1075 et 1965, </w:t>
      </w:r>
      <w:r w:rsidRPr="00076651">
        <w:rPr>
          <w:rFonts w:eastAsiaTheme="minorHAnsi"/>
          <w:lang w:val="fr-FR" w:eastAsia="en-US"/>
        </w:rPr>
        <w:t>dans la colonne (6), ajouter « 412 ».</w:t>
      </w:r>
    </w:p>
    <w:p w14:paraId="08B6573E"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26A87E9C" w14:textId="77777777" w:rsidR="00F16BEA" w:rsidRPr="00076651" w:rsidRDefault="00F16BEA" w:rsidP="00BC0E36">
      <w:pPr>
        <w:pStyle w:val="SingleTxtG"/>
        <w:rPr>
          <w:lang w:val="fr-FR"/>
        </w:rPr>
      </w:pPr>
      <w:r w:rsidRPr="00076651">
        <w:rPr>
          <w:rFonts w:eastAsiaTheme="minorHAnsi"/>
          <w:lang w:val="fr-FR" w:eastAsia="en-US"/>
        </w:rPr>
        <w:t xml:space="preserve">Pour le No ONU </w:t>
      </w:r>
      <w:r w:rsidRPr="00076651">
        <w:rPr>
          <w:lang w:val="fr-FR"/>
        </w:rPr>
        <w:t xml:space="preserve">1727, </w:t>
      </w:r>
      <w:r w:rsidRPr="00076651">
        <w:rPr>
          <w:rFonts w:eastAsiaTheme="minorHAnsi"/>
          <w:lang w:val="fr-FR" w:eastAsia="en-US"/>
        </w:rPr>
        <w:t>dans la colonne (4), ajouter « 6.1 ».</w:t>
      </w:r>
    </w:p>
    <w:p w14:paraId="25F12BE4"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142EAD34" w14:textId="77777777" w:rsidR="00F16BEA" w:rsidRPr="00076651" w:rsidRDefault="00F16BEA" w:rsidP="00BC0E36">
      <w:pPr>
        <w:pStyle w:val="SingleTxtG"/>
        <w:rPr>
          <w:lang w:val="fr-FR"/>
        </w:rPr>
      </w:pPr>
      <w:r w:rsidRPr="00076651">
        <w:rPr>
          <w:rFonts w:eastAsiaTheme="minorHAnsi"/>
          <w:lang w:val="fr-FR" w:eastAsia="en-US"/>
        </w:rPr>
        <w:t xml:space="preserve">Pour le No ONU </w:t>
      </w:r>
      <w:r w:rsidRPr="00076651">
        <w:rPr>
          <w:lang w:val="fr-FR"/>
        </w:rPr>
        <w:t xml:space="preserve">2020, </w:t>
      </w:r>
      <w:r w:rsidRPr="00076651">
        <w:rPr>
          <w:rFonts w:eastAsiaTheme="minorHAnsi"/>
          <w:lang w:val="fr-FR" w:eastAsia="en-US"/>
        </w:rPr>
        <w:t>dans la colonne (2), modifier la désignation pour lire « CHLOROPHÉNOLS TOXIQUES, SOLIDES, N.S.A. » [et dans la colonne (6), ajouter « 274 »].</w:t>
      </w:r>
    </w:p>
    <w:p w14:paraId="2A2160B0"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5E463B51" w14:textId="77777777" w:rsidR="00F16BEA" w:rsidRPr="00076651" w:rsidRDefault="00F16BEA" w:rsidP="00BC0E36">
      <w:pPr>
        <w:pStyle w:val="SingleTxtG"/>
        <w:rPr>
          <w:lang w:val="fr-FR"/>
        </w:rPr>
      </w:pPr>
      <w:r w:rsidRPr="00076651">
        <w:rPr>
          <w:rFonts w:eastAsiaTheme="minorHAnsi"/>
          <w:lang w:val="fr-FR" w:eastAsia="en-US"/>
        </w:rPr>
        <w:t xml:space="preserve">Pour le No ONU </w:t>
      </w:r>
      <w:r w:rsidRPr="00076651">
        <w:rPr>
          <w:lang w:val="fr-FR"/>
        </w:rPr>
        <w:t xml:space="preserve">2021, </w:t>
      </w:r>
      <w:r w:rsidRPr="00076651">
        <w:rPr>
          <w:rFonts w:eastAsiaTheme="minorHAnsi"/>
          <w:lang w:val="fr-FR" w:eastAsia="en-US"/>
        </w:rPr>
        <w:t>dans la colonne (2), modifier la désignation pour lire « CHLOROPHÉNOLS TOXIQUES, LIQUIDES, N.S.A. » [et dans la colonne (6), ajouter « 274 »].</w:t>
      </w:r>
    </w:p>
    <w:p w14:paraId="068FD7A7"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10C78C33" w14:textId="77777777" w:rsidR="00F16BEA" w:rsidRPr="00076651" w:rsidRDefault="00F16BEA" w:rsidP="00BC0E36">
      <w:pPr>
        <w:pStyle w:val="SingleTxtG"/>
        <w:rPr>
          <w:lang w:val="fr-FR"/>
        </w:rPr>
      </w:pPr>
      <w:r w:rsidRPr="00076651">
        <w:rPr>
          <w:rFonts w:eastAsiaTheme="minorHAnsi"/>
          <w:lang w:val="fr-FR" w:eastAsia="en-US"/>
        </w:rPr>
        <w:t xml:space="preserve">Pour le No ONU </w:t>
      </w:r>
      <w:r w:rsidRPr="00076651">
        <w:rPr>
          <w:lang w:val="fr-FR"/>
        </w:rPr>
        <w:t xml:space="preserve">2029, </w:t>
      </w:r>
      <w:r w:rsidRPr="00076651">
        <w:rPr>
          <w:rFonts w:eastAsiaTheme="minorHAnsi"/>
          <w:lang w:val="fr-FR" w:eastAsia="en-US"/>
        </w:rPr>
        <w:t>dans la colonne (6), ajouter « 132 » et dans la colonne (9), ajouter « PP5 » en regard de « P001 ».</w:t>
      </w:r>
    </w:p>
    <w:p w14:paraId="27656705"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74950BBF" w14:textId="77777777" w:rsidR="00243FBE" w:rsidRPr="00076651" w:rsidRDefault="00243FBE" w:rsidP="00243FBE">
      <w:pPr>
        <w:pStyle w:val="SingleTxtG"/>
        <w:rPr>
          <w:rStyle w:val="jlqj4b"/>
          <w:lang w:val="fr-FR"/>
        </w:rPr>
      </w:pPr>
      <w:r w:rsidRPr="00076651">
        <w:rPr>
          <w:lang w:val="fr-FR"/>
        </w:rPr>
        <w:t xml:space="preserve">Pour le </w:t>
      </w:r>
      <w:r w:rsidRPr="00076651">
        <w:rPr>
          <w:rFonts w:eastAsiaTheme="minorHAnsi"/>
          <w:lang w:val="fr-FR" w:eastAsia="en-US"/>
        </w:rPr>
        <w:t xml:space="preserve">No </w:t>
      </w:r>
      <w:r w:rsidRPr="00076651">
        <w:rPr>
          <w:lang w:val="fr-FR"/>
        </w:rPr>
        <w:t xml:space="preserve">ONU 2735, groupe d’emballage II, </w:t>
      </w:r>
      <w:r w:rsidRPr="00076651">
        <w:rPr>
          <w:rFonts w:eastAsiaTheme="minorHAnsi"/>
          <w:lang w:val="fr-FR" w:eastAsia="en-US"/>
        </w:rPr>
        <w:t>dans la colonne (11), remplacer « </w:t>
      </w:r>
      <w:r w:rsidRPr="00076651">
        <w:rPr>
          <w:lang w:val="fr-FR"/>
        </w:rPr>
        <w:t>TP1 » par « TP2 ».</w:t>
      </w:r>
    </w:p>
    <w:p w14:paraId="49211161"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6E4B953D" w14:textId="77777777" w:rsidR="00243FBE" w:rsidRPr="00076651" w:rsidRDefault="00243FBE" w:rsidP="00EE67D8">
      <w:pPr>
        <w:pStyle w:val="SingleTxtG"/>
        <w:rPr>
          <w:rFonts w:eastAsiaTheme="minorHAnsi"/>
          <w:lang w:val="fr-FR" w:eastAsia="en-US"/>
        </w:rPr>
      </w:pPr>
      <w:r w:rsidRPr="00076651">
        <w:rPr>
          <w:rFonts w:eastAsiaTheme="minorHAnsi"/>
          <w:lang w:val="fr-FR" w:eastAsia="en-US"/>
        </w:rPr>
        <w:t>Pour les Nos ONU 2857 et 3358, dans la colonne (2), après « MACHINES FRIGORIFIQUES » ajouter « ou DISPOSITIFS DE CHAUFFAGE ».</w:t>
      </w:r>
    </w:p>
    <w:p w14:paraId="56208F3E"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4941DBB6" w14:textId="77777777" w:rsidR="00243FBE" w:rsidRPr="00076651" w:rsidRDefault="00243FBE" w:rsidP="00EE67D8">
      <w:pPr>
        <w:pStyle w:val="SingleTxtG"/>
        <w:rPr>
          <w:lang w:val="fr-FR"/>
        </w:rPr>
      </w:pPr>
      <w:r w:rsidRPr="00076651">
        <w:rPr>
          <w:rFonts w:eastAsiaTheme="minorHAnsi"/>
          <w:lang w:val="fr-FR" w:eastAsia="en-US"/>
        </w:rPr>
        <w:t xml:space="preserve">Pour le No ONU </w:t>
      </w:r>
      <w:r w:rsidRPr="00076651">
        <w:rPr>
          <w:lang w:val="fr-FR"/>
        </w:rPr>
        <w:t xml:space="preserve">2956, </w:t>
      </w:r>
      <w:r w:rsidRPr="00076651">
        <w:rPr>
          <w:rFonts w:eastAsiaTheme="minorHAnsi"/>
          <w:lang w:val="fr-FR" w:eastAsia="en-US"/>
        </w:rPr>
        <w:t>dans la colonne (7a), remplacer « 5 kg » par « 0 ».</w:t>
      </w:r>
    </w:p>
    <w:p w14:paraId="39CCA4EE"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773B4DBB" w14:textId="77777777" w:rsidR="00243FBE" w:rsidRPr="00076651" w:rsidRDefault="00243FBE" w:rsidP="00EE67D8">
      <w:pPr>
        <w:pStyle w:val="SingleTxtG"/>
        <w:rPr>
          <w:rFonts w:eastAsiaTheme="minorHAnsi"/>
          <w:lang w:val="fr-FR" w:eastAsia="en-US"/>
        </w:rPr>
      </w:pPr>
      <w:r w:rsidRPr="00076651">
        <w:rPr>
          <w:rFonts w:eastAsiaTheme="minorHAnsi"/>
          <w:lang w:val="fr-FR" w:eastAsia="en-US"/>
        </w:rPr>
        <w:t>Pour le No ONU 3536, modifier la désignation dans la colonne (2) pour lire « </w:t>
      </w:r>
      <w:r w:rsidRPr="00076651">
        <w:rPr>
          <w:lang w:val="fr-FR"/>
        </w:rPr>
        <w:t>BATTERIES AU LITHIUM INSTALLÉES DANS DES ENGINS DE TRANSPORT ou ACCUMULATEURS AU SODIUM IONIQUE INSTALLÉS DANS DES ENGINS DE TRANSPORT, batteries au lithium ionique, batteries au lithium métal ou accumulateurs au sodium ionique ».</w:t>
      </w:r>
    </w:p>
    <w:p w14:paraId="776C2397"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6B500799" w14:textId="77777777" w:rsidR="00F16BEA" w:rsidRPr="00076651" w:rsidRDefault="00F16BEA" w:rsidP="00EE67D8">
      <w:pPr>
        <w:pStyle w:val="SingleTxtG"/>
        <w:rPr>
          <w:lang w:val="fr-FR"/>
        </w:rPr>
      </w:pPr>
      <w:r w:rsidRPr="00076651">
        <w:rPr>
          <w:rFonts w:eastAsiaTheme="minorHAnsi"/>
          <w:lang w:val="fr-FR" w:eastAsia="en-US"/>
        </w:rPr>
        <w:t xml:space="preserve">Pour les Nos ONU </w:t>
      </w:r>
      <w:r w:rsidRPr="00076651">
        <w:rPr>
          <w:lang w:val="fr-FR"/>
        </w:rPr>
        <w:t xml:space="preserve">3480, 3481, 3551 et 3552, </w:t>
      </w:r>
      <w:r w:rsidRPr="00076651">
        <w:rPr>
          <w:rFonts w:eastAsiaTheme="minorHAnsi"/>
          <w:lang w:val="fr-FR" w:eastAsia="en-US"/>
        </w:rPr>
        <w:t>dans la colonne (6), ajouter « 410 ».</w:t>
      </w:r>
    </w:p>
    <w:p w14:paraId="296B0764"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2AE99CDA" w14:textId="77777777" w:rsidR="00C822DB" w:rsidRPr="00076651" w:rsidRDefault="00C822DB" w:rsidP="00C822DB">
      <w:pPr>
        <w:pStyle w:val="SingleTxtG"/>
        <w:rPr>
          <w:lang w:val="fr-FR"/>
        </w:rPr>
      </w:pPr>
      <w:r w:rsidRPr="00076651">
        <w:rPr>
          <w:rFonts w:eastAsiaTheme="minorHAnsi"/>
          <w:lang w:val="fr-FR" w:eastAsia="en-US"/>
        </w:rPr>
        <w:t xml:space="preserve">Pour le No ONU </w:t>
      </w:r>
      <w:r w:rsidRPr="00076651">
        <w:rPr>
          <w:lang w:val="fr-FR"/>
        </w:rPr>
        <w:t xml:space="preserve">3538, </w:t>
      </w:r>
      <w:r w:rsidRPr="00076651">
        <w:rPr>
          <w:rFonts w:eastAsiaTheme="minorHAnsi"/>
          <w:lang w:val="fr-FR" w:eastAsia="en-US"/>
        </w:rPr>
        <w:t>dans la colonne (6), ajouter « 411 ».</w:t>
      </w:r>
    </w:p>
    <w:p w14:paraId="5F330FFD" w14:textId="77777777" w:rsidR="00C822DB" w:rsidRPr="00076651" w:rsidRDefault="00C822DB" w:rsidP="00C822DB">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5C7D87BB" w14:textId="77777777" w:rsidR="00F16BEA" w:rsidRPr="00076651" w:rsidRDefault="00F16BEA" w:rsidP="00BC0E36">
      <w:pPr>
        <w:tabs>
          <w:tab w:val="left" w:pos="1701"/>
          <w:tab w:val="left" w:pos="2268"/>
          <w:tab w:val="left" w:pos="2835"/>
        </w:tabs>
        <w:spacing w:after="120"/>
        <w:ind w:left="1134" w:right="1134"/>
        <w:jc w:val="both"/>
        <w:rPr>
          <w:rFonts w:eastAsiaTheme="minorHAnsi"/>
          <w:lang w:val="fr-FR" w:eastAsia="en-US"/>
        </w:rPr>
      </w:pPr>
      <w:r w:rsidRPr="00076651">
        <w:rPr>
          <w:rFonts w:eastAsiaTheme="minorHAnsi"/>
          <w:iCs/>
          <w:lang w:val="fr-FR" w:eastAsia="en-US"/>
        </w:rPr>
        <w:t>Ajouter les nouvelles rubriques suivantes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
        <w:gridCol w:w="2886"/>
        <w:gridCol w:w="637"/>
        <w:gridCol w:w="637"/>
        <w:gridCol w:w="427"/>
        <w:gridCol w:w="708"/>
        <w:gridCol w:w="567"/>
        <w:gridCol w:w="426"/>
        <w:gridCol w:w="850"/>
        <w:gridCol w:w="845"/>
        <w:gridCol w:w="573"/>
        <w:gridCol w:w="702"/>
      </w:tblGrid>
      <w:tr w:rsidR="00F16BEA" w:rsidRPr="00076651" w14:paraId="4858DDBC" w14:textId="77777777" w:rsidTr="00076651">
        <w:trPr>
          <w:cantSplit/>
          <w:tblHeader/>
          <w:jc w:val="center"/>
        </w:trPr>
        <w:tc>
          <w:tcPr>
            <w:tcW w:w="370" w:type="dxa"/>
          </w:tcPr>
          <w:p w14:paraId="56CCF6C3" w14:textId="77777777" w:rsidR="00F16BEA" w:rsidRPr="00076651" w:rsidRDefault="00F16BEA" w:rsidP="00076651">
            <w:pPr>
              <w:widowControl w:val="0"/>
              <w:spacing w:before="60" w:after="60" w:line="240" w:lineRule="auto"/>
              <w:jc w:val="center"/>
              <w:rPr>
                <w:rFonts w:eastAsiaTheme="minorHAnsi"/>
                <w:sz w:val="18"/>
                <w:szCs w:val="18"/>
                <w:lang w:val="fr-FR" w:eastAsia="en-US"/>
              </w:rPr>
            </w:pPr>
            <w:r w:rsidRPr="00076651">
              <w:rPr>
                <w:rFonts w:eastAsiaTheme="minorHAnsi"/>
                <w:b/>
                <w:bCs/>
                <w:sz w:val="16"/>
                <w:szCs w:val="16"/>
                <w:lang w:val="fr-FR" w:eastAsia="en-US"/>
              </w:rPr>
              <w:t>(1)</w:t>
            </w:r>
          </w:p>
        </w:tc>
        <w:tc>
          <w:tcPr>
            <w:tcW w:w="2886" w:type="dxa"/>
            <w:vAlign w:val="bottom"/>
          </w:tcPr>
          <w:p w14:paraId="10236AEA" w14:textId="77777777" w:rsidR="00F16BEA" w:rsidRPr="00076651" w:rsidRDefault="00F16BEA" w:rsidP="00076651">
            <w:pPr>
              <w:widowControl w:val="0"/>
              <w:spacing w:before="60" w:after="60" w:line="240" w:lineRule="auto"/>
              <w:ind w:left="6" w:right="6"/>
              <w:jc w:val="center"/>
              <w:rPr>
                <w:rFonts w:eastAsiaTheme="minorHAnsi"/>
                <w:sz w:val="18"/>
                <w:szCs w:val="18"/>
                <w:lang w:val="fr-FR" w:eastAsia="en-US"/>
              </w:rPr>
            </w:pPr>
            <w:r w:rsidRPr="00076651">
              <w:rPr>
                <w:rFonts w:eastAsiaTheme="minorHAnsi"/>
                <w:b/>
                <w:bCs/>
                <w:sz w:val="16"/>
                <w:szCs w:val="16"/>
                <w:lang w:val="fr-FR" w:eastAsia="en-US"/>
              </w:rPr>
              <w:t>(2)</w:t>
            </w:r>
          </w:p>
        </w:tc>
        <w:tc>
          <w:tcPr>
            <w:tcW w:w="637" w:type="dxa"/>
            <w:vAlign w:val="bottom"/>
          </w:tcPr>
          <w:p w14:paraId="39C93ED7" w14:textId="77777777" w:rsidR="00F16BEA" w:rsidRPr="00076651" w:rsidRDefault="00F16BEA" w:rsidP="00076651">
            <w:pPr>
              <w:widowControl w:val="0"/>
              <w:spacing w:before="60" w:after="60" w:line="240" w:lineRule="auto"/>
              <w:ind w:left="127" w:right="126"/>
              <w:jc w:val="center"/>
              <w:rPr>
                <w:rFonts w:eastAsiaTheme="minorHAnsi"/>
                <w:sz w:val="18"/>
                <w:szCs w:val="18"/>
                <w:lang w:val="fr-FR" w:eastAsia="en-US"/>
              </w:rPr>
            </w:pPr>
            <w:r w:rsidRPr="00076651">
              <w:rPr>
                <w:rFonts w:eastAsiaTheme="minorHAnsi"/>
                <w:b/>
                <w:bCs/>
                <w:sz w:val="16"/>
                <w:szCs w:val="16"/>
                <w:lang w:val="fr-FR" w:eastAsia="en-US"/>
              </w:rPr>
              <w:t>(3)</w:t>
            </w:r>
          </w:p>
        </w:tc>
        <w:tc>
          <w:tcPr>
            <w:tcW w:w="637" w:type="dxa"/>
            <w:vAlign w:val="bottom"/>
          </w:tcPr>
          <w:p w14:paraId="787CA1E8" w14:textId="77777777" w:rsidR="00F16BEA" w:rsidRPr="00076651" w:rsidRDefault="00F16BEA" w:rsidP="00076651">
            <w:pPr>
              <w:widowControl w:val="0"/>
              <w:spacing w:before="60" w:after="60" w:line="240" w:lineRule="auto"/>
              <w:ind w:left="107" w:right="107"/>
              <w:jc w:val="center"/>
              <w:rPr>
                <w:rFonts w:eastAsiaTheme="minorHAnsi"/>
                <w:b/>
                <w:sz w:val="18"/>
                <w:szCs w:val="18"/>
                <w:lang w:val="fr-FR" w:eastAsia="en-US"/>
              </w:rPr>
            </w:pPr>
            <w:r w:rsidRPr="00076651">
              <w:rPr>
                <w:rFonts w:eastAsiaTheme="minorHAnsi"/>
                <w:b/>
                <w:bCs/>
                <w:sz w:val="16"/>
                <w:szCs w:val="16"/>
                <w:lang w:val="fr-FR" w:eastAsia="en-US"/>
              </w:rPr>
              <w:t>(4)</w:t>
            </w:r>
          </w:p>
        </w:tc>
        <w:tc>
          <w:tcPr>
            <w:tcW w:w="427" w:type="dxa"/>
            <w:vAlign w:val="bottom"/>
          </w:tcPr>
          <w:p w14:paraId="605C3F62" w14:textId="77777777" w:rsidR="00F16BEA" w:rsidRPr="00076651" w:rsidRDefault="00F16BEA" w:rsidP="00076651">
            <w:pPr>
              <w:widowControl w:val="0"/>
              <w:spacing w:before="60" w:after="60" w:line="240" w:lineRule="auto"/>
              <w:ind w:left="67" w:right="67"/>
              <w:jc w:val="center"/>
              <w:rPr>
                <w:rFonts w:eastAsiaTheme="minorHAnsi"/>
                <w:bCs/>
                <w:sz w:val="18"/>
                <w:szCs w:val="18"/>
                <w:lang w:val="fr-FR" w:eastAsia="en-US"/>
              </w:rPr>
            </w:pPr>
            <w:r w:rsidRPr="00076651">
              <w:rPr>
                <w:rFonts w:eastAsiaTheme="minorHAnsi"/>
                <w:b/>
                <w:bCs/>
                <w:sz w:val="16"/>
                <w:szCs w:val="16"/>
                <w:lang w:val="fr-FR" w:eastAsia="en-US"/>
              </w:rPr>
              <w:t>(5)</w:t>
            </w:r>
          </w:p>
        </w:tc>
        <w:tc>
          <w:tcPr>
            <w:tcW w:w="708" w:type="dxa"/>
            <w:vAlign w:val="bottom"/>
          </w:tcPr>
          <w:p w14:paraId="4DF8876A" w14:textId="77777777" w:rsidR="00F16BEA" w:rsidRPr="00076651" w:rsidRDefault="00F16BEA" w:rsidP="00076651">
            <w:pPr>
              <w:widowControl w:val="0"/>
              <w:spacing w:before="60" w:after="60" w:line="240" w:lineRule="auto"/>
              <w:ind w:left="106" w:right="102"/>
              <w:jc w:val="center"/>
              <w:rPr>
                <w:rFonts w:eastAsiaTheme="minorHAnsi"/>
                <w:b/>
                <w:sz w:val="18"/>
                <w:szCs w:val="18"/>
                <w:lang w:val="fr-FR" w:eastAsia="en-US"/>
              </w:rPr>
            </w:pPr>
            <w:r w:rsidRPr="00076651">
              <w:rPr>
                <w:rFonts w:eastAsiaTheme="minorHAnsi"/>
                <w:b/>
                <w:bCs/>
                <w:sz w:val="16"/>
                <w:szCs w:val="16"/>
                <w:lang w:val="fr-FR" w:eastAsia="en-US"/>
              </w:rPr>
              <w:t>(6)</w:t>
            </w:r>
          </w:p>
        </w:tc>
        <w:tc>
          <w:tcPr>
            <w:tcW w:w="567" w:type="dxa"/>
            <w:vAlign w:val="bottom"/>
          </w:tcPr>
          <w:p w14:paraId="526FCE2A" w14:textId="77777777" w:rsidR="00F16BEA" w:rsidRPr="00076651" w:rsidRDefault="00F16BEA" w:rsidP="00076651">
            <w:pPr>
              <w:widowControl w:val="0"/>
              <w:spacing w:before="60" w:after="60" w:line="240" w:lineRule="auto"/>
              <w:ind w:left="-15" w:right="16"/>
              <w:jc w:val="center"/>
              <w:rPr>
                <w:rFonts w:eastAsiaTheme="minorHAnsi"/>
                <w:sz w:val="18"/>
                <w:szCs w:val="18"/>
                <w:lang w:val="fr-FR" w:eastAsia="en-US"/>
              </w:rPr>
            </w:pPr>
            <w:r w:rsidRPr="00076651">
              <w:rPr>
                <w:rFonts w:eastAsiaTheme="minorHAnsi"/>
                <w:b/>
                <w:bCs/>
                <w:spacing w:val="-5"/>
                <w:sz w:val="16"/>
                <w:szCs w:val="16"/>
                <w:lang w:val="fr-FR" w:eastAsia="en-US"/>
              </w:rPr>
              <w:t>(7a)</w:t>
            </w:r>
          </w:p>
        </w:tc>
        <w:tc>
          <w:tcPr>
            <w:tcW w:w="426" w:type="dxa"/>
            <w:vAlign w:val="bottom"/>
          </w:tcPr>
          <w:p w14:paraId="2645073D" w14:textId="77777777" w:rsidR="00F16BEA" w:rsidRPr="00076651" w:rsidRDefault="00F16BEA" w:rsidP="00076651">
            <w:pPr>
              <w:widowControl w:val="0"/>
              <w:spacing w:before="60" w:after="60" w:line="240" w:lineRule="auto"/>
              <w:jc w:val="center"/>
              <w:rPr>
                <w:rFonts w:eastAsiaTheme="minorHAnsi"/>
                <w:sz w:val="18"/>
                <w:szCs w:val="18"/>
                <w:lang w:val="fr-FR" w:eastAsia="en-US"/>
              </w:rPr>
            </w:pPr>
            <w:r w:rsidRPr="00076651">
              <w:rPr>
                <w:rFonts w:eastAsiaTheme="minorHAnsi"/>
                <w:b/>
                <w:bCs/>
                <w:sz w:val="16"/>
                <w:szCs w:val="16"/>
                <w:lang w:val="fr-FR" w:eastAsia="en-US"/>
              </w:rPr>
              <w:t>(7b)</w:t>
            </w:r>
          </w:p>
        </w:tc>
        <w:tc>
          <w:tcPr>
            <w:tcW w:w="850" w:type="dxa"/>
            <w:vAlign w:val="bottom"/>
          </w:tcPr>
          <w:p w14:paraId="41336ACE" w14:textId="77777777" w:rsidR="00F16BEA" w:rsidRPr="00076651" w:rsidRDefault="00F16BEA" w:rsidP="00076651">
            <w:pPr>
              <w:widowControl w:val="0"/>
              <w:spacing w:before="60" w:after="60" w:line="240" w:lineRule="auto"/>
              <w:ind w:left="141" w:right="141"/>
              <w:jc w:val="center"/>
              <w:rPr>
                <w:rFonts w:eastAsiaTheme="minorHAnsi"/>
                <w:sz w:val="18"/>
                <w:szCs w:val="18"/>
                <w:lang w:val="fr-FR" w:eastAsia="en-US"/>
              </w:rPr>
            </w:pPr>
            <w:r w:rsidRPr="00076651">
              <w:rPr>
                <w:rFonts w:eastAsiaTheme="minorHAnsi"/>
                <w:b/>
                <w:bCs/>
                <w:sz w:val="16"/>
                <w:szCs w:val="16"/>
                <w:lang w:val="fr-FR" w:eastAsia="en-US"/>
              </w:rPr>
              <w:t>(8)</w:t>
            </w:r>
          </w:p>
        </w:tc>
        <w:tc>
          <w:tcPr>
            <w:tcW w:w="845" w:type="dxa"/>
            <w:vAlign w:val="bottom"/>
          </w:tcPr>
          <w:p w14:paraId="6C952ACA" w14:textId="77777777" w:rsidR="00F16BEA" w:rsidRPr="00076651" w:rsidRDefault="00F16BEA" w:rsidP="00076651">
            <w:pPr>
              <w:widowControl w:val="0"/>
              <w:spacing w:before="60" w:after="60" w:line="240" w:lineRule="auto"/>
              <w:ind w:left="141" w:right="141"/>
              <w:jc w:val="center"/>
              <w:rPr>
                <w:rFonts w:eastAsiaTheme="minorHAnsi"/>
                <w:sz w:val="18"/>
                <w:szCs w:val="18"/>
                <w:lang w:val="fr-FR" w:eastAsia="en-US"/>
              </w:rPr>
            </w:pPr>
            <w:r w:rsidRPr="00076651">
              <w:rPr>
                <w:rFonts w:eastAsiaTheme="minorHAnsi"/>
                <w:b/>
                <w:bCs/>
                <w:sz w:val="16"/>
                <w:szCs w:val="16"/>
                <w:lang w:val="fr-FR" w:eastAsia="en-US"/>
              </w:rPr>
              <w:t>(9)</w:t>
            </w:r>
          </w:p>
        </w:tc>
        <w:tc>
          <w:tcPr>
            <w:tcW w:w="573" w:type="dxa"/>
            <w:vAlign w:val="bottom"/>
          </w:tcPr>
          <w:p w14:paraId="31976BF0" w14:textId="77777777" w:rsidR="00F16BEA" w:rsidRPr="00076651" w:rsidRDefault="00F16BEA" w:rsidP="00076651">
            <w:pPr>
              <w:widowControl w:val="0"/>
              <w:spacing w:before="60" w:after="60" w:line="240" w:lineRule="auto"/>
              <w:ind w:left="141" w:right="141"/>
              <w:jc w:val="center"/>
              <w:rPr>
                <w:rFonts w:eastAsiaTheme="minorHAnsi"/>
                <w:sz w:val="18"/>
                <w:szCs w:val="18"/>
                <w:lang w:val="fr-FR" w:eastAsia="en-US"/>
              </w:rPr>
            </w:pPr>
            <w:r w:rsidRPr="00076651">
              <w:rPr>
                <w:rFonts w:eastAsiaTheme="minorHAnsi"/>
                <w:b/>
                <w:bCs/>
                <w:sz w:val="16"/>
                <w:szCs w:val="16"/>
                <w:lang w:val="fr-FR" w:eastAsia="en-US"/>
              </w:rPr>
              <w:t>(10)</w:t>
            </w:r>
          </w:p>
        </w:tc>
        <w:tc>
          <w:tcPr>
            <w:tcW w:w="702" w:type="dxa"/>
            <w:vAlign w:val="bottom"/>
          </w:tcPr>
          <w:p w14:paraId="1914A70A" w14:textId="77777777" w:rsidR="00F16BEA" w:rsidRPr="00076651" w:rsidRDefault="00F16BEA" w:rsidP="00076651">
            <w:pPr>
              <w:widowControl w:val="0"/>
              <w:spacing w:before="60" w:after="60" w:line="240" w:lineRule="auto"/>
              <w:ind w:left="141" w:right="141"/>
              <w:jc w:val="center"/>
              <w:rPr>
                <w:rFonts w:eastAsiaTheme="minorHAnsi"/>
                <w:sz w:val="18"/>
                <w:szCs w:val="18"/>
                <w:lang w:val="fr-FR" w:eastAsia="en-US"/>
              </w:rPr>
            </w:pPr>
            <w:r w:rsidRPr="00076651">
              <w:rPr>
                <w:rFonts w:eastAsiaTheme="minorHAnsi"/>
                <w:b/>
                <w:bCs/>
                <w:sz w:val="16"/>
                <w:szCs w:val="16"/>
                <w:lang w:val="fr-FR" w:eastAsia="en-US"/>
              </w:rPr>
              <w:t>(11)</w:t>
            </w:r>
          </w:p>
        </w:tc>
      </w:tr>
      <w:tr w:rsidR="00907FF1" w:rsidRPr="00076651" w14:paraId="188E1458" w14:textId="77777777" w:rsidTr="00076651">
        <w:trPr>
          <w:cantSplit/>
          <w:jc w:val="center"/>
        </w:trPr>
        <w:tc>
          <w:tcPr>
            <w:tcW w:w="370" w:type="dxa"/>
          </w:tcPr>
          <w:p w14:paraId="30CD816C" w14:textId="0B934137" w:rsidR="00907FF1" w:rsidRPr="00076651" w:rsidRDefault="00907FF1" w:rsidP="00907FF1">
            <w:pPr>
              <w:widowControl w:val="0"/>
              <w:spacing w:before="60" w:after="60" w:line="240" w:lineRule="auto"/>
              <w:jc w:val="center"/>
              <w:rPr>
                <w:rFonts w:eastAsiaTheme="minorHAnsi"/>
                <w:sz w:val="18"/>
                <w:szCs w:val="18"/>
                <w:lang w:val="fr-FR" w:eastAsia="en-US"/>
              </w:rPr>
            </w:pPr>
            <w:r w:rsidRPr="00076651">
              <w:rPr>
                <w:sz w:val="18"/>
                <w:szCs w:val="18"/>
                <w:lang w:val="fr-FR"/>
              </w:rPr>
              <w:t>2348</w:t>
            </w:r>
          </w:p>
        </w:tc>
        <w:tc>
          <w:tcPr>
            <w:tcW w:w="2886" w:type="dxa"/>
          </w:tcPr>
          <w:p w14:paraId="56EAC6FA" w14:textId="2B39A2D7" w:rsidR="00907FF1" w:rsidRPr="00076651" w:rsidRDefault="00907FF1" w:rsidP="00907FF1">
            <w:pPr>
              <w:widowControl w:val="0"/>
              <w:spacing w:before="60" w:after="60" w:line="240" w:lineRule="auto"/>
              <w:ind w:left="6" w:right="6"/>
              <w:rPr>
                <w:sz w:val="18"/>
                <w:szCs w:val="18"/>
                <w:lang w:val="en-GB"/>
              </w:rPr>
            </w:pPr>
            <w:r w:rsidRPr="00076651">
              <w:rPr>
                <w:sz w:val="18"/>
                <w:szCs w:val="18"/>
                <w:lang w:val="fr-FR"/>
              </w:rPr>
              <w:t>ACRYLATES DE BUTYLE STABILISÉS</w:t>
            </w:r>
          </w:p>
        </w:tc>
        <w:tc>
          <w:tcPr>
            <w:tcW w:w="637" w:type="dxa"/>
          </w:tcPr>
          <w:p w14:paraId="07E04E40" w14:textId="5D28CCFF" w:rsidR="00907FF1" w:rsidRPr="00076651" w:rsidRDefault="00907FF1" w:rsidP="00907FF1">
            <w:pPr>
              <w:widowControl w:val="0"/>
              <w:spacing w:before="60" w:after="60" w:line="240" w:lineRule="auto"/>
              <w:ind w:left="127" w:right="126"/>
              <w:jc w:val="center"/>
              <w:rPr>
                <w:sz w:val="18"/>
                <w:szCs w:val="18"/>
                <w:lang w:val="en-GB"/>
              </w:rPr>
            </w:pPr>
            <w:r w:rsidRPr="00076651">
              <w:rPr>
                <w:sz w:val="18"/>
                <w:szCs w:val="18"/>
                <w:lang w:val="fr-FR"/>
              </w:rPr>
              <w:t>3</w:t>
            </w:r>
          </w:p>
        </w:tc>
        <w:tc>
          <w:tcPr>
            <w:tcW w:w="637" w:type="dxa"/>
          </w:tcPr>
          <w:p w14:paraId="4326902B" w14:textId="77777777" w:rsidR="00907FF1" w:rsidRPr="00076651" w:rsidRDefault="00907FF1" w:rsidP="00907FF1">
            <w:pPr>
              <w:widowControl w:val="0"/>
              <w:spacing w:before="60" w:after="60" w:line="240" w:lineRule="auto"/>
              <w:ind w:left="107" w:right="107"/>
              <w:jc w:val="center"/>
              <w:rPr>
                <w:rFonts w:eastAsiaTheme="minorHAnsi"/>
                <w:sz w:val="18"/>
                <w:szCs w:val="18"/>
                <w:lang w:val="fr-FR" w:eastAsia="en-US"/>
              </w:rPr>
            </w:pPr>
          </w:p>
        </w:tc>
        <w:tc>
          <w:tcPr>
            <w:tcW w:w="427" w:type="dxa"/>
          </w:tcPr>
          <w:p w14:paraId="39758DD3" w14:textId="014D4A00" w:rsidR="00907FF1" w:rsidRPr="00076651" w:rsidRDefault="00907FF1" w:rsidP="00907FF1">
            <w:pPr>
              <w:widowControl w:val="0"/>
              <w:spacing w:before="60" w:after="60" w:line="240" w:lineRule="auto"/>
              <w:ind w:left="67" w:right="67"/>
              <w:jc w:val="center"/>
              <w:rPr>
                <w:rFonts w:eastAsiaTheme="minorHAnsi"/>
                <w:sz w:val="18"/>
                <w:szCs w:val="18"/>
                <w:lang w:val="fr-FR" w:eastAsia="en-US"/>
              </w:rPr>
            </w:pPr>
            <w:r w:rsidRPr="00076651">
              <w:rPr>
                <w:rFonts w:eastAsiaTheme="minorHAnsi"/>
                <w:sz w:val="18"/>
                <w:szCs w:val="18"/>
                <w:lang w:val="fr-FR" w:eastAsia="en-US"/>
              </w:rPr>
              <w:t>II</w:t>
            </w:r>
          </w:p>
        </w:tc>
        <w:tc>
          <w:tcPr>
            <w:tcW w:w="708" w:type="dxa"/>
          </w:tcPr>
          <w:p w14:paraId="6DCEA713" w14:textId="0D1CA30B" w:rsidR="00907FF1" w:rsidRPr="00076651" w:rsidRDefault="00907FF1" w:rsidP="00907FF1">
            <w:pPr>
              <w:widowControl w:val="0"/>
              <w:spacing w:before="60" w:after="60" w:line="240" w:lineRule="auto"/>
              <w:ind w:left="106" w:right="102"/>
              <w:jc w:val="center"/>
              <w:rPr>
                <w:sz w:val="18"/>
                <w:szCs w:val="18"/>
                <w:lang w:val="en-GB"/>
              </w:rPr>
            </w:pPr>
            <w:r w:rsidRPr="00076651">
              <w:rPr>
                <w:sz w:val="18"/>
                <w:szCs w:val="18"/>
                <w:lang w:val="fr-FR"/>
              </w:rPr>
              <w:t>386</w:t>
            </w:r>
          </w:p>
        </w:tc>
        <w:tc>
          <w:tcPr>
            <w:tcW w:w="567" w:type="dxa"/>
          </w:tcPr>
          <w:p w14:paraId="2BEC726C" w14:textId="1EA78396" w:rsidR="00907FF1" w:rsidRPr="00076651" w:rsidRDefault="00907FF1" w:rsidP="00907FF1">
            <w:pPr>
              <w:widowControl w:val="0"/>
              <w:spacing w:before="60" w:after="60" w:line="240" w:lineRule="auto"/>
              <w:ind w:left="-15" w:right="16"/>
              <w:jc w:val="center"/>
              <w:rPr>
                <w:sz w:val="18"/>
                <w:szCs w:val="18"/>
                <w:lang w:val="en-GB"/>
              </w:rPr>
            </w:pPr>
            <w:r w:rsidRPr="00076651">
              <w:rPr>
                <w:sz w:val="18"/>
                <w:szCs w:val="18"/>
                <w:lang w:val="fr-FR"/>
              </w:rPr>
              <w:t>1 L</w:t>
            </w:r>
          </w:p>
        </w:tc>
        <w:tc>
          <w:tcPr>
            <w:tcW w:w="426" w:type="dxa"/>
          </w:tcPr>
          <w:p w14:paraId="28EE7014" w14:textId="1B6FE561" w:rsidR="00907FF1" w:rsidRPr="00076651" w:rsidRDefault="00907FF1" w:rsidP="00907FF1">
            <w:pPr>
              <w:widowControl w:val="0"/>
              <w:spacing w:before="60" w:after="60" w:line="240" w:lineRule="auto"/>
              <w:jc w:val="center"/>
              <w:rPr>
                <w:sz w:val="18"/>
                <w:szCs w:val="18"/>
                <w:lang w:val="en-GB"/>
              </w:rPr>
            </w:pPr>
            <w:r w:rsidRPr="00076651">
              <w:rPr>
                <w:sz w:val="18"/>
                <w:szCs w:val="18"/>
                <w:lang w:val="fr-FR"/>
              </w:rPr>
              <w:t>E2</w:t>
            </w:r>
          </w:p>
        </w:tc>
        <w:tc>
          <w:tcPr>
            <w:tcW w:w="850" w:type="dxa"/>
          </w:tcPr>
          <w:p w14:paraId="5E4E76BF" w14:textId="2EBF67D5" w:rsidR="00907FF1" w:rsidRPr="00076651" w:rsidRDefault="00907FF1" w:rsidP="00907FF1">
            <w:pPr>
              <w:widowControl w:val="0"/>
              <w:spacing w:before="60" w:after="60" w:line="240" w:lineRule="auto"/>
              <w:ind w:left="141" w:right="141"/>
              <w:jc w:val="center"/>
              <w:rPr>
                <w:sz w:val="18"/>
                <w:szCs w:val="18"/>
                <w:lang w:val="en-GB"/>
              </w:rPr>
            </w:pPr>
            <w:r w:rsidRPr="00076651">
              <w:rPr>
                <w:sz w:val="18"/>
                <w:szCs w:val="18"/>
                <w:lang w:val="fr-FR"/>
              </w:rPr>
              <w:t>P001</w:t>
            </w:r>
            <w:r w:rsidRPr="00076651">
              <w:rPr>
                <w:sz w:val="18"/>
                <w:szCs w:val="18"/>
                <w:lang w:val="fr-FR"/>
              </w:rPr>
              <w:br/>
            </w:r>
            <w:r w:rsidRPr="00076651">
              <w:rPr>
                <w:rFonts w:eastAsiaTheme="minorHAnsi"/>
                <w:sz w:val="18"/>
                <w:szCs w:val="18"/>
                <w:lang w:val="fr-FR" w:eastAsia="en-US"/>
              </w:rPr>
              <w:t>IBC02</w:t>
            </w:r>
          </w:p>
        </w:tc>
        <w:tc>
          <w:tcPr>
            <w:tcW w:w="845" w:type="dxa"/>
          </w:tcPr>
          <w:p w14:paraId="032E622B" w14:textId="77777777" w:rsidR="00907FF1" w:rsidRPr="00076651" w:rsidRDefault="00907FF1" w:rsidP="00907FF1">
            <w:pPr>
              <w:widowControl w:val="0"/>
              <w:spacing w:before="60" w:after="60" w:line="240" w:lineRule="auto"/>
              <w:ind w:left="141" w:right="141"/>
              <w:jc w:val="center"/>
              <w:rPr>
                <w:rFonts w:eastAsiaTheme="minorHAnsi"/>
                <w:sz w:val="18"/>
                <w:szCs w:val="18"/>
                <w:lang w:val="fr-FR" w:eastAsia="en-US"/>
              </w:rPr>
            </w:pPr>
          </w:p>
        </w:tc>
        <w:tc>
          <w:tcPr>
            <w:tcW w:w="573" w:type="dxa"/>
          </w:tcPr>
          <w:p w14:paraId="2578CADD" w14:textId="7FFF314D" w:rsidR="00907FF1" w:rsidRPr="00076651" w:rsidRDefault="00907FF1" w:rsidP="00907FF1">
            <w:pPr>
              <w:widowControl w:val="0"/>
              <w:spacing w:before="60" w:after="60" w:line="240" w:lineRule="auto"/>
              <w:ind w:left="141" w:right="141"/>
              <w:jc w:val="center"/>
              <w:rPr>
                <w:rFonts w:eastAsiaTheme="minorHAnsi"/>
                <w:sz w:val="18"/>
                <w:szCs w:val="18"/>
                <w:lang w:val="fr-FR" w:eastAsia="en-US"/>
              </w:rPr>
            </w:pPr>
            <w:r w:rsidRPr="00076651">
              <w:rPr>
                <w:rFonts w:eastAsiaTheme="minorHAnsi"/>
                <w:sz w:val="18"/>
                <w:szCs w:val="18"/>
                <w:lang w:val="fr-FR" w:eastAsia="en-US"/>
              </w:rPr>
              <w:t>T4</w:t>
            </w:r>
          </w:p>
        </w:tc>
        <w:tc>
          <w:tcPr>
            <w:tcW w:w="702" w:type="dxa"/>
          </w:tcPr>
          <w:p w14:paraId="260B3F74" w14:textId="7C135423" w:rsidR="00907FF1" w:rsidRPr="00076651" w:rsidRDefault="00907FF1" w:rsidP="00907FF1">
            <w:pPr>
              <w:widowControl w:val="0"/>
              <w:spacing w:before="60" w:after="60" w:line="240" w:lineRule="auto"/>
              <w:ind w:left="141" w:right="141"/>
              <w:jc w:val="center"/>
              <w:rPr>
                <w:rFonts w:eastAsiaTheme="minorHAnsi"/>
                <w:sz w:val="18"/>
                <w:szCs w:val="18"/>
                <w:lang w:val="fr-FR" w:eastAsia="en-US"/>
              </w:rPr>
            </w:pPr>
            <w:r w:rsidRPr="00076651">
              <w:rPr>
                <w:rFonts w:eastAsiaTheme="minorHAnsi"/>
                <w:sz w:val="18"/>
                <w:szCs w:val="18"/>
                <w:lang w:val="fr-FR" w:eastAsia="en-US"/>
              </w:rPr>
              <w:t>TP1</w:t>
            </w:r>
          </w:p>
        </w:tc>
      </w:tr>
      <w:tr w:rsidR="00907FF1" w:rsidRPr="00076651" w14:paraId="03272154" w14:textId="77777777" w:rsidTr="00076651">
        <w:trPr>
          <w:cantSplit/>
          <w:jc w:val="center"/>
        </w:trPr>
        <w:tc>
          <w:tcPr>
            <w:tcW w:w="370" w:type="dxa"/>
          </w:tcPr>
          <w:p w14:paraId="143F4A7E" w14:textId="77777777" w:rsidR="00907FF1" w:rsidRPr="00076651" w:rsidRDefault="00907FF1" w:rsidP="00907FF1">
            <w:pPr>
              <w:widowControl w:val="0"/>
              <w:spacing w:before="60" w:after="60" w:line="240" w:lineRule="auto"/>
              <w:jc w:val="center"/>
              <w:rPr>
                <w:rFonts w:eastAsiaTheme="minorHAnsi"/>
                <w:sz w:val="18"/>
                <w:szCs w:val="18"/>
                <w:lang w:val="fr-FR" w:eastAsia="en-US"/>
              </w:rPr>
            </w:pPr>
            <w:r w:rsidRPr="00076651">
              <w:rPr>
                <w:rFonts w:eastAsiaTheme="minorHAnsi"/>
                <w:sz w:val="18"/>
                <w:szCs w:val="18"/>
                <w:lang w:val="fr-FR" w:eastAsia="en-US"/>
              </w:rPr>
              <w:t>3</w:t>
            </w:r>
            <w:r w:rsidRPr="00076651">
              <w:rPr>
                <w:rFonts w:eastAsiaTheme="minorHAnsi"/>
                <w:sz w:val="18"/>
                <w:szCs w:val="18"/>
                <w:lang w:eastAsia="en-US"/>
              </w:rPr>
              <w:t>561</w:t>
            </w:r>
          </w:p>
        </w:tc>
        <w:tc>
          <w:tcPr>
            <w:tcW w:w="2886" w:type="dxa"/>
          </w:tcPr>
          <w:p w14:paraId="5B198B67" w14:textId="77777777" w:rsidR="00907FF1" w:rsidRPr="00076651" w:rsidRDefault="00907FF1" w:rsidP="00907FF1">
            <w:pPr>
              <w:widowControl w:val="0"/>
              <w:spacing w:before="60" w:after="60" w:line="240" w:lineRule="auto"/>
              <w:ind w:left="6" w:right="6"/>
              <w:rPr>
                <w:rFonts w:eastAsiaTheme="minorHAnsi"/>
                <w:sz w:val="18"/>
                <w:szCs w:val="18"/>
                <w:lang w:val="fr-FR" w:eastAsia="en-US"/>
              </w:rPr>
            </w:pPr>
            <w:r w:rsidRPr="00076651">
              <w:rPr>
                <w:sz w:val="18"/>
                <w:szCs w:val="18"/>
                <w:lang w:val="en-GB"/>
              </w:rPr>
              <w:t>CHLOROPHÉNOLS CORROSIFS, TOXIQUES, SOLIDES, N.S.A.</w:t>
            </w:r>
          </w:p>
        </w:tc>
        <w:tc>
          <w:tcPr>
            <w:tcW w:w="637" w:type="dxa"/>
          </w:tcPr>
          <w:p w14:paraId="7E05E121" w14:textId="77777777" w:rsidR="00907FF1" w:rsidRPr="00076651" w:rsidRDefault="00907FF1" w:rsidP="00907FF1">
            <w:pPr>
              <w:widowControl w:val="0"/>
              <w:spacing w:before="60" w:after="60" w:line="240" w:lineRule="auto"/>
              <w:ind w:left="127" w:right="126"/>
              <w:jc w:val="center"/>
              <w:rPr>
                <w:rFonts w:eastAsiaTheme="minorHAnsi"/>
                <w:sz w:val="18"/>
                <w:szCs w:val="18"/>
                <w:lang w:val="fr-FR" w:eastAsia="en-US"/>
              </w:rPr>
            </w:pPr>
            <w:r w:rsidRPr="00076651">
              <w:rPr>
                <w:sz w:val="18"/>
                <w:szCs w:val="18"/>
                <w:lang w:val="en-GB"/>
              </w:rPr>
              <w:t>8</w:t>
            </w:r>
          </w:p>
        </w:tc>
        <w:tc>
          <w:tcPr>
            <w:tcW w:w="637" w:type="dxa"/>
          </w:tcPr>
          <w:p w14:paraId="429AB2B6" w14:textId="77777777" w:rsidR="00907FF1" w:rsidRPr="00076651" w:rsidRDefault="00907FF1" w:rsidP="00907FF1">
            <w:pPr>
              <w:widowControl w:val="0"/>
              <w:spacing w:before="60" w:after="60" w:line="240" w:lineRule="auto"/>
              <w:ind w:left="107" w:right="107"/>
              <w:jc w:val="center"/>
              <w:rPr>
                <w:rFonts w:eastAsiaTheme="minorHAnsi"/>
                <w:sz w:val="18"/>
                <w:szCs w:val="18"/>
                <w:lang w:val="fr-FR" w:eastAsia="en-US"/>
              </w:rPr>
            </w:pPr>
            <w:r w:rsidRPr="00076651">
              <w:rPr>
                <w:rFonts w:eastAsiaTheme="minorHAnsi"/>
                <w:sz w:val="18"/>
                <w:szCs w:val="18"/>
                <w:lang w:val="fr-FR" w:eastAsia="en-US"/>
              </w:rPr>
              <w:t>6.1</w:t>
            </w:r>
          </w:p>
        </w:tc>
        <w:tc>
          <w:tcPr>
            <w:tcW w:w="427" w:type="dxa"/>
          </w:tcPr>
          <w:p w14:paraId="43C6D68B" w14:textId="77777777" w:rsidR="00907FF1" w:rsidRPr="00076651" w:rsidRDefault="00907FF1" w:rsidP="00907FF1">
            <w:pPr>
              <w:widowControl w:val="0"/>
              <w:spacing w:before="60" w:after="60" w:line="240" w:lineRule="auto"/>
              <w:ind w:left="67" w:right="67"/>
              <w:jc w:val="center"/>
              <w:rPr>
                <w:rFonts w:eastAsiaTheme="minorHAnsi"/>
                <w:sz w:val="18"/>
                <w:szCs w:val="18"/>
                <w:lang w:val="fr-FR" w:eastAsia="en-US"/>
              </w:rPr>
            </w:pPr>
            <w:r w:rsidRPr="00076651">
              <w:rPr>
                <w:rFonts w:eastAsiaTheme="minorHAnsi"/>
                <w:sz w:val="18"/>
                <w:szCs w:val="18"/>
                <w:lang w:val="fr-FR" w:eastAsia="en-US"/>
              </w:rPr>
              <w:t>II</w:t>
            </w:r>
          </w:p>
        </w:tc>
        <w:tc>
          <w:tcPr>
            <w:tcW w:w="708" w:type="dxa"/>
          </w:tcPr>
          <w:p w14:paraId="3E2177F3" w14:textId="77777777" w:rsidR="00907FF1" w:rsidRPr="00076651" w:rsidRDefault="00907FF1" w:rsidP="00907FF1">
            <w:pPr>
              <w:widowControl w:val="0"/>
              <w:spacing w:before="60" w:after="60" w:line="240" w:lineRule="auto"/>
              <w:ind w:left="106" w:right="102"/>
              <w:jc w:val="center"/>
              <w:rPr>
                <w:rFonts w:eastAsiaTheme="minorHAnsi"/>
                <w:sz w:val="18"/>
                <w:szCs w:val="18"/>
                <w:lang w:val="fr-FR" w:eastAsia="en-US"/>
              </w:rPr>
            </w:pPr>
            <w:r w:rsidRPr="00076651">
              <w:rPr>
                <w:sz w:val="18"/>
                <w:szCs w:val="18"/>
                <w:lang w:val="en-GB"/>
              </w:rPr>
              <w:t>[274]</w:t>
            </w:r>
          </w:p>
        </w:tc>
        <w:tc>
          <w:tcPr>
            <w:tcW w:w="567" w:type="dxa"/>
          </w:tcPr>
          <w:p w14:paraId="25037CDF" w14:textId="77777777" w:rsidR="00907FF1" w:rsidRPr="00076651" w:rsidRDefault="00907FF1" w:rsidP="00907FF1">
            <w:pPr>
              <w:widowControl w:val="0"/>
              <w:spacing w:before="60" w:after="60" w:line="240" w:lineRule="auto"/>
              <w:ind w:left="-15" w:right="16"/>
              <w:jc w:val="center"/>
              <w:rPr>
                <w:rFonts w:eastAsiaTheme="minorHAnsi"/>
                <w:sz w:val="18"/>
                <w:szCs w:val="18"/>
                <w:lang w:val="fr-FR" w:eastAsia="en-US"/>
              </w:rPr>
            </w:pPr>
            <w:r w:rsidRPr="00076651">
              <w:rPr>
                <w:sz w:val="18"/>
                <w:szCs w:val="18"/>
                <w:lang w:val="en-GB"/>
              </w:rPr>
              <w:t>1 kg</w:t>
            </w:r>
          </w:p>
        </w:tc>
        <w:tc>
          <w:tcPr>
            <w:tcW w:w="426" w:type="dxa"/>
          </w:tcPr>
          <w:p w14:paraId="11DA3774" w14:textId="77777777" w:rsidR="00907FF1" w:rsidRPr="00076651" w:rsidRDefault="00907FF1" w:rsidP="00907FF1">
            <w:pPr>
              <w:widowControl w:val="0"/>
              <w:spacing w:before="60" w:after="60" w:line="240" w:lineRule="auto"/>
              <w:jc w:val="center"/>
              <w:rPr>
                <w:rFonts w:eastAsiaTheme="minorHAnsi"/>
                <w:sz w:val="18"/>
                <w:szCs w:val="18"/>
                <w:lang w:val="fr-FR" w:eastAsia="en-US"/>
              </w:rPr>
            </w:pPr>
            <w:r w:rsidRPr="00076651">
              <w:rPr>
                <w:sz w:val="18"/>
                <w:szCs w:val="18"/>
                <w:lang w:val="en-GB"/>
              </w:rPr>
              <w:t>E2</w:t>
            </w:r>
          </w:p>
        </w:tc>
        <w:tc>
          <w:tcPr>
            <w:tcW w:w="850" w:type="dxa"/>
          </w:tcPr>
          <w:p w14:paraId="7B8E18B5" w14:textId="77777777" w:rsidR="00907FF1" w:rsidRPr="00076651" w:rsidRDefault="00907FF1" w:rsidP="00907FF1">
            <w:pPr>
              <w:widowControl w:val="0"/>
              <w:spacing w:before="60" w:after="60" w:line="240" w:lineRule="auto"/>
              <w:ind w:left="141" w:right="141"/>
              <w:jc w:val="center"/>
              <w:rPr>
                <w:rFonts w:eastAsiaTheme="minorHAnsi"/>
                <w:sz w:val="18"/>
                <w:szCs w:val="18"/>
                <w:lang w:val="fr-FR" w:eastAsia="en-US"/>
              </w:rPr>
            </w:pPr>
            <w:r w:rsidRPr="00076651">
              <w:rPr>
                <w:sz w:val="18"/>
                <w:szCs w:val="18"/>
                <w:lang w:val="en-GB"/>
              </w:rPr>
              <w:t>P002</w:t>
            </w:r>
            <w:r w:rsidRPr="00076651">
              <w:rPr>
                <w:sz w:val="18"/>
                <w:szCs w:val="18"/>
                <w:lang w:val="en-GB"/>
              </w:rPr>
              <w:br/>
              <w:t>IBC08</w:t>
            </w:r>
          </w:p>
        </w:tc>
        <w:tc>
          <w:tcPr>
            <w:tcW w:w="845" w:type="dxa"/>
          </w:tcPr>
          <w:p w14:paraId="1556C11B" w14:textId="77777777" w:rsidR="00907FF1" w:rsidRPr="00076651" w:rsidRDefault="00907FF1" w:rsidP="00907FF1">
            <w:pPr>
              <w:widowControl w:val="0"/>
              <w:spacing w:before="60" w:after="60" w:line="240" w:lineRule="auto"/>
              <w:ind w:left="141" w:right="141"/>
              <w:jc w:val="center"/>
              <w:rPr>
                <w:rFonts w:eastAsiaTheme="minorHAnsi"/>
                <w:sz w:val="18"/>
                <w:szCs w:val="18"/>
                <w:lang w:val="fr-FR" w:eastAsia="en-US"/>
              </w:rPr>
            </w:pPr>
            <w:r w:rsidRPr="00076651">
              <w:rPr>
                <w:rFonts w:eastAsiaTheme="minorHAnsi"/>
                <w:sz w:val="18"/>
                <w:szCs w:val="18"/>
                <w:lang w:val="fr-FR" w:eastAsia="en-US"/>
              </w:rPr>
              <w:br/>
              <w:t>B2, B4</w:t>
            </w:r>
          </w:p>
        </w:tc>
        <w:tc>
          <w:tcPr>
            <w:tcW w:w="573" w:type="dxa"/>
          </w:tcPr>
          <w:p w14:paraId="3C3AEB45" w14:textId="77777777" w:rsidR="00907FF1" w:rsidRPr="00076651" w:rsidRDefault="00907FF1" w:rsidP="00907FF1">
            <w:pPr>
              <w:widowControl w:val="0"/>
              <w:spacing w:before="60" w:after="60" w:line="240" w:lineRule="auto"/>
              <w:ind w:left="141" w:right="141"/>
              <w:jc w:val="center"/>
              <w:rPr>
                <w:rFonts w:eastAsiaTheme="minorHAnsi"/>
                <w:sz w:val="18"/>
                <w:szCs w:val="18"/>
                <w:lang w:val="fr-FR" w:eastAsia="en-US"/>
              </w:rPr>
            </w:pPr>
            <w:r w:rsidRPr="00076651">
              <w:rPr>
                <w:rFonts w:eastAsiaTheme="minorHAnsi"/>
                <w:sz w:val="18"/>
                <w:szCs w:val="18"/>
                <w:lang w:val="fr-FR" w:eastAsia="en-US"/>
              </w:rPr>
              <w:t>T3</w:t>
            </w:r>
          </w:p>
        </w:tc>
        <w:tc>
          <w:tcPr>
            <w:tcW w:w="702" w:type="dxa"/>
          </w:tcPr>
          <w:p w14:paraId="3B609454" w14:textId="77777777" w:rsidR="00907FF1" w:rsidRPr="00076651" w:rsidRDefault="00907FF1" w:rsidP="00907FF1">
            <w:pPr>
              <w:widowControl w:val="0"/>
              <w:spacing w:before="60" w:after="60" w:line="240" w:lineRule="auto"/>
              <w:ind w:left="141" w:right="141"/>
              <w:jc w:val="center"/>
              <w:rPr>
                <w:rFonts w:eastAsiaTheme="minorHAnsi"/>
                <w:sz w:val="18"/>
                <w:szCs w:val="18"/>
                <w:lang w:val="fr-FR" w:eastAsia="en-US"/>
              </w:rPr>
            </w:pPr>
            <w:r w:rsidRPr="00076651">
              <w:rPr>
                <w:rFonts w:eastAsiaTheme="minorHAnsi"/>
                <w:sz w:val="18"/>
                <w:szCs w:val="18"/>
                <w:lang w:val="fr-FR" w:eastAsia="en-US"/>
              </w:rPr>
              <w:t>TP33</w:t>
            </w:r>
          </w:p>
        </w:tc>
      </w:tr>
      <w:tr w:rsidR="00907FF1" w:rsidRPr="00076651" w14:paraId="45281C0E" w14:textId="77777777" w:rsidTr="00076651">
        <w:trPr>
          <w:cantSplit/>
          <w:jc w:val="center"/>
        </w:trPr>
        <w:tc>
          <w:tcPr>
            <w:tcW w:w="370" w:type="dxa"/>
          </w:tcPr>
          <w:p w14:paraId="0F363995" w14:textId="77777777" w:rsidR="00907FF1" w:rsidRPr="00076651" w:rsidRDefault="00907FF1" w:rsidP="00907FF1">
            <w:pPr>
              <w:widowControl w:val="0"/>
              <w:spacing w:before="60" w:after="60" w:line="240" w:lineRule="auto"/>
              <w:jc w:val="center"/>
              <w:rPr>
                <w:rFonts w:eastAsiaTheme="minorHAnsi"/>
                <w:sz w:val="18"/>
                <w:szCs w:val="18"/>
                <w:lang w:val="fr-FR" w:eastAsia="en-US"/>
              </w:rPr>
            </w:pPr>
            <w:r w:rsidRPr="00076651">
              <w:rPr>
                <w:rFonts w:eastAsiaTheme="minorHAnsi"/>
                <w:sz w:val="18"/>
                <w:szCs w:val="18"/>
                <w:lang w:val="fr-FR" w:eastAsia="en-US"/>
              </w:rPr>
              <w:t>3562</w:t>
            </w:r>
          </w:p>
        </w:tc>
        <w:tc>
          <w:tcPr>
            <w:tcW w:w="2886" w:type="dxa"/>
          </w:tcPr>
          <w:p w14:paraId="2E4BC719" w14:textId="77777777" w:rsidR="00907FF1" w:rsidRPr="00076651" w:rsidRDefault="00907FF1" w:rsidP="00907FF1">
            <w:pPr>
              <w:widowControl w:val="0"/>
              <w:spacing w:before="60" w:after="60" w:line="240" w:lineRule="auto"/>
              <w:ind w:left="6" w:right="6"/>
              <w:rPr>
                <w:sz w:val="18"/>
                <w:szCs w:val="18"/>
                <w:lang w:val="en-GB"/>
              </w:rPr>
            </w:pPr>
            <w:r w:rsidRPr="00076651">
              <w:rPr>
                <w:sz w:val="18"/>
                <w:szCs w:val="18"/>
                <w:lang w:val="en-GB"/>
              </w:rPr>
              <w:t>CHLOROPHÉNOLS CORROSIFS, SOLIDES, N.S.A.</w:t>
            </w:r>
          </w:p>
        </w:tc>
        <w:tc>
          <w:tcPr>
            <w:tcW w:w="637" w:type="dxa"/>
          </w:tcPr>
          <w:p w14:paraId="2C21DCE1" w14:textId="77777777" w:rsidR="00907FF1" w:rsidRPr="00076651" w:rsidRDefault="00907FF1" w:rsidP="00907FF1">
            <w:pPr>
              <w:widowControl w:val="0"/>
              <w:spacing w:before="60" w:after="60" w:line="240" w:lineRule="auto"/>
              <w:ind w:left="127" w:right="126"/>
              <w:jc w:val="center"/>
              <w:rPr>
                <w:sz w:val="18"/>
                <w:szCs w:val="18"/>
                <w:lang w:val="en-GB"/>
              </w:rPr>
            </w:pPr>
            <w:r w:rsidRPr="00076651">
              <w:rPr>
                <w:sz w:val="18"/>
                <w:szCs w:val="18"/>
                <w:lang w:val="en-GB"/>
              </w:rPr>
              <w:t>8</w:t>
            </w:r>
          </w:p>
        </w:tc>
        <w:tc>
          <w:tcPr>
            <w:tcW w:w="637" w:type="dxa"/>
          </w:tcPr>
          <w:p w14:paraId="2A237291" w14:textId="77777777" w:rsidR="00907FF1" w:rsidRPr="00076651" w:rsidRDefault="00907FF1" w:rsidP="00907FF1">
            <w:pPr>
              <w:widowControl w:val="0"/>
              <w:spacing w:before="60" w:after="60" w:line="240" w:lineRule="auto"/>
              <w:ind w:left="107" w:right="107"/>
              <w:jc w:val="center"/>
              <w:rPr>
                <w:rFonts w:eastAsiaTheme="minorHAnsi"/>
                <w:sz w:val="18"/>
                <w:szCs w:val="18"/>
                <w:lang w:val="fr-FR" w:eastAsia="en-US"/>
              </w:rPr>
            </w:pPr>
          </w:p>
        </w:tc>
        <w:tc>
          <w:tcPr>
            <w:tcW w:w="427" w:type="dxa"/>
          </w:tcPr>
          <w:p w14:paraId="2CEEDB73" w14:textId="77777777" w:rsidR="00907FF1" w:rsidRPr="00076651" w:rsidRDefault="00907FF1" w:rsidP="00907FF1">
            <w:pPr>
              <w:widowControl w:val="0"/>
              <w:spacing w:before="60" w:after="60" w:line="240" w:lineRule="auto"/>
              <w:ind w:left="67" w:right="67"/>
              <w:jc w:val="center"/>
              <w:rPr>
                <w:rFonts w:eastAsiaTheme="minorHAnsi"/>
                <w:sz w:val="18"/>
                <w:szCs w:val="18"/>
                <w:lang w:val="fr-FR" w:eastAsia="en-US"/>
              </w:rPr>
            </w:pPr>
            <w:r w:rsidRPr="00076651">
              <w:rPr>
                <w:rFonts w:eastAsiaTheme="minorHAnsi"/>
                <w:sz w:val="18"/>
                <w:szCs w:val="18"/>
                <w:lang w:val="fr-FR" w:eastAsia="en-US"/>
              </w:rPr>
              <w:t>II</w:t>
            </w:r>
          </w:p>
        </w:tc>
        <w:tc>
          <w:tcPr>
            <w:tcW w:w="708" w:type="dxa"/>
          </w:tcPr>
          <w:p w14:paraId="62659C26" w14:textId="77777777" w:rsidR="00907FF1" w:rsidRPr="00076651" w:rsidRDefault="00907FF1" w:rsidP="00907FF1">
            <w:pPr>
              <w:widowControl w:val="0"/>
              <w:spacing w:before="60" w:after="60" w:line="240" w:lineRule="auto"/>
              <w:ind w:left="106" w:right="102"/>
              <w:jc w:val="center"/>
              <w:rPr>
                <w:sz w:val="18"/>
                <w:szCs w:val="18"/>
                <w:lang w:val="en-GB"/>
              </w:rPr>
            </w:pPr>
          </w:p>
        </w:tc>
        <w:tc>
          <w:tcPr>
            <w:tcW w:w="567" w:type="dxa"/>
          </w:tcPr>
          <w:p w14:paraId="6F2441AE" w14:textId="77777777" w:rsidR="00907FF1" w:rsidRPr="00076651" w:rsidRDefault="00907FF1" w:rsidP="00907FF1">
            <w:pPr>
              <w:widowControl w:val="0"/>
              <w:spacing w:before="60" w:after="60" w:line="240" w:lineRule="auto"/>
              <w:ind w:left="-15" w:right="16"/>
              <w:jc w:val="center"/>
              <w:rPr>
                <w:sz w:val="18"/>
                <w:szCs w:val="18"/>
                <w:lang w:val="en-GB"/>
              </w:rPr>
            </w:pPr>
            <w:r w:rsidRPr="00076651">
              <w:rPr>
                <w:sz w:val="18"/>
                <w:szCs w:val="18"/>
                <w:lang w:val="en-GB"/>
              </w:rPr>
              <w:t>1 kg</w:t>
            </w:r>
          </w:p>
        </w:tc>
        <w:tc>
          <w:tcPr>
            <w:tcW w:w="426" w:type="dxa"/>
          </w:tcPr>
          <w:p w14:paraId="5CF8B548" w14:textId="77777777" w:rsidR="00907FF1" w:rsidRPr="00076651" w:rsidRDefault="00907FF1" w:rsidP="00907FF1">
            <w:pPr>
              <w:widowControl w:val="0"/>
              <w:spacing w:before="60" w:after="60" w:line="240" w:lineRule="auto"/>
              <w:jc w:val="center"/>
              <w:rPr>
                <w:sz w:val="18"/>
                <w:szCs w:val="18"/>
                <w:lang w:val="en-GB"/>
              </w:rPr>
            </w:pPr>
            <w:r w:rsidRPr="00076651">
              <w:rPr>
                <w:sz w:val="18"/>
                <w:szCs w:val="18"/>
                <w:lang w:val="en-GB"/>
              </w:rPr>
              <w:t>E2</w:t>
            </w:r>
          </w:p>
        </w:tc>
        <w:tc>
          <w:tcPr>
            <w:tcW w:w="850" w:type="dxa"/>
          </w:tcPr>
          <w:p w14:paraId="4C4F7BC6" w14:textId="77777777" w:rsidR="00907FF1" w:rsidRPr="00076651" w:rsidRDefault="00907FF1" w:rsidP="00907FF1">
            <w:pPr>
              <w:widowControl w:val="0"/>
              <w:spacing w:before="60" w:after="60" w:line="240" w:lineRule="auto"/>
              <w:ind w:left="141" w:right="141"/>
              <w:jc w:val="center"/>
              <w:rPr>
                <w:sz w:val="18"/>
                <w:szCs w:val="18"/>
                <w:lang w:val="en-GB"/>
              </w:rPr>
            </w:pPr>
            <w:r w:rsidRPr="00076651">
              <w:rPr>
                <w:sz w:val="18"/>
                <w:szCs w:val="18"/>
                <w:lang w:val="en-GB"/>
              </w:rPr>
              <w:t>P002</w:t>
            </w:r>
            <w:r w:rsidRPr="00076651">
              <w:rPr>
                <w:sz w:val="18"/>
                <w:szCs w:val="18"/>
                <w:lang w:val="en-GB"/>
              </w:rPr>
              <w:br/>
              <w:t>IBC08</w:t>
            </w:r>
          </w:p>
        </w:tc>
        <w:tc>
          <w:tcPr>
            <w:tcW w:w="845" w:type="dxa"/>
          </w:tcPr>
          <w:p w14:paraId="204C34FF" w14:textId="77777777" w:rsidR="00907FF1" w:rsidRPr="00076651" w:rsidRDefault="00907FF1" w:rsidP="00907FF1">
            <w:pPr>
              <w:widowControl w:val="0"/>
              <w:spacing w:before="60" w:after="60" w:line="240" w:lineRule="auto"/>
              <w:ind w:left="141" w:right="141"/>
              <w:jc w:val="center"/>
              <w:rPr>
                <w:rFonts w:eastAsiaTheme="minorHAnsi"/>
                <w:sz w:val="18"/>
                <w:szCs w:val="18"/>
                <w:lang w:val="fr-FR" w:eastAsia="en-US"/>
              </w:rPr>
            </w:pPr>
            <w:r w:rsidRPr="00076651">
              <w:rPr>
                <w:rFonts w:eastAsiaTheme="minorHAnsi"/>
                <w:sz w:val="18"/>
                <w:szCs w:val="18"/>
                <w:lang w:val="fr-FR" w:eastAsia="en-US"/>
              </w:rPr>
              <w:br/>
              <w:t>B2, B4</w:t>
            </w:r>
          </w:p>
        </w:tc>
        <w:tc>
          <w:tcPr>
            <w:tcW w:w="573" w:type="dxa"/>
          </w:tcPr>
          <w:p w14:paraId="2699DADA" w14:textId="77777777" w:rsidR="00907FF1" w:rsidRPr="00076651" w:rsidRDefault="00907FF1" w:rsidP="00907FF1">
            <w:pPr>
              <w:widowControl w:val="0"/>
              <w:spacing w:before="60" w:after="60" w:line="240" w:lineRule="auto"/>
              <w:ind w:left="141" w:right="141"/>
              <w:jc w:val="center"/>
              <w:rPr>
                <w:rFonts w:eastAsiaTheme="minorHAnsi"/>
                <w:sz w:val="18"/>
                <w:szCs w:val="18"/>
                <w:lang w:val="fr-FR" w:eastAsia="en-US"/>
              </w:rPr>
            </w:pPr>
            <w:r w:rsidRPr="00076651">
              <w:rPr>
                <w:rFonts w:eastAsiaTheme="minorHAnsi"/>
                <w:sz w:val="18"/>
                <w:szCs w:val="18"/>
                <w:lang w:val="fr-FR" w:eastAsia="en-US"/>
              </w:rPr>
              <w:t>T3</w:t>
            </w:r>
          </w:p>
        </w:tc>
        <w:tc>
          <w:tcPr>
            <w:tcW w:w="702" w:type="dxa"/>
          </w:tcPr>
          <w:p w14:paraId="776DAA38" w14:textId="77777777" w:rsidR="00907FF1" w:rsidRPr="00076651" w:rsidRDefault="00907FF1" w:rsidP="00907FF1">
            <w:pPr>
              <w:widowControl w:val="0"/>
              <w:spacing w:before="60" w:after="60" w:line="240" w:lineRule="auto"/>
              <w:ind w:left="141" w:right="141"/>
              <w:jc w:val="center"/>
              <w:rPr>
                <w:rFonts w:eastAsiaTheme="minorHAnsi"/>
                <w:sz w:val="18"/>
                <w:szCs w:val="18"/>
                <w:lang w:val="fr-FR" w:eastAsia="en-US"/>
              </w:rPr>
            </w:pPr>
            <w:r w:rsidRPr="00076651">
              <w:rPr>
                <w:rFonts w:eastAsiaTheme="minorHAnsi"/>
                <w:sz w:val="18"/>
                <w:szCs w:val="18"/>
                <w:lang w:val="fr-FR" w:eastAsia="en-US"/>
              </w:rPr>
              <w:t>TP33</w:t>
            </w:r>
          </w:p>
        </w:tc>
      </w:tr>
    </w:tbl>
    <w:p w14:paraId="32CEC0A5" w14:textId="15858B2E" w:rsidR="00BC0E36" w:rsidRPr="00076651" w:rsidRDefault="00BC0E36" w:rsidP="00E43AE4">
      <w:pPr>
        <w:pStyle w:val="SingleTxtG"/>
        <w:tabs>
          <w:tab w:val="clear" w:pos="1701"/>
        </w:tabs>
        <w:spacing w:before="120"/>
        <w:rPr>
          <w:rStyle w:val="ui-provider"/>
          <w:rFonts w:eastAsiaTheme="minorHAnsi"/>
          <w:i/>
          <w:iCs/>
          <w:lang w:val="fr-FR"/>
        </w:rPr>
      </w:pPr>
      <w:r w:rsidRPr="00076651">
        <w:rPr>
          <w:rStyle w:val="ui-provider"/>
          <w:rFonts w:eastAsiaTheme="minorHAnsi"/>
          <w:i/>
          <w:iCs/>
          <w:lang w:val="fr-FR"/>
        </w:rPr>
        <w:t>(Document</w:t>
      </w:r>
      <w:r w:rsidR="00B05A94" w:rsidRPr="00076651">
        <w:rPr>
          <w:rStyle w:val="ui-provider"/>
          <w:rFonts w:eastAsiaTheme="minorHAnsi"/>
          <w:i/>
          <w:iCs/>
          <w:lang w:val="fr-FR"/>
        </w:rPr>
        <w:t>s</w:t>
      </w:r>
      <w:r w:rsidRPr="00076651">
        <w:rPr>
          <w:rStyle w:val="ui-provider"/>
          <w:rFonts w:eastAsiaTheme="minorHAnsi"/>
          <w:i/>
          <w:iCs/>
          <w:lang w:val="fr-FR"/>
        </w:rPr>
        <w:t xml:space="preserve"> de référence : </w:t>
      </w:r>
      <w:r w:rsidRPr="00076651">
        <w:rPr>
          <w:i/>
          <w:iCs/>
        </w:rPr>
        <w:t>ST/SG/AC.10/C.3/126, annexe I</w:t>
      </w:r>
      <w:r w:rsidR="00907FF1" w:rsidRPr="00076651">
        <w:rPr>
          <w:i/>
          <w:iCs/>
        </w:rPr>
        <w:t xml:space="preserve"> et ST/SG/AC.10/C.3/</w:t>
      </w:r>
      <w:r w:rsidR="002C49AC" w:rsidRPr="00076651">
        <w:rPr>
          <w:i/>
          <w:iCs/>
        </w:rPr>
        <w:t>12</w:t>
      </w:r>
      <w:r w:rsidR="002C49AC">
        <w:rPr>
          <w:i/>
          <w:iCs/>
        </w:rPr>
        <w:t>8</w:t>
      </w:r>
      <w:r w:rsidR="00907FF1" w:rsidRPr="00076651">
        <w:rPr>
          <w:i/>
          <w:iCs/>
        </w:rPr>
        <w:t>, annexe</w:t>
      </w:r>
      <w:r w:rsidR="00232F40" w:rsidRPr="00076651">
        <w:rPr>
          <w:i/>
          <w:iCs/>
        </w:rPr>
        <w:t> </w:t>
      </w:r>
      <w:r w:rsidR="00907FF1" w:rsidRPr="00076651">
        <w:rPr>
          <w:i/>
          <w:iCs/>
        </w:rPr>
        <w:t>II</w:t>
      </w:r>
      <w:r w:rsidRPr="00076651">
        <w:rPr>
          <w:rStyle w:val="ui-provider"/>
          <w:rFonts w:eastAsiaTheme="minorHAnsi"/>
          <w:i/>
          <w:iCs/>
          <w:lang w:val="fr-FR"/>
        </w:rPr>
        <w:t>)</w:t>
      </w:r>
    </w:p>
    <w:p w14:paraId="6F0DC7FE" w14:textId="77777777" w:rsidR="00A36353" w:rsidRPr="00076651" w:rsidRDefault="00A36353" w:rsidP="00BC0E36">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lastRenderedPageBreak/>
        <w:tab/>
      </w:r>
      <w:r w:rsidRPr="00076651">
        <w:rPr>
          <w:rFonts w:eastAsiaTheme="minorHAnsi"/>
          <w:b/>
          <w:sz w:val="24"/>
          <w:lang w:val="fr-FR" w:eastAsia="en-US"/>
        </w:rPr>
        <w:tab/>
        <w:t>Chapitre 3.3</w:t>
      </w:r>
    </w:p>
    <w:p w14:paraId="5BC810D9" w14:textId="77777777" w:rsidR="00177958" w:rsidRPr="00076651" w:rsidRDefault="00177958" w:rsidP="00177958">
      <w:pPr>
        <w:pStyle w:val="SingleTxtG"/>
        <w:ind w:left="2268" w:hanging="1134"/>
        <w:rPr>
          <w:lang w:val="fr-FR"/>
        </w:rPr>
      </w:pPr>
      <w:r w:rsidRPr="00076651">
        <w:rPr>
          <w:lang w:val="fr-FR"/>
        </w:rPr>
        <w:t>DS 119</w:t>
      </w:r>
      <w:r w:rsidRPr="00076651">
        <w:rPr>
          <w:lang w:val="fr-FR"/>
        </w:rPr>
        <w:tab/>
        <w:t>Ajouter la nouvelle deuxième phrase suivante : « Les dispositifs de chauffage comprennent les machines ou autres appareils conçus spécifiquement à des fins de chauffage. ».</w:t>
      </w:r>
    </w:p>
    <w:p w14:paraId="253B47C6" w14:textId="31366932" w:rsidR="00177958" w:rsidRPr="00076651" w:rsidRDefault="00177958" w:rsidP="00177958">
      <w:pPr>
        <w:pStyle w:val="SingleTxtG"/>
        <w:ind w:left="2268" w:hanging="1134"/>
        <w:rPr>
          <w:lang w:val="fr-FR"/>
        </w:rPr>
      </w:pPr>
      <w:r w:rsidRPr="00076651">
        <w:rPr>
          <w:lang w:val="fr-FR"/>
        </w:rPr>
        <w:tab/>
      </w:r>
      <w:r w:rsidRPr="00076651">
        <w:rPr>
          <w:lang w:val="fr-FR"/>
        </w:rPr>
        <w:tab/>
        <w:t>Dans la phrase qui suit celle-ci, remplacer « Les machines frigorifiques et les éléments de machines frigorifiques » par « Les machines frigorifiques ou les dispositifs de chauffage et leurs éléments ».</w:t>
      </w:r>
    </w:p>
    <w:p w14:paraId="6E3D42D4" w14:textId="2D037DCB" w:rsidR="00177958" w:rsidRPr="00076651" w:rsidRDefault="00177958" w:rsidP="00177958">
      <w:pPr>
        <w:pStyle w:val="SingleTxtG"/>
        <w:ind w:left="2268" w:hanging="1134"/>
        <w:rPr>
          <w:lang w:val="fr-FR"/>
        </w:rPr>
      </w:pPr>
      <w:r w:rsidRPr="00076651">
        <w:rPr>
          <w:lang w:val="fr-FR"/>
        </w:rPr>
        <w:tab/>
      </w:r>
      <w:r w:rsidRPr="00076651">
        <w:rPr>
          <w:lang w:val="fr-FR"/>
        </w:rPr>
        <w:tab/>
        <w:t xml:space="preserve">Ajouter la nouvelle phrase suivante à la fin : « Les machines ou autres appareils utilisés pour assurer des fonctions de chauffage et de refroidissement peuvent être transportés </w:t>
      </w:r>
      <w:r w:rsidR="003A0A67" w:rsidRPr="00076651">
        <w:rPr>
          <w:lang w:val="fr-FR"/>
        </w:rPr>
        <w:t>en tant que</w:t>
      </w:r>
      <w:r w:rsidR="000E508A" w:rsidRPr="00076651">
        <w:rPr>
          <w:lang w:val="fr-FR"/>
        </w:rPr>
        <w:t xml:space="preserve"> "</w:t>
      </w:r>
      <w:r w:rsidRPr="00076651">
        <w:rPr>
          <w:rFonts w:eastAsiaTheme="minorHAnsi"/>
          <w:lang w:val="fr-FR" w:eastAsia="en-US"/>
        </w:rPr>
        <w:t>MACHINES FRIGORIFIQUES</w:t>
      </w:r>
      <w:r w:rsidR="000E508A" w:rsidRPr="00076651">
        <w:rPr>
          <w:lang w:val="fr-FR"/>
        </w:rPr>
        <w:t>"</w:t>
      </w:r>
      <w:r w:rsidRPr="00076651">
        <w:rPr>
          <w:rFonts w:eastAsiaTheme="minorHAnsi"/>
          <w:lang w:val="fr-FR" w:eastAsia="en-US"/>
        </w:rPr>
        <w:t xml:space="preserve"> ou </w:t>
      </w:r>
      <w:r w:rsidR="000E508A" w:rsidRPr="00076651">
        <w:rPr>
          <w:rFonts w:eastAsiaTheme="minorHAnsi"/>
          <w:lang w:val="fr-FR" w:eastAsia="en-US"/>
        </w:rPr>
        <w:t>"</w:t>
      </w:r>
      <w:r w:rsidRPr="00076651">
        <w:rPr>
          <w:rFonts w:eastAsiaTheme="minorHAnsi"/>
          <w:lang w:val="fr-FR" w:eastAsia="en-US"/>
        </w:rPr>
        <w:t>DISPOSITIFS DE CHAUFFAGE</w:t>
      </w:r>
      <w:r w:rsidR="000E508A" w:rsidRPr="00076651">
        <w:rPr>
          <w:rFonts w:eastAsiaTheme="minorHAnsi"/>
          <w:lang w:val="fr-FR" w:eastAsia="en-US"/>
        </w:rPr>
        <w:t>"</w:t>
      </w:r>
      <w:r w:rsidRPr="00076651">
        <w:rPr>
          <w:lang w:val="fr-FR"/>
        </w:rPr>
        <w:t>. ».</w:t>
      </w:r>
    </w:p>
    <w:p w14:paraId="5CBC0219"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7EBE5C5F" w14:textId="77777777" w:rsidR="00A36353" w:rsidRPr="00076651" w:rsidRDefault="00A36353" w:rsidP="00A36353">
      <w:pPr>
        <w:spacing w:after="120"/>
        <w:ind w:left="2268" w:right="1134" w:hanging="1134"/>
        <w:jc w:val="both"/>
        <w:rPr>
          <w:rFonts w:eastAsiaTheme="minorHAnsi"/>
          <w:lang w:val="fr-FR" w:eastAsia="en-US"/>
        </w:rPr>
      </w:pPr>
      <w:r w:rsidRPr="00076651">
        <w:rPr>
          <w:rFonts w:eastAsiaTheme="minorHAnsi"/>
          <w:lang w:val="fr-FR" w:eastAsia="en-US"/>
        </w:rPr>
        <w:t>DS 145</w:t>
      </w:r>
      <w:r w:rsidRPr="00076651">
        <w:rPr>
          <w:rFonts w:eastAsiaTheme="minorHAnsi"/>
          <w:lang w:val="fr-FR" w:eastAsia="en-US"/>
        </w:rPr>
        <w:tab/>
        <w:t>Remplacer « du groupe d’emballage III » par « avec 24 % à 70 % d’alcool en volume ».</w:t>
      </w:r>
    </w:p>
    <w:p w14:paraId="10D32F2F"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3029484C" w14:textId="77777777" w:rsidR="00A36353" w:rsidRPr="00076651" w:rsidRDefault="00A36353" w:rsidP="00B14684">
      <w:pPr>
        <w:spacing w:after="120"/>
        <w:ind w:left="2268" w:right="1134" w:hanging="1134"/>
        <w:jc w:val="both"/>
        <w:rPr>
          <w:rFonts w:eastAsiaTheme="minorHAnsi"/>
          <w:lang w:val="fr-FR" w:eastAsia="en-US"/>
        </w:rPr>
      </w:pPr>
      <w:r w:rsidRPr="00076651">
        <w:rPr>
          <w:rFonts w:eastAsiaTheme="minorHAnsi"/>
          <w:lang w:val="fr-FR" w:eastAsia="en-US"/>
        </w:rPr>
        <w:t>DS 146</w:t>
      </w:r>
      <w:r w:rsidRPr="00076651">
        <w:rPr>
          <w:rFonts w:eastAsiaTheme="minorHAnsi"/>
          <w:lang w:val="fr-FR" w:eastAsia="en-US"/>
        </w:rPr>
        <w:tab/>
        <w:t>Remplacer « du groupe d’emballage II » par « avec plus de 70 % d’alcool en volume ».</w:t>
      </w:r>
    </w:p>
    <w:p w14:paraId="57289900"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6BE1E74D" w14:textId="77777777" w:rsidR="00C978F6" w:rsidRPr="00076651" w:rsidRDefault="00C978F6" w:rsidP="00C978F6">
      <w:pPr>
        <w:pStyle w:val="SingleTxtG"/>
        <w:tabs>
          <w:tab w:val="clear" w:pos="1701"/>
        </w:tabs>
        <w:ind w:left="2268" w:hanging="1134"/>
        <w:rPr>
          <w:lang w:val="fr-FR"/>
        </w:rPr>
      </w:pPr>
      <w:r w:rsidRPr="00076651">
        <w:rPr>
          <w:lang w:val="fr-FR"/>
        </w:rPr>
        <w:t>DS 188</w:t>
      </w:r>
      <w:r w:rsidRPr="00076651">
        <w:rPr>
          <w:lang w:val="fr-FR"/>
        </w:rPr>
        <w:tab/>
        <w:t>À l’alinéa c), après « le cas échéant », remplacer « et g) » par « , g et h) le cas échéant ».</w:t>
      </w:r>
    </w:p>
    <w:p w14:paraId="0DE7E5D3" w14:textId="0BA013C0" w:rsidR="00A36353" w:rsidRPr="00076651" w:rsidRDefault="00A36353" w:rsidP="00B14684">
      <w:pPr>
        <w:pStyle w:val="SingleTxtG"/>
        <w:tabs>
          <w:tab w:val="clear" w:pos="1701"/>
          <w:tab w:val="clear" w:pos="2268"/>
        </w:tabs>
        <w:ind w:left="2268" w:hanging="1134"/>
        <w:rPr>
          <w:rFonts w:asciiTheme="majorBidi" w:eastAsia="SimSun" w:hAnsiTheme="majorBidi" w:cstheme="majorBidi"/>
          <w:lang w:val="fr-FR"/>
        </w:rPr>
      </w:pPr>
      <w:r w:rsidRPr="00076651">
        <w:rPr>
          <w:rFonts w:asciiTheme="majorBidi" w:eastAsia="SimSun" w:hAnsiTheme="majorBidi" w:cstheme="majorBidi"/>
          <w:lang w:val="fr-FR"/>
        </w:rPr>
        <w:tab/>
        <w:t>À l’alinéa f) :</w:t>
      </w:r>
    </w:p>
    <w:p w14:paraId="14688767" w14:textId="7976491C" w:rsidR="00A36353" w:rsidRPr="00076651" w:rsidRDefault="001D2A54" w:rsidP="005149A5">
      <w:pPr>
        <w:pStyle w:val="Bullet1G"/>
        <w:tabs>
          <w:tab w:val="clear" w:pos="1701"/>
        </w:tabs>
        <w:ind w:left="2552" w:hanging="284"/>
        <w:rPr>
          <w:rFonts w:eastAsia="SimSun"/>
          <w:lang w:val="fr-FR"/>
        </w:rPr>
      </w:pPr>
      <w:r w:rsidRPr="00076651">
        <w:rPr>
          <w:lang w:val="fr-FR"/>
        </w:rPr>
        <w:t xml:space="preserve"> Modifier la première phrase pour lire : « Chaque colis est marqué conformément aux dispositions du 5.2.1.9. ».</w:t>
      </w:r>
    </w:p>
    <w:p w14:paraId="091F334B" w14:textId="3D24B870" w:rsidR="00A36353" w:rsidRPr="00076651" w:rsidRDefault="006E7DE1" w:rsidP="005149A5">
      <w:pPr>
        <w:pStyle w:val="Bullet1G"/>
        <w:tabs>
          <w:tab w:val="clear" w:pos="1701"/>
        </w:tabs>
        <w:ind w:left="2552" w:hanging="284"/>
        <w:rPr>
          <w:rFonts w:eastAsia="SimSun"/>
          <w:lang w:val="fr-FR"/>
        </w:rPr>
      </w:pPr>
      <w:r w:rsidRPr="00076651">
        <w:rPr>
          <w:rFonts w:eastAsia="SimSun"/>
          <w:lang w:val="fr-FR"/>
        </w:rPr>
        <w:t>Dans le nota, remplacer « (marque pour les piles au lithium) » par « (marque pour les batteries) ».</w:t>
      </w:r>
    </w:p>
    <w:p w14:paraId="0CFF728E" w14:textId="196282E1" w:rsidR="00A36353" w:rsidRPr="00076651" w:rsidRDefault="00EB005B" w:rsidP="005149A5">
      <w:pPr>
        <w:pStyle w:val="Bullet1G"/>
        <w:tabs>
          <w:tab w:val="clear" w:pos="1701"/>
        </w:tabs>
        <w:ind w:left="2552" w:hanging="284"/>
        <w:rPr>
          <w:rFonts w:eastAsia="SimSun"/>
          <w:lang w:val="fr-FR"/>
        </w:rPr>
      </w:pPr>
      <w:r w:rsidRPr="00076651">
        <w:rPr>
          <w:rFonts w:eastAsia="SimSun"/>
          <w:lang w:val="fr-FR"/>
        </w:rPr>
        <w:t>Au dernier paragraphe, première phrase, remplacer « les marques de pile au lithium ou au sodium ionique » par « les marques pour les batteries ».</w:t>
      </w:r>
    </w:p>
    <w:p w14:paraId="7B954EBB" w14:textId="12755D5C" w:rsidR="00A778FF" w:rsidRPr="00076651" w:rsidRDefault="00D771C7" w:rsidP="00C414F3">
      <w:pPr>
        <w:pStyle w:val="Bullet1G"/>
        <w:tabs>
          <w:tab w:val="clear" w:pos="1701"/>
        </w:tabs>
        <w:ind w:left="2552" w:hanging="284"/>
        <w:rPr>
          <w:rFonts w:eastAsia="SimSun"/>
          <w:lang w:val="fr-FR"/>
        </w:rPr>
      </w:pPr>
      <w:r w:rsidRPr="00076651">
        <w:rPr>
          <w:rFonts w:eastAsia="SimSun"/>
          <w:lang w:val="fr-FR"/>
        </w:rPr>
        <w:t>À</w:t>
      </w:r>
      <w:r w:rsidR="00C414F3" w:rsidRPr="00076651">
        <w:rPr>
          <w:rFonts w:eastAsia="SimSun"/>
          <w:lang w:val="fr-FR"/>
        </w:rPr>
        <w:t xml:space="preserve"> la fin de </w:t>
      </w:r>
      <w:r w:rsidRPr="00076651">
        <w:rPr>
          <w:rFonts w:eastAsia="SimSun"/>
          <w:lang w:val="fr-FR"/>
        </w:rPr>
        <w:t xml:space="preserve">l’alinéa </w:t>
      </w:r>
      <w:r w:rsidR="00C414F3" w:rsidRPr="00076651">
        <w:rPr>
          <w:rFonts w:eastAsia="SimSun"/>
          <w:lang w:val="fr-FR"/>
        </w:rPr>
        <w:t xml:space="preserve"> ii)</w:t>
      </w:r>
      <w:r w:rsidRPr="00076651">
        <w:rPr>
          <w:rFonts w:eastAsia="SimSun"/>
          <w:lang w:val="fr-FR"/>
        </w:rPr>
        <w:t>, a</w:t>
      </w:r>
      <w:r w:rsidR="00A778FF" w:rsidRPr="00076651">
        <w:rPr>
          <w:rFonts w:eastAsia="SimSun"/>
          <w:lang w:val="fr-FR"/>
        </w:rPr>
        <w:t>jouter la nouvelle phrase suivante : « Lorsque l’équipement contient une pile bouton en plus des piles ou des batteries, celle-ci n’est pas prise en compte dans les limites prescrites pour le colis ou l’envoi. ».</w:t>
      </w:r>
    </w:p>
    <w:p w14:paraId="3E44472B" w14:textId="281383D7" w:rsidR="0016416F" w:rsidRPr="00076651" w:rsidRDefault="0016416F" w:rsidP="0016416F">
      <w:pPr>
        <w:spacing w:after="120"/>
        <w:ind w:left="1134" w:right="1134"/>
        <w:jc w:val="both"/>
        <w:rPr>
          <w:i/>
          <w:iCs/>
          <w:lang w:val="fr-FR" w:eastAsia="en-US"/>
        </w:rPr>
      </w:pPr>
      <w:r w:rsidRPr="00076651">
        <w:rPr>
          <w:i/>
          <w:iCs/>
          <w:lang w:val="fr-FR" w:eastAsia="en-US"/>
        </w:rPr>
        <w:t xml:space="preserve">(Documents de référence : </w:t>
      </w:r>
      <w:r w:rsidRPr="00076651">
        <w:rPr>
          <w:i/>
          <w:iCs/>
        </w:rPr>
        <w:t>ST/SG/AC.10/C.3/126, annexe I et ST/SG/AC.10/C.3/128, annexe</w:t>
      </w:r>
      <w:r w:rsidR="00A96E61" w:rsidRPr="00076651">
        <w:rPr>
          <w:i/>
          <w:iCs/>
        </w:rPr>
        <w:t> </w:t>
      </w:r>
      <w:r w:rsidRPr="00076651">
        <w:rPr>
          <w:i/>
          <w:iCs/>
        </w:rPr>
        <w:t>II</w:t>
      </w:r>
      <w:r w:rsidRPr="00076651">
        <w:rPr>
          <w:i/>
          <w:iCs/>
          <w:lang w:val="fr-FR" w:eastAsia="en-US"/>
        </w:rPr>
        <w:t>)</w:t>
      </w:r>
    </w:p>
    <w:p w14:paraId="5CD997AC" w14:textId="77777777" w:rsidR="00A36353" w:rsidRPr="00076651" w:rsidRDefault="00A36353" w:rsidP="00B14684">
      <w:pPr>
        <w:pStyle w:val="SingleTxtG"/>
        <w:tabs>
          <w:tab w:val="clear" w:pos="1701"/>
          <w:tab w:val="clear" w:pos="2268"/>
        </w:tabs>
        <w:ind w:left="2268" w:hanging="1134"/>
        <w:rPr>
          <w:rFonts w:asciiTheme="majorBidi" w:eastAsia="SimSun" w:hAnsiTheme="majorBidi" w:cstheme="majorBidi"/>
          <w:lang w:val="fr-FR"/>
        </w:rPr>
      </w:pPr>
      <w:r w:rsidRPr="00076651">
        <w:rPr>
          <w:rFonts w:asciiTheme="majorBidi" w:eastAsia="SimSun" w:hAnsiTheme="majorBidi" w:cstheme="majorBidi"/>
          <w:lang w:val="fr-FR"/>
        </w:rPr>
        <w:t>DS 252</w:t>
      </w:r>
      <w:r w:rsidRPr="00076651">
        <w:rPr>
          <w:rFonts w:asciiTheme="majorBidi" w:eastAsia="SimSun" w:hAnsiTheme="majorBidi" w:cstheme="majorBidi"/>
          <w:lang w:val="fr-FR"/>
        </w:rPr>
        <w:tab/>
        <w:t>À l’alinéa 2) b), remplacer « contient » par « contienne ».</w:t>
      </w:r>
    </w:p>
    <w:p w14:paraId="579E2159"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0C7CD0CB" w14:textId="77777777" w:rsidR="005B7197" w:rsidRPr="00076651" w:rsidRDefault="005B7197" w:rsidP="005B7197">
      <w:pPr>
        <w:pStyle w:val="SingleTxtG"/>
        <w:ind w:left="2410" w:hanging="1276"/>
        <w:rPr>
          <w:rFonts w:asciiTheme="majorBidi" w:eastAsia="SimSun" w:hAnsiTheme="majorBidi" w:cstheme="majorBidi"/>
          <w:lang w:val="fr-FR"/>
        </w:rPr>
      </w:pPr>
      <w:r w:rsidRPr="00076651">
        <w:rPr>
          <w:rFonts w:asciiTheme="majorBidi" w:eastAsia="SimSun" w:hAnsiTheme="majorBidi" w:cstheme="majorBidi"/>
          <w:lang w:val="fr-FR"/>
        </w:rPr>
        <w:t>DS 277</w:t>
      </w:r>
      <w:r w:rsidRPr="00076651">
        <w:rPr>
          <w:rFonts w:asciiTheme="majorBidi" w:eastAsia="SimSun" w:hAnsiTheme="majorBidi" w:cstheme="majorBidi"/>
          <w:lang w:val="fr-FR"/>
        </w:rPr>
        <w:tab/>
        <w:t>La modification ne s’applique pas au texte français.</w:t>
      </w:r>
    </w:p>
    <w:p w14:paraId="221B8165"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28A0B9DB" w14:textId="77777777" w:rsidR="00513539" w:rsidRPr="00076651" w:rsidRDefault="00513539" w:rsidP="00513539">
      <w:pPr>
        <w:pStyle w:val="SingleTxtG"/>
        <w:ind w:left="2268" w:hanging="1134"/>
        <w:rPr>
          <w:lang w:val="fr-FR"/>
        </w:rPr>
      </w:pPr>
      <w:r w:rsidRPr="00076651">
        <w:rPr>
          <w:lang w:val="fr-FR"/>
        </w:rPr>
        <w:t>DS 291</w:t>
      </w:r>
      <w:r w:rsidRPr="00076651">
        <w:rPr>
          <w:lang w:val="fr-FR"/>
        </w:rPr>
        <w:tab/>
        <w:t xml:space="preserve">Dans la première phrase, après « de la machine frigorifique », ajouter « ou du dispositif de chauffage ». </w:t>
      </w:r>
    </w:p>
    <w:p w14:paraId="3906DD2D" w14:textId="77777777" w:rsidR="00513539" w:rsidRPr="00076651" w:rsidRDefault="00513539" w:rsidP="00513539">
      <w:pPr>
        <w:pStyle w:val="SingleTxtG"/>
        <w:ind w:left="2268" w:hanging="1134"/>
        <w:rPr>
          <w:lang w:val="fr-FR"/>
        </w:rPr>
      </w:pPr>
      <w:r w:rsidRPr="00076651">
        <w:rPr>
          <w:lang w:val="fr-FR"/>
        </w:rPr>
        <w:tab/>
      </w:r>
      <w:r w:rsidRPr="00076651">
        <w:rPr>
          <w:lang w:val="fr-FR"/>
        </w:rPr>
        <w:tab/>
        <w:t>Dans la troisième phrase, remplacer « Les machines frigorifiques doivent être conçues et construites » par « Les machines frigorifiques ou les dispositifs de chauffage doivent être conçus et construits ».</w:t>
      </w:r>
    </w:p>
    <w:p w14:paraId="575FE049" w14:textId="77777777" w:rsidR="00513539" w:rsidRPr="00076651" w:rsidRDefault="00513539" w:rsidP="00513539">
      <w:pPr>
        <w:pStyle w:val="SingleTxtG"/>
        <w:tabs>
          <w:tab w:val="clear" w:pos="1701"/>
        </w:tabs>
        <w:ind w:left="2268" w:hanging="1134"/>
        <w:rPr>
          <w:lang w:val="fr-FR"/>
        </w:rPr>
      </w:pPr>
      <w:r w:rsidRPr="00076651">
        <w:rPr>
          <w:lang w:val="fr-FR"/>
        </w:rPr>
        <w:tab/>
        <w:t>Dans la quatrième phrase, remplacer « les machines frigorifiques et les éléments de machines frigorifiques » par « les machines frigorifiques ou les dispositifs de chauffage et leurs éléments ».</w:t>
      </w:r>
    </w:p>
    <w:p w14:paraId="142C41AA" w14:textId="68CBDCD0" w:rsidR="00513539" w:rsidRPr="00076651" w:rsidRDefault="00513539" w:rsidP="00513539">
      <w:pPr>
        <w:pStyle w:val="SingleTxtG"/>
        <w:tabs>
          <w:tab w:val="clear" w:pos="1701"/>
        </w:tabs>
        <w:ind w:left="2268" w:hanging="1134"/>
        <w:rPr>
          <w:lang w:val="fr-FR"/>
        </w:rPr>
      </w:pPr>
      <w:r w:rsidRPr="00076651">
        <w:rPr>
          <w:lang w:val="fr-FR"/>
        </w:rPr>
        <w:tab/>
        <w:t xml:space="preserve">Ajouter la nouvelle phrase suivante à la fin : « Les machines utilisées pour assurer des fonctions de chauffage et de refroidissement peuvent être </w:t>
      </w:r>
      <w:r w:rsidRPr="00076651">
        <w:rPr>
          <w:lang w:val="fr-FR"/>
        </w:rPr>
        <w:lastRenderedPageBreak/>
        <w:t xml:space="preserve">transportés </w:t>
      </w:r>
      <w:r w:rsidR="003A0A67" w:rsidRPr="00076651">
        <w:rPr>
          <w:lang w:val="fr-FR"/>
        </w:rPr>
        <w:t>en tant que</w:t>
      </w:r>
      <w:r w:rsidR="00194E88" w:rsidRPr="00076651">
        <w:rPr>
          <w:lang w:val="fr-FR"/>
        </w:rPr>
        <w:t xml:space="preserve"> "</w:t>
      </w:r>
      <w:r w:rsidR="00194E88" w:rsidRPr="00076651">
        <w:rPr>
          <w:rFonts w:eastAsiaTheme="minorHAnsi"/>
          <w:lang w:val="fr-FR" w:eastAsia="en-US"/>
        </w:rPr>
        <w:t>MACHINES FRIGORIFIQUES</w:t>
      </w:r>
      <w:r w:rsidR="00194E88" w:rsidRPr="00076651">
        <w:rPr>
          <w:lang w:val="fr-FR"/>
        </w:rPr>
        <w:t>"</w:t>
      </w:r>
      <w:r w:rsidR="00194E88" w:rsidRPr="00076651">
        <w:rPr>
          <w:rFonts w:eastAsiaTheme="minorHAnsi"/>
          <w:lang w:val="fr-FR" w:eastAsia="en-US"/>
        </w:rPr>
        <w:t xml:space="preserve"> ou </w:t>
      </w:r>
      <w:r w:rsidR="003A0A67" w:rsidRPr="00076651">
        <w:rPr>
          <w:rFonts w:eastAsiaTheme="minorHAnsi"/>
          <w:lang w:val="fr-FR" w:eastAsia="en-US"/>
        </w:rPr>
        <w:t xml:space="preserve">                 </w:t>
      </w:r>
      <w:r w:rsidR="00194E88" w:rsidRPr="00076651">
        <w:rPr>
          <w:rFonts w:eastAsiaTheme="minorHAnsi"/>
          <w:lang w:val="fr-FR" w:eastAsia="en-US"/>
        </w:rPr>
        <w:t xml:space="preserve"> "DISPOSITIFS DE CHAUFFAGE"</w:t>
      </w:r>
      <w:r w:rsidR="00194E88" w:rsidRPr="00076651">
        <w:rPr>
          <w:lang w:val="fr-FR"/>
        </w:rPr>
        <w:t>. ».</w:t>
      </w:r>
    </w:p>
    <w:p w14:paraId="2A55D1E8"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68566F45" w14:textId="77777777" w:rsidR="00A36353" w:rsidRPr="00076651" w:rsidRDefault="00A36353" w:rsidP="00B14684">
      <w:pPr>
        <w:pStyle w:val="SingleTxtG"/>
        <w:tabs>
          <w:tab w:val="clear" w:pos="1701"/>
          <w:tab w:val="clear" w:pos="2268"/>
        </w:tabs>
        <w:ind w:left="2268" w:hanging="1134"/>
        <w:rPr>
          <w:rFonts w:asciiTheme="majorBidi" w:eastAsia="SimSun" w:hAnsiTheme="majorBidi" w:cstheme="majorBidi"/>
          <w:lang w:val="fr-FR"/>
        </w:rPr>
      </w:pPr>
      <w:r w:rsidRPr="00076651">
        <w:rPr>
          <w:rFonts w:asciiTheme="majorBidi" w:eastAsia="SimSun" w:hAnsiTheme="majorBidi" w:cstheme="majorBidi"/>
          <w:lang w:val="fr-FR"/>
        </w:rPr>
        <w:t>DS 296</w:t>
      </w:r>
      <w:r w:rsidRPr="00076651">
        <w:rPr>
          <w:rFonts w:asciiTheme="majorBidi" w:eastAsia="SimSun" w:hAnsiTheme="majorBidi" w:cstheme="majorBidi"/>
          <w:lang w:val="fr-FR"/>
        </w:rPr>
        <w:tab/>
        <w:t>À l’alinéa d), remplacer « piles au lithium ou au sodium ionique » par « piles au lithium ou piles au sodium ionique».</w:t>
      </w:r>
    </w:p>
    <w:p w14:paraId="70E3E676"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7CE065EB" w14:textId="77777777" w:rsidR="001435CB" w:rsidRPr="00076651" w:rsidRDefault="001435CB" w:rsidP="001435CB">
      <w:pPr>
        <w:pStyle w:val="SingleTxtG"/>
        <w:ind w:left="2268" w:hanging="1134"/>
        <w:rPr>
          <w:rFonts w:eastAsiaTheme="minorHAnsi"/>
          <w:lang w:val="fr-FR" w:eastAsia="en-US"/>
        </w:rPr>
      </w:pPr>
      <w:r w:rsidRPr="00076651">
        <w:rPr>
          <w:rFonts w:eastAsiaTheme="minorHAnsi"/>
          <w:lang w:val="fr-FR" w:eastAsia="en-US"/>
        </w:rPr>
        <w:t>DS 301</w:t>
      </w:r>
      <w:r w:rsidRPr="00076651">
        <w:rPr>
          <w:rFonts w:eastAsiaTheme="minorHAnsi"/>
          <w:lang w:val="fr-FR" w:eastAsia="en-US"/>
        </w:rPr>
        <w:tab/>
        <w:t>Modifier la cinquième phrase pour lire « </w:t>
      </w:r>
      <w:r w:rsidRPr="00076651">
        <w:rPr>
          <w:lang w:val="fr-FR"/>
        </w:rPr>
        <w:t>Si les objets contiennent plus d’une marchandise dangereuse </w:t>
      </w:r>
      <w:r w:rsidRPr="00076651">
        <w:rPr>
          <w:rFonts w:eastAsiaTheme="minorHAnsi"/>
          <w:lang w:val="fr-FR" w:eastAsia="en-US"/>
        </w:rPr>
        <w:t xml:space="preserve">et que celles-ci peuvent réagir dangereusement entre elles pendant le transport, chacune des marchandises dangereuses doit être enfermée séparément </w:t>
      </w:r>
      <w:r w:rsidRPr="00076651">
        <w:rPr>
          <w:lang w:val="fr-FR"/>
        </w:rPr>
        <w:t>(voir 4.1.1.6), ».</w:t>
      </w:r>
    </w:p>
    <w:p w14:paraId="2A0934CA"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513B20FE" w14:textId="77777777" w:rsidR="00221748" w:rsidRPr="00076651" w:rsidRDefault="00221748" w:rsidP="00221748">
      <w:pPr>
        <w:pStyle w:val="SingleTxtG"/>
        <w:tabs>
          <w:tab w:val="clear" w:pos="1701"/>
        </w:tabs>
        <w:ind w:left="2268" w:hanging="1134"/>
      </w:pPr>
      <w:r w:rsidRPr="00076651">
        <w:rPr>
          <w:lang w:val="fr-FR"/>
        </w:rPr>
        <w:t xml:space="preserve">DS 310 </w:t>
      </w:r>
      <w:r w:rsidRPr="00076651">
        <w:rPr>
          <w:lang w:val="fr-FR"/>
        </w:rPr>
        <w:tab/>
        <w:t xml:space="preserve">À la fin du premier paragraphe, remplacer « et g) » par « , g, h) ii) le cas échéant et h) iii) le cas échéant pour les piles ou batteries au lithium, et doivent respecter les </w:t>
      </w:r>
      <w:r w:rsidRPr="00076651">
        <w:rPr>
          <w:rFonts w:ascii="TimesNewRomanPSMT" w:hAnsi="TimesNewRomanPSMT" w:cs="TimesNewRomanPSMT"/>
        </w:rPr>
        <w:t>dispositions du 2.9.5, à l'exception du 2.9.5 a) et du 2.9.4 e) vii) (tel que mentionné au 2.9.5 e)) pour les piles ou batteries au sodium</w:t>
      </w:r>
      <w:r w:rsidRPr="00076651">
        <w:rPr>
          <w:lang w:val="fr-FR"/>
        </w:rPr>
        <w:t xml:space="preserve"> ionique ».</w:t>
      </w:r>
    </w:p>
    <w:p w14:paraId="74913EA7" w14:textId="08088B9F" w:rsidR="00A36353" w:rsidRPr="00076651" w:rsidRDefault="00A36353" w:rsidP="00B14684">
      <w:pPr>
        <w:pStyle w:val="SingleTxtG"/>
        <w:tabs>
          <w:tab w:val="clear" w:pos="1701"/>
          <w:tab w:val="clear" w:pos="2268"/>
        </w:tabs>
        <w:ind w:left="2268" w:hanging="1134"/>
        <w:rPr>
          <w:rFonts w:asciiTheme="majorBidi" w:eastAsia="SimSun" w:hAnsiTheme="majorBidi" w:cstheme="majorBidi"/>
          <w:lang w:val="fr-FR"/>
        </w:rPr>
      </w:pPr>
      <w:r w:rsidRPr="00076651">
        <w:rPr>
          <w:rFonts w:asciiTheme="majorBidi" w:eastAsia="SimSun" w:hAnsiTheme="majorBidi" w:cstheme="majorBidi"/>
          <w:lang w:val="fr-FR"/>
        </w:rPr>
        <w:tab/>
        <w:t>Dans le nota après le premier paragraphe, remplacer « </w:t>
      </w:r>
      <w:r w:rsidRPr="00076651">
        <w:rPr>
          <w:rFonts w:asciiTheme="majorBidi" w:eastAsia="SimSun" w:hAnsiTheme="majorBidi" w:cstheme="majorBidi"/>
          <w:i/>
          <w:iCs/>
          <w:lang w:val="fr-FR"/>
        </w:rPr>
        <w:t>ou</w:t>
      </w:r>
      <w:r w:rsidRPr="00076651">
        <w:rPr>
          <w:rFonts w:asciiTheme="majorBidi" w:eastAsia="SimSun" w:hAnsiTheme="majorBidi" w:cstheme="majorBidi"/>
          <w:lang w:val="fr-FR"/>
        </w:rPr>
        <w:t> » par « </w:t>
      </w:r>
      <w:r w:rsidRPr="00076651">
        <w:rPr>
          <w:rFonts w:asciiTheme="majorBidi" w:eastAsia="SimSun" w:hAnsiTheme="majorBidi" w:cstheme="majorBidi"/>
          <w:i/>
          <w:iCs/>
          <w:lang w:val="fr-FR"/>
        </w:rPr>
        <w:t>et</w:t>
      </w:r>
      <w:r w:rsidRPr="00076651">
        <w:rPr>
          <w:rFonts w:asciiTheme="majorBidi" w:eastAsia="SimSun" w:hAnsiTheme="majorBidi" w:cstheme="majorBidi"/>
          <w:lang w:val="fr-FR"/>
        </w:rPr>
        <w:t> ».</w:t>
      </w:r>
    </w:p>
    <w:p w14:paraId="54566358" w14:textId="5B9343AC"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00A878BF" w:rsidRPr="00076651">
        <w:rPr>
          <w:i/>
          <w:iCs/>
        </w:rPr>
        <w:t xml:space="preserve"> et ST/SG/AC.10/C.3/126, annexe I</w:t>
      </w:r>
      <w:r w:rsidRPr="00076651">
        <w:rPr>
          <w:i/>
          <w:iCs/>
          <w:lang w:val="fr-FR" w:eastAsia="en-US"/>
        </w:rPr>
        <w:t>)</w:t>
      </w:r>
    </w:p>
    <w:p w14:paraId="1D0037CD" w14:textId="77777777" w:rsidR="00A36353" w:rsidRPr="00076651" w:rsidRDefault="00A36353" w:rsidP="00B14684">
      <w:pPr>
        <w:pStyle w:val="SingleTxtG"/>
        <w:tabs>
          <w:tab w:val="clear" w:pos="1701"/>
          <w:tab w:val="clear" w:pos="2268"/>
        </w:tabs>
        <w:ind w:left="2268" w:hanging="1134"/>
        <w:rPr>
          <w:rFonts w:asciiTheme="majorBidi" w:eastAsia="SimSun" w:hAnsiTheme="majorBidi" w:cstheme="majorBidi"/>
          <w:lang w:val="fr-FR"/>
        </w:rPr>
      </w:pPr>
      <w:r w:rsidRPr="00076651">
        <w:rPr>
          <w:rFonts w:asciiTheme="majorBidi" w:eastAsia="SimSun" w:hAnsiTheme="majorBidi" w:cstheme="majorBidi"/>
          <w:lang w:val="fr-FR"/>
        </w:rPr>
        <w:t>DS 328</w:t>
      </w:r>
      <w:r w:rsidRPr="00076651">
        <w:rPr>
          <w:rFonts w:asciiTheme="majorBidi" w:eastAsia="SimSun" w:hAnsiTheme="majorBidi" w:cstheme="majorBidi"/>
          <w:lang w:val="fr-FR"/>
        </w:rPr>
        <w:tab/>
        <w:t>Au dernier paragraphe, remplacer « ou les piles » par une virgule.</w:t>
      </w:r>
    </w:p>
    <w:p w14:paraId="18FD1140"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570774B0" w14:textId="77777777" w:rsidR="004616FB" w:rsidRPr="00076651" w:rsidRDefault="004616FB" w:rsidP="004616FB">
      <w:pPr>
        <w:pStyle w:val="SingleTxtG"/>
        <w:tabs>
          <w:tab w:val="clear" w:pos="1701"/>
        </w:tabs>
        <w:ind w:left="2268" w:hanging="1134"/>
        <w:rPr>
          <w:lang w:val="fr-FR"/>
        </w:rPr>
      </w:pPr>
      <w:r w:rsidRPr="00076651">
        <w:rPr>
          <w:lang w:val="fr-FR"/>
        </w:rPr>
        <w:t>DS 360</w:t>
      </w:r>
      <w:r w:rsidRPr="00076651">
        <w:rPr>
          <w:lang w:val="fr-FR"/>
        </w:rPr>
        <w:tab/>
        <w:t xml:space="preserve">Avant la dernière phrase, ajouter la nouvelle phrase suivante : « Les véhicules </w:t>
      </w:r>
      <w:proofErr w:type="spellStart"/>
      <w:r w:rsidRPr="00076651">
        <w:rPr>
          <w:lang w:val="fr-FR"/>
        </w:rPr>
        <w:t>mûs</w:t>
      </w:r>
      <w:proofErr w:type="spellEnd"/>
      <w:r w:rsidRPr="00076651">
        <w:rPr>
          <w:lang w:val="fr-FR"/>
        </w:rPr>
        <w:t xml:space="preserve"> uniquement par des batteries hybrides contenant des piles au lithium ionique et des piles au sodium ionique conformément au 2.9.4 h) doivent être affectés à la rubrique ONU 3556 VÉHICULE MÛ PAR UNE BATTERIE AU LITHIUM IONIQUE. ».</w:t>
      </w:r>
    </w:p>
    <w:p w14:paraId="22BEF6B2" w14:textId="353942CB" w:rsidR="009F68E0" w:rsidRPr="00076651" w:rsidRDefault="004616FB" w:rsidP="00C72C8B">
      <w:pPr>
        <w:pStyle w:val="SingleTxtG"/>
        <w:tabs>
          <w:tab w:val="clear" w:pos="1701"/>
        </w:tabs>
        <w:ind w:left="2268" w:hanging="1134"/>
        <w:rPr>
          <w:lang w:val="fr-FR"/>
        </w:rPr>
      </w:pPr>
      <w:r w:rsidRPr="00076651">
        <w:rPr>
          <w:lang w:val="fr-FR"/>
        </w:rPr>
        <w:tab/>
      </w:r>
      <w:r w:rsidR="009F68E0" w:rsidRPr="00076651">
        <w:rPr>
          <w:lang w:val="fr-FR"/>
        </w:rPr>
        <w:t>Modifier la dernière phrase pour lire</w:t>
      </w:r>
      <w:r w:rsidR="001E54E7" w:rsidRPr="00076651">
        <w:rPr>
          <w:lang w:val="fr-FR"/>
        </w:rPr>
        <w:t> :</w:t>
      </w:r>
      <w:r w:rsidR="009F68E0" w:rsidRPr="00076651">
        <w:rPr>
          <w:lang w:val="fr-FR"/>
        </w:rPr>
        <w:t xml:space="preserve"> « Les batteries au lithium, les accumulateurs au sodium ionique ou les batteries hybrides contenant des piles au lithium ionique et des piles au sodium ionique conformément au 2.9.4 h), installés dans des engins de transport, conçus uniquement pour fournir de l’énergie hors de l’engin de transport doivent être affectés à la rubrique ONU 3536 BATTERIES AU LITHIUM INSTALLÉES DANS DES ENGINS DE TRANSPORT ou à la rubrique ONU 3536 ACCUMULATEURS AU SODIUM IONIQUE INSTALLÉS DANS DES ENGINS DE TRANSPORT, comme approprié. ».</w:t>
      </w:r>
    </w:p>
    <w:p w14:paraId="48852FC9" w14:textId="5297F012" w:rsidR="00EE67D8" w:rsidRPr="00076651" w:rsidRDefault="00EE67D8" w:rsidP="0012712C">
      <w:pPr>
        <w:pStyle w:val="SingleTxtG"/>
        <w:tabs>
          <w:tab w:val="clear" w:pos="2268"/>
        </w:tabs>
        <w:rPr>
          <w:rFonts w:eastAsiaTheme="minorHAnsi"/>
          <w:i/>
          <w:iCs/>
          <w:lang w:val="fr-FR" w:eastAsia="en-US"/>
        </w:rPr>
      </w:pPr>
      <w:r w:rsidRPr="00076651">
        <w:rPr>
          <w:rFonts w:eastAsiaTheme="minorHAnsi"/>
          <w:i/>
          <w:iCs/>
          <w:lang w:val="fr-FR" w:eastAsia="en-US"/>
        </w:rPr>
        <w:t>(Document</w:t>
      </w:r>
      <w:r w:rsidR="0012712C" w:rsidRPr="00076651">
        <w:rPr>
          <w:rFonts w:eastAsiaTheme="minorHAnsi"/>
          <w:i/>
          <w:iCs/>
          <w:lang w:val="fr-FR" w:eastAsia="en-US"/>
        </w:rPr>
        <w:t>s</w:t>
      </w:r>
      <w:r w:rsidRPr="00076651">
        <w:rPr>
          <w:rFonts w:eastAsiaTheme="minorHAnsi"/>
          <w:i/>
          <w:iCs/>
          <w:lang w:val="fr-FR" w:eastAsia="en-US"/>
        </w:rPr>
        <w:t xml:space="preserve"> de référence : </w:t>
      </w:r>
      <w:r w:rsidR="0012712C" w:rsidRPr="00076651">
        <w:rPr>
          <w:i/>
          <w:iCs/>
        </w:rPr>
        <w:t xml:space="preserve">ST/SG/AC.10/C.3/126, annexe I </w:t>
      </w:r>
      <w:r w:rsidR="0012712C" w:rsidRPr="00076651">
        <w:t xml:space="preserve">et </w:t>
      </w:r>
      <w:r w:rsidRPr="00076651">
        <w:rPr>
          <w:i/>
          <w:iCs/>
        </w:rPr>
        <w:t>ST/SG/AC.10/C.3/128, annexe</w:t>
      </w:r>
      <w:r w:rsidR="0012712C" w:rsidRPr="00076651">
        <w:rPr>
          <w:i/>
          <w:iCs/>
        </w:rPr>
        <w:t> </w:t>
      </w:r>
      <w:r w:rsidRPr="00076651">
        <w:rPr>
          <w:i/>
          <w:iCs/>
        </w:rPr>
        <w:t>II</w:t>
      </w:r>
      <w:r w:rsidRPr="00076651">
        <w:rPr>
          <w:rFonts w:eastAsiaTheme="minorHAnsi"/>
          <w:i/>
          <w:iCs/>
          <w:lang w:val="fr-FR" w:eastAsia="en-US"/>
        </w:rPr>
        <w:t>)</w:t>
      </w:r>
    </w:p>
    <w:p w14:paraId="39D454BA" w14:textId="77777777" w:rsidR="00A37221" w:rsidRPr="00076651" w:rsidRDefault="00A37221" w:rsidP="00BC0E36">
      <w:pPr>
        <w:pStyle w:val="SingleTxtG"/>
        <w:tabs>
          <w:tab w:val="clear" w:pos="1701"/>
        </w:tabs>
        <w:ind w:left="2268" w:hanging="1134"/>
      </w:pPr>
      <w:r w:rsidRPr="00076651">
        <w:rPr>
          <w:lang w:val="fr-FR"/>
        </w:rPr>
        <w:t xml:space="preserve">DS 363 </w:t>
      </w:r>
      <w:r w:rsidRPr="00076651">
        <w:rPr>
          <w:lang w:val="fr-FR"/>
        </w:rPr>
        <w:tab/>
        <w:t>À l’alinéa f), dans la deuxième phrase, remplacer  « et g) » par « , g, h) ii) le cas échéant et h) iii) le cas échéant ».</w:t>
      </w:r>
    </w:p>
    <w:p w14:paraId="2CC02339" w14:textId="77777777" w:rsidR="00A42AEE" w:rsidRPr="00076651" w:rsidRDefault="00A36353" w:rsidP="00BC0E36">
      <w:pPr>
        <w:pStyle w:val="SingleTxtG"/>
        <w:tabs>
          <w:tab w:val="clear" w:pos="1701"/>
          <w:tab w:val="clear" w:pos="2268"/>
        </w:tabs>
        <w:ind w:left="2268" w:hanging="1134"/>
        <w:rPr>
          <w:rFonts w:asciiTheme="majorBidi" w:eastAsia="SimSun" w:hAnsiTheme="majorBidi" w:cstheme="majorBidi"/>
          <w:lang w:val="fr-FR"/>
        </w:rPr>
      </w:pPr>
      <w:r w:rsidRPr="00076651">
        <w:rPr>
          <w:rFonts w:asciiTheme="majorBidi" w:eastAsia="SimSun" w:hAnsiTheme="majorBidi" w:cstheme="majorBidi"/>
          <w:lang w:val="fr-FR"/>
        </w:rPr>
        <w:tab/>
      </w:r>
      <w:r w:rsidRPr="00076651">
        <w:rPr>
          <w:rFonts w:eastAsiaTheme="minorHAnsi"/>
          <w:lang w:val="fr-FR"/>
        </w:rPr>
        <w:t>À l’alinéa f), a</w:t>
      </w:r>
      <w:r w:rsidRPr="00076651">
        <w:rPr>
          <w:rFonts w:asciiTheme="majorBidi" w:eastAsia="SimSun" w:hAnsiTheme="majorBidi" w:cstheme="majorBidi"/>
          <w:lang w:val="fr-FR"/>
        </w:rPr>
        <w:t xml:space="preserve">jouter la nouvelle troisième phrase suivante : « De plus, les batteries au sodium ionique doivent satisfaire aux dispositions du 2.9.5 excepté que les alinéas a), e) et f) ne s'appliquent pas quand des batteries de séries de production comprenant au plus 100 piles ou batteries, ou des prototypes de préproduction de piles ou batteries lorsque ces prototypes sont transportés pour être éprouvés, sont installées dans les moteurs ou machines. ». </w:t>
      </w:r>
    </w:p>
    <w:p w14:paraId="6257842F" w14:textId="62140E48" w:rsidR="00A36353" w:rsidRPr="00076651" w:rsidRDefault="00A42AEE" w:rsidP="00BC0E36">
      <w:pPr>
        <w:pStyle w:val="SingleTxtG"/>
        <w:tabs>
          <w:tab w:val="clear" w:pos="1701"/>
          <w:tab w:val="clear" w:pos="2268"/>
        </w:tabs>
        <w:ind w:left="2268" w:hanging="1134"/>
        <w:rPr>
          <w:rFonts w:asciiTheme="majorBidi" w:eastAsia="SimSun" w:hAnsiTheme="majorBidi" w:cstheme="majorBidi"/>
          <w:lang w:val="fr-FR"/>
        </w:rPr>
      </w:pPr>
      <w:r w:rsidRPr="00076651">
        <w:rPr>
          <w:rFonts w:eastAsiaTheme="minorHAnsi"/>
          <w:lang w:val="fr-FR"/>
        </w:rPr>
        <w:tab/>
      </w:r>
      <w:r w:rsidR="00A36353" w:rsidRPr="00076651">
        <w:rPr>
          <w:rFonts w:asciiTheme="majorBidi" w:eastAsia="SimSun" w:hAnsiTheme="majorBidi" w:cstheme="majorBidi"/>
          <w:lang w:val="fr-FR"/>
        </w:rPr>
        <w:t>À l’alinéa f), deuxième paragraphe, remplacer « installés » par « installées ».</w:t>
      </w:r>
    </w:p>
    <w:p w14:paraId="53DF2A8E" w14:textId="42F25A1F" w:rsidR="00B14684" w:rsidRPr="00076651" w:rsidRDefault="00B14684" w:rsidP="00B14684">
      <w:pPr>
        <w:spacing w:after="120"/>
        <w:ind w:left="1134" w:right="1134"/>
        <w:jc w:val="both"/>
        <w:rPr>
          <w:i/>
          <w:iCs/>
          <w:lang w:val="fr-FR" w:eastAsia="en-US"/>
        </w:rPr>
      </w:pPr>
      <w:r w:rsidRPr="00076651">
        <w:rPr>
          <w:i/>
          <w:iCs/>
          <w:lang w:val="fr-FR" w:eastAsia="en-US"/>
        </w:rPr>
        <w:t>(Document</w:t>
      </w:r>
      <w:r w:rsidR="00A42AEE" w:rsidRPr="00076651">
        <w:rPr>
          <w:i/>
          <w:iCs/>
          <w:lang w:val="fr-FR" w:eastAsia="en-US"/>
        </w:rPr>
        <w:t>s</w:t>
      </w:r>
      <w:r w:rsidRPr="00076651">
        <w:rPr>
          <w:i/>
          <w:iCs/>
          <w:lang w:val="fr-FR" w:eastAsia="en-US"/>
        </w:rPr>
        <w:t xml:space="preserve"> de référence : </w:t>
      </w:r>
      <w:r w:rsidRPr="00076651">
        <w:rPr>
          <w:i/>
          <w:iCs/>
        </w:rPr>
        <w:t>ST/SG/AC.10/C.3/124, annexe I</w:t>
      </w:r>
      <w:r w:rsidR="00A42AEE" w:rsidRPr="00076651">
        <w:rPr>
          <w:i/>
          <w:iCs/>
        </w:rPr>
        <w:t xml:space="preserve"> et ST/SG/AC.10/C.3/126, annexe I</w:t>
      </w:r>
      <w:r w:rsidRPr="00076651">
        <w:rPr>
          <w:i/>
          <w:iCs/>
          <w:lang w:val="fr-FR" w:eastAsia="en-US"/>
        </w:rPr>
        <w:t>)</w:t>
      </w:r>
    </w:p>
    <w:p w14:paraId="3AD2CBA9" w14:textId="77777777" w:rsidR="004D1866" w:rsidRPr="00076651" w:rsidRDefault="004D1866" w:rsidP="004D1866">
      <w:pPr>
        <w:pStyle w:val="SingleTxtG"/>
        <w:tabs>
          <w:tab w:val="clear" w:pos="1701"/>
        </w:tabs>
        <w:ind w:left="2268" w:hanging="1134"/>
        <w:rPr>
          <w:lang w:val="fr-FR"/>
        </w:rPr>
      </w:pPr>
      <w:r w:rsidRPr="00076651">
        <w:rPr>
          <w:rFonts w:eastAsiaTheme="minorHAnsi"/>
          <w:lang w:val="fr-FR" w:eastAsia="en-US"/>
        </w:rPr>
        <w:t>DS 379</w:t>
      </w:r>
      <w:r w:rsidRPr="00076651">
        <w:rPr>
          <w:rFonts w:eastAsiaTheme="minorHAnsi"/>
          <w:lang w:val="fr-FR" w:eastAsia="en-US"/>
        </w:rPr>
        <w:tab/>
        <w:t>À</w:t>
      </w:r>
      <w:r w:rsidRPr="00076651">
        <w:rPr>
          <w:lang w:val="fr-FR"/>
        </w:rPr>
        <w:t xml:space="preserve"> l’alinéa d) i), après « ISO 11114</w:t>
      </w:r>
      <w:r w:rsidRPr="00076651">
        <w:rPr>
          <w:lang w:val="fr-FR"/>
        </w:rPr>
        <w:noBreakHyphen/>
        <w:t xml:space="preserve">1:2020 » ajouter « + </w:t>
      </w:r>
      <w:proofErr w:type="spellStart"/>
      <w:r w:rsidRPr="00076651">
        <w:rPr>
          <w:lang w:val="fr-FR"/>
        </w:rPr>
        <w:t>Amd</w:t>
      </w:r>
      <w:proofErr w:type="spellEnd"/>
      <w:r w:rsidRPr="00076651">
        <w:rPr>
          <w:lang w:val="fr-FR"/>
        </w:rPr>
        <w:t> 1:2023 ».</w:t>
      </w:r>
      <w:bookmarkStart w:id="2" w:name="_Hlk144295128"/>
      <w:bookmarkEnd w:id="2"/>
    </w:p>
    <w:p w14:paraId="1388F37E"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4BB16789" w14:textId="77777777" w:rsidR="00B1459A" w:rsidRPr="00076651" w:rsidRDefault="00B1459A" w:rsidP="00BC0E36">
      <w:pPr>
        <w:pStyle w:val="SingleTxtG"/>
        <w:tabs>
          <w:tab w:val="clear" w:pos="1701"/>
        </w:tabs>
        <w:ind w:left="2268" w:hanging="1134"/>
        <w:rPr>
          <w:lang w:val="fr-FR"/>
        </w:rPr>
      </w:pPr>
      <w:r w:rsidRPr="00076651">
        <w:rPr>
          <w:lang w:val="fr-FR"/>
        </w:rPr>
        <w:lastRenderedPageBreak/>
        <w:t>DS 387</w:t>
      </w:r>
      <w:r w:rsidRPr="00076651">
        <w:rPr>
          <w:lang w:val="fr-FR"/>
        </w:rPr>
        <w:tab/>
        <w:t xml:space="preserve">Dans la deuxième phrase, remplacer « la capacité totale de toutes les piles lithium » par « l’énergie nominale en watt-heure </w:t>
      </w:r>
      <w:r w:rsidRPr="00076651">
        <w:t>de toutes les piles ».</w:t>
      </w:r>
    </w:p>
    <w:p w14:paraId="6C8DF428"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79978693" w14:textId="77777777" w:rsidR="00BD615D" w:rsidRPr="00076651" w:rsidRDefault="00BD615D" w:rsidP="00BC0E36">
      <w:pPr>
        <w:pStyle w:val="SingleTxtG"/>
        <w:tabs>
          <w:tab w:val="clear" w:pos="1701"/>
        </w:tabs>
        <w:ind w:left="2268" w:hanging="1134"/>
        <w:rPr>
          <w:lang w:val="fr-FR"/>
        </w:rPr>
      </w:pPr>
      <w:bookmarkStart w:id="3" w:name="_Hlk176444319"/>
      <w:r w:rsidRPr="00076651">
        <w:rPr>
          <w:lang w:val="fr-FR"/>
        </w:rPr>
        <w:t>DS 388</w:t>
      </w:r>
      <w:r w:rsidRPr="00076651">
        <w:rPr>
          <w:lang w:val="fr-FR"/>
        </w:rPr>
        <w:tab/>
        <w:t>Aux deuxième et troisième paragraphes, dans la deuxième phrase, remplacer « ou des batteries au sodium, au lithium métal ou au lithium ionique » par « , des batteries au sodium métallique, des batteries en alliage de sodium, des batteries au lithium métal, des batteries au lithium ionique, des batteries hybrides contenant des piles au lithium ionique et des piles au sodium ionique conformément au 2.9.4 h) ou des batteries au sodium ionique, ».</w:t>
      </w:r>
    </w:p>
    <w:p w14:paraId="4512B408" w14:textId="77777777" w:rsidR="00BD615D" w:rsidRPr="00076651" w:rsidRDefault="00BD615D" w:rsidP="00BD615D">
      <w:pPr>
        <w:pStyle w:val="SingleTxtG"/>
        <w:tabs>
          <w:tab w:val="clear" w:pos="1701"/>
        </w:tabs>
        <w:ind w:left="2268" w:hanging="1134"/>
        <w:rPr>
          <w:lang w:val="fr-FR"/>
        </w:rPr>
      </w:pPr>
      <w:r w:rsidRPr="00076651">
        <w:rPr>
          <w:lang w:val="fr-FR"/>
        </w:rPr>
        <w:tab/>
        <w:t xml:space="preserve">Au sixième paragraphe, ajouter la nouvelle phrase suivante à la fin : « Les véhicules </w:t>
      </w:r>
      <w:proofErr w:type="spellStart"/>
      <w:r w:rsidRPr="00076651">
        <w:rPr>
          <w:lang w:val="fr-FR"/>
        </w:rPr>
        <w:t>mûs</w:t>
      </w:r>
      <w:proofErr w:type="spellEnd"/>
      <w:r w:rsidRPr="00076651">
        <w:rPr>
          <w:lang w:val="fr-FR"/>
        </w:rPr>
        <w:t xml:space="preserve"> uniquement par des batteries hybrides contenant des piles au lithium ionique et des piles au sodium ionique conformément au 2.9.4 h) doivent être affectés à la rubrique ONU 3556 VÉHICULE MÛ PAR UNE BATTERIE AU LITHIUM IONIQUE. ».</w:t>
      </w:r>
    </w:p>
    <w:p w14:paraId="69D0483F" w14:textId="3CE408BD" w:rsidR="00375C98" w:rsidRPr="00076651" w:rsidRDefault="00375C98" w:rsidP="00286677">
      <w:pPr>
        <w:pStyle w:val="SingleTxtG"/>
        <w:tabs>
          <w:tab w:val="clear" w:pos="1701"/>
        </w:tabs>
        <w:ind w:left="2268" w:hanging="1134"/>
        <w:rPr>
          <w:lang w:val="fr-FR"/>
        </w:rPr>
      </w:pPr>
      <w:r w:rsidRPr="00076651">
        <w:rPr>
          <w:lang w:val="fr-FR"/>
        </w:rPr>
        <w:tab/>
        <w:t>Dans le huitième paragraphe, modifier la dernière phrase pour lire</w:t>
      </w:r>
      <w:r w:rsidR="00DE39C7" w:rsidRPr="00076651">
        <w:rPr>
          <w:lang w:val="fr-FR"/>
        </w:rPr>
        <w:t> :</w:t>
      </w:r>
      <w:r w:rsidRPr="00076651">
        <w:rPr>
          <w:lang w:val="fr-FR"/>
        </w:rPr>
        <w:t xml:space="preserve"> « Les batteries au lithium ionique, les batteries au lithium métal ou les accumulateurs au sodium ionique installés dans un engin de transport et conçus uniquement pour fournir de l’énergie hors de l’engin de transport doivent être affectés à la rubrique ONU 3536 BATTERIES AU LITHIUM INSTALLÉES DANS DES ENGINS DE TRANSPORT ou affectés à la rubrique ONU 3536 ACCUMULATEURS AU SODIUM IONIQUE INSTALLÉS DANS DES ENGINS DE TRANSPORT, comme approprié. ».</w:t>
      </w:r>
    </w:p>
    <w:p w14:paraId="79916FD8" w14:textId="77777777" w:rsidR="00BD615D" w:rsidRPr="00076651" w:rsidRDefault="00BD615D" w:rsidP="00BD615D">
      <w:pPr>
        <w:pStyle w:val="SingleTxtG"/>
        <w:tabs>
          <w:tab w:val="clear" w:pos="1701"/>
        </w:tabs>
        <w:ind w:left="2268" w:hanging="1134"/>
        <w:rPr>
          <w:lang w:val="fr-FR"/>
        </w:rPr>
      </w:pPr>
      <w:r w:rsidRPr="00076651">
        <w:rPr>
          <w:lang w:val="fr-FR"/>
        </w:rPr>
        <w:tab/>
        <w:t>Au neuvième paragraphe, dans la deuxième phrase, remplacer  « et g) » par « , g, h) ii) le cas échéant et h) iii) le cas échéant ».</w:t>
      </w:r>
    </w:p>
    <w:p w14:paraId="36F03DB6" w14:textId="48E8AC5D" w:rsidR="00A36353" w:rsidRPr="00076651" w:rsidRDefault="00A36353" w:rsidP="00B14684">
      <w:pPr>
        <w:pStyle w:val="SingleTxtG"/>
        <w:tabs>
          <w:tab w:val="clear" w:pos="1701"/>
          <w:tab w:val="clear" w:pos="2268"/>
        </w:tabs>
        <w:ind w:left="2268" w:hanging="1134"/>
        <w:rPr>
          <w:rFonts w:asciiTheme="majorBidi" w:eastAsia="SimSun" w:hAnsiTheme="majorBidi" w:cstheme="majorBidi"/>
          <w:lang w:val="fr-FR"/>
        </w:rPr>
      </w:pPr>
      <w:r w:rsidRPr="00076651">
        <w:rPr>
          <w:rFonts w:asciiTheme="majorBidi" w:eastAsia="SimSun" w:hAnsiTheme="majorBidi" w:cstheme="majorBidi"/>
          <w:lang w:val="fr-FR"/>
        </w:rPr>
        <w:tab/>
      </w:r>
      <w:r w:rsidRPr="00076651">
        <w:rPr>
          <w:rFonts w:eastAsiaTheme="minorHAnsi"/>
          <w:lang w:val="fr-FR"/>
        </w:rPr>
        <w:t>Au neuvième paragraphe, a</w:t>
      </w:r>
      <w:r w:rsidRPr="00076651">
        <w:rPr>
          <w:rFonts w:asciiTheme="majorBidi" w:eastAsia="SimSun" w:hAnsiTheme="majorBidi" w:cstheme="majorBidi"/>
          <w:lang w:val="fr-FR"/>
        </w:rPr>
        <w:t>jouter la nouvelle troisième phrase suivante : « De plus, les batteries au sodium ionique doivent satisfaire aux dispositions du 2.9.5 excepté que les alinéas a), e) et f) ne s'appliquent pas quand des batteries de séries de production comprenant au plus 100 piles ou batteries, ou des prototypes de préproduction de piles ou batteries lorsque ces prototypes sont transportés pour être éprouvés, sont installées dans les moteurs ou machines. ».</w:t>
      </w:r>
    </w:p>
    <w:p w14:paraId="47FAE971" w14:textId="5DB28BB9" w:rsidR="00286677" w:rsidRPr="00076651" w:rsidRDefault="00286677" w:rsidP="00286677">
      <w:pPr>
        <w:pStyle w:val="SingleTxtG"/>
        <w:tabs>
          <w:tab w:val="clear" w:pos="1701"/>
          <w:tab w:val="clear" w:pos="2268"/>
        </w:tabs>
        <w:rPr>
          <w:rFonts w:eastAsiaTheme="minorHAnsi"/>
          <w:i/>
          <w:iCs/>
          <w:lang w:val="fr-FR" w:eastAsia="en-US"/>
        </w:rPr>
      </w:pPr>
      <w:r w:rsidRPr="00076651">
        <w:rPr>
          <w:rFonts w:eastAsiaTheme="minorHAnsi"/>
          <w:i/>
          <w:iCs/>
          <w:lang w:val="fr-FR" w:eastAsia="en-US"/>
        </w:rPr>
        <w:t xml:space="preserve">(Documents de référence : </w:t>
      </w:r>
      <w:r w:rsidRPr="00076651">
        <w:rPr>
          <w:i/>
          <w:iCs/>
        </w:rPr>
        <w:t>ST/SG/AC.10/C.3/124, annexe I, ST/SG/AC.10/C.3/126, annexe I et ST/SG/AC.10/C.3/128, annexe II</w:t>
      </w:r>
      <w:r w:rsidRPr="00076651">
        <w:rPr>
          <w:rFonts w:eastAsiaTheme="minorHAnsi"/>
          <w:i/>
          <w:iCs/>
          <w:lang w:val="fr-FR" w:eastAsia="en-US"/>
        </w:rPr>
        <w:t>)</w:t>
      </w:r>
    </w:p>
    <w:bookmarkEnd w:id="3"/>
    <w:p w14:paraId="00CF651F" w14:textId="77777777" w:rsidR="00B41B28" w:rsidRPr="00076651" w:rsidRDefault="00B41B28" w:rsidP="00B41B28">
      <w:pPr>
        <w:pStyle w:val="SingleTxtG"/>
        <w:ind w:left="2268" w:hanging="1134"/>
        <w:rPr>
          <w:lang w:val="fr-FR"/>
        </w:rPr>
      </w:pPr>
      <w:r w:rsidRPr="00076651">
        <w:rPr>
          <w:lang w:val="fr-FR"/>
        </w:rPr>
        <w:t>DS 389</w:t>
      </w:r>
      <w:r w:rsidRPr="00076651">
        <w:rPr>
          <w:lang w:val="fr-FR"/>
        </w:rPr>
        <w:tab/>
        <w:t>Modifier le premier paragraphe pour lire :</w:t>
      </w:r>
    </w:p>
    <w:p w14:paraId="2F671953" w14:textId="77777777" w:rsidR="00B41B28" w:rsidRPr="00076651" w:rsidRDefault="00B41B28" w:rsidP="00B41B28">
      <w:pPr>
        <w:pStyle w:val="SingleTxtG"/>
        <w:rPr>
          <w:lang w:val="fr-FR"/>
        </w:rPr>
      </w:pPr>
      <w:r w:rsidRPr="00076651">
        <w:rPr>
          <w:lang w:val="fr-FR"/>
        </w:rPr>
        <w:t>« Cette rubrique s’applique uniquement aux batteries au lithium ionique, aux batteries au lithium métal, aux accumulateurs au sodium ionique ou aux batteries hybrides contenant des piles au lithium ionique et des piles au sodium ionique conformément au 2.9.4 h), installés dans un engin de transport et conçus uniquement pour fournir de l’énergie hors de l’engin de transport. Les batteries au lithium doivent répondre aux prescriptions des 2.9.4 a) à h) et les accumulateurs au sodium doivent répondre aux prescriptions des 2.9.5 a) à f) et les batteries et accumulateurs doivent contenir les systèmes nécessaires pour prévenir la surcharge et décharge excessive entre eux. »</w:t>
      </w:r>
    </w:p>
    <w:p w14:paraId="2B1D40D4"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795CAC6E" w14:textId="6B1CE312" w:rsidR="006915A0" w:rsidRPr="00076651" w:rsidRDefault="00B4012C" w:rsidP="00AA3DA0">
      <w:pPr>
        <w:pStyle w:val="SingleTxtG"/>
        <w:tabs>
          <w:tab w:val="clear" w:pos="1701"/>
          <w:tab w:val="clear" w:pos="2268"/>
        </w:tabs>
        <w:rPr>
          <w:rFonts w:eastAsiaTheme="minorHAnsi"/>
          <w:i/>
          <w:iCs/>
          <w:lang w:val="fr-FR" w:eastAsia="en-US"/>
        </w:rPr>
      </w:pPr>
      <w:r w:rsidRPr="00B45AC8">
        <w:rPr>
          <w:rFonts w:eastAsiaTheme="minorHAnsi"/>
          <w:b/>
          <w:bCs/>
          <w:i/>
          <w:iCs/>
          <w:lang w:val="fr-FR" w:eastAsia="en-US"/>
        </w:rPr>
        <w:t>Note du secrétariat :</w:t>
      </w:r>
      <w:r w:rsidRPr="00076651">
        <w:rPr>
          <w:rFonts w:eastAsiaTheme="minorHAnsi"/>
          <w:i/>
          <w:iCs/>
          <w:lang w:val="fr-FR" w:eastAsia="en-US"/>
        </w:rPr>
        <w:t xml:space="preserve"> </w:t>
      </w:r>
      <w:r w:rsidR="006915A0" w:rsidRPr="00076651">
        <w:rPr>
          <w:rFonts w:eastAsiaTheme="minorHAnsi"/>
          <w:i/>
          <w:iCs/>
          <w:lang w:val="fr-FR" w:eastAsia="en-US"/>
        </w:rPr>
        <w:t>L'amendement tel que reflété ci-dessus, qui résulte de la fusion des amendements adoptés lors des soixante-troisième et soixante-quatrième sessions, semble inclure une incohérence dans la deuxième phrase, qui requiert l'application des 2.9.4 a) à h) aux piles au lithium. Le secrétariat comprend que les piles au lithium ne doivent être conformes qu'aux 2.9.4 a) à g), l'alinéa h) étant destiné aux piles hybrides. D'autre part, l'amendement tel qu'il est reflété ci-dessus est ambigu sur ce point en ce qui concerne les batteries hybrides. Compte tenu de tous ces éléments, le secrétariat souhaiterait proposer l'amendement alternatif suivant, qui divise la deuxième phrase en quatre phrases distinctes et plus explicites :</w:t>
      </w:r>
    </w:p>
    <w:p w14:paraId="59C3ADB8" w14:textId="77777777" w:rsidR="00FA00D9" w:rsidRPr="00076651" w:rsidRDefault="00FA00D9" w:rsidP="00FA00D9">
      <w:pPr>
        <w:pStyle w:val="SingleTxtG"/>
        <w:ind w:left="2268" w:hanging="1134"/>
        <w:rPr>
          <w:lang w:val="fr-FR"/>
        </w:rPr>
      </w:pPr>
      <w:r w:rsidRPr="00076651">
        <w:rPr>
          <w:lang w:val="fr-FR"/>
        </w:rPr>
        <w:t>DS 389</w:t>
      </w:r>
      <w:r w:rsidRPr="00076651">
        <w:rPr>
          <w:lang w:val="fr-FR"/>
        </w:rPr>
        <w:tab/>
        <w:t>Modifier le premier paragraphe pour lire :</w:t>
      </w:r>
    </w:p>
    <w:p w14:paraId="09B5B7A3" w14:textId="77777777" w:rsidR="00A76645" w:rsidRDefault="00FA00D9" w:rsidP="00A76645">
      <w:pPr>
        <w:pStyle w:val="SingleTxtG"/>
        <w:rPr>
          <w:lang w:val="fr-FR"/>
        </w:rPr>
      </w:pPr>
      <w:r w:rsidRPr="00076651">
        <w:rPr>
          <w:lang w:val="fr-FR"/>
        </w:rPr>
        <w:lastRenderedPageBreak/>
        <w:t xml:space="preserve">« Cette rubrique s’applique uniquement aux batteries au lithium ionique, aux batteries au lithium métal, aux accumulateurs au sodium ionique ou aux batteries hybrides contenant </w:t>
      </w:r>
      <w:r w:rsidR="003E51ED" w:rsidRPr="00076651">
        <w:rPr>
          <w:lang w:val="fr-FR"/>
        </w:rPr>
        <w:t xml:space="preserve">à la fois </w:t>
      </w:r>
      <w:r w:rsidRPr="00076651">
        <w:rPr>
          <w:lang w:val="fr-FR"/>
        </w:rPr>
        <w:t xml:space="preserve">des piles au lithium ionique et des piles au sodium ionique conformément au 2.9.4 h), installés dans un engin de transport et conçus uniquement pour fournir de l’énergie hors de l’engin de transport. Les batteries au lithium doivent répondre aux prescriptions des 2.9.4 a) à </w:t>
      </w:r>
      <w:r w:rsidR="003E51ED" w:rsidRPr="00076651">
        <w:rPr>
          <w:lang w:val="fr-FR"/>
        </w:rPr>
        <w:t>g</w:t>
      </w:r>
      <w:r w:rsidRPr="00076651">
        <w:rPr>
          <w:lang w:val="fr-FR"/>
        </w:rPr>
        <w:t>)</w:t>
      </w:r>
      <w:r w:rsidR="003E51ED" w:rsidRPr="00076651">
        <w:rPr>
          <w:lang w:val="fr-FR"/>
        </w:rPr>
        <w:t xml:space="preserve">. </w:t>
      </w:r>
      <w:r w:rsidR="0002535F" w:rsidRPr="00076651">
        <w:rPr>
          <w:lang w:val="fr-FR"/>
        </w:rPr>
        <w:t xml:space="preserve">Les batteries hybrides doivent répondre aux prescriptions des 2.9.4 a) à h). </w:t>
      </w:r>
      <w:r w:rsidRPr="00076651">
        <w:rPr>
          <w:lang w:val="fr-FR"/>
        </w:rPr>
        <w:t xml:space="preserve"> </w:t>
      </w:r>
      <w:r w:rsidR="0002535F" w:rsidRPr="00076651">
        <w:rPr>
          <w:lang w:val="fr-FR"/>
        </w:rPr>
        <w:t>L</w:t>
      </w:r>
      <w:r w:rsidRPr="00076651">
        <w:rPr>
          <w:lang w:val="fr-FR"/>
        </w:rPr>
        <w:t>es accumulateurs au sodium doivent répondre aux prescriptions des 2.9.5 a) à f)</w:t>
      </w:r>
      <w:r w:rsidR="0002535F" w:rsidRPr="00076651">
        <w:rPr>
          <w:lang w:val="fr-FR"/>
        </w:rPr>
        <w:t xml:space="preserve">. </w:t>
      </w:r>
      <w:r w:rsidR="004C39C1" w:rsidRPr="00076651">
        <w:rPr>
          <w:lang w:val="fr-FR"/>
        </w:rPr>
        <w:t>Toutes</w:t>
      </w:r>
      <w:r w:rsidRPr="00076651">
        <w:rPr>
          <w:lang w:val="fr-FR"/>
        </w:rPr>
        <w:t xml:space="preserve"> les batteries et </w:t>
      </w:r>
      <w:r w:rsidR="004C39C1" w:rsidRPr="00076651">
        <w:rPr>
          <w:lang w:val="fr-FR"/>
        </w:rPr>
        <w:t xml:space="preserve">tous les </w:t>
      </w:r>
      <w:r w:rsidRPr="00076651">
        <w:rPr>
          <w:lang w:val="fr-FR"/>
        </w:rPr>
        <w:t>accumulateurs doivent contenir les systèmes nécessaires pour prévenir la surcharge et décharge excessive entre eux. »</w:t>
      </w:r>
    </w:p>
    <w:p w14:paraId="3825C47D" w14:textId="753191DD" w:rsidR="002C4422" w:rsidRPr="00076651" w:rsidRDefault="002C4422" w:rsidP="00A76645">
      <w:pPr>
        <w:pStyle w:val="SingleTxtG"/>
        <w:rPr>
          <w:lang w:val="fr-FR"/>
        </w:rPr>
      </w:pPr>
      <w:r w:rsidRPr="00076651">
        <w:rPr>
          <w:lang w:val="fr-FR"/>
        </w:rPr>
        <w:t>DS 400</w:t>
      </w:r>
      <w:r w:rsidRPr="00076651">
        <w:rPr>
          <w:lang w:val="fr-FR"/>
        </w:rPr>
        <w:tab/>
        <w:t xml:space="preserve">À l’alinéa a), remplacer « doit être » par « est ». </w:t>
      </w:r>
      <w:r w:rsidR="003B7A99" w:rsidRPr="00076651">
        <w:rPr>
          <w:lang w:val="fr-FR"/>
        </w:rPr>
        <w:t>L’am</w:t>
      </w:r>
      <w:r w:rsidR="00595123" w:rsidRPr="00076651">
        <w:rPr>
          <w:lang w:val="fr-FR"/>
        </w:rPr>
        <w:t xml:space="preserve">endement à l’alinéa c) ne s’applique pas au texte français. </w:t>
      </w:r>
      <w:r w:rsidRPr="00076651">
        <w:rPr>
          <w:lang w:val="fr-FR"/>
        </w:rPr>
        <w:t>À l’alinéa d), remplacer « doit pouvoir résister » par « peut résister ». À l’alinéa e), première phrase, remplacer « doivent être protégées » par « sont protégées ». À l’alinéa e), deuxième phrase, remplacer « doit être » par « est ». À l’alinéa f), remplacer « doit contenir » par « contient ».</w:t>
      </w:r>
    </w:p>
    <w:p w14:paraId="35FD5111"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6F9A7596" w14:textId="77777777" w:rsidR="00A36353" w:rsidRPr="00076651" w:rsidRDefault="00A36353" w:rsidP="00BC0E36">
      <w:pPr>
        <w:pStyle w:val="SingleTxtG"/>
        <w:tabs>
          <w:tab w:val="clear" w:pos="1701"/>
          <w:tab w:val="clear" w:pos="2268"/>
        </w:tabs>
        <w:ind w:left="2268" w:hanging="1134"/>
        <w:rPr>
          <w:rFonts w:asciiTheme="majorBidi" w:eastAsia="SimSun" w:hAnsiTheme="majorBidi" w:cstheme="majorBidi"/>
          <w:lang w:val="en-US"/>
        </w:rPr>
      </w:pPr>
      <w:r w:rsidRPr="00076651">
        <w:rPr>
          <w:rFonts w:asciiTheme="majorBidi" w:eastAsia="SimSun" w:hAnsiTheme="majorBidi" w:cstheme="majorBidi"/>
          <w:lang w:val="fr-FR"/>
        </w:rPr>
        <w:t>DS 401</w:t>
      </w:r>
      <w:r w:rsidRPr="00076651">
        <w:rPr>
          <w:rFonts w:asciiTheme="majorBidi" w:eastAsia="SimSun" w:hAnsiTheme="majorBidi" w:cstheme="majorBidi"/>
          <w:lang w:val="fr-FR"/>
        </w:rPr>
        <w:tab/>
        <w:t>A la dernière phrase, après « No ONU 2795 », supprimer « , ACCUMULATEURS électriques REMPLIS D’ÉLECTROLYTE LIQUIDE ALCALIN</w:t>
      </w:r>
      <w:r w:rsidRPr="00076651">
        <w:rPr>
          <w:rFonts w:asciiTheme="majorBidi" w:eastAsia="SimSun" w:hAnsiTheme="majorBidi" w:cstheme="majorBidi"/>
          <w:lang w:val="en-US"/>
        </w:rPr>
        <w:t xml:space="preserve"> </w:t>
      </w:r>
      <w:r w:rsidRPr="00076651">
        <w:rPr>
          <w:rFonts w:asciiTheme="majorBidi" w:eastAsia="SimSun" w:hAnsiTheme="majorBidi" w:cstheme="majorBidi"/>
          <w:lang w:val="fr-FR"/>
        </w:rPr>
        <w:t>». À la fin, ajouter une nouvelle phrase pour lire : « Les batteries contenant du sodium métallique ou un alliage de sodium doivent être transportées sous le No ONU 3292. ».</w:t>
      </w:r>
    </w:p>
    <w:p w14:paraId="29C12581"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2F3528C2" w14:textId="77777777" w:rsidR="00A36353" w:rsidRPr="00076651" w:rsidRDefault="00A36353" w:rsidP="00B14684">
      <w:pPr>
        <w:pStyle w:val="SingleTxtG"/>
        <w:tabs>
          <w:tab w:val="clear" w:pos="1701"/>
          <w:tab w:val="clear" w:pos="2268"/>
        </w:tabs>
        <w:ind w:left="2268" w:hanging="1134"/>
        <w:rPr>
          <w:lang w:val="fr-FR"/>
        </w:rPr>
      </w:pPr>
      <w:r w:rsidRPr="00076651">
        <w:rPr>
          <w:rFonts w:asciiTheme="majorBidi" w:eastAsia="SimSun" w:hAnsiTheme="majorBidi" w:cstheme="majorBidi"/>
          <w:lang w:val="fr-FR"/>
        </w:rPr>
        <w:t>DS 403</w:t>
      </w:r>
      <w:r w:rsidRPr="00076651">
        <w:rPr>
          <w:rFonts w:asciiTheme="majorBidi" w:eastAsia="SimSun" w:hAnsiTheme="majorBidi" w:cstheme="majorBidi"/>
          <w:lang w:val="fr-FR"/>
        </w:rPr>
        <w:tab/>
      </w:r>
      <w:r w:rsidRPr="00076651">
        <w:rPr>
          <w:lang w:val="fr-FR"/>
        </w:rPr>
        <w:t>L’amendement ne s’applique pas au texte français.</w:t>
      </w:r>
    </w:p>
    <w:p w14:paraId="3CD1DDDA"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0572F0CC" w14:textId="77777777" w:rsidR="00A36353" w:rsidRPr="00076651" w:rsidRDefault="00A36353" w:rsidP="00B14684">
      <w:pPr>
        <w:pStyle w:val="SingleTxtG"/>
        <w:tabs>
          <w:tab w:val="clear" w:pos="1701"/>
          <w:tab w:val="clear" w:pos="2268"/>
        </w:tabs>
        <w:ind w:left="2268" w:hanging="1134"/>
        <w:rPr>
          <w:rFonts w:asciiTheme="majorBidi" w:eastAsia="SimSun" w:hAnsiTheme="majorBidi" w:cstheme="majorBidi"/>
          <w:lang w:val="fr-FR"/>
        </w:rPr>
      </w:pPr>
      <w:r w:rsidRPr="00076651">
        <w:rPr>
          <w:rFonts w:asciiTheme="majorBidi" w:eastAsia="SimSun" w:hAnsiTheme="majorBidi" w:cstheme="majorBidi"/>
          <w:lang w:val="fr-FR"/>
        </w:rPr>
        <w:t>DS 405</w:t>
      </w:r>
      <w:r w:rsidRPr="00076651">
        <w:rPr>
          <w:rFonts w:asciiTheme="majorBidi" w:eastAsia="SimSun" w:hAnsiTheme="majorBidi" w:cstheme="majorBidi"/>
          <w:lang w:val="fr-FR"/>
        </w:rPr>
        <w:tab/>
        <w:t>Modifier pour lire comme suit :</w:t>
      </w:r>
    </w:p>
    <w:p w14:paraId="258C8519" w14:textId="77777777" w:rsidR="00A36353" w:rsidRPr="00076651" w:rsidRDefault="00A36353" w:rsidP="00A36353">
      <w:pPr>
        <w:pStyle w:val="SingleTxtG"/>
        <w:tabs>
          <w:tab w:val="clear" w:pos="1701"/>
          <w:tab w:val="clear" w:pos="2268"/>
        </w:tabs>
        <w:ind w:left="2268" w:hanging="1134"/>
        <w:rPr>
          <w:rFonts w:asciiTheme="majorBidi" w:eastAsia="SimSun" w:hAnsiTheme="majorBidi" w:cstheme="majorBidi"/>
          <w:lang w:val="en-US"/>
        </w:rPr>
      </w:pPr>
      <w:r w:rsidRPr="00076651">
        <w:rPr>
          <w:rFonts w:asciiTheme="majorBidi" w:eastAsia="SimSun" w:hAnsiTheme="majorBidi" w:cstheme="majorBidi"/>
          <w:lang w:val="fr-FR"/>
        </w:rPr>
        <w:t>« 405</w:t>
      </w:r>
      <w:r w:rsidRPr="00076651">
        <w:rPr>
          <w:rFonts w:asciiTheme="majorBidi" w:eastAsia="SimSun" w:hAnsiTheme="majorBidi" w:cstheme="majorBidi"/>
          <w:lang w:val="fr-FR"/>
        </w:rPr>
        <w:tab/>
        <w:t>Les véhicules qui sont entièrement emballés, enfermés dans des caisses ou par tout autre moyen empêchant une identification immédiate, sont soumis aux prescriptions du chapitre 5.2 en matière de marquage ou d'étiquetage. »</w:t>
      </w:r>
    </w:p>
    <w:p w14:paraId="625CB950"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6E0B6AB9" w14:textId="77777777" w:rsidR="007F6ADB" w:rsidRPr="00076651" w:rsidRDefault="007F6ADB" w:rsidP="007F6ADB">
      <w:pPr>
        <w:pStyle w:val="SingleTxtG"/>
        <w:spacing w:before="120"/>
        <w:ind w:left="2268" w:hanging="1134"/>
        <w:rPr>
          <w:lang w:val="fr-FR"/>
        </w:rPr>
      </w:pPr>
      <w:r w:rsidRPr="00076651">
        <w:rPr>
          <w:lang w:val="fr-FR"/>
        </w:rPr>
        <w:t>DS 406</w:t>
      </w:r>
      <w:r w:rsidRPr="00076651">
        <w:rPr>
          <w:lang w:val="fr-FR"/>
        </w:rPr>
        <w:tab/>
        <w:t>Remplacer « Cette rubrique peut être transportée » par « Les matières de cette rubrique peuvent être transportées ».</w:t>
      </w:r>
    </w:p>
    <w:p w14:paraId="16608038"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57C63D03" w14:textId="77777777" w:rsidR="00A36353" w:rsidRPr="00076651" w:rsidRDefault="00A36353" w:rsidP="00BC0E36">
      <w:pPr>
        <w:pStyle w:val="SingleTxtG"/>
        <w:tabs>
          <w:tab w:val="clear" w:pos="1701"/>
          <w:tab w:val="clear" w:pos="2268"/>
        </w:tabs>
        <w:ind w:left="2268" w:hanging="1134"/>
        <w:rPr>
          <w:rFonts w:asciiTheme="majorBidi" w:eastAsia="SimSun" w:hAnsiTheme="majorBidi" w:cstheme="majorBidi"/>
          <w:lang w:val="fr-FR"/>
        </w:rPr>
      </w:pPr>
      <w:r w:rsidRPr="00076651">
        <w:rPr>
          <w:rFonts w:asciiTheme="majorBidi" w:eastAsia="SimSun" w:hAnsiTheme="majorBidi" w:cstheme="majorBidi"/>
          <w:lang w:val="fr-FR"/>
        </w:rPr>
        <w:t>DS 407</w:t>
      </w:r>
      <w:r w:rsidRPr="00076651">
        <w:rPr>
          <w:rFonts w:asciiTheme="majorBidi" w:eastAsia="SimSun" w:hAnsiTheme="majorBidi" w:cstheme="majorBidi"/>
          <w:lang w:val="fr-FR"/>
        </w:rPr>
        <w:tab/>
        <w:t>Dans le premier paragraphe, dernière phrase, supprimer « soit ».</w:t>
      </w:r>
    </w:p>
    <w:p w14:paraId="6F795215" w14:textId="69CA5E59" w:rsidR="00A95621" w:rsidRPr="00076651" w:rsidRDefault="00532234" w:rsidP="00532234">
      <w:pPr>
        <w:pStyle w:val="SingleTxtG"/>
        <w:tabs>
          <w:tab w:val="clear" w:pos="1701"/>
        </w:tabs>
        <w:spacing w:before="120"/>
        <w:ind w:left="2268" w:hanging="1134"/>
        <w:rPr>
          <w:lang w:val="fr-FR"/>
        </w:rPr>
      </w:pPr>
      <w:r w:rsidRPr="00076651">
        <w:rPr>
          <w:lang w:val="fr-FR"/>
        </w:rPr>
        <w:tab/>
        <w:t xml:space="preserve">L’amendement à l’alinéa b) ne s’applique pas au texte français. </w:t>
      </w:r>
      <w:r w:rsidR="00A95621" w:rsidRPr="00076651">
        <w:rPr>
          <w:lang w:val="fr-FR"/>
        </w:rPr>
        <w:t>À l’alinéa c), remplacer « doit être » par « est ». À l’alinéa d), remplacer « ne sera » par « n’est ».</w:t>
      </w:r>
    </w:p>
    <w:p w14:paraId="587B68AE" w14:textId="41B2F29A"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(Document</w:t>
      </w:r>
      <w:r w:rsidR="00EF2F18" w:rsidRPr="00076651">
        <w:rPr>
          <w:rStyle w:val="ui-provider"/>
          <w:rFonts w:eastAsiaTheme="minorHAnsi"/>
          <w:i/>
          <w:iCs/>
          <w:lang w:val="fr-FR"/>
        </w:rPr>
        <w:t>s</w:t>
      </w:r>
      <w:r w:rsidRPr="00076651">
        <w:rPr>
          <w:rStyle w:val="ui-provider"/>
          <w:rFonts w:eastAsiaTheme="minorHAnsi"/>
          <w:i/>
          <w:iCs/>
          <w:lang w:val="fr-FR"/>
        </w:rPr>
        <w:t xml:space="preserve"> de référence : </w:t>
      </w:r>
      <w:r w:rsidR="00EF2F18" w:rsidRPr="00076651">
        <w:rPr>
          <w:i/>
          <w:iCs/>
        </w:rPr>
        <w:t xml:space="preserve">ST/SG/AC.10/C.3/124, annexe I et </w:t>
      </w:r>
      <w:r w:rsidRPr="00076651">
        <w:rPr>
          <w:i/>
          <w:iCs/>
        </w:rPr>
        <w:t>ST/SG/AC.10/C.3/126, annexe</w:t>
      </w:r>
      <w:r w:rsidR="00EF2F18" w:rsidRPr="00076651">
        <w:rPr>
          <w:i/>
          <w:iCs/>
        </w:rPr>
        <w:t> </w:t>
      </w:r>
      <w:r w:rsidRPr="00076651">
        <w:rPr>
          <w:i/>
          <w:iCs/>
        </w:rPr>
        <w:t>I</w:t>
      </w:r>
      <w:r w:rsidRPr="00076651">
        <w:rPr>
          <w:rStyle w:val="ui-provider"/>
          <w:rFonts w:eastAsiaTheme="minorHAnsi"/>
          <w:i/>
          <w:iCs/>
          <w:lang w:val="fr-FR"/>
        </w:rPr>
        <w:t>)</w:t>
      </w:r>
    </w:p>
    <w:p w14:paraId="351DCD8B" w14:textId="24282720" w:rsidR="00A36353" w:rsidRPr="00076651" w:rsidRDefault="00A36353" w:rsidP="00BC0E36">
      <w:pPr>
        <w:pStyle w:val="SingleTxtG"/>
        <w:tabs>
          <w:tab w:val="clear" w:pos="1701"/>
          <w:tab w:val="clear" w:pos="2268"/>
        </w:tabs>
        <w:ind w:left="2268" w:hanging="1134"/>
        <w:rPr>
          <w:lang w:val="fr-FR"/>
        </w:rPr>
      </w:pPr>
      <w:r w:rsidRPr="00076651">
        <w:rPr>
          <w:rFonts w:asciiTheme="majorBidi" w:eastAsia="SimSun" w:hAnsiTheme="majorBidi" w:cstheme="majorBidi"/>
          <w:lang w:val="fr-FR"/>
        </w:rPr>
        <w:t>DS 408</w:t>
      </w:r>
      <w:r w:rsidRPr="00076651">
        <w:rPr>
          <w:rFonts w:asciiTheme="majorBidi" w:eastAsia="SimSun" w:hAnsiTheme="majorBidi" w:cstheme="majorBidi"/>
          <w:lang w:val="fr-FR"/>
        </w:rPr>
        <w:tab/>
      </w:r>
      <w:r w:rsidR="003F134A" w:rsidRPr="00076651">
        <w:rPr>
          <w:lang w:val="fr-FR"/>
        </w:rPr>
        <w:t>L’</w:t>
      </w:r>
      <w:r w:rsidRPr="00076651">
        <w:rPr>
          <w:lang w:val="fr-FR"/>
        </w:rPr>
        <w:t>amendement ne s’applique pas au texte français.</w:t>
      </w:r>
    </w:p>
    <w:p w14:paraId="1F49242A"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43EF03D3" w14:textId="3371CE5E" w:rsidR="00942A75" w:rsidRPr="00076651" w:rsidRDefault="00942A75" w:rsidP="00942A75">
      <w:pPr>
        <w:pStyle w:val="SingleTxtG"/>
        <w:rPr>
          <w:lang w:val="fr-FR"/>
        </w:rPr>
      </w:pPr>
      <w:r w:rsidRPr="00076651">
        <w:rPr>
          <w:lang w:val="fr-FR"/>
        </w:rPr>
        <w:t>Ajouter l</w:t>
      </w:r>
      <w:r w:rsidR="0039739F" w:rsidRPr="00076651">
        <w:rPr>
          <w:lang w:val="fr-FR"/>
        </w:rPr>
        <w:t>es</w:t>
      </w:r>
      <w:r w:rsidRPr="00076651">
        <w:rPr>
          <w:lang w:val="fr-FR"/>
        </w:rPr>
        <w:t xml:space="preserve"> nouvelle</w:t>
      </w:r>
      <w:r w:rsidR="0039739F" w:rsidRPr="00076651">
        <w:rPr>
          <w:lang w:val="fr-FR"/>
        </w:rPr>
        <w:t>s</w:t>
      </w:r>
      <w:r w:rsidRPr="00076651">
        <w:rPr>
          <w:lang w:val="fr-FR"/>
        </w:rPr>
        <w:t xml:space="preserve"> disposition</w:t>
      </w:r>
      <w:r w:rsidR="0039739F" w:rsidRPr="00076651">
        <w:rPr>
          <w:lang w:val="fr-FR"/>
        </w:rPr>
        <w:t>s</w:t>
      </w:r>
      <w:r w:rsidRPr="00076651">
        <w:rPr>
          <w:lang w:val="fr-FR"/>
        </w:rPr>
        <w:t xml:space="preserve"> spéciale</w:t>
      </w:r>
      <w:r w:rsidR="0039739F" w:rsidRPr="00076651">
        <w:rPr>
          <w:lang w:val="fr-FR"/>
        </w:rPr>
        <w:t>s</w:t>
      </w:r>
      <w:r w:rsidRPr="00076651">
        <w:rPr>
          <w:lang w:val="fr-FR"/>
        </w:rPr>
        <w:t xml:space="preserve"> suivante</w:t>
      </w:r>
      <w:r w:rsidR="0039739F" w:rsidRPr="00076651">
        <w:rPr>
          <w:lang w:val="fr-FR"/>
        </w:rPr>
        <w:t>s</w:t>
      </w:r>
      <w:r w:rsidRPr="00076651">
        <w:rPr>
          <w:lang w:val="fr-FR"/>
        </w:rPr>
        <w:t> :</w:t>
      </w:r>
    </w:p>
    <w:p w14:paraId="437293EA" w14:textId="77777777" w:rsidR="00942A75" w:rsidRPr="00076651" w:rsidRDefault="00942A75" w:rsidP="00942A75">
      <w:pPr>
        <w:pStyle w:val="SingleTxtG"/>
        <w:tabs>
          <w:tab w:val="clear" w:pos="1701"/>
        </w:tabs>
        <w:ind w:left="2268" w:hanging="1134"/>
        <w:rPr>
          <w:lang w:val="fr-FR"/>
        </w:rPr>
      </w:pPr>
      <w:r w:rsidRPr="00076651">
        <w:rPr>
          <w:lang w:val="fr-FR"/>
        </w:rPr>
        <w:t>« 410</w:t>
      </w:r>
      <w:r w:rsidRPr="00076651">
        <w:rPr>
          <w:lang w:val="fr-FR"/>
        </w:rPr>
        <w:tab/>
        <w:t xml:space="preserve">Les batteries hybrides conformes aux dispositions de l’alinéa h) du 2.9.4, contenant des piles au lithium ionique et des piles au sodium ionique, doivent être affectées aux Nos ONU 3480 ou 3481, selon le cas. Lorsque ces batteries sont transportées conformément à la disposition spéciale 188, l’énergie nominale en watt-heure </w:t>
      </w:r>
      <w:r w:rsidRPr="00076651">
        <w:t xml:space="preserve">de toutes les piles contenues dans la batterie </w:t>
      </w:r>
      <w:r w:rsidRPr="00076651">
        <w:rPr>
          <w:lang w:val="fr-FR"/>
        </w:rPr>
        <w:t>ne doit pas dépasser 100 Wh et doit être indiquée sur le boîtier extérieur. »</w:t>
      </w:r>
    </w:p>
    <w:p w14:paraId="0F4411B1"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0B97E37A" w14:textId="77777777" w:rsidR="00922006" w:rsidRPr="00076651" w:rsidRDefault="00922006" w:rsidP="00922006">
      <w:pPr>
        <w:pStyle w:val="SingleTxtG"/>
        <w:tabs>
          <w:tab w:val="clear" w:pos="1701"/>
        </w:tabs>
        <w:ind w:left="2268" w:hanging="1134"/>
        <w:rPr>
          <w:lang w:val="fr-FR"/>
        </w:rPr>
      </w:pPr>
      <w:r w:rsidRPr="00076651">
        <w:rPr>
          <w:lang w:val="fr-FR"/>
        </w:rPr>
        <w:t>« 411</w:t>
      </w:r>
      <w:r w:rsidRPr="00076651">
        <w:rPr>
          <w:lang w:val="fr-FR"/>
        </w:rPr>
        <w:tab/>
        <w:t xml:space="preserve">Parmi les objets transportés au titre de cette rubrique figurent les appareils d’imagerie par résonance magnétique contenant du gaz ininflammable et non </w:t>
      </w:r>
      <w:r w:rsidRPr="00076651">
        <w:rPr>
          <w:lang w:val="fr-FR"/>
        </w:rPr>
        <w:lastRenderedPageBreak/>
        <w:t>toxique. Le gaz ininflammable et non toxique doit être contenu dans les composants de l’appareil d’imagerie par résonance magnétique. Les appareils d’imagerie par résonance magnétique doivent être conçus et construits pour contenir le gaz et exclure le risque d’éclatement ou de fissuration des composants contenant le gaz dans les conditions normales de transport. Les appareils d’imagerie par résonance magnétique ne sont pas soumis au présent Règlement s’ils contiennent moins de 12 kg d’un gaz de la division 2.2. »</w:t>
      </w:r>
    </w:p>
    <w:p w14:paraId="0CC7085F"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2AAEB4F4" w14:textId="77777777" w:rsidR="00922006" w:rsidRPr="00076651" w:rsidRDefault="00922006" w:rsidP="00EE67D8">
      <w:pPr>
        <w:pStyle w:val="SingleTxtG"/>
        <w:tabs>
          <w:tab w:val="clear" w:pos="1701"/>
        </w:tabs>
        <w:ind w:left="2268" w:hanging="1134"/>
        <w:rPr>
          <w:lang w:val="fr-FR"/>
        </w:rPr>
      </w:pPr>
      <w:r w:rsidRPr="00076651">
        <w:rPr>
          <w:lang w:val="fr-FR"/>
        </w:rPr>
        <w:t>« 412</w:t>
      </w:r>
      <w:r w:rsidRPr="00076651">
        <w:rPr>
          <w:lang w:val="fr-FR"/>
        </w:rPr>
        <w:tab/>
        <w:t>Cette rubrique peut contenir jusqu’à 12 % (masse) d’éther méthylique. ».</w:t>
      </w:r>
    </w:p>
    <w:p w14:paraId="2F662C02"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7FB1CF28" w14:textId="77777777" w:rsidR="00EF414B" w:rsidRPr="00076651" w:rsidRDefault="00EF414B" w:rsidP="00EE67D8">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Index alphabétique</w:t>
      </w:r>
    </w:p>
    <w:p w14:paraId="63652871" w14:textId="77777777" w:rsidR="00EF414B" w:rsidRPr="00076651" w:rsidRDefault="00EF414B" w:rsidP="00EF414B">
      <w:pPr>
        <w:pStyle w:val="SingleTxtG"/>
        <w:tabs>
          <w:tab w:val="clear" w:pos="1701"/>
        </w:tabs>
        <w:ind w:left="2268" w:hanging="1134"/>
        <w:rPr>
          <w:rFonts w:asciiTheme="majorBidi" w:eastAsia="SimSun" w:hAnsiTheme="majorBidi" w:cstheme="majorBidi"/>
          <w:lang w:val="fr-FR"/>
        </w:rPr>
      </w:pPr>
      <w:r w:rsidRPr="00076651">
        <w:rPr>
          <w:rFonts w:asciiTheme="majorBidi" w:eastAsia="SimSun" w:hAnsiTheme="majorBidi" w:cstheme="majorBidi"/>
          <w:lang w:val="fr-FR"/>
        </w:rPr>
        <w:t xml:space="preserve">La première modification ne s’applique pas au texte français. </w:t>
      </w:r>
    </w:p>
    <w:p w14:paraId="707E8B3F" w14:textId="508FC574" w:rsidR="006E1A3C" w:rsidRPr="00076651" w:rsidRDefault="006E1A3C" w:rsidP="006E1A3C">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(Documents de référence : </w:t>
      </w:r>
      <w:r w:rsidRPr="00076651">
        <w:rPr>
          <w:i/>
          <w:iCs/>
        </w:rPr>
        <w:t>ST/SG/AC.10/C.3/126, annexe I et ST/SG/AC.10/C.3/128, annexe II</w:t>
      </w:r>
      <w:r w:rsidRPr="00076651">
        <w:rPr>
          <w:rStyle w:val="ui-provider"/>
          <w:rFonts w:eastAsiaTheme="minorHAnsi"/>
          <w:i/>
          <w:iCs/>
          <w:lang w:val="fr-FR"/>
        </w:rPr>
        <w:t>)</w:t>
      </w:r>
    </w:p>
    <w:p w14:paraId="3ACD5B15" w14:textId="77777777" w:rsidR="00EF414B" w:rsidRPr="00076651" w:rsidRDefault="00EF414B" w:rsidP="00EF414B">
      <w:pPr>
        <w:tabs>
          <w:tab w:val="left" w:pos="1701"/>
          <w:tab w:val="left" w:pos="2268"/>
          <w:tab w:val="left" w:pos="2835"/>
        </w:tabs>
        <w:spacing w:after="120"/>
        <w:ind w:left="1134" w:right="1134"/>
        <w:jc w:val="both"/>
        <w:rPr>
          <w:rFonts w:eastAsiaTheme="minorHAnsi"/>
          <w:lang w:val="fr-FR" w:eastAsia="en-US"/>
        </w:rPr>
      </w:pPr>
      <w:r w:rsidRPr="00076651">
        <w:rPr>
          <w:rFonts w:eastAsiaTheme="minorHAnsi"/>
          <w:lang w:val="fr-FR" w:eastAsia="en-US"/>
        </w:rPr>
        <w:t>Pour « CHLOROPHÉNOLS LIQUIDES », dans la colonne « Nom et description », remplacer « CHLOROPHÉNOLS LIQUIDES » par « CHLOROPHÉNOLS TOXIQUES, LIQUIDES, N.S.A.</w:t>
      </w:r>
      <w:r w:rsidRPr="00076651">
        <w:rPr>
          <w:rFonts w:eastAsiaTheme="minorHAnsi"/>
          <w:i/>
          <w:iCs/>
          <w:lang w:val="fr-FR" w:eastAsia="en-US"/>
        </w:rPr>
        <w:t> </w:t>
      </w:r>
      <w:r w:rsidRPr="00076651">
        <w:rPr>
          <w:rFonts w:eastAsiaTheme="minorHAnsi"/>
          <w:lang w:val="fr-FR" w:eastAsia="en-US"/>
        </w:rPr>
        <w:t>».</w:t>
      </w:r>
    </w:p>
    <w:p w14:paraId="2C18EB1E" w14:textId="77777777" w:rsidR="00474905" w:rsidRPr="00076651" w:rsidRDefault="00474905" w:rsidP="00474905">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732BFAE9" w14:textId="77777777" w:rsidR="00EF414B" w:rsidRPr="00076651" w:rsidRDefault="00EF414B" w:rsidP="00EF414B">
      <w:pPr>
        <w:tabs>
          <w:tab w:val="left" w:pos="1701"/>
          <w:tab w:val="left" w:pos="2268"/>
          <w:tab w:val="left" w:pos="2835"/>
        </w:tabs>
        <w:spacing w:after="120"/>
        <w:ind w:left="1134" w:right="1134"/>
        <w:jc w:val="both"/>
        <w:rPr>
          <w:rFonts w:eastAsiaTheme="minorHAnsi"/>
          <w:lang w:val="fr-FR" w:eastAsia="en-US"/>
        </w:rPr>
      </w:pPr>
      <w:r w:rsidRPr="00076651">
        <w:rPr>
          <w:rFonts w:eastAsiaTheme="minorHAnsi"/>
          <w:lang w:val="fr-FR" w:eastAsia="en-US"/>
        </w:rPr>
        <w:t>Pour « CHLOROPHÉNOLS SOLIDES », dans la colonne « Nom et description », remplacer « CHLOROPHÉNOLS SOLIDES » par « CHLOROPHÉNOLS TOXIQUES, SOLIDES, N.S.A.</w:t>
      </w:r>
      <w:r w:rsidRPr="00076651">
        <w:rPr>
          <w:rFonts w:eastAsiaTheme="minorHAnsi"/>
          <w:i/>
          <w:iCs/>
          <w:lang w:val="fr-FR" w:eastAsia="en-US"/>
        </w:rPr>
        <w:t> </w:t>
      </w:r>
      <w:r w:rsidRPr="00076651">
        <w:rPr>
          <w:rFonts w:eastAsiaTheme="minorHAnsi"/>
          <w:lang w:val="fr-FR" w:eastAsia="en-US"/>
        </w:rPr>
        <w:t>».</w:t>
      </w:r>
    </w:p>
    <w:p w14:paraId="39D9D7F9" w14:textId="77777777" w:rsidR="00474905" w:rsidRPr="00076651" w:rsidRDefault="00474905" w:rsidP="00474905">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7945A504" w14:textId="77777777" w:rsidR="00EF414B" w:rsidRPr="00076651" w:rsidRDefault="00EF414B" w:rsidP="00EF414B">
      <w:pPr>
        <w:tabs>
          <w:tab w:val="left" w:pos="1701"/>
          <w:tab w:val="left" w:pos="2268"/>
          <w:tab w:val="left" w:pos="2835"/>
        </w:tabs>
        <w:spacing w:after="120"/>
        <w:ind w:left="1134" w:right="1134"/>
        <w:jc w:val="both"/>
        <w:rPr>
          <w:rFonts w:eastAsiaTheme="minorHAnsi"/>
          <w:lang w:val="fr-FR" w:eastAsia="en-US"/>
        </w:rPr>
      </w:pPr>
      <w:r w:rsidRPr="00076651">
        <w:rPr>
          <w:rFonts w:eastAsiaTheme="minorHAnsi"/>
          <w:iCs/>
          <w:lang w:val="fr-FR" w:eastAsia="en-US"/>
        </w:rPr>
        <w:t>Ajouter les nouvelles rubriques suivantes dans l’ordre alphabétique :</w:t>
      </w:r>
    </w:p>
    <w:tbl>
      <w:tblPr>
        <w:tblStyle w:val="TableGrid1"/>
        <w:tblW w:w="7371" w:type="dxa"/>
        <w:tblInd w:w="1134" w:type="dxa"/>
        <w:tblLayout w:type="fixed"/>
        <w:tblCellMar>
          <w:left w:w="57" w:type="dxa"/>
          <w:right w:w="57" w:type="dxa"/>
        </w:tblCellMar>
        <w:tblLook w:val="04A0" w:firstRow="1" w:lastRow="0" w:firstColumn="1" w:lastColumn="0" w:noHBand="0" w:noVBand="1"/>
      </w:tblPr>
      <w:tblGrid>
        <w:gridCol w:w="5060"/>
        <w:gridCol w:w="1157"/>
        <w:gridCol w:w="1154"/>
      </w:tblGrid>
      <w:tr w:rsidR="00EF414B" w:rsidRPr="00076651" w14:paraId="46A8DD7B" w14:textId="77777777" w:rsidTr="00076651">
        <w:trPr>
          <w:trHeight w:val="340"/>
        </w:trPr>
        <w:tc>
          <w:tcPr>
            <w:tcW w:w="3432" w:type="pct"/>
            <w:vAlign w:val="center"/>
          </w:tcPr>
          <w:p w14:paraId="7FD88BB3" w14:textId="77777777" w:rsidR="00EF414B" w:rsidRPr="00076651" w:rsidRDefault="00EF414B" w:rsidP="00076651">
            <w:pPr>
              <w:tabs>
                <w:tab w:val="left" w:pos="1701"/>
                <w:tab w:val="left" w:pos="2268"/>
                <w:tab w:val="left" w:pos="2835"/>
              </w:tabs>
              <w:spacing w:line="240" w:lineRule="auto"/>
              <w:rPr>
                <w:lang w:val="fr-FR"/>
              </w:rPr>
            </w:pPr>
            <w:r w:rsidRPr="00076651">
              <w:rPr>
                <w:sz w:val="18"/>
                <w:szCs w:val="18"/>
                <w:lang w:val="en-GB"/>
              </w:rPr>
              <w:t>CHLOROPHÉNOLS CORROSIFS, TOXIQUES, SOLIDES, N.S.A.</w:t>
            </w:r>
          </w:p>
        </w:tc>
        <w:tc>
          <w:tcPr>
            <w:tcW w:w="785" w:type="pct"/>
            <w:vAlign w:val="center"/>
          </w:tcPr>
          <w:p w14:paraId="31745EF8" w14:textId="77777777" w:rsidR="00EF414B" w:rsidRPr="00076651" w:rsidRDefault="00EF414B" w:rsidP="00076651">
            <w:pPr>
              <w:tabs>
                <w:tab w:val="left" w:pos="1701"/>
                <w:tab w:val="left" w:pos="2268"/>
                <w:tab w:val="left" w:pos="2835"/>
              </w:tabs>
              <w:spacing w:line="240" w:lineRule="auto"/>
              <w:jc w:val="center"/>
              <w:rPr>
                <w:lang w:val="fr-FR"/>
              </w:rPr>
            </w:pPr>
            <w:r w:rsidRPr="00076651">
              <w:rPr>
                <w:lang w:val="fr-FR"/>
              </w:rPr>
              <w:t>8</w:t>
            </w:r>
          </w:p>
        </w:tc>
        <w:tc>
          <w:tcPr>
            <w:tcW w:w="783" w:type="pct"/>
            <w:vAlign w:val="center"/>
          </w:tcPr>
          <w:p w14:paraId="586C1D32" w14:textId="77777777" w:rsidR="00EF414B" w:rsidRPr="00076651" w:rsidRDefault="00EF414B" w:rsidP="00076651">
            <w:pPr>
              <w:tabs>
                <w:tab w:val="left" w:pos="1701"/>
                <w:tab w:val="left" w:pos="2268"/>
                <w:tab w:val="left" w:pos="2835"/>
              </w:tabs>
              <w:spacing w:line="240" w:lineRule="auto"/>
              <w:jc w:val="center"/>
              <w:rPr>
                <w:lang w:val="fr-FR"/>
              </w:rPr>
            </w:pPr>
            <w:r w:rsidRPr="00076651">
              <w:rPr>
                <w:lang w:val="fr-FR"/>
              </w:rPr>
              <w:t>3561</w:t>
            </w:r>
          </w:p>
        </w:tc>
      </w:tr>
      <w:tr w:rsidR="00EF414B" w:rsidRPr="00076651" w14:paraId="43D3DD2C" w14:textId="77777777" w:rsidTr="00076651">
        <w:trPr>
          <w:trHeight w:val="340"/>
        </w:trPr>
        <w:tc>
          <w:tcPr>
            <w:tcW w:w="3432" w:type="pct"/>
            <w:vAlign w:val="center"/>
          </w:tcPr>
          <w:p w14:paraId="57459B1D" w14:textId="77777777" w:rsidR="00EF414B" w:rsidRPr="00076651" w:rsidRDefault="00EF414B" w:rsidP="00076651">
            <w:pPr>
              <w:tabs>
                <w:tab w:val="left" w:pos="1701"/>
                <w:tab w:val="left" w:pos="2268"/>
                <w:tab w:val="left" w:pos="2835"/>
              </w:tabs>
              <w:spacing w:line="240" w:lineRule="auto"/>
              <w:rPr>
                <w:lang w:val="fr-FR"/>
              </w:rPr>
            </w:pPr>
            <w:r w:rsidRPr="00076651">
              <w:rPr>
                <w:sz w:val="18"/>
                <w:szCs w:val="18"/>
                <w:lang w:val="en-GB"/>
              </w:rPr>
              <w:t>CHLOROPHÉNOLS CORROSIFS, SOLIDES, N.S.A.</w:t>
            </w:r>
          </w:p>
        </w:tc>
        <w:tc>
          <w:tcPr>
            <w:tcW w:w="785" w:type="pct"/>
            <w:vAlign w:val="center"/>
          </w:tcPr>
          <w:p w14:paraId="245C82CD" w14:textId="77777777" w:rsidR="00EF414B" w:rsidRPr="00076651" w:rsidRDefault="00EF414B" w:rsidP="00076651">
            <w:pPr>
              <w:tabs>
                <w:tab w:val="left" w:pos="1701"/>
                <w:tab w:val="left" w:pos="2268"/>
                <w:tab w:val="left" w:pos="2835"/>
              </w:tabs>
              <w:spacing w:line="240" w:lineRule="auto"/>
              <w:jc w:val="center"/>
              <w:rPr>
                <w:lang w:val="fr-FR"/>
              </w:rPr>
            </w:pPr>
            <w:r w:rsidRPr="00076651">
              <w:rPr>
                <w:lang w:val="fr-FR"/>
              </w:rPr>
              <w:t>8</w:t>
            </w:r>
          </w:p>
        </w:tc>
        <w:tc>
          <w:tcPr>
            <w:tcW w:w="783" w:type="pct"/>
            <w:vAlign w:val="center"/>
          </w:tcPr>
          <w:p w14:paraId="0C12AF18" w14:textId="77777777" w:rsidR="00EF414B" w:rsidRPr="00076651" w:rsidRDefault="00EF414B" w:rsidP="00076651">
            <w:pPr>
              <w:tabs>
                <w:tab w:val="left" w:pos="1701"/>
                <w:tab w:val="left" w:pos="2268"/>
                <w:tab w:val="left" w:pos="2835"/>
              </w:tabs>
              <w:spacing w:line="240" w:lineRule="auto"/>
              <w:jc w:val="center"/>
              <w:rPr>
                <w:lang w:val="fr-FR"/>
              </w:rPr>
            </w:pPr>
            <w:r w:rsidRPr="00076651">
              <w:rPr>
                <w:lang w:val="fr-FR"/>
              </w:rPr>
              <w:t>3562</w:t>
            </w:r>
          </w:p>
        </w:tc>
      </w:tr>
      <w:tr w:rsidR="00D07A84" w:rsidRPr="00076651" w14:paraId="07D51EFF" w14:textId="77777777" w:rsidTr="00076651">
        <w:trPr>
          <w:trHeight w:val="340"/>
        </w:trPr>
        <w:tc>
          <w:tcPr>
            <w:tcW w:w="3432" w:type="pct"/>
            <w:vAlign w:val="center"/>
          </w:tcPr>
          <w:p w14:paraId="2FD7F830" w14:textId="77777777" w:rsidR="00D07A84" w:rsidRPr="00076651" w:rsidRDefault="00D07A84" w:rsidP="00076651">
            <w:pPr>
              <w:tabs>
                <w:tab w:val="left" w:pos="1701"/>
                <w:tab w:val="left" w:pos="2268"/>
                <w:tab w:val="left" w:pos="2835"/>
              </w:tabs>
              <w:spacing w:line="240" w:lineRule="auto"/>
              <w:rPr>
                <w:lang w:val="fr-FR"/>
              </w:rPr>
            </w:pPr>
            <w:r w:rsidRPr="00076651">
              <w:rPr>
                <w:lang w:val="fr-FR"/>
              </w:rPr>
              <w:t>Pompes à chaleur, voir</w:t>
            </w:r>
          </w:p>
        </w:tc>
        <w:tc>
          <w:tcPr>
            <w:tcW w:w="785" w:type="pct"/>
            <w:vAlign w:val="center"/>
          </w:tcPr>
          <w:p w14:paraId="0B592048"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2.2</w:t>
            </w:r>
            <w:r w:rsidRPr="00076651">
              <w:rPr>
                <w:lang w:val="fr-FR"/>
              </w:rPr>
              <w:br/>
              <w:t>2.1</w:t>
            </w:r>
          </w:p>
        </w:tc>
        <w:tc>
          <w:tcPr>
            <w:tcW w:w="783" w:type="pct"/>
            <w:vAlign w:val="center"/>
          </w:tcPr>
          <w:p w14:paraId="753831A3"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2857</w:t>
            </w:r>
            <w:r w:rsidRPr="00076651">
              <w:rPr>
                <w:lang w:val="fr-FR"/>
              </w:rPr>
              <w:br/>
              <w:t>3358</w:t>
            </w:r>
          </w:p>
        </w:tc>
      </w:tr>
      <w:tr w:rsidR="00D07A84" w:rsidRPr="00076651" w14:paraId="64227447" w14:textId="77777777" w:rsidTr="00076651">
        <w:trPr>
          <w:trHeight w:val="340"/>
        </w:trPr>
        <w:tc>
          <w:tcPr>
            <w:tcW w:w="3432" w:type="pct"/>
            <w:vAlign w:val="center"/>
          </w:tcPr>
          <w:p w14:paraId="1612DBF4" w14:textId="0EE7BC85" w:rsidR="00D07A84" w:rsidRPr="00076651" w:rsidRDefault="00D07A84" w:rsidP="00076651">
            <w:pPr>
              <w:tabs>
                <w:tab w:val="left" w:pos="1701"/>
                <w:tab w:val="left" w:pos="2268"/>
                <w:tab w:val="left" w:pos="2835"/>
              </w:tabs>
              <w:spacing w:line="240" w:lineRule="auto"/>
              <w:rPr>
                <w:lang w:val="fr-FR"/>
              </w:rPr>
            </w:pPr>
            <w:r w:rsidRPr="00076651">
              <w:rPr>
                <w:lang w:val="fr-FR"/>
              </w:rPr>
              <w:t>DISPOSITIFS DE CHAUFFAGE contenant des gaz non inflammables et non toxiques ou des solutions d’ammoniac (No ONU 2672)</w:t>
            </w:r>
          </w:p>
        </w:tc>
        <w:tc>
          <w:tcPr>
            <w:tcW w:w="785" w:type="pct"/>
            <w:vAlign w:val="center"/>
          </w:tcPr>
          <w:p w14:paraId="6C8CE5C5"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2.2</w:t>
            </w:r>
          </w:p>
        </w:tc>
        <w:tc>
          <w:tcPr>
            <w:tcW w:w="783" w:type="pct"/>
            <w:vAlign w:val="center"/>
          </w:tcPr>
          <w:p w14:paraId="7457B75E"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2857</w:t>
            </w:r>
          </w:p>
        </w:tc>
      </w:tr>
      <w:tr w:rsidR="00D07A84" w:rsidRPr="00076651" w14:paraId="08CE1436" w14:textId="77777777" w:rsidTr="00076651">
        <w:trPr>
          <w:trHeight w:val="340"/>
        </w:trPr>
        <w:tc>
          <w:tcPr>
            <w:tcW w:w="3432" w:type="pct"/>
            <w:vAlign w:val="center"/>
          </w:tcPr>
          <w:p w14:paraId="18D3ADA0" w14:textId="77777777" w:rsidR="00D07A84" w:rsidRPr="00076651" w:rsidRDefault="00D07A84" w:rsidP="00076651">
            <w:pPr>
              <w:tabs>
                <w:tab w:val="left" w:pos="1701"/>
                <w:tab w:val="left" w:pos="2268"/>
                <w:tab w:val="left" w:pos="2835"/>
              </w:tabs>
              <w:spacing w:line="240" w:lineRule="auto"/>
              <w:rPr>
                <w:lang w:val="fr-FR"/>
              </w:rPr>
            </w:pPr>
            <w:r w:rsidRPr="00076651">
              <w:rPr>
                <w:lang w:val="fr-FR"/>
              </w:rPr>
              <w:t>DISPOSITIFS DE CHAUFFAGE contenant un gaz liquéfié inflammable et non toxique</w:t>
            </w:r>
          </w:p>
        </w:tc>
        <w:tc>
          <w:tcPr>
            <w:tcW w:w="785" w:type="pct"/>
            <w:vAlign w:val="center"/>
          </w:tcPr>
          <w:p w14:paraId="0BB880D6"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2.1</w:t>
            </w:r>
          </w:p>
        </w:tc>
        <w:tc>
          <w:tcPr>
            <w:tcW w:w="783" w:type="pct"/>
            <w:vAlign w:val="center"/>
          </w:tcPr>
          <w:p w14:paraId="40333D93"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3358</w:t>
            </w:r>
          </w:p>
        </w:tc>
      </w:tr>
      <w:tr w:rsidR="00D07A84" w:rsidRPr="00076651" w14:paraId="5EF98164" w14:textId="77777777" w:rsidTr="00076651">
        <w:trPr>
          <w:trHeight w:val="340"/>
        </w:trPr>
        <w:tc>
          <w:tcPr>
            <w:tcW w:w="3432" w:type="pct"/>
            <w:vAlign w:val="center"/>
          </w:tcPr>
          <w:p w14:paraId="64EA0CFE" w14:textId="77777777" w:rsidR="00D07A84" w:rsidRPr="00076651" w:rsidRDefault="00D07A84" w:rsidP="00076651">
            <w:pPr>
              <w:tabs>
                <w:tab w:val="left" w:pos="1701"/>
                <w:tab w:val="left" w:pos="2268"/>
                <w:tab w:val="left" w:pos="2835"/>
              </w:tabs>
              <w:spacing w:line="240" w:lineRule="auto"/>
              <w:rPr>
                <w:lang w:val="fr-FR"/>
              </w:rPr>
            </w:pPr>
            <w:r w:rsidRPr="00076651">
              <w:rPr>
                <w:lang w:val="fr-FR"/>
              </w:rPr>
              <w:t>Appareils d’imagerie par résonance magnétique contenant du gaz ininflammable, non toxique, voir</w:t>
            </w:r>
          </w:p>
        </w:tc>
        <w:tc>
          <w:tcPr>
            <w:tcW w:w="785" w:type="pct"/>
            <w:vAlign w:val="center"/>
          </w:tcPr>
          <w:p w14:paraId="02016104"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2.2</w:t>
            </w:r>
          </w:p>
        </w:tc>
        <w:tc>
          <w:tcPr>
            <w:tcW w:w="783" w:type="pct"/>
            <w:vAlign w:val="center"/>
          </w:tcPr>
          <w:p w14:paraId="09F389C8"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3538</w:t>
            </w:r>
          </w:p>
        </w:tc>
      </w:tr>
      <w:tr w:rsidR="00D07A84" w:rsidRPr="00076651" w14:paraId="04D5250C" w14:textId="77777777" w:rsidTr="00076651">
        <w:trPr>
          <w:trHeight w:val="340"/>
        </w:trPr>
        <w:tc>
          <w:tcPr>
            <w:tcW w:w="3432" w:type="pct"/>
            <w:vAlign w:val="center"/>
          </w:tcPr>
          <w:p w14:paraId="24E5D1F5" w14:textId="77777777" w:rsidR="00D07A84" w:rsidRPr="00076651" w:rsidRDefault="00D07A84" w:rsidP="00076651">
            <w:pPr>
              <w:tabs>
                <w:tab w:val="left" w:pos="1701"/>
                <w:tab w:val="left" w:pos="2268"/>
                <w:tab w:val="left" w:pos="2835"/>
              </w:tabs>
              <w:spacing w:line="240" w:lineRule="auto"/>
              <w:rPr>
                <w:lang w:val="fr-FR"/>
              </w:rPr>
            </w:pPr>
            <w:r w:rsidRPr="00076651">
              <w:rPr>
                <w:lang w:val="fr-FR"/>
              </w:rPr>
              <w:t>ACCUMULATEURS AU SODIUM IONIQUE INSTALLÉS DANS DES ENGINS DE TRANSPORT</w:t>
            </w:r>
          </w:p>
        </w:tc>
        <w:tc>
          <w:tcPr>
            <w:tcW w:w="785" w:type="pct"/>
            <w:vAlign w:val="center"/>
          </w:tcPr>
          <w:p w14:paraId="1FB45921"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9</w:t>
            </w:r>
          </w:p>
        </w:tc>
        <w:tc>
          <w:tcPr>
            <w:tcW w:w="783" w:type="pct"/>
            <w:vAlign w:val="center"/>
          </w:tcPr>
          <w:p w14:paraId="64CC1882"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3536</w:t>
            </w:r>
          </w:p>
        </w:tc>
      </w:tr>
      <w:tr w:rsidR="00D07A84" w:rsidRPr="00076651" w14:paraId="5635E686" w14:textId="77777777" w:rsidTr="00076651">
        <w:trPr>
          <w:trHeight w:val="340"/>
        </w:trPr>
        <w:tc>
          <w:tcPr>
            <w:tcW w:w="3432" w:type="pct"/>
            <w:vAlign w:val="center"/>
          </w:tcPr>
          <w:p w14:paraId="7FFAED76" w14:textId="77777777" w:rsidR="00D07A84" w:rsidRPr="00076651" w:rsidRDefault="00D07A84" w:rsidP="00076651">
            <w:pPr>
              <w:tabs>
                <w:tab w:val="left" w:pos="1701"/>
                <w:tab w:val="left" w:pos="2268"/>
                <w:tab w:val="left" w:pos="2835"/>
              </w:tabs>
              <w:spacing w:line="240" w:lineRule="auto"/>
              <w:rPr>
                <w:lang w:val="fr-FR"/>
              </w:rPr>
            </w:pPr>
            <w:r w:rsidRPr="00076651">
              <w:rPr>
                <w:lang w:val="fr-FR"/>
              </w:rPr>
              <w:t>Fluorure d’hydrogène en solution, voir</w:t>
            </w:r>
          </w:p>
        </w:tc>
        <w:tc>
          <w:tcPr>
            <w:tcW w:w="785" w:type="pct"/>
            <w:vAlign w:val="center"/>
          </w:tcPr>
          <w:p w14:paraId="5874B93C"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8</w:t>
            </w:r>
          </w:p>
        </w:tc>
        <w:tc>
          <w:tcPr>
            <w:tcW w:w="783" w:type="pct"/>
            <w:vAlign w:val="center"/>
          </w:tcPr>
          <w:p w14:paraId="10F305E5" w14:textId="77777777" w:rsidR="00D07A84" w:rsidRPr="00076651" w:rsidRDefault="00D07A84" w:rsidP="00076651">
            <w:pPr>
              <w:tabs>
                <w:tab w:val="left" w:pos="1701"/>
                <w:tab w:val="left" w:pos="2268"/>
                <w:tab w:val="left" w:pos="2835"/>
              </w:tabs>
              <w:spacing w:line="240" w:lineRule="auto"/>
              <w:jc w:val="center"/>
              <w:rPr>
                <w:lang w:val="fr-FR"/>
              </w:rPr>
            </w:pPr>
            <w:r w:rsidRPr="00076651">
              <w:rPr>
                <w:lang w:val="fr-FR"/>
              </w:rPr>
              <w:t>1790</w:t>
            </w:r>
          </w:p>
        </w:tc>
      </w:tr>
    </w:tbl>
    <w:p w14:paraId="470DAB8E" w14:textId="74201202" w:rsidR="00EE67D8" w:rsidRPr="00076651" w:rsidRDefault="00EE67D8" w:rsidP="009764BE">
      <w:pPr>
        <w:pStyle w:val="SingleTxtG"/>
        <w:tabs>
          <w:tab w:val="clear" w:pos="1701"/>
          <w:tab w:val="clear" w:pos="2268"/>
        </w:tabs>
        <w:rPr>
          <w:rFonts w:eastAsiaTheme="minorHAnsi"/>
          <w:i/>
          <w:iCs/>
          <w:lang w:val="fr-FR" w:eastAsia="en-US"/>
        </w:rPr>
      </w:pPr>
      <w:r w:rsidRPr="00076651">
        <w:rPr>
          <w:rFonts w:eastAsiaTheme="minorHAnsi"/>
          <w:i/>
          <w:iCs/>
          <w:lang w:val="fr-FR" w:eastAsia="en-US"/>
        </w:rPr>
        <w:t>(Document</w:t>
      </w:r>
      <w:r w:rsidR="009764BE" w:rsidRPr="00076651">
        <w:rPr>
          <w:rFonts w:eastAsiaTheme="minorHAnsi"/>
          <w:i/>
          <w:iCs/>
          <w:lang w:val="fr-FR" w:eastAsia="en-US"/>
        </w:rPr>
        <w:t>s</w:t>
      </w:r>
      <w:r w:rsidRPr="00076651">
        <w:rPr>
          <w:rFonts w:eastAsiaTheme="minorHAnsi"/>
          <w:i/>
          <w:iCs/>
          <w:lang w:val="fr-FR" w:eastAsia="en-US"/>
        </w:rPr>
        <w:t xml:space="preserve"> de référence : </w:t>
      </w:r>
      <w:r w:rsidR="009764BE" w:rsidRPr="00076651">
        <w:rPr>
          <w:i/>
          <w:iCs/>
        </w:rPr>
        <w:t xml:space="preserve">ST/SG/AC.10/C.3/126, annexe I et </w:t>
      </w:r>
      <w:r w:rsidRPr="00076651">
        <w:rPr>
          <w:i/>
          <w:iCs/>
        </w:rPr>
        <w:t>ST/SG/AC.10/C.3/128, annexe</w:t>
      </w:r>
      <w:r w:rsidR="009764BE" w:rsidRPr="00076651">
        <w:rPr>
          <w:i/>
          <w:iCs/>
        </w:rPr>
        <w:t> </w:t>
      </w:r>
      <w:r w:rsidRPr="00076651">
        <w:rPr>
          <w:i/>
          <w:iCs/>
        </w:rPr>
        <w:t>II</w:t>
      </w:r>
      <w:r w:rsidRPr="00076651">
        <w:rPr>
          <w:rFonts w:eastAsiaTheme="minorHAnsi"/>
          <w:i/>
          <w:iCs/>
          <w:lang w:val="fr-FR" w:eastAsia="en-US"/>
        </w:rPr>
        <w:t>)</w:t>
      </w:r>
    </w:p>
    <w:p w14:paraId="1ACF839C" w14:textId="77777777" w:rsidR="00A36353" w:rsidRPr="00076651" w:rsidRDefault="00A36353" w:rsidP="00B14684">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4.1</w:t>
      </w:r>
    </w:p>
    <w:p w14:paraId="0CEB43D1" w14:textId="77777777" w:rsidR="00F90AFF" w:rsidRPr="00076651" w:rsidRDefault="00F90AFF" w:rsidP="00F90AFF">
      <w:pPr>
        <w:pStyle w:val="SingleTxtG"/>
        <w:tabs>
          <w:tab w:val="clear" w:pos="1701"/>
        </w:tabs>
        <w:ind w:left="2268" w:hanging="1134"/>
        <w:rPr>
          <w:lang w:val="fr-FR"/>
        </w:rPr>
      </w:pPr>
      <w:r w:rsidRPr="00076651">
        <w:rPr>
          <w:lang w:val="fr-FR"/>
        </w:rPr>
        <w:t xml:space="preserve">4.1.1.19.3 </w:t>
      </w:r>
      <w:r w:rsidRPr="00076651">
        <w:rPr>
          <w:lang w:val="fr-FR"/>
        </w:rPr>
        <w:tab/>
        <w:t>À l’alinéa c), dans la première phrase, remplacer « et en volume » par « , en contenance en eau utilisable et en produit pression-volume » et, dans la version française, remplacer « lorsque totalement déchargé » par « lorsque leur contenu est totalement déchargé ».</w:t>
      </w:r>
    </w:p>
    <w:p w14:paraId="280E23A1"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25F8C393" w14:textId="77777777" w:rsidR="00A36353" w:rsidRPr="00076651" w:rsidRDefault="00A36353" w:rsidP="00D64125">
      <w:pPr>
        <w:pStyle w:val="SingleTxtG"/>
        <w:keepNext/>
        <w:tabs>
          <w:tab w:val="clear" w:pos="1701"/>
          <w:tab w:val="clear" w:pos="2268"/>
        </w:tabs>
        <w:ind w:left="2268" w:hanging="1134"/>
        <w:rPr>
          <w:lang w:val="fr-FR"/>
        </w:rPr>
      </w:pPr>
      <w:r w:rsidRPr="00076651">
        <w:rPr>
          <w:rFonts w:asciiTheme="majorBidi" w:eastAsia="SimSun" w:hAnsiTheme="majorBidi" w:cstheme="majorBidi"/>
          <w:lang w:val="fr-FR"/>
        </w:rPr>
        <w:lastRenderedPageBreak/>
        <w:t>4.1.3.6.5</w:t>
      </w:r>
      <w:r w:rsidRPr="00076651">
        <w:rPr>
          <w:rFonts w:asciiTheme="majorBidi" w:eastAsia="SimSun" w:hAnsiTheme="majorBidi" w:cstheme="majorBidi"/>
          <w:lang w:val="fr-FR"/>
        </w:rPr>
        <w:tab/>
      </w:r>
      <w:r w:rsidRPr="00076651">
        <w:rPr>
          <w:lang w:val="fr-FR"/>
        </w:rPr>
        <w:t>L’amendement ne s’applique pas au texte français.</w:t>
      </w:r>
    </w:p>
    <w:p w14:paraId="08D10D81"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048FF69C" w14:textId="77777777" w:rsidR="00A3490B" w:rsidRPr="00076651" w:rsidRDefault="00A3490B" w:rsidP="00A3490B">
      <w:pPr>
        <w:pStyle w:val="SingleTxtG"/>
        <w:tabs>
          <w:tab w:val="clear" w:pos="1701"/>
        </w:tabs>
        <w:ind w:left="2268" w:hanging="1134"/>
        <w:rPr>
          <w:rFonts w:eastAsiaTheme="minorHAnsi"/>
          <w:lang w:val="fr-FR" w:eastAsia="en-US"/>
        </w:rPr>
      </w:pPr>
      <w:r w:rsidRPr="00076651">
        <w:rPr>
          <w:rFonts w:eastAsiaTheme="minorHAnsi"/>
          <w:lang w:val="fr-FR" w:eastAsia="en-US"/>
        </w:rPr>
        <w:t>4.1.4.1, P001</w:t>
      </w:r>
      <w:r w:rsidRPr="00076651">
        <w:rPr>
          <w:rFonts w:eastAsiaTheme="minorHAnsi"/>
          <w:lang w:val="fr-FR" w:eastAsia="en-US"/>
        </w:rPr>
        <w:tab/>
        <w:t>Dans la disposition spéciale PP5, au début, remplacer « le No ONU 1204 » par « les Nos ONU 1204 et 2029 ».</w:t>
      </w:r>
    </w:p>
    <w:p w14:paraId="615B0E48"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3C58701F" w14:textId="77777777" w:rsidR="00A3490B" w:rsidRPr="00076651" w:rsidRDefault="00A3490B" w:rsidP="00BC0E36">
      <w:pPr>
        <w:pStyle w:val="SingleTxtG"/>
        <w:tabs>
          <w:tab w:val="clear" w:pos="1701"/>
        </w:tabs>
        <w:ind w:left="2268" w:hanging="1134"/>
        <w:rPr>
          <w:lang w:val="fr-FR"/>
        </w:rPr>
      </w:pPr>
      <w:r w:rsidRPr="00076651">
        <w:rPr>
          <w:rFonts w:asciiTheme="majorBidi" w:eastAsia="SimSun" w:hAnsiTheme="majorBidi" w:cstheme="majorBidi"/>
          <w:lang w:val="fr-FR"/>
        </w:rPr>
        <w:t>4.1.4.1, P006</w:t>
      </w:r>
      <w:r w:rsidRPr="00076651">
        <w:rPr>
          <w:rFonts w:asciiTheme="majorBidi" w:eastAsia="SimSun" w:hAnsiTheme="majorBidi" w:cstheme="majorBidi"/>
          <w:lang w:val="fr-FR"/>
        </w:rPr>
        <w:tab/>
      </w:r>
      <w:r w:rsidRPr="00076651">
        <w:rPr>
          <w:lang w:val="fr-FR"/>
        </w:rPr>
        <w:t>À l’alinéa 5), dans la première phrase, après « de piles ou batteries au lithium », ajouter « ou de piles ou de batteries au sodium ionique » et après « des piles ou batteries au lithium », ajouter « ou des piles ou des batteries au sodium ionique ». La deuxième modification ne s’applique pas au texte français.</w:t>
      </w:r>
    </w:p>
    <w:p w14:paraId="02A69F09"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7087BF66" w14:textId="77777777" w:rsidR="001854AD" w:rsidRPr="00076651" w:rsidRDefault="001854AD" w:rsidP="001854AD">
      <w:pPr>
        <w:pStyle w:val="SingleTxtG"/>
        <w:tabs>
          <w:tab w:val="clear" w:pos="1701"/>
          <w:tab w:val="clear" w:pos="2268"/>
          <w:tab w:val="clear" w:pos="2835"/>
        </w:tabs>
        <w:ind w:left="2268" w:hanging="1134"/>
        <w:rPr>
          <w:lang w:val="fr-FR"/>
        </w:rPr>
      </w:pPr>
      <w:r w:rsidRPr="00076651">
        <w:rPr>
          <w:lang w:val="fr-FR"/>
        </w:rPr>
        <w:t>4.1.4.1, P130</w:t>
      </w:r>
      <w:r w:rsidRPr="00076651">
        <w:rPr>
          <w:lang w:val="fr-FR"/>
        </w:rPr>
        <w:tab/>
        <w:t>Ajouter la nouvelle disposition spéciale d’emballage suivante :</w:t>
      </w:r>
    </w:p>
    <w:p w14:paraId="22C68DFD" w14:textId="77777777" w:rsidR="001854AD" w:rsidRPr="00076651" w:rsidRDefault="001854AD" w:rsidP="001854AD">
      <w:pPr>
        <w:pStyle w:val="SingleTxtG"/>
        <w:tabs>
          <w:tab w:val="clear" w:pos="1701"/>
          <w:tab w:val="clear" w:pos="2268"/>
          <w:tab w:val="clear" w:pos="2835"/>
        </w:tabs>
        <w:ind w:left="2268" w:hanging="1134"/>
        <w:rPr>
          <w:lang w:val="fr-FR"/>
        </w:rPr>
      </w:pPr>
      <w:r w:rsidRPr="00076651">
        <w:rPr>
          <w:lang w:val="fr-FR"/>
        </w:rPr>
        <w:t>« PP98</w:t>
      </w:r>
      <w:r w:rsidRPr="00076651">
        <w:rPr>
          <w:lang w:val="fr-FR"/>
        </w:rPr>
        <w:tab/>
        <w:t>Pour les Nos ONU 0012 et 0014, malgré les prescriptions du 4.1.5.11, les objets peuvent être emballés sans rembourrage intérieur, ni accessoires, ni revêtement, ni doublure dans des emballages extérieurs métalliques. »</w:t>
      </w:r>
    </w:p>
    <w:p w14:paraId="3B8A17C5"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1972D412" w14:textId="77777777" w:rsidR="00A36353" w:rsidRPr="00076651" w:rsidRDefault="00A36353" w:rsidP="00EE67D8">
      <w:pPr>
        <w:pStyle w:val="SingleTxtG"/>
        <w:tabs>
          <w:tab w:val="clear" w:pos="1701"/>
          <w:tab w:val="clear" w:pos="2268"/>
        </w:tabs>
        <w:ind w:left="2268" w:hanging="1134"/>
        <w:rPr>
          <w:lang w:val="fr-FR"/>
        </w:rPr>
      </w:pPr>
      <w:r w:rsidRPr="00076651">
        <w:rPr>
          <w:rFonts w:asciiTheme="majorBidi" w:eastAsia="SimSun" w:hAnsiTheme="majorBidi" w:cstheme="majorBidi"/>
          <w:lang w:val="fr-FR"/>
        </w:rPr>
        <w:t>4.1.4.1, P200</w:t>
      </w:r>
      <w:r w:rsidRPr="00076651">
        <w:rPr>
          <w:rFonts w:asciiTheme="majorBidi" w:eastAsia="SimSun" w:hAnsiTheme="majorBidi" w:cstheme="majorBidi"/>
          <w:lang w:val="fr-FR"/>
        </w:rPr>
        <w:tab/>
      </w:r>
      <w:r w:rsidRPr="00076651">
        <w:rPr>
          <w:lang w:val="fr-FR"/>
        </w:rPr>
        <w:t>L’amendement ne s’applique pas au texte français.</w:t>
      </w:r>
    </w:p>
    <w:p w14:paraId="2C41EBD9"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5BC9340F" w14:textId="77777777" w:rsidR="0004228F" w:rsidRPr="00076651" w:rsidRDefault="0004228F" w:rsidP="0004228F">
      <w:pPr>
        <w:pStyle w:val="SingleTxtG"/>
        <w:ind w:left="2268" w:hanging="1134"/>
        <w:rPr>
          <w:lang w:val="fr-FR"/>
        </w:rPr>
      </w:pPr>
      <w:r w:rsidRPr="00076651">
        <w:rPr>
          <w:lang w:val="fr-FR"/>
        </w:rPr>
        <w:t>4.1.4.1, P520</w:t>
      </w:r>
      <w:r w:rsidRPr="00076651">
        <w:rPr>
          <w:lang w:val="fr-FR"/>
        </w:rPr>
        <w:tab/>
        <w:t>Dans la disposition spéciale d’emballage PP94, à l’alinéa b), remplacer « </w:t>
      </w:r>
      <w:r w:rsidRPr="00076651">
        <w:rPr>
          <w:bCs/>
          <w:lang w:val="fr-FR"/>
        </w:rPr>
        <w:t>plaques à réservoirs ou des plaques multiples » par « </w:t>
      </w:r>
      <w:r w:rsidRPr="00076651">
        <w:rPr>
          <w:color w:val="000000"/>
          <w:lang w:val="fr-FR"/>
        </w:rPr>
        <w:t xml:space="preserve">plaques </w:t>
      </w:r>
      <w:proofErr w:type="spellStart"/>
      <w:r w:rsidRPr="00076651">
        <w:rPr>
          <w:color w:val="000000"/>
          <w:lang w:val="fr-FR"/>
        </w:rPr>
        <w:t>microtitres</w:t>
      </w:r>
      <w:proofErr w:type="spellEnd"/>
      <w:r w:rsidRPr="00076651">
        <w:rPr>
          <w:color w:val="000000"/>
          <w:lang w:val="fr-FR"/>
        </w:rPr>
        <w:t xml:space="preserve"> ou multi-puits ».</w:t>
      </w:r>
    </w:p>
    <w:p w14:paraId="09D17A1D"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25C69504" w14:textId="6B37FE76" w:rsidR="00A36353" w:rsidRPr="00076651" w:rsidRDefault="00A36353" w:rsidP="00EE67D8">
      <w:pPr>
        <w:pStyle w:val="SingleTxtG"/>
        <w:tabs>
          <w:tab w:val="clear" w:pos="1701"/>
          <w:tab w:val="clear" w:pos="2268"/>
        </w:tabs>
        <w:ind w:left="2268" w:hanging="1134"/>
        <w:rPr>
          <w:lang w:val="fr-FR"/>
        </w:rPr>
      </w:pPr>
      <w:r w:rsidRPr="00076651">
        <w:rPr>
          <w:lang w:val="fr-FR"/>
        </w:rPr>
        <w:t>4.1.4.1, P912</w:t>
      </w:r>
      <w:r w:rsidRPr="00076651">
        <w:rPr>
          <w:lang w:val="fr-FR"/>
        </w:rPr>
        <w:tab/>
        <w:t>À l’alinéa (c), après la première virgule, supprimer « les véhicules ».</w:t>
      </w:r>
    </w:p>
    <w:p w14:paraId="4D772082"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0CAA72CE" w14:textId="77777777" w:rsidR="002A7EFD" w:rsidRPr="00076651" w:rsidRDefault="002A7EFD" w:rsidP="002A7EFD">
      <w:pPr>
        <w:tabs>
          <w:tab w:val="left" w:pos="1701"/>
          <w:tab w:val="left" w:pos="2268"/>
          <w:tab w:val="left" w:pos="2835"/>
        </w:tabs>
        <w:spacing w:after="120"/>
        <w:ind w:left="2268" w:right="1134" w:hanging="1134"/>
        <w:jc w:val="both"/>
        <w:rPr>
          <w:rFonts w:eastAsiaTheme="minorHAnsi"/>
          <w:lang w:val="fr-FR" w:eastAsia="en-US"/>
        </w:rPr>
      </w:pPr>
      <w:r w:rsidRPr="00076651">
        <w:rPr>
          <w:rFonts w:eastAsiaTheme="minorHAnsi"/>
          <w:lang w:val="fr-FR" w:eastAsia="en-US"/>
        </w:rPr>
        <w:t>4.1.4.2, IBC520</w:t>
      </w:r>
      <w:r w:rsidRPr="00076651">
        <w:rPr>
          <w:rFonts w:eastAsiaTheme="minorHAnsi"/>
          <w:lang w:val="fr-FR" w:eastAsia="en-US"/>
        </w:rPr>
        <w:tab/>
      </w:r>
      <w:r w:rsidRPr="00076651">
        <w:rPr>
          <w:rFonts w:eastAsiaTheme="minorHAnsi"/>
          <w:lang w:val="fr-FR" w:eastAsia="en-US"/>
        </w:rPr>
        <w:tab/>
        <w:t>Pour le No ONU 3119, ajouter la nouvelle rubrique suivante :</w:t>
      </w:r>
    </w:p>
    <w:tbl>
      <w:tblPr>
        <w:tblStyle w:val="TableGrid11"/>
        <w:tblW w:w="8505" w:type="dxa"/>
        <w:tblInd w:w="1134" w:type="dxa"/>
        <w:tblLayout w:type="fixed"/>
        <w:tblLook w:val="01E0" w:firstRow="1" w:lastRow="1" w:firstColumn="1" w:lastColumn="1" w:noHBand="0" w:noVBand="0"/>
      </w:tblPr>
      <w:tblGrid>
        <w:gridCol w:w="832"/>
        <w:gridCol w:w="2958"/>
        <w:gridCol w:w="1202"/>
        <w:gridCol w:w="1387"/>
        <w:gridCol w:w="1202"/>
        <w:gridCol w:w="924"/>
      </w:tblGrid>
      <w:tr w:rsidR="002A7EFD" w:rsidRPr="00076651" w14:paraId="247F5B64" w14:textId="77777777" w:rsidTr="00076651">
        <w:tc>
          <w:tcPr>
            <w:tcW w:w="810" w:type="dxa"/>
            <w:tcBorders>
              <w:top w:val="single" w:sz="4" w:space="0" w:color="auto"/>
              <w:left w:val="single" w:sz="4" w:space="0" w:color="auto"/>
              <w:bottom w:val="single" w:sz="4" w:space="0" w:color="auto"/>
              <w:right w:val="single" w:sz="4" w:space="0" w:color="auto"/>
            </w:tcBorders>
          </w:tcPr>
          <w:p w14:paraId="02030FB9" w14:textId="77777777" w:rsidR="002A7EFD" w:rsidRPr="00076651" w:rsidRDefault="002A7EFD" w:rsidP="00076651">
            <w:pPr>
              <w:spacing w:before="60" w:after="60"/>
              <w:ind w:left="57" w:right="57"/>
              <w:rPr>
                <w:rFonts w:eastAsiaTheme="minorHAnsi"/>
                <w:lang w:val="fr-FR" w:eastAsia="en-US"/>
              </w:rPr>
            </w:pPr>
          </w:p>
        </w:tc>
        <w:tc>
          <w:tcPr>
            <w:tcW w:w="2880" w:type="dxa"/>
            <w:tcBorders>
              <w:top w:val="single" w:sz="4" w:space="0" w:color="auto"/>
              <w:left w:val="single" w:sz="4" w:space="0" w:color="auto"/>
              <w:bottom w:val="single" w:sz="4" w:space="0" w:color="auto"/>
              <w:right w:val="single" w:sz="4" w:space="0" w:color="auto"/>
            </w:tcBorders>
            <w:vAlign w:val="bottom"/>
            <w:hideMark/>
          </w:tcPr>
          <w:p w14:paraId="4A7ED93D" w14:textId="77777777" w:rsidR="002A7EFD" w:rsidRPr="00076651" w:rsidRDefault="002A7EFD" w:rsidP="00076651">
            <w:pPr>
              <w:spacing w:before="60" w:after="60" w:line="200" w:lineRule="exact"/>
              <w:ind w:left="57" w:right="57"/>
              <w:rPr>
                <w:rFonts w:asciiTheme="majorBidi" w:eastAsiaTheme="minorHAnsi" w:hAnsiTheme="majorBidi" w:cstheme="majorBidi"/>
                <w:lang w:val="fr-FR" w:eastAsia="en-US"/>
              </w:rPr>
            </w:pPr>
            <w:r w:rsidRPr="00076651">
              <w:rPr>
                <w:lang w:val="fr-FR"/>
              </w:rPr>
              <w:t xml:space="preserve">Ethyl-2 </w:t>
            </w:r>
            <w:proofErr w:type="spellStart"/>
            <w:r w:rsidRPr="00076651">
              <w:rPr>
                <w:lang w:val="fr-FR"/>
              </w:rPr>
              <w:t>peroxyhexanoate</w:t>
            </w:r>
            <w:proofErr w:type="spellEnd"/>
            <w:r w:rsidRPr="00076651">
              <w:rPr>
                <w:lang w:val="fr-FR"/>
              </w:rPr>
              <w:t xml:space="preserve"> de </w:t>
            </w:r>
            <w:proofErr w:type="spellStart"/>
            <w:r w:rsidRPr="00076651">
              <w:rPr>
                <w:lang w:val="fr-FR"/>
              </w:rPr>
              <w:t>tert</w:t>
            </w:r>
            <w:proofErr w:type="spellEnd"/>
            <w:r w:rsidRPr="00076651">
              <w:rPr>
                <w:lang w:val="fr-FR"/>
              </w:rPr>
              <w:t>-butyle, à 52% au plus dans un diluant du type A</w:t>
            </w:r>
          </w:p>
        </w:tc>
        <w:tc>
          <w:tcPr>
            <w:tcW w:w="1170" w:type="dxa"/>
            <w:tcBorders>
              <w:top w:val="single" w:sz="4" w:space="0" w:color="auto"/>
              <w:left w:val="single" w:sz="4" w:space="0" w:color="auto"/>
              <w:bottom w:val="single" w:sz="4" w:space="0" w:color="auto"/>
              <w:right w:val="single" w:sz="4" w:space="0" w:color="auto"/>
            </w:tcBorders>
            <w:hideMark/>
          </w:tcPr>
          <w:p w14:paraId="7F60D95E" w14:textId="77777777" w:rsidR="002A7EFD" w:rsidRPr="00076651" w:rsidRDefault="002A7EFD" w:rsidP="00076651">
            <w:pPr>
              <w:spacing w:before="60" w:after="60" w:line="200" w:lineRule="exact"/>
              <w:ind w:left="57" w:right="57"/>
              <w:jc w:val="center"/>
              <w:rPr>
                <w:rFonts w:asciiTheme="majorBidi" w:eastAsiaTheme="minorHAnsi" w:hAnsiTheme="majorBidi" w:cstheme="majorBidi"/>
                <w:lang w:val="fr-FR" w:eastAsia="en-US"/>
              </w:rPr>
            </w:pPr>
            <w:r w:rsidRPr="00076651">
              <w:rPr>
                <w:rFonts w:asciiTheme="majorBidi" w:hAnsiTheme="majorBidi" w:cstheme="majorBidi"/>
                <w:lang w:val="fr-FR"/>
              </w:rPr>
              <w:t>31HA1</w:t>
            </w:r>
            <w:r w:rsidRPr="00076651">
              <w:rPr>
                <w:rFonts w:asciiTheme="majorBidi" w:hAnsiTheme="majorBidi" w:cstheme="majorBidi"/>
                <w:lang w:val="fr-FR"/>
              </w:rPr>
              <w:br/>
              <w:t>31A</w:t>
            </w:r>
          </w:p>
        </w:tc>
        <w:tc>
          <w:tcPr>
            <w:tcW w:w="1350" w:type="dxa"/>
            <w:tcBorders>
              <w:top w:val="single" w:sz="4" w:space="0" w:color="auto"/>
              <w:left w:val="single" w:sz="4" w:space="0" w:color="auto"/>
              <w:bottom w:val="single" w:sz="4" w:space="0" w:color="auto"/>
              <w:right w:val="single" w:sz="4" w:space="0" w:color="auto"/>
            </w:tcBorders>
            <w:hideMark/>
          </w:tcPr>
          <w:p w14:paraId="417FE4AF" w14:textId="77777777" w:rsidR="002A7EFD" w:rsidRPr="00076651" w:rsidRDefault="002A7EFD" w:rsidP="00076651">
            <w:pPr>
              <w:spacing w:before="60" w:after="60" w:line="200" w:lineRule="exact"/>
              <w:ind w:left="57" w:right="57"/>
              <w:jc w:val="center"/>
              <w:rPr>
                <w:rFonts w:asciiTheme="majorBidi" w:eastAsiaTheme="minorHAnsi" w:hAnsiTheme="majorBidi" w:cstheme="majorBidi"/>
                <w:lang w:val="fr-FR" w:eastAsia="en-US"/>
              </w:rPr>
            </w:pPr>
            <w:r w:rsidRPr="00076651">
              <w:rPr>
                <w:rFonts w:asciiTheme="majorBidi" w:hAnsiTheme="majorBidi" w:cstheme="majorBidi"/>
                <w:lang w:val="fr-FR"/>
              </w:rPr>
              <w:t>1 000</w:t>
            </w:r>
            <w:r w:rsidRPr="00076651">
              <w:rPr>
                <w:rFonts w:asciiTheme="majorBidi" w:hAnsiTheme="majorBidi" w:cstheme="majorBidi"/>
                <w:lang w:val="fr-FR"/>
              </w:rPr>
              <w:br/>
              <w:t>1 250</w:t>
            </w:r>
          </w:p>
        </w:tc>
        <w:tc>
          <w:tcPr>
            <w:tcW w:w="1170" w:type="dxa"/>
            <w:tcBorders>
              <w:top w:val="single" w:sz="4" w:space="0" w:color="auto"/>
              <w:left w:val="single" w:sz="4" w:space="0" w:color="auto"/>
              <w:bottom w:val="single" w:sz="4" w:space="0" w:color="auto"/>
              <w:right w:val="single" w:sz="4" w:space="0" w:color="auto"/>
            </w:tcBorders>
            <w:hideMark/>
          </w:tcPr>
          <w:p w14:paraId="6274D906" w14:textId="77777777" w:rsidR="002A7EFD" w:rsidRPr="00076651" w:rsidRDefault="002A7EFD" w:rsidP="00076651">
            <w:pPr>
              <w:spacing w:before="40" w:after="40" w:line="220" w:lineRule="exact"/>
              <w:jc w:val="center"/>
              <w:rPr>
                <w:rFonts w:asciiTheme="majorBidi" w:hAnsiTheme="majorBidi" w:cstheme="majorBidi"/>
                <w:lang w:val="fr-FR"/>
              </w:rPr>
            </w:pPr>
            <w:r w:rsidRPr="00076651">
              <w:rPr>
                <w:rFonts w:asciiTheme="majorBidi" w:hAnsiTheme="majorBidi" w:cstheme="majorBidi"/>
                <w:lang w:val="fr-FR"/>
              </w:rPr>
              <w:t>+30 ºC</w:t>
            </w:r>
          </w:p>
          <w:p w14:paraId="37B6B803" w14:textId="77777777" w:rsidR="002A7EFD" w:rsidRPr="00076651" w:rsidRDefault="002A7EFD" w:rsidP="00076651">
            <w:pPr>
              <w:spacing w:before="60" w:after="60" w:line="200" w:lineRule="exact"/>
              <w:ind w:left="57" w:right="57"/>
              <w:jc w:val="center"/>
              <w:rPr>
                <w:rFonts w:asciiTheme="majorBidi" w:eastAsiaTheme="minorHAnsi" w:hAnsiTheme="majorBidi" w:cstheme="majorBidi"/>
                <w:lang w:val="fr-FR" w:eastAsia="en-US"/>
              </w:rPr>
            </w:pPr>
            <w:r w:rsidRPr="00076651">
              <w:rPr>
                <w:rFonts w:asciiTheme="majorBidi" w:hAnsiTheme="majorBidi" w:cstheme="majorBidi"/>
                <w:lang w:val="fr-FR"/>
              </w:rPr>
              <w:t>+30 ºC</w:t>
            </w:r>
          </w:p>
        </w:tc>
        <w:tc>
          <w:tcPr>
            <w:tcW w:w="900" w:type="dxa"/>
            <w:tcBorders>
              <w:top w:val="single" w:sz="4" w:space="0" w:color="auto"/>
              <w:left w:val="single" w:sz="4" w:space="0" w:color="auto"/>
              <w:bottom w:val="single" w:sz="4" w:space="0" w:color="auto"/>
              <w:right w:val="single" w:sz="4" w:space="0" w:color="auto"/>
            </w:tcBorders>
            <w:hideMark/>
          </w:tcPr>
          <w:p w14:paraId="77BE1617" w14:textId="77777777" w:rsidR="002A7EFD" w:rsidRPr="00076651" w:rsidRDefault="002A7EFD" w:rsidP="00076651">
            <w:pPr>
              <w:spacing w:before="40" w:after="40" w:line="220" w:lineRule="exact"/>
              <w:jc w:val="center"/>
              <w:rPr>
                <w:rFonts w:asciiTheme="majorBidi" w:hAnsiTheme="majorBidi" w:cstheme="majorBidi"/>
                <w:lang w:val="fr-FR"/>
              </w:rPr>
            </w:pPr>
            <w:r w:rsidRPr="00076651">
              <w:rPr>
                <w:rFonts w:asciiTheme="majorBidi" w:hAnsiTheme="majorBidi" w:cstheme="majorBidi"/>
                <w:lang w:val="fr-FR"/>
              </w:rPr>
              <w:t>+35 ºC</w:t>
            </w:r>
          </w:p>
          <w:p w14:paraId="526269BD" w14:textId="77777777" w:rsidR="002A7EFD" w:rsidRPr="00076651" w:rsidRDefault="002A7EFD" w:rsidP="00076651">
            <w:pPr>
              <w:spacing w:before="60" w:after="60" w:line="200" w:lineRule="exact"/>
              <w:ind w:left="57" w:right="57"/>
              <w:jc w:val="center"/>
              <w:rPr>
                <w:rFonts w:asciiTheme="majorBidi" w:eastAsiaTheme="minorHAnsi" w:hAnsiTheme="majorBidi" w:cstheme="majorBidi"/>
                <w:lang w:val="fr-FR" w:eastAsia="en-US"/>
              </w:rPr>
            </w:pPr>
            <w:r w:rsidRPr="00076651">
              <w:rPr>
                <w:rFonts w:asciiTheme="majorBidi" w:hAnsiTheme="majorBidi" w:cstheme="majorBidi"/>
                <w:lang w:val="fr-FR"/>
              </w:rPr>
              <w:t>+35 ºC</w:t>
            </w:r>
          </w:p>
        </w:tc>
      </w:tr>
    </w:tbl>
    <w:p w14:paraId="72D7481A"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27C5A3F1" w14:textId="77777777" w:rsidR="002A7EFD" w:rsidRPr="00076651" w:rsidRDefault="002A7EFD" w:rsidP="00BC0E36">
      <w:pPr>
        <w:pStyle w:val="SingleTxtG"/>
        <w:tabs>
          <w:tab w:val="clear" w:pos="1701"/>
        </w:tabs>
        <w:ind w:left="2268" w:hanging="1134"/>
        <w:rPr>
          <w:lang w:val="fr-FR"/>
        </w:rPr>
      </w:pPr>
      <w:r w:rsidRPr="00076651">
        <w:rPr>
          <w:rFonts w:asciiTheme="majorBidi" w:eastAsia="SimSun" w:hAnsiTheme="majorBidi" w:cstheme="majorBidi"/>
          <w:lang w:val="fr-FR"/>
        </w:rPr>
        <w:t>4.1.4.3, LP03</w:t>
      </w:r>
      <w:r w:rsidRPr="00076651">
        <w:rPr>
          <w:rFonts w:asciiTheme="majorBidi" w:eastAsia="SimSun" w:hAnsiTheme="majorBidi" w:cstheme="majorBidi"/>
          <w:lang w:val="fr-FR"/>
        </w:rPr>
        <w:tab/>
      </w:r>
      <w:r w:rsidRPr="00076651">
        <w:rPr>
          <w:lang w:val="fr-FR"/>
        </w:rPr>
        <w:t>À l’alinéa 4), dans la première phrase, après « de piles ou batteries au lithium », ajouter « ou de piles ou batteries au sodium ionique » et après « des piles ou batteries au lithium », ajouter « ou des piles ou batteries au sodium ionique ».</w:t>
      </w:r>
    </w:p>
    <w:p w14:paraId="26FA0548"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00FF64E9" w14:textId="77777777" w:rsidR="002A7EFD" w:rsidRPr="00076651" w:rsidRDefault="002A7EFD" w:rsidP="00BC0E36">
      <w:pPr>
        <w:pStyle w:val="SingleTxtG"/>
        <w:tabs>
          <w:tab w:val="clear" w:pos="1701"/>
        </w:tabs>
        <w:ind w:left="2268" w:hanging="1134"/>
        <w:rPr>
          <w:lang w:val="fr-FR"/>
        </w:rPr>
      </w:pPr>
      <w:r w:rsidRPr="00076651">
        <w:rPr>
          <w:lang w:val="fr-FR"/>
        </w:rPr>
        <w:t>4.1.6.1.2</w:t>
      </w:r>
      <w:r w:rsidRPr="00076651">
        <w:rPr>
          <w:lang w:val="fr-FR"/>
        </w:rPr>
        <w:tab/>
        <w:t xml:space="preserve">Après « ISO 11114-1:2020 » ajouter « + </w:t>
      </w:r>
      <w:proofErr w:type="spellStart"/>
      <w:r w:rsidRPr="00076651">
        <w:rPr>
          <w:lang w:val="fr-FR"/>
        </w:rPr>
        <w:t>Amd</w:t>
      </w:r>
      <w:proofErr w:type="spellEnd"/>
      <w:r w:rsidRPr="00076651">
        <w:rPr>
          <w:lang w:val="fr-FR"/>
        </w:rPr>
        <w:t> 1:2023 ».</w:t>
      </w:r>
      <w:bookmarkStart w:id="4" w:name="_Hlk144295267"/>
      <w:bookmarkEnd w:id="4"/>
    </w:p>
    <w:p w14:paraId="2C01DAEB"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07A59117" w14:textId="77777777" w:rsidR="00D314D6" w:rsidRPr="00076651" w:rsidRDefault="00D314D6" w:rsidP="00D314D6">
      <w:pPr>
        <w:tabs>
          <w:tab w:val="left" w:pos="1701"/>
          <w:tab w:val="left" w:pos="2268"/>
          <w:tab w:val="left" w:pos="2835"/>
        </w:tabs>
        <w:spacing w:before="120" w:after="120"/>
        <w:ind w:left="2268" w:right="1134" w:hanging="1134"/>
        <w:jc w:val="both"/>
        <w:rPr>
          <w:rFonts w:eastAsiaTheme="minorHAnsi"/>
          <w:lang w:val="fr-FR" w:eastAsia="en-US"/>
        </w:rPr>
      </w:pPr>
      <w:r w:rsidRPr="00076651">
        <w:rPr>
          <w:lang w:val="fr-FR"/>
        </w:rPr>
        <w:t>[4.1.6.1.8</w:t>
      </w:r>
      <w:r w:rsidRPr="00076651">
        <w:rPr>
          <w:rFonts w:eastAsiaTheme="minorHAnsi"/>
          <w:lang w:val="fr-FR" w:eastAsia="en-US"/>
        </w:rPr>
        <w:tab/>
        <w:t>Dans le paragraphe après l’alinéa e), dans la troisième phrase, après « </w:t>
      </w:r>
      <w:r w:rsidRPr="00076651">
        <w:rPr>
          <w:lang w:val="fr-FR"/>
        </w:rPr>
        <w:t xml:space="preserve">ISO 10297: 2014 + </w:t>
      </w:r>
      <w:proofErr w:type="spellStart"/>
      <w:r w:rsidRPr="00076651">
        <w:rPr>
          <w:lang w:val="fr-FR"/>
        </w:rPr>
        <w:t>Amd</w:t>
      </w:r>
      <w:proofErr w:type="spellEnd"/>
      <w:r w:rsidRPr="00076651">
        <w:rPr>
          <w:lang w:val="fr-FR"/>
        </w:rPr>
        <w:t xml:space="preserve"> 1:2017 » ajouter « ou dans l’article 5.4.2 de la norme ISO 10297:2024 ».]</w:t>
      </w:r>
    </w:p>
    <w:p w14:paraId="6B88AA7C"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5B55514F" w14:textId="77777777" w:rsidR="00A36353" w:rsidRPr="00076651" w:rsidRDefault="00A36353" w:rsidP="00BC0E36">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4.2</w:t>
      </w:r>
    </w:p>
    <w:p w14:paraId="731D2674" w14:textId="77777777" w:rsidR="00A36353" w:rsidRPr="00076651" w:rsidRDefault="00A36353" w:rsidP="00A36353">
      <w:pPr>
        <w:pStyle w:val="SingleTxtG"/>
        <w:tabs>
          <w:tab w:val="clear" w:pos="1701"/>
          <w:tab w:val="clear" w:pos="2268"/>
        </w:tabs>
        <w:ind w:left="2268" w:hanging="1134"/>
        <w:rPr>
          <w:lang w:val="fr-FR"/>
        </w:rPr>
      </w:pPr>
      <w:r w:rsidRPr="00076651">
        <w:rPr>
          <w:lang w:val="fr-FR"/>
        </w:rPr>
        <w:t>4.2.1.9</w:t>
      </w:r>
      <w:r w:rsidRPr="00076651">
        <w:rPr>
          <w:lang w:val="fr-FR"/>
        </w:rPr>
        <w:tab/>
        <w:t>Dans le titre, remplacer « taux » par « degré ».</w:t>
      </w:r>
    </w:p>
    <w:p w14:paraId="1DB79D33"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3530D94A" w14:textId="77777777" w:rsidR="00A36353" w:rsidRPr="00076651" w:rsidRDefault="00A36353" w:rsidP="00B14684">
      <w:pPr>
        <w:pStyle w:val="SingleTxtG"/>
        <w:tabs>
          <w:tab w:val="clear" w:pos="1701"/>
          <w:tab w:val="clear" w:pos="2268"/>
        </w:tabs>
        <w:ind w:left="2268" w:hanging="1134"/>
        <w:rPr>
          <w:lang w:val="fr-FR"/>
        </w:rPr>
      </w:pPr>
      <w:r w:rsidRPr="00076651">
        <w:rPr>
          <w:lang w:val="fr-FR"/>
        </w:rPr>
        <w:t>4.2.2.8</w:t>
      </w:r>
      <w:r w:rsidRPr="00076651">
        <w:rPr>
          <w:lang w:val="fr-FR"/>
        </w:rPr>
        <w:tab/>
        <w:t>À l’alinéa a), remplacer « taux de remplissage » par « remplissage ».</w:t>
      </w:r>
    </w:p>
    <w:p w14:paraId="4D4B93F7"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3B46792A" w14:textId="77777777" w:rsidR="00A36353" w:rsidRPr="00076651" w:rsidRDefault="00A36353" w:rsidP="00B14684">
      <w:pPr>
        <w:pStyle w:val="SingleTxtG"/>
        <w:tabs>
          <w:tab w:val="clear" w:pos="1701"/>
          <w:tab w:val="clear" w:pos="2268"/>
        </w:tabs>
        <w:ind w:left="2268" w:hanging="1134"/>
        <w:rPr>
          <w:lang w:val="fr-FR"/>
        </w:rPr>
      </w:pPr>
      <w:r w:rsidRPr="00076651">
        <w:rPr>
          <w:lang w:val="fr-FR"/>
        </w:rPr>
        <w:lastRenderedPageBreak/>
        <w:t>4.2.3.8</w:t>
      </w:r>
      <w:r w:rsidRPr="00076651">
        <w:rPr>
          <w:lang w:val="fr-FR"/>
        </w:rPr>
        <w:tab/>
        <w:t>À l’alinéa a), remplacer « taux de remplissage » par « remplissage ».</w:t>
      </w:r>
    </w:p>
    <w:p w14:paraId="5A34BF10"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57656D97" w14:textId="77777777" w:rsidR="00144095" w:rsidRPr="00076651" w:rsidRDefault="00144095" w:rsidP="00144095">
      <w:pPr>
        <w:pStyle w:val="SingleTxtG"/>
        <w:tabs>
          <w:tab w:val="clear" w:pos="1701"/>
        </w:tabs>
        <w:ind w:left="2268" w:hanging="1134"/>
        <w:rPr>
          <w:lang w:val="fr-FR"/>
        </w:rPr>
      </w:pPr>
      <w:r w:rsidRPr="00076651">
        <w:rPr>
          <w:lang w:val="fr-FR"/>
        </w:rPr>
        <w:t>4.2.6</w:t>
      </w:r>
      <w:r w:rsidRPr="00076651">
        <w:rPr>
          <w:lang w:val="fr-FR"/>
        </w:rPr>
        <w:tab/>
        <w:t>Ajouter le nouveau paragraphe suivant à la fin :</w:t>
      </w:r>
    </w:p>
    <w:p w14:paraId="692A23CD" w14:textId="77777777" w:rsidR="00144095" w:rsidRPr="00076651" w:rsidRDefault="00144095" w:rsidP="00144095">
      <w:pPr>
        <w:pStyle w:val="SingleTxtG"/>
        <w:tabs>
          <w:tab w:val="clear" w:pos="1701"/>
          <w:tab w:val="clear" w:pos="2268"/>
        </w:tabs>
        <w:rPr>
          <w:lang w:val="fr-FR"/>
        </w:rPr>
      </w:pPr>
      <w:r w:rsidRPr="00076651">
        <w:rPr>
          <w:lang w:val="fr-FR"/>
        </w:rPr>
        <w:t>« Les citernes mobiles construites avant le 1er janvier 2027 et marquées conformément aux prescriptions du 6.7.4.15.1 i) iv) applicables dans la vingt-deuxième édition révisée du Règlement type peuvent encore être utilisées. »</w:t>
      </w:r>
    </w:p>
    <w:p w14:paraId="280696AB"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1FA33479" w14:textId="77777777" w:rsidR="00A36353" w:rsidRPr="00076651" w:rsidRDefault="00A36353" w:rsidP="00BC0E36">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5.2</w:t>
      </w:r>
    </w:p>
    <w:p w14:paraId="7F0FE75C" w14:textId="77777777" w:rsidR="00D46CA0" w:rsidRPr="00076651" w:rsidRDefault="00D46CA0" w:rsidP="00D46CA0">
      <w:pPr>
        <w:pStyle w:val="SingleTxtG"/>
        <w:tabs>
          <w:tab w:val="clear" w:pos="1701"/>
        </w:tabs>
        <w:ind w:left="2268" w:hanging="1134"/>
        <w:rPr>
          <w:lang w:val="fr-FR"/>
        </w:rPr>
      </w:pPr>
      <w:r w:rsidRPr="00076651">
        <w:rPr>
          <w:lang w:val="fr-FR"/>
        </w:rPr>
        <w:t>5.2.1.9</w:t>
      </w:r>
      <w:r w:rsidRPr="00076651">
        <w:rPr>
          <w:lang w:val="fr-FR"/>
        </w:rPr>
        <w:tab/>
        <w:t>Modifier le titre pour lire « </w:t>
      </w:r>
      <w:r w:rsidRPr="00076651">
        <w:rPr>
          <w:b/>
          <w:bCs/>
          <w:i/>
          <w:iCs/>
          <w:lang w:val="fr-FR"/>
        </w:rPr>
        <w:t>Marque pour les batteries</w:t>
      </w:r>
      <w:r w:rsidRPr="00076651">
        <w:rPr>
          <w:lang w:val="fr-FR"/>
        </w:rPr>
        <w:t> ».</w:t>
      </w:r>
    </w:p>
    <w:p w14:paraId="075A94A4"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63B86E94" w14:textId="5105F6F1" w:rsidR="001E7603" w:rsidRPr="00076651" w:rsidRDefault="00A36353" w:rsidP="00361F8E">
      <w:pPr>
        <w:pStyle w:val="SingleTxtG"/>
        <w:tabs>
          <w:tab w:val="clear" w:pos="1701"/>
          <w:tab w:val="clear" w:pos="2268"/>
        </w:tabs>
        <w:ind w:left="2268" w:hanging="1134"/>
        <w:rPr>
          <w:lang w:val="fr-FR"/>
        </w:rPr>
      </w:pPr>
      <w:r w:rsidRPr="00076651">
        <w:rPr>
          <w:lang w:val="fr-FR"/>
        </w:rPr>
        <w:t>5.2.1.9.1</w:t>
      </w:r>
      <w:r w:rsidRPr="00076651">
        <w:rPr>
          <w:lang w:val="fr-FR"/>
        </w:rPr>
        <w:tab/>
        <w:t>Remplacer « des piles ou batteries au lithium ou au sodium ionique » par « des piles ou batteries au lithium ou des piles ou batteries au sodium ionique »</w:t>
      </w:r>
      <w:r w:rsidR="00361F8E" w:rsidRPr="00076651">
        <w:rPr>
          <w:lang w:val="fr-FR"/>
        </w:rPr>
        <w:t xml:space="preserve"> et r</w:t>
      </w:r>
      <w:r w:rsidR="001E7603" w:rsidRPr="00076651">
        <w:rPr>
          <w:lang w:val="fr-FR"/>
        </w:rPr>
        <w:t>emplacer « à la disposition spéciale 188 » par « aux dispositions spéciales 188 ou 400 ».</w:t>
      </w:r>
    </w:p>
    <w:p w14:paraId="18C43CFA" w14:textId="22E221A5"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(Document</w:t>
      </w:r>
      <w:r w:rsidR="00361F8E" w:rsidRPr="00076651">
        <w:rPr>
          <w:rStyle w:val="ui-provider"/>
          <w:rFonts w:eastAsiaTheme="minorHAnsi"/>
          <w:i/>
          <w:iCs/>
          <w:lang w:val="fr-FR"/>
        </w:rPr>
        <w:t>s</w:t>
      </w:r>
      <w:r w:rsidRPr="00076651">
        <w:rPr>
          <w:rStyle w:val="ui-provider"/>
          <w:rFonts w:eastAsiaTheme="minorHAnsi"/>
          <w:i/>
          <w:iCs/>
          <w:lang w:val="fr-FR"/>
        </w:rPr>
        <w:t xml:space="preserve"> de référence : </w:t>
      </w:r>
      <w:r w:rsidR="00361F8E" w:rsidRPr="00076651">
        <w:rPr>
          <w:i/>
          <w:iCs/>
        </w:rPr>
        <w:t xml:space="preserve">ST/SG/AC.10/C.3/124, annexe I et </w:t>
      </w:r>
      <w:r w:rsidRPr="00076651">
        <w:rPr>
          <w:i/>
          <w:iCs/>
        </w:rPr>
        <w:t>ST/SG/AC.10/C.3/126, annexe</w:t>
      </w:r>
      <w:r w:rsidR="00361F8E" w:rsidRPr="00076651">
        <w:rPr>
          <w:i/>
          <w:iCs/>
        </w:rPr>
        <w:t> </w:t>
      </w:r>
      <w:r w:rsidRPr="00076651">
        <w:rPr>
          <w:i/>
          <w:iCs/>
        </w:rPr>
        <w:t>I</w:t>
      </w:r>
      <w:r w:rsidRPr="00076651">
        <w:rPr>
          <w:rStyle w:val="ui-provider"/>
          <w:rFonts w:eastAsiaTheme="minorHAnsi"/>
          <w:i/>
          <w:iCs/>
          <w:lang w:val="fr-FR"/>
        </w:rPr>
        <w:t>)</w:t>
      </w:r>
    </w:p>
    <w:p w14:paraId="60090240" w14:textId="77777777" w:rsidR="00615F4A" w:rsidRPr="00076651" w:rsidRDefault="00615F4A" w:rsidP="00615F4A">
      <w:pPr>
        <w:pStyle w:val="SingleTxtG"/>
        <w:tabs>
          <w:tab w:val="clear" w:pos="1701"/>
        </w:tabs>
        <w:ind w:left="2268" w:hanging="1134"/>
        <w:rPr>
          <w:rFonts w:eastAsiaTheme="minorHAnsi"/>
          <w:lang w:val="fr-FR" w:eastAsia="en-US"/>
        </w:rPr>
      </w:pPr>
      <w:r w:rsidRPr="00076651">
        <w:rPr>
          <w:rFonts w:eastAsiaTheme="minorHAnsi"/>
          <w:lang w:val="fr-FR" w:eastAsia="en-US"/>
        </w:rPr>
        <w:t>5.2.1.9.2</w:t>
      </w:r>
      <w:r w:rsidRPr="00076651">
        <w:rPr>
          <w:rFonts w:eastAsiaTheme="minorHAnsi"/>
          <w:lang w:val="fr-FR" w:eastAsia="en-US"/>
        </w:rPr>
        <w:tab/>
        <w:t>À la fin du premier paragraphe, ajouter la nouvelle phrase suivante : « Toutefois, lorsque l’équipement contient une pile bouton en plus des piles ou des batteries, il n’est pas nécessaire que le numéro ONU correspondant à la pile bouton figure sur la marque. ».</w:t>
      </w:r>
    </w:p>
    <w:p w14:paraId="75197D19" w14:textId="77777777" w:rsidR="00CC5E7F" w:rsidRPr="00076651" w:rsidRDefault="00CC5E7F" w:rsidP="00CC5E7F">
      <w:pPr>
        <w:pStyle w:val="SingleTxtG"/>
        <w:tabs>
          <w:tab w:val="clear" w:pos="1701"/>
        </w:tabs>
        <w:ind w:left="2268" w:hanging="1134"/>
        <w:rPr>
          <w:lang w:val="fr-FR"/>
        </w:rPr>
      </w:pPr>
      <w:r w:rsidRPr="00076651">
        <w:rPr>
          <w:lang w:val="fr-FR"/>
        </w:rPr>
        <w:tab/>
        <w:t>Dans la figure 5.2.5, modifier le titre pour lire « </w:t>
      </w:r>
      <w:r w:rsidRPr="00076651">
        <w:rPr>
          <w:b/>
          <w:bCs/>
          <w:lang w:val="fr-FR"/>
        </w:rPr>
        <w:t>Marque pour les batteries</w:t>
      </w:r>
      <w:r w:rsidRPr="00076651">
        <w:rPr>
          <w:lang w:val="fr-FR"/>
        </w:rPr>
        <w:t> ».</w:t>
      </w:r>
    </w:p>
    <w:p w14:paraId="3C9D2F39" w14:textId="6D0CBC20" w:rsidR="00361F8E" w:rsidRPr="00076651" w:rsidRDefault="00361F8E" w:rsidP="00361F8E">
      <w:pPr>
        <w:pStyle w:val="SingleTxtG"/>
        <w:tabs>
          <w:tab w:val="clear" w:pos="2268"/>
        </w:tabs>
        <w:rPr>
          <w:rFonts w:eastAsiaTheme="minorHAnsi"/>
          <w:i/>
          <w:iCs/>
          <w:lang w:val="fr-FR" w:eastAsia="en-US"/>
        </w:rPr>
      </w:pPr>
      <w:r w:rsidRPr="00076651">
        <w:rPr>
          <w:rFonts w:eastAsiaTheme="minorHAnsi"/>
          <w:i/>
          <w:iCs/>
          <w:lang w:val="fr-FR" w:eastAsia="en-US"/>
        </w:rPr>
        <w:t xml:space="preserve">(Documents de référence : </w:t>
      </w:r>
      <w:r w:rsidRPr="00076651">
        <w:rPr>
          <w:i/>
          <w:iCs/>
        </w:rPr>
        <w:t>ST/SG/AC.10/C.3/126, annexe I et ST/SG/AC.10/C.3/128, annexe II</w:t>
      </w:r>
      <w:r w:rsidRPr="00076651">
        <w:rPr>
          <w:rFonts w:eastAsiaTheme="minorHAnsi"/>
          <w:i/>
          <w:iCs/>
          <w:lang w:val="fr-FR" w:eastAsia="en-US"/>
        </w:rPr>
        <w:t>)</w:t>
      </w:r>
    </w:p>
    <w:p w14:paraId="692EBED6" w14:textId="77777777" w:rsidR="00237A84" w:rsidRPr="00076651" w:rsidRDefault="00237A84" w:rsidP="00237A84">
      <w:pPr>
        <w:pStyle w:val="SingleTxtG"/>
        <w:tabs>
          <w:tab w:val="clear" w:pos="1701"/>
        </w:tabs>
        <w:ind w:left="2268" w:hanging="1134"/>
        <w:rPr>
          <w:lang w:val="fr-FR" w:eastAsia="ja-JP"/>
        </w:rPr>
      </w:pPr>
      <w:r w:rsidRPr="00076651">
        <w:rPr>
          <w:lang w:val="fr-FR"/>
        </w:rPr>
        <w:t>5.2.1.9</w:t>
      </w:r>
      <w:r w:rsidRPr="00076651">
        <w:rPr>
          <w:lang w:val="fr-FR" w:eastAsia="ja-JP"/>
        </w:rPr>
        <w:tab/>
        <w:t>Ajouter un nouveau 5.2.1.9.3 pour lire comme suit :</w:t>
      </w:r>
    </w:p>
    <w:p w14:paraId="415C02BD" w14:textId="77777777" w:rsidR="00237A84" w:rsidRPr="00076651" w:rsidRDefault="00237A84" w:rsidP="00237A84">
      <w:pPr>
        <w:pStyle w:val="SingleTxtG"/>
        <w:tabs>
          <w:tab w:val="clear" w:pos="1701"/>
        </w:tabs>
        <w:rPr>
          <w:lang w:val="fr-FR" w:eastAsia="ja-JP"/>
        </w:rPr>
      </w:pPr>
      <w:r w:rsidRPr="00076651">
        <w:rPr>
          <w:lang w:val="fr-FR" w:eastAsia="ja-JP"/>
        </w:rPr>
        <w:t>« 5.2.1.9.3</w:t>
      </w:r>
      <w:r w:rsidRPr="00076651">
        <w:rPr>
          <w:lang w:val="fr-FR" w:eastAsia="ja-JP"/>
        </w:rPr>
        <w:tab/>
        <w:t xml:space="preserve">Lorsqu’à la fois la marque pour les batteries et les étiquettes selon 5.2.2.2, autres que l'étiquette 9A, sont requises, la marque pour les batteries doit être placée sur la même surface du colis que les étiquettes de danger si les dimensions du colis le permettent. » </w:t>
      </w:r>
    </w:p>
    <w:p w14:paraId="67A3F22A"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280AE9C1" w14:textId="77777777" w:rsidR="008045CC" w:rsidRPr="00076651" w:rsidRDefault="008045CC" w:rsidP="008045CC">
      <w:pPr>
        <w:pStyle w:val="SingleTxtG"/>
        <w:keepNext/>
        <w:keepLines/>
        <w:tabs>
          <w:tab w:val="clear" w:pos="1701"/>
        </w:tabs>
        <w:ind w:left="2268" w:hanging="1134"/>
        <w:rPr>
          <w:lang w:val="fr-FR"/>
        </w:rPr>
      </w:pPr>
      <w:r w:rsidRPr="00076651">
        <w:rPr>
          <w:lang w:val="fr-FR"/>
        </w:rPr>
        <w:t>5.2.2.1.13.1</w:t>
      </w:r>
      <w:r w:rsidRPr="00076651">
        <w:rPr>
          <w:lang w:val="fr-FR"/>
        </w:rPr>
        <w:tab/>
        <w:t>Dans la deuxième phrase, remplacer « batteries au lithium ou au sodium ionique » par « batteries au lithium ou batteries au sodium ionique » et remplacer « la marque pour les piles au lithium ou au sodium ionique » par « la marque pour les batteries ». Dans la troisième phrase, remplacer « batteries au lithium ou au sodium ionique » par « batteries au lithium ou batteries au sodium ionique ».</w:t>
      </w:r>
    </w:p>
    <w:p w14:paraId="604F66CD"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1C737DC1" w14:textId="77777777" w:rsidR="00A36353" w:rsidRPr="00076651" w:rsidRDefault="00A36353" w:rsidP="00B14684">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5.5</w:t>
      </w:r>
    </w:p>
    <w:p w14:paraId="15AC1840" w14:textId="77777777" w:rsidR="00A36353" w:rsidRPr="00076651" w:rsidRDefault="00A36353" w:rsidP="00A36353">
      <w:pPr>
        <w:pStyle w:val="SingleTxtG"/>
        <w:tabs>
          <w:tab w:val="clear" w:pos="1701"/>
          <w:tab w:val="clear" w:pos="2268"/>
          <w:tab w:val="clear" w:pos="2835"/>
          <w:tab w:val="left" w:pos="1985"/>
        </w:tabs>
        <w:ind w:left="1985" w:hanging="851"/>
        <w:rPr>
          <w:lang w:val="fr-FR"/>
        </w:rPr>
      </w:pPr>
      <w:r w:rsidRPr="00076651">
        <w:rPr>
          <w:lang w:val="fr-FR"/>
        </w:rPr>
        <w:t xml:space="preserve">5.5.4 </w:t>
      </w:r>
      <w:r w:rsidRPr="00076651">
        <w:rPr>
          <w:lang w:val="fr-FR"/>
        </w:rPr>
        <w:tab/>
        <w:t>Dans le titre, remplacer « Marchandises dangereuses dans les équipements » par « Dispositifs contenant des marchandises dangereuses ».</w:t>
      </w:r>
    </w:p>
    <w:p w14:paraId="78D69032"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3F643995" w14:textId="77777777" w:rsidR="00A36353" w:rsidRPr="00076651" w:rsidRDefault="00A36353" w:rsidP="00A36353">
      <w:pPr>
        <w:pStyle w:val="SingleTxtG"/>
        <w:tabs>
          <w:tab w:val="clear" w:pos="1701"/>
          <w:tab w:val="clear" w:pos="2268"/>
          <w:tab w:val="clear" w:pos="2835"/>
          <w:tab w:val="left" w:pos="1985"/>
        </w:tabs>
        <w:ind w:left="1985" w:hanging="851"/>
        <w:rPr>
          <w:lang w:val="fr-FR"/>
        </w:rPr>
      </w:pPr>
      <w:r w:rsidRPr="00076651">
        <w:rPr>
          <w:lang w:val="fr-FR"/>
        </w:rPr>
        <w:t>5.5.4.1</w:t>
      </w:r>
      <w:r w:rsidRPr="00076651">
        <w:rPr>
          <w:lang w:val="fr-FR"/>
        </w:rPr>
        <w:tab/>
        <w:t xml:space="preserve">Au début, remplacer « Les marchandises dangereuses (par exemple les piles au lithium, cartouches pour pile à combustible) contenues dans des équipements » par « Les dispositifs utilisés ou destinés à être utilisés durant le transport contenant des marchandises dangereuses, ». Après « les enregistreurs de données », ajouter « , les capteurs ». Remplacer « ou des conteneurs ou compartiments de charge de </w:t>
      </w:r>
      <w:r w:rsidRPr="00076651">
        <w:rPr>
          <w:lang w:val="fr-FR"/>
        </w:rPr>
        <w:lastRenderedPageBreak/>
        <w:t>véhicules » par « , des conteneurs pour vrac, des conteneurs pour le transport de marchandises ou d’autres types d’engin de transport ».</w:t>
      </w:r>
    </w:p>
    <w:p w14:paraId="0301D8EE" w14:textId="77777777" w:rsidR="00A36353" w:rsidRPr="00076651" w:rsidRDefault="00A36353" w:rsidP="00A36353">
      <w:pPr>
        <w:pStyle w:val="SingleTxtG"/>
        <w:tabs>
          <w:tab w:val="clear" w:pos="1701"/>
          <w:tab w:val="clear" w:pos="2268"/>
          <w:tab w:val="clear" w:pos="2835"/>
          <w:tab w:val="left" w:pos="1985"/>
        </w:tabs>
        <w:ind w:left="1985" w:hanging="851"/>
        <w:rPr>
          <w:lang w:val="fr-FR"/>
        </w:rPr>
      </w:pPr>
      <w:r w:rsidRPr="00076651">
        <w:rPr>
          <w:lang w:val="fr-FR"/>
        </w:rPr>
        <w:tab/>
        <w:t>À l’alinéa a), remplacer « L’équipement » par « Le dispositif ».</w:t>
      </w:r>
    </w:p>
    <w:p w14:paraId="78EBE718" w14:textId="77777777" w:rsidR="00A36353" w:rsidRPr="00076651" w:rsidRDefault="00A36353" w:rsidP="00A36353">
      <w:pPr>
        <w:pStyle w:val="SingleTxtG"/>
        <w:tabs>
          <w:tab w:val="clear" w:pos="1701"/>
          <w:tab w:val="clear" w:pos="2268"/>
          <w:tab w:val="clear" w:pos="2835"/>
          <w:tab w:val="left" w:pos="1985"/>
        </w:tabs>
        <w:ind w:left="1985" w:hanging="851"/>
        <w:rPr>
          <w:lang w:val="fr-FR"/>
        </w:rPr>
      </w:pPr>
      <w:r w:rsidRPr="00076651">
        <w:rPr>
          <w:lang w:val="fr-FR"/>
        </w:rPr>
        <w:tab/>
        <w:t>À l’alinéa c), au début, remplacer « L’équipement » par « Le dispositif » et, à la fin, ajouter « et doit être utilisé en toute sécurité dans les environnements dangereux auxquels il peut être exposé ».</w:t>
      </w:r>
    </w:p>
    <w:p w14:paraId="4B37AB59"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56FE8646" w14:textId="77777777" w:rsidR="00A36353" w:rsidRPr="00076651" w:rsidRDefault="00A36353" w:rsidP="00B14684">
      <w:pPr>
        <w:pStyle w:val="SingleTxtG"/>
        <w:tabs>
          <w:tab w:val="clear" w:pos="1701"/>
          <w:tab w:val="clear" w:pos="2268"/>
          <w:tab w:val="clear" w:pos="2835"/>
          <w:tab w:val="left" w:pos="1985"/>
        </w:tabs>
        <w:ind w:left="1985" w:hanging="851"/>
        <w:rPr>
          <w:lang w:val="fr-FR"/>
        </w:rPr>
      </w:pPr>
      <w:r w:rsidRPr="00076651">
        <w:rPr>
          <w:lang w:val="fr-FR"/>
        </w:rPr>
        <w:t>5.5.4.2</w:t>
      </w:r>
      <w:r w:rsidRPr="00076651">
        <w:rPr>
          <w:lang w:val="fr-FR"/>
        </w:rPr>
        <w:tab/>
        <w:t>Remplacer « Lorsqu’un tel équipement » par « </w:t>
      </w:r>
      <w:r w:rsidRPr="00076651">
        <w:t xml:space="preserve">Lorsqu’un tel </w:t>
      </w:r>
      <w:r w:rsidRPr="00076651">
        <w:rPr>
          <w:lang w:val="fr-FR"/>
        </w:rPr>
        <w:t>dispositif ».</w:t>
      </w:r>
    </w:p>
    <w:p w14:paraId="2B438BCE"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6FD96E97" w14:textId="77777777" w:rsidR="002F6A18" w:rsidRPr="00076651" w:rsidRDefault="002F6A18" w:rsidP="002F6A18">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6.1</w:t>
      </w:r>
    </w:p>
    <w:p w14:paraId="03747771" w14:textId="77777777" w:rsidR="002F6A18" w:rsidRPr="00076651" w:rsidRDefault="002F6A18" w:rsidP="002F6A18">
      <w:pPr>
        <w:pStyle w:val="SingleTxtG"/>
        <w:rPr>
          <w:lang w:val="fr-FR"/>
        </w:rPr>
      </w:pPr>
      <w:r w:rsidRPr="00076651">
        <w:rPr>
          <w:lang w:val="fr-FR"/>
        </w:rPr>
        <w:t>6.1.4.12.1</w:t>
      </w:r>
      <w:r w:rsidRPr="00076651">
        <w:rPr>
          <w:lang w:val="fr-FR"/>
        </w:rPr>
        <w:tab/>
        <w:t>Remplacer « ISO 535:2014 » par « ISO 535:2023 ».</w:t>
      </w:r>
    </w:p>
    <w:p w14:paraId="6CC26BBF"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0693405A" w14:textId="77777777" w:rsidR="00692B25" w:rsidRPr="00076651" w:rsidRDefault="00692B25" w:rsidP="00692B25">
      <w:pPr>
        <w:tabs>
          <w:tab w:val="left" w:pos="1701"/>
          <w:tab w:val="left" w:pos="2268"/>
          <w:tab w:val="left" w:pos="2835"/>
        </w:tabs>
        <w:spacing w:before="120" w:after="120"/>
        <w:ind w:left="2268" w:right="1134" w:hanging="1134"/>
        <w:jc w:val="both"/>
        <w:rPr>
          <w:rFonts w:eastAsiaTheme="minorHAnsi"/>
          <w:lang w:val="fr-FR" w:eastAsia="en-US"/>
        </w:rPr>
      </w:pPr>
      <w:r w:rsidRPr="00076651">
        <w:rPr>
          <w:lang w:val="fr-FR"/>
        </w:rPr>
        <w:t>6.1.5.1.3</w:t>
      </w:r>
      <w:r w:rsidRPr="00076651">
        <w:rPr>
          <w:rFonts w:eastAsiaTheme="minorHAnsi"/>
          <w:lang w:val="fr-FR" w:eastAsia="en-US"/>
        </w:rPr>
        <w:tab/>
        <w:t>Après « Les épreuves » ajouter « appropriées ».</w:t>
      </w:r>
    </w:p>
    <w:p w14:paraId="1CF81AC1"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57068CA9" w14:textId="77777777" w:rsidR="002F6A18" w:rsidRPr="00076651" w:rsidRDefault="002F6A18" w:rsidP="002F6A18">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6.2</w:t>
      </w:r>
    </w:p>
    <w:p w14:paraId="314F1B38" w14:textId="77777777" w:rsidR="002F6A18" w:rsidRPr="00076651" w:rsidRDefault="002F6A18" w:rsidP="002F6A18">
      <w:pPr>
        <w:pStyle w:val="SingleTxtG"/>
        <w:tabs>
          <w:tab w:val="clear" w:pos="1701"/>
        </w:tabs>
        <w:ind w:left="2268" w:hanging="1134"/>
        <w:rPr>
          <w:lang w:val="fr-FR"/>
        </w:rPr>
      </w:pPr>
      <w:r w:rsidRPr="00076651">
        <w:rPr>
          <w:lang w:val="fr-FR"/>
        </w:rPr>
        <w:t>6.2.1.5.1</w:t>
      </w:r>
      <w:r w:rsidRPr="00076651">
        <w:rPr>
          <w:lang w:val="fr-FR"/>
        </w:rPr>
        <w:tab/>
        <w:t>À l’alinéa g), remplacer « code technique » par « code technique reconnu ».</w:t>
      </w:r>
    </w:p>
    <w:p w14:paraId="4016FF89"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587B5EBE" w14:textId="77777777" w:rsidR="002F6A18" w:rsidRPr="00076651" w:rsidRDefault="002F6A18" w:rsidP="002F6A18">
      <w:pPr>
        <w:pStyle w:val="SingleTxtG"/>
        <w:tabs>
          <w:tab w:val="clear" w:pos="1701"/>
        </w:tabs>
        <w:ind w:left="2268" w:hanging="1134"/>
        <w:rPr>
          <w:lang w:val="fr-FR"/>
        </w:rPr>
      </w:pPr>
      <w:r w:rsidRPr="00076651">
        <w:rPr>
          <w:lang w:val="fr-FR"/>
        </w:rPr>
        <w:t>6.2.1.5.2</w:t>
      </w:r>
      <w:r w:rsidRPr="00076651">
        <w:rPr>
          <w:lang w:val="fr-FR"/>
        </w:rPr>
        <w:tab/>
        <w:t>Aux alinéas d), e), f) et p), remplacer « code technique » par « code technique reconnu ».</w:t>
      </w:r>
    </w:p>
    <w:p w14:paraId="7668502E"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3C298D07" w14:textId="77777777" w:rsidR="00C503D6" w:rsidRPr="00076651" w:rsidRDefault="00C503D6" w:rsidP="00C503D6">
      <w:pPr>
        <w:tabs>
          <w:tab w:val="left" w:pos="1701"/>
          <w:tab w:val="left" w:pos="2268"/>
          <w:tab w:val="left" w:pos="2835"/>
        </w:tabs>
        <w:spacing w:before="120" w:after="120"/>
        <w:ind w:left="2268" w:right="1134" w:hanging="1134"/>
        <w:jc w:val="both"/>
        <w:rPr>
          <w:rFonts w:eastAsiaTheme="minorHAnsi"/>
          <w:lang w:val="fr-FR" w:eastAsia="en-US"/>
        </w:rPr>
      </w:pPr>
      <w:bookmarkStart w:id="5" w:name="_Hlk161650804"/>
      <w:r w:rsidRPr="00076651">
        <w:rPr>
          <w:lang w:val="fr-FR"/>
        </w:rPr>
        <w:t>6.2.2.1.1</w:t>
      </w:r>
      <w:r w:rsidRPr="00076651">
        <w:rPr>
          <w:rFonts w:eastAsiaTheme="minorHAnsi"/>
          <w:lang w:val="fr-FR" w:eastAsia="en-US"/>
        </w:rPr>
        <w:tab/>
        <w:t>Dans le tableau, pour la ligne relative à la norme ISO 4706:2008, dans la colonne « Applicable à la fabrication »,  remplacer « Jusqu’à nouvel ordre » par « Jusqu’au 31 décembre 2030 ». Après cette ligne, ajouter la nouvelle ligne suivante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5365"/>
        <w:gridCol w:w="1420"/>
      </w:tblGrid>
      <w:tr w:rsidR="00C503D6" w:rsidRPr="00076651" w14:paraId="482B723F" w14:textId="77777777" w:rsidTr="001B1668">
        <w:tc>
          <w:tcPr>
            <w:tcW w:w="1489" w:type="dxa"/>
            <w:tcBorders>
              <w:top w:val="single" w:sz="4" w:space="0" w:color="auto"/>
              <w:left w:val="single" w:sz="4" w:space="0" w:color="auto"/>
              <w:bottom w:val="single" w:sz="4" w:space="0" w:color="auto"/>
              <w:right w:val="single" w:sz="4" w:space="0" w:color="auto"/>
            </w:tcBorders>
            <w:hideMark/>
          </w:tcPr>
          <w:p w14:paraId="211422FB" w14:textId="77777777" w:rsidR="00C503D6" w:rsidRPr="00076651" w:rsidRDefault="00C503D6" w:rsidP="00076651">
            <w:pPr>
              <w:spacing w:before="60" w:after="60" w:line="236" w:lineRule="atLeast"/>
              <w:ind w:left="57" w:right="57"/>
              <w:rPr>
                <w:lang w:val="fr-FR"/>
              </w:rPr>
            </w:pPr>
            <w:bookmarkStart w:id="6" w:name="_Hlk161650988"/>
            <w:bookmarkEnd w:id="5"/>
            <w:r w:rsidRPr="00076651">
              <w:rPr>
                <w:lang w:val="fr-FR"/>
              </w:rPr>
              <w:t>ISO 4706:2023</w:t>
            </w:r>
          </w:p>
        </w:tc>
        <w:tc>
          <w:tcPr>
            <w:tcW w:w="4646" w:type="dxa"/>
            <w:tcBorders>
              <w:top w:val="single" w:sz="4" w:space="0" w:color="auto"/>
              <w:left w:val="single" w:sz="4" w:space="0" w:color="auto"/>
              <w:bottom w:val="single" w:sz="4" w:space="0" w:color="auto"/>
              <w:right w:val="single" w:sz="4" w:space="0" w:color="auto"/>
            </w:tcBorders>
            <w:hideMark/>
          </w:tcPr>
          <w:p w14:paraId="1C8EBE11" w14:textId="77777777" w:rsidR="00C503D6" w:rsidRPr="00076651" w:rsidRDefault="00C503D6" w:rsidP="00076651">
            <w:pPr>
              <w:spacing w:before="60" w:after="60" w:line="236" w:lineRule="atLeast"/>
              <w:ind w:left="57" w:right="57"/>
              <w:rPr>
                <w:lang w:val="fr-FR"/>
              </w:rPr>
            </w:pPr>
            <w:r w:rsidRPr="00076651">
              <w:rPr>
                <w:lang w:val="fr-FR"/>
              </w:rPr>
              <w:t>Bouteilles à gaz − Bouteilles en acier soudées rechargeables − Pression d’essai de 60 bar et moins</w:t>
            </w:r>
          </w:p>
        </w:tc>
        <w:tc>
          <w:tcPr>
            <w:tcW w:w="1230" w:type="dxa"/>
            <w:tcBorders>
              <w:top w:val="single" w:sz="4" w:space="0" w:color="auto"/>
              <w:left w:val="single" w:sz="4" w:space="0" w:color="auto"/>
              <w:bottom w:val="single" w:sz="4" w:space="0" w:color="auto"/>
              <w:right w:val="single" w:sz="4" w:space="0" w:color="auto"/>
            </w:tcBorders>
            <w:hideMark/>
          </w:tcPr>
          <w:p w14:paraId="2B1E6593" w14:textId="77777777" w:rsidR="00C503D6" w:rsidRPr="00076651" w:rsidRDefault="00C503D6" w:rsidP="00076651">
            <w:pPr>
              <w:spacing w:before="60" w:after="60" w:line="236" w:lineRule="atLeast"/>
              <w:ind w:left="57" w:right="57"/>
              <w:rPr>
                <w:lang w:val="fr-FR"/>
              </w:rPr>
            </w:pPr>
            <w:r w:rsidRPr="00076651">
              <w:rPr>
                <w:lang w:val="fr-FR"/>
              </w:rPr>
              <w:t>Jusqu’à nouvel ordre</w:t>
            </w:r>
          </w:p>
        </w:tc>
      </w:tr>
    </w:tbl>
    <w:bookmarkEnd w:id="6"/>
    <w:p w14:paraId="1825E70D" w14:textId="77777777" w:rsidR="00EE67D8" w:rsidRPr="00076651" w:rsidRDefault="00EE67D8" w:rsidP="00990FC0">
      <w:pPr>
        <w:pStyle w:val="SingleTxtG"/>
        <w:spacing w:before="120"/>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4ADBE53E" w14:textId="77777777" w:rsidR="002F6A18" w:rsidRPr="00076651" w:rsidRDefault="002F6A18" w:rsidP="002F6A18">
      <w:pPr>
        <w:pStyle w:val="SingleTxtG"/>
        <w:tabs>
          <w:tab w:val="clear" w:pos="1701"/>
        </w:tabs>
        <w:ind w:left="2268" w:hanging="1134"/>
        <w:rPr>
          <w:lang w:val="fr-FR"/>
        </w:rPr>
      </w:pPr>
      <w:r w:rsidRPr="00076651">
        <w:rPr>
          <w:lang w:val="fr-FR"/>
        </w:rPr>
        <w:t>6.2.2.1.2</w:t>
      </w:r>
      <w:r w:rsidRPr="00076651">
        <w:rPr>
          <w:lang w:val="fr-FR"/>
        </w:rPr>
        <w:tab/>
        <w:t xml:space="preserve">Dans le tableau, dans la ligne pour </w:t>
      </w:r>
      <w:r w:rsidRPr="00076651">
        <w:rPr>
          <w:lang w:val="fr-FR" w:eastAsia="en-US"/>
        </w:rPr>
        <w:t xml:space="preserve">ISO 11515:2013 + </w:t>
      </w:r>
      <w:proofErr w:type="spellStart"/>
      <w:r w:rsidRPr="00076651">
        <w:rPr>
          <w:lang w:val="fr-FR" w:eastAsia="en-US"/>
        </w:rPr>
        <w:t>Amd</w:t>
      </w:r>
      <w:proofErr w:type="spellEnd"/>
      <w:r w:rsidRPr="00076651">
        <w:rPr>
          <w:lang w:val="fr-FR" w:eastAsia="en-US"/>
        </w:rPr>
        <w:t xml:space="preserve"> 1:2018</w:t>
      </w:r>
      <w:r w:rsidRPr="00076651">
        <w:rPr>
          <w:lang w:val="fr-FR"/>
        </w:rPr>
        <w:t>, dans la colonne « Applicable à la fabrication », remplacer « Jusqu’à nouvel ordre » par « Jusqu’au 31 décembre 2030 ». Après cette ligne, ajouter la nouvelle ligne suivante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5365"/>
        <w:gridCol w:w="1420"/>
      </w:tblGrid>
      <w:tr w:rsidR="001B1668" w:rsidRPr="00076651" w14:paraId="39BEA95A" w14:textId="77777777" w:rsidTr="00076651">
        <w:tc>
          <w:tcPr>
            <w:tcW w:w="1489" w:type="dxa"/>
            <w:tcBorders>
              <w:top w:val="single" w:sz="4" w:space="0" w:color="auto"/>
              <w:left w:val="single" w:sz="4" w:space="0" w:color="auto"/>
              <w:bottom w:val="single" w:sz="4" w:space="0" w:color="auto"/>
              <w:right w:val="single" w:sz="4" w:space="0" w:color="auto"/>
            </w:tcBorders>
            <w:hideMark/>
          </w:tcPr>
          <w:p w14:paraId="1B0F0256" w14:textId="577E81DF" w:rsidR="001B1668" w:rsidRPr="00076651" w:rsidRDefault="001B1668" w:rsidP="00076651">
            <w:pPr>
              <w:spacing w:before="60" w:after="60" w:line="236" w:lineRule="atLeast"/>
              <w:ind w:left="57" w:right="57"/>
              <w:rPr>
                <w:lang w:val="fr-FR"/>
              </w:rPr>
            </w:pPr>
            <w:r w:rsidRPr="00076651">
              <w:rPr>
                <w:lang w:val="fr-FR"/>
              </w:rPr>
              <w:t>ISO 11515:2022</w:t>
            </w:r>
          </w:p>
        </w:tc>
        <w:tc>
          <w:tcPr>
            <w:tcW w:w="4646" w:type="dxa"/>
            <w:tcBorders>
              <w:top w:val="single" w:sz="4" w:space="0" w:color="auto"/>
              <w:left w:val="single" w:sz="4" w:space="0" w:color="auto"/>
              <w:bottom w:val="single" w:sz="4" w:space="0" w:color="auto"/>
              <w:right w:val="single" w:sz="4" w:space="0" w:color="auto"/>
            </w:tcBorders>
            <w:hideMark/>
          </w:tcPr>
          <w:p w14:paraId="29D963E7" w14:textId="22F88F5B" w:rsidR="001B1668" w:rsidRPr="00076651" w:rsidRDefault="001B1668" w:rsidP="00076651">
            <w:pPr>
              <w:spacing w:before="60" w:after="60" w:line="236" w:lineRule="atLeast"/>
              <w:ind w:left="57" w:right="57"/>
              <w:rPr>
                <w:lang w:val="fr-FR"/>
              </w:rPr>
            </w:pPr>
            <w:r w:rsidRPr="00076651">
              <w:rPr>
                <w:lang w:val="fr-FR"/>
              </w:rPr>
              <w:t>Bouteilles à gaz − Tubes composites renforcés rechargeables d’une capacité de 450 l à 3 000 l − Conception, construction et essais</w:t>
            </w:r>
          </w:p>
        </w:tc>
        <w:tc>
          <w:tcPr>
            <w:tcW w:w="1230" w:type="dxa"/>
            <w:tcBorders>
              <w:top w:val="single" w:sz="4" w:space="0" w:color="auto"/>
              <w:left w:val="single" w:sz="4" w:space="0" w:color="auto"/>
              <w:bottom w:val="single" w:sz="4" w:space="0" w:color="auto"/>
              <w:right w:val="single" w:sz="4" w:space="0" w:color="auto"/>
            </w:tcBorders>
            <w:hideMark/>
          </w:tcPr>
          <w:p w14:paraId="13DA5369" w14:textId="77777777" w:rsidR="001B1668" w:rsidRPr="00076651" w:rsidRDefault="001B1668" w:rsidP="00076651">
            <w:pPr>
              <w:spacing w:before="60" w:after="60" w:line="236" w:lineRule="atLeast"/>
              <w:ind w:left="57" w:right="57"/>
              <w:rPr>
                <w:lang w:val="fr-FR"/>
              </w:rPr>
            </w:pPr>
            <w:r w:rsidRPr="00076651">
              <w:rPr>
                <w:lang w:val="fr-FR"/>
              </w:rPr>
              <w:t>Jusqu’à nouvel ordre</w:t>
            </w:r>
          </w:p>
        </w:tc>
      </w:tr>
    </w:tbl>
    <w:p w14:paraId="5DFA2E4C" w14:textId="0E4E10D9" w:rsidR="00BC0E36" w:rsidRPr="00076651" w:rsidRDefault="00BC0E36" w:rsidP="00990FC0">
      <w:pPr>
        <w:pStyle w:val="SingleTxtG"/>
        <w:spacing w:before="120"/>
        <w:ind w:left="2268" w:hanging="1134"/>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7796488B" w14:textId="77777777" w:rsidR="00272D6C" w:rsidRPr="00076651" w:rsidRDefault="00272D6C" w:rsidP="00272D6C">
      <w:pPr>
        <w:tabs>
          <w:tab w:val="left" w:pos="1701"/>
          <w:tab w:val="left" w:pos="2268"/>
          <w:tab w:val="left" w:pos="2835"/>
        </w:tabs>
        <w:spacing w:before="120" w:after="120"/>
        <w:ind w:left="2268" w:right="1134" w:hanging="1134"/>
        <w:jc w:val="both"/>
        <w:rPr>
          <w:rFonts w:eastAsiaTheme="minorHAnsi"/>
          <w:lang w:val="fr-FR" w:eastAsia="en-US"/>
        </w:rPr>
      </w:pPr>
      <w:r w:rsidRPr="00076651">
        <w:rPr>
          <w:lang w:val="fr-FR"/>
        </w:rPr>
        <w:t>6.2.2.1.3</w:t>
      </w:r>
      <w:r w:rsidRPr="00076651">
        <w:rPr>
          <w:rFonts w:eastAsiaTheme="minorHAnsi"/>
          <w:lang w:val="fr-FR" w:eastAsia="en-US"/>
        </w:rPr>
        <w:tab/>
        <w:t>Dans le tableau, pour la ligne relative à la norme ISO 4706:2008, dans la colonne « Applicable à la fabrication », remplacer « Jusqu’à nouvel ordre » par « Jusqu’au 31 décembre 2030 ». Après cette ligne, ajouter la nouvelle ligne suivante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5365"/>
        <w:gridCol w:w="1420"/>
      </w:tblGrid>
      <w:tr w:rsidR="001B1668" w:rsidRPr="00076651" w14:paraId="2D4F80F3" w14:textId="77777777" w:rsidTr="00076651">
        <w:tc>
          <w:tcPr>
            <w:tcW w:w="1489" w:type="dxa"/>
            <w:tcBorders>
              <w:top w:val="single" w:sz="4" w:space="0" w:color="auto"/>
              <w:left w:val="single" w:sz="4" w:space="0" w:color="auto"/>
              <w:bottom w:val="single" w:sz="4" w:space="0" w:color="auto"/>
              <w:right w:val="single" w:sz="4" w:space="0" w:color="auto"/>
            </w:tcBorders>
            <w:hideMark/>
          </w:tcPr>
          <w:p w14:paraId="752F05D0" w14:textId="68135A17" w:rsidR="001B1668" w:rsidRPr="00076651" w:rsidRDefault="001B1668" w:rsidP="00076651">
            <w:pPr>
              <w:spacing w:before="60" w:after="60" w:line="236" w:lineRule="atLeast"/>
              <w:ind w:left="57" w:right="57"/>
              <w:rPr>
                <w:lang w:val="fr-FR"/>
              </w:rPr>
            </w:pPr>
            <w:r w:rsidRPr="00076651">
              <w:rPr>
                <w:lang w:val="fr-FR"/>
              </w:rPr>
              <w:t>ISO 4706:2023</w:t>
            </w:r>
          </w:p>
        </w:tc>
        <w:tc>
          <w:tcPr>
            <w:tcW w:w="4646" w:type="dxa"/>
            <w:tcBorders>
              <w:top w:val="single" w:sz="4" w:space="0" w:color="auto"/>
              <w:left w:val="single" w:sz="4" w:space="0" w:color="auto"/>
              <w:bottom w:val="single" w:sz="4" w:space="0" w:color="auto"/>
              <w:right w:val="single" w:sz="4" w:space="0" w:color="auto"/>
            </w:tcBorders>
            <w:hideMark/>
          </w:tcPr>
          <w:p w14:paraId="27FEE8B9" w14:textId="77777777" w:rsidR="001B1668" w:rsidRPr="00076651" w:rsidRDefault="001B1668" w:rsidP="00076651">
            <w:pPr>
              <w:spacing w:before="60" w:after="60" w:line="236" w:lineRule="atLeast"/>
              <w:ind w:left="57" w:right="57"/>
              <w:rPr>
                <w:lang w:val="fr-FR"/>
              </w:rPr>
            </w:pPr>
            <w:r w:rsidRPr="00076651">
              <w:rPr>
                <w:lang w:val="fr-FR"/>
              </w:rPr>
              <w:t>Bouteilles à gaz − Bouteilles en acier soudées rechargeables − Pression d’essai de 60 bar et moins</w:t>
            </w:r>
          </w:p>
        </w:tc>
        <w:tc>
          <w:tcPr>
            <w:tcW w:w="1230" w:type="dxa"/>
            <w:tcBorders>
              <w:top w:val="single" w:sz="4" w:space="0" w:color="auto"/>
              <w:left w:val="single" w:sz="4" w:space="0" w:color="auto"/>
              <w:bottom w:val="single" w:sz="4" w:space="0" w:color="auto"/>
              <w:right w:val="single" w:sz="4" w:space="0" w:color="auto"/>
            </w:tcBorders>
            <w:hideMark/>
          </w:tcPr>
          <w:p w14:paraId="7932CF81" w14:textId="77777777" w:rsidR="001B1668" w:rsidRPr="00076651" w:rsidRDefault="001B1668" w:rsidP="00076651">
            <w:pPr>
              <w:spacing w:before="60" w:after="60" w:line="236" w:lineRule="atLeast"/>
              <w:ind w:left="57" w:right="57"/>
              <w:rPr>
                <w:lang w:val="fr-FR"/>
              </w:rPr>
            </w:pPr>
            <w:r w:rsidRPr="00076651">
              <w:rPr>
                <w:lang w:val="fr-FR"/>
              </w:rPr>
              <w:t>Jusqu’à nouvel ordre</w:t>
            </w:r>
          </w:p>
        </w:tc>
      </w:tr>
    </w:tbl>
    <w:p w14:paraId="03828EF9" w14:textId="144550D1" w:rsidR="00EE67D8" w:rsidRPr="00076651" w:rsidRDefault="00EE67D8" w:rsidP="00990FC0">
      <w:pPr>
        <w:pStyle w:val="SingleTxtG"/>
        <w:spacing w:before="120"/>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1E633163" w14:textId="77777777" w:rsidR="00D81982" w:rsidRPr="00076651" w:rsidRDefault="00D81982" w:rsidP="00D81982">
      <w:pPr>
        <w:tabs>
          <w:tab w:val="left" w:pos="1701"/>
          <w:tab w:val="left" w:pos="2268"/>
          <w:tab w:val="left" w:pos="2835"/>
        </w:tabs>
        <w:spacing w:before="120" w:after="120"/>
        <w:ind w:left="2268" w:right="1134" w:hanging="1134"/>
        <w:jc w:val="both"/>
        <w:rPr>
          <w:rFonts w:eastAsiaTheme="minorHAnsi"/>
          <w:lang w:val="fr-FR" w:eastAsia="en-US"/>
        </w:rPr>
      </w:pPr>
      <w:r w:rsidRPr="00076651">
        <w:rPr>
          <w:lang w:val="fr-FR"/>
        </w:rPr>
        <w:lastRenderedPageBreak/>
        <w:t>6.2.2.1.8</w:t>
      </w:r>
      <w:r w:rsidRPr="00076651">
        <w:rPr>
          <w:rFonts w:eastAsiaTheme="minorHAnsi"/>
          <w:lang w:val="fr-FR" w:eastAsia="en-US"/>
        </w:rPr>
        <w:tab/>
        <w:t>Dans le tableau, pour la ligne relative à la norme ISO 4706:2008, dans la colonne « Applicable à la fabrication », remplacer « Jusqu’à nouvel ordre » par « Jusqu’au 31 décembre 2030 ». Après cette ligne, ajouter la nouvelle ligne suivante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5365"/>
        <w:gridCol w:w="1420"/>
      </w:tblGrid>
      <w:tr w:rsidR="00A860CD" w:rsidRPr="00076651" w14:paraId="1B6A9152" w14:textId="77777777" w:rsidTr="00076651">
        <w:tc>
          <w:tcPr>
            <w:tcW w:w="1489" w:type="dxa"/>
            <w:tcBorders>
              <w:top w:val="single" w:sz="4" w:space="0" w:color="auto"/>
              <w:left w:val="single" w:sz="4" w:space="0" w:color="auto"/>
              <w:bottom w:val="single" w:sz="4" w:space="0" w:color="auto"/>
              <w:right w:val="single" w:sz="4" w:space="0" w:color="auto"/>
            </w:tcBorders>
            <w:hideMark/>
          </w:tcPr>
          <w:p w14:paraId="282D0B47" w14:textId="77777777" w:rsidR="00A860CD" w:rsidRPr="00076651" w:rsidRDefault="00A860CD" w:rsidP="00076651">
            <w:pPr>
              <w:spacing w:before="60" w:after="60" w:line="236" w:lineRule="atLeast"/>
              <w:ind w:left="57" w:right="57"/>
              <w:rPr>
                <w:lang w:val="fr-FR"/>
              </w:rPr>
            </w:pPr>
            <w:r w:rsidRPr="00076651">
              <w:rPr>
                <w:lang w:val="fr-FR"/>
              </w:rPr>
              <w:t>ISO 4706:2023</w:t>
            </w:r>
          </w:p>
        </w:tc>
        <w:tc>
          <w:tcPr>
            <w:tcW w:w="4646" w:type="dxa"/>
            <w:tcBorders>
              <w:top w:val="single" w:sz="4" w:space="0" w:color="auto"/>
              <w:left w:val="single" w:sz="4" w:space="0" w:color="auto"/>
              <w:bottom w:val="single" w:sz="4" w:space="0" w:color="auto"/>
              <w:right w:val="single" w:sz="4" w:space="0" w:color="auto"/>
            </w:tcBorders>
            <w:hideMark/>
          </w:tcPr>
          <w:p w14:paraId="63165824" w14:textId="77777777" w:rsidR="00A860CD" w:rsidRPr="00076651" w:rsidRDefault="00A860CD" w:rsidP="00076651">
            <w:pPr>
              <w:spacing w:before="60" w:after="60" w:line="236" w:lineRule="atLeast"/>
              <w:ind w:left="57" w:right="57"/>
              <w:rPr>
                <w:lang w:val="fr-FR"/>
              </w:rPr>
            </w:pPr>
            <w:r w:rsidRPr="00076651">
              <w:rPr>
                <w:lang w:val="fr-FR"/>
              </w:rPr>
              <w:t>Bouteilles à gaz − Bouteilles en acier soudées rechargeables − Pression d’essai de 60 bar et moins</w:t>
            </w:r>
          </w:p>
        </w:tc>
        <w:tc>
          <w:tcPr>
            <w:tcW w:w="1230" w:type="dxa"/>
            <w:tcBorders>
              <w:top w:val="single" w:sz="4" w:space="0" w:color="auto"/>
              <w:left w:val="single" w:sz="4" w:space="0" w:color="auto"/>
              <w:bottom w:val="single" w:sz="4" w:space="0" w:color="auto"/>
              <w:right w:val="single" w:sz="4" w:space="0" w:color="auto"/>
            </w:tcBorders>
            <w:hideMark/>
          </w:tcPr>
          <w:p w14:paraId="6B404381" w14:textId="77777777" w:rsidR="00A860CD" w:rsidRPr="00076651" w:rsidRDefault="00A860CD" w:rsidP="00076651">
            <w:pPr>
              <w:spacing w:before="60" w:after="60" w:line="236" w:lineRule="atLeast"/>
              <w:ind w:left="57" w:right="57"/>
              <w:rPr>
                <w:lang w:val="fr-FR"/>
              </w:rPr>
            </w:pPr>
            <w:r w:rsidRPr="00076651">
              <w:rPr>
                <w:lang w:val="fr-FR"/>
              </w:rPr>
              <w:t>Jusqu’à nouvel ordre</w:t>
            </w:r>
          </w:p>
        </w:tc>
      </w:tr>
    </w:tbl>
    <w:p w14:paraId="22149FC1" w14:textId="58550B93" w:rsidR="00EE67D8" w:rsidRPr="00076651" w:rsidRDefault="00EE67D8" w:rsidP="00990FC0">
      <w:pPr>
        <w:pStyle w:val="SingleTxtG"/>
        <w:spacing w:before="120"/>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3EE1CA33" w14:textId="77777777" w:rsidR="002F6A18" w:rsidRPr="00076651" w:rsidRDefault="002F6A18" w:rsidP="00BC0E36">
      <w:pPr>
        <w:pStyle w:val="SingleTxtG"/>
        <w:tabs>
          <w:tab w:val="clear" w:pos="1701"/>
        </w:tabs>
        <w:ind w:left="2268" w:hanging="1134"/>
        <w:rPr>
          <w:lang w:val="fr-FR"/>
        </w:rPr>
      </w:pPr>
      <w:r w:rsidRPr="00076651">
        <w:rPr>
          <w:lang w:val="fr-FR"/>
        </w:rPr>
        <w:t xml:space="preserve">6.2.2.2 </w:t>
      </w:r>
      <w:r w:rsidRPr="00076651">
        <w:rPr>
          <w:lang w:val="fr-FR"/>
        </w:rPr>
        <w:tab/>
        <w:t>Dans le tableau, dans la ligne pour ISO 11114</w:t>
      </w:r>
      <w:r w:rsidRPr="00076651">
        <w:rPr>
          <w:lang w:val="fr-FR"/>
        </w:rPr>
        <w:noBreakHyphen/>
        <w:t>1:2020, dans la première colonne, après « ISO 11114</w:t>
      </w:r>
      <w:r w:rsidRPr="00076651">
        <w:rPr>
          <w:lang w:val="fr-FR"/>
        </w:rPr>
        <w:noBreakHyphen/>
        <w:t xml:space="preserve">1:2020 » ajouter « + </w:t>
      </w:r>
      <w:proofErr w:type="spellStart"/>
      <w:r w:rsidRPr="00076651">
        <w:rPr>
          <w:lang w:val="fr-FR"/>
        </w:rPr>
        <w:t>Amd</w:t>
      </w:r>
      <w:proofErr w:type="spellEnd"/>
      <w:r w:rsidRPr="00076651">
        <w:rPr>
          <w:lang w:val="fr-FR"/>
        </w:rPr>
        <w:t xml:space="preserve"> 1:2023 ». </w:t>
      </w:r>
      <w:bookmarkStart w:id="7" w:name="_Hlk144294929"/>
      <w:bookmarkEnd w:id="7"/>
    </w:p>
    <w:p w14:paraId="20862393"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707703BB" w14:textId="77777777" w:rsidR="00CE1E34" w:rsidRPr="00076651" w:rsidRDefault="00CE1E34" w:rsidP="00CE1E34">
      <w:pPr>
        <w:tabs>
          <w:tab w:val="left" w:pos="1701"/>
          <w:tab w:val="left" w:pos="2268"/>
          <w:tab w:val="left" w:pos="2835"/>
        </w:tabs>
        <w:spacing w:before="120" w:after="120"/>
        <w:ind w:left="2268" w:right="1134" w:hanging="1134"/>
        <w:jc w:val="both"/>
        <w:rPr>
          <w:rFonts w:eastAsiaTheme="minorHAnsi"/>
          <w:lang w:val="fr-FR" w:eastAsia="en-US"/>
        </w:rPr>
      </w:pPr>
      <w:r w:rsidRPr="00076651">
        <w:rPr>
          <w:rFonts w:eastAsiaTheme="minorHAnsi"/>
          <w:lang w:val="fr-FR" w:eastAsia="en-US"/>
        </w:rPr>
        <w:t>[6.2.2.3</w:t>
      </w:r>
      <w:r w:rsidRPr="00076651">
        <w:rPr>
          <w:rFonts w:eastAsiaTheme="minorHAnsi"/>
          <w:lang w:val="fr-FR" w:eastAsia="en-US"/>
        </w:rPr>
        <w:tab/>
        <w:t xml:space="preserve">Dans le premier tableau, pour la ligne relative à la norme 10297:2014 + </w:t>
      </w:r>
      <w:proofErr w:type="spellStart"/>
      <w:r w:rsidRPr="00076651">
        <w:rPr>
          <w:rFonts w:eastAsiaTheme="minorHAnsi"/>
          <w:lang w:val="fr-FR" w:eastAsia="en-US"/>
        </w:rPr>
        <w:t>Amd</w:t>
      </w:r>
      <w:proofErr w:type="spellEnd"/>
      <w:r w:rsidRPr="00076651">
        <w:rPr>
          <w:rFonts w:eastAsiaTheme="minorHAnsi"/>
          <w:lang w:val="fr-FR" w:eastAsia="en-US"/>
        </w:rPr>
        <w:t xml:space="preserve"> 1:2017, dans la colonne « Applicable à la fabrication », remplacer « Jusqu’à nouvel ordre » par « Jusqu’au 31 décembre 2028 ». Après cette ligne, ajouter la nouvelle ligne suivante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5365"/>
        <w:gridCol w:w="1420"/>
      </w:tblGrid>
      <w:tr w:rsidR="001D0B69" w:rsidRPr="00076651" w14:paraId="18268C69" w14:textId="77777777" w:rsidTr="00076651">
        <w:tc>
          <w:tcPr>
            <w:tcW w:w="1489" w:type="dxa"/>
            <w:tcBorders>
              <w:top w:val="single" w:sz="4" w:space="0" w:color="auto"/>
              <w:left w:val="single" w:sz="4" w:space="0" w:color="auto"/>
              <w:bottom w:val="single" w:sz="4" w:space="0" w:color="auto"/>
              <w:right w:val="single" w:sz="4" w:space="0" w:color="auto"/>
            </w:tcBorders>
            <w:hideMark/>
          </w:tcPr>
          <w:p w14:paraId="7B816F95" w14:textId="08F3878D" w:rsidR="001D0B69" w:rsidRPr="00076651" w:rsidRDefault="001D0B69" w:rsidP="00076651">
            <w:pPr>
              <w:spacing w:before="60" w:after="60" w:line="236" w:lineRule="atLeast"/>
              <w:ind w:left="57" w:right="57"/>
              <w:rPr>
                <w:lang w:val="fr-FR"/>
              </w:rPr>
            </w:pPr>
            <w:r w:rsidRPr="00076651">
              <w:rPr>
                <w:lang w:val="fr-FR"/>
              </w:rPr>
              <w:t>ISO 10297:2024</w:t>
            </w:r>
          </w:p>
        </w:tc>
        <w:tc>
          <w:tcPr>
            <w:tcW w:w="4646" w:type="dxa"/>
            <w:tcBorders>
              <w:top w:val="single" w:sz="4" w:space="0" w:color="auto"/>
              <w:left w:val="single" w:sz="4" w:space="0" w:color="auto"/>
              <w:bottom w:val="single" w:sz="4" w:space="0" w:color="auto"/>
              <w:right w:val="single" w:sz="4" w:space="0" w:color="auto"/>
            </w:tcBorders>
            <w:hideMark/>
          </w:tcPr>
          <w:p w14:paraId="2FA2B2F2" w14:textId="60D62528" w:rsidR="001D0B69" w:rsidRPr="00076651" w:rsidRDefault="001D0B69" w:rsidP="00076651">
            <w:pPr>
              <w:spacing w:before="60" w:after="60" w:line="236" w:lineRule="atLeast"/>
              <w:ind w:left="57" w:right="57"/>
              <w:rPr>
                <w:lang w:val="fr-FR"/>
              </w:rPr>
            </w:pPr>
            <w:r w:rsidRPr="00076651">
              <w:rPr>
                <w:lang w:val="fr-FR"/>
              </w:rPr>
              <w:t>Bouteilles à gaz — Robinets de bouteilles — Spécifications et essais de type</w:t>
            </w:r>
          </w:p>
        </w:tc>
        <w:tc>
          <w:tcPr>
            <w:tcW w:w="1230" w:type="dxa"/>
            <w:tcBorders>
              <w:top w:val="single" w:sz="4" w:space="0" w:color="auto"/>
              <w:left w:val="single" w:sz="4" w:space="0" w:color="auto"/>
              <w:bottom w:val="single" w:sz="4" w:space="0" w:color="auto"/>
              <w:right w:val="single" w:sz="4" w:space="0" w:color="auto"/>
            </w:tcBorders>
            <w:hideMark/>
          </w:tcPr>
          <w:p w14:paraId="0FB7C5A9" w14:textId="77777777" w:rsidR="001D0B69" w:rsidRPr="00076651" w:rsidRDefault="001D0B69" w:rsidP="00076651">
            <w:pPr>
              <w:spacing w:before="60" w:after="60" w:line="236" w:lineRule="atLeast"/>
              <w:ind w:left="57" w:right="57"/>
              <w:rPr>
                <w:lang w:val="fr-FR"/>
              </w:rPr>
            </w:pPr>
            <w:r w:rsidRPr="00076651">
              <w:rPr>
                <w:lang w:val="fr-FR"/>
              </w:rPr>
              <w:t>Jusqu’à nouvel ordre</w:t>
            </w:r>
          </w:p>
        </w:tc>
      </w:tr>
    </w:tbl>
    <w:p w14:paraId="4FDB4615" w14:textId="77777777" w:rsidR="00CE1E34" w:rsidRPr="00076651" w:rsidRDefault="00CE1E34" w:rsidP="00CE1E34">
      <w:pPr>
        <w:pStyle w:val="SingleTxtG"/>
        <w:tabs>
          <w:tab w:val="clear" w:pos="1701"/>
        </w:tabs>
        <w:spacing w:before="120"/>
        <w:rPr>
          <w:lang w:val="fr-FR"/>
        </w:rPr>
      </w:pPr>
      <w:r w:rsidRPr="00076651">
        <w:rPr>
          <w:lang w:val="fr-FR"/>
        </w:rPr>
        <w:t>]</w:t>
      </w:r>
    </w:p>
    <w:p w14:paraId="4146035E" w14:textId="6734C6C1" w:rsidR="002F6A18" w:rsidRPr="00076651" w:rsidRDefault="002F6A18" w:rsidP="00BC0E36">
      <w:pPr>
        <w:pStyle w:val="SingleTxtG"/>
        <w:tabs>
          <w:tab w:val="clear" w:pos="1701"/>
        </w:tabs>
        <w:ind w:left="2268" w:hanging="1134"/>
        <w:rPr>
          <w:lang w:val="fr-FR"/>
        </w:rPr>
      </w:pPr>
      <w:r w:rsidRPr="00076651">
        <w:rPr>
          <w:lang w:val="fr-FR"/>
        </w:rPr>
        <w:tab/>
        <w:t xml:space="preserve">Dans le premier tableau, dans la ligne pour ISO 14246:2014 + </w:t>
      </w:r>
      <w:proofErr w:type="spellStart"/>
      <w:r w:rsidRPr="00076651">
        <w:rPr>
          <w:lang w:val="fr-FR"/>
        </w:rPr>
        <w:t>Amd</w:t>
      </w:r>
      <w:proofErr w:type="spellEnd"/>
      <w:r w:rsidRPr="00076651">
        <w:rPr>
          <w:lang w:val="fr-FR"/>
        </w:rPr>
        <w:t xml:space="preserve"> 1:2017, dans la colonne « Applicable à la fabrication », remplacer « Jusqu’à nouvel ordre » par « Jusqu’au 31 décembre 2030 ». Après cette ligne, ajouter la nouvelle ligne suivante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5365"/>
        <w:gridCol w:w="1420"/>
      </w:tblGrid>
      <w:tr w:rsidR="001D0B69" w:rsidRPr="00076651" w14:paraId="19280373" w14:textId="77777777" w:rsidTr="00076651">
        <w:tc>
          <w:tcPr>
            <w:tcW w:w="1489" w:type="dxa"/>
            <w:tcBorders>
              <w:top w:val="single" w:sz="4" w:space="0" w:color="auto"/>
              <w:left w:val="single" w:sz="4" w:space="0" w:color="auto"/>
              <w:bottom w:val="single" w:sz="4" w:space="0" w:color="auto"/>
              <w:right w:val="single" w:sz="4" w:space="0" w:color="auto"/>
            </w:tcBorders>
            <w:hideMark/>
          </w:tcPr>
          <w:p w14:paraId="6AD12F6B" w14:textId="5F2754F0" w:rsidR="001D0B69" w:rsidRPr="00076651" w:rsidRDefault="001D0B69" w:rsidP="00076651">
            <w:pPr>
              <w:spacing w:before="60" w:after="60" w:line="236" w:lineRule="atLeast"/>
              <w:ind w:left="57" w:right="57"/>
              <w:rPr>
                <w:lang w:val="fr-FR"/>
              </w:rPr>
            </w:pPr>
            <w:r w:rsidRPr="00076651">
              <w:rPr>
                <w:lang w:val="fr-FR"/>
              </w:rPr>
              <w:t>ISO 14246:2022</w:t>
            </w:r>
          </w:p>
        </w:tc>
        <w:tc>
          <w:tcPr>
            <w:tcW w:w="4646" w:type="dxa"/>
            <w:tcBorders>
              <w:top w:val="single" w:sz="4" w:space="0" w:color="auto"/>
              <w:left w:val="single" w:sz="4" w:space="0" w:color="auto"/>
              <w:bottom w:val="single" w:sz="4" w:space="0" w:color="auto"/>
              <w:right w:val="single" w:sz="4" w:space="0" w:color="auto"/>
            </w:tcBorders>
            <w:hideMark/>
          </w:tcPr>
          <w:p w14:paraId="76150B23" w14:textId="57BEA235" w:rsidR="001D0B69" w:rsidRPr="00076651" w:rsidRDefault="001D0B69" w:rsidP="00076651">
            <w:pPr>
              <w:spacing w:before="60" w:after="60" w:line="236" w:lineRule="atLeast"/>
              <w:ind w:left="57" w:right="57"/>
              <w:rPr>
                <w:lang w:val="fr-FR"/>
              </w:rPr>
            </w:pPr>
            <w:r w:rsidRPr="00076651">
              <w:rPr>
                <w:lang w:val="fr-FR"/>
              </w:rPr>
              <w:t>Bouteilles à gaz − Robinets de bouteilles à gaz − Essais de fabrication et contrôles</w:t>
            </w:r>
          </w:p>
        </w:tc>
        <w:tc>
          <w:tcPr>
            <w:tcW w:w="1230" w:type="dxa"/>
            <w:tcBorders>
              <w:top w:val="single" w:sz="4" w:space="0" w:color="auto"/>
              <w:left w:val="single" w:sz="4" w:space="0" w:color="auto"/>
              <w:bottom w:val="single" w:sz="4" w:space="0" w:color="auto"/>
              <w:right w:val="single" w:sz="4" w:space="0" w:color="auto"/>
            </w:tcBorders>
            <w:hideMark/>
          </w:tcPr>
          <w:p w14:paraId="205933E1" w14:textId="77777777" w:rsidR="001D0B69" w:rsidRPr="00076651" w:rsidRDefault="001D0B69" w:rsidP="00076651">
            <w:pPr>
              <w:spacing w:before="60" w:after="60" w:line="236" w:lineRule="atLeast"/>
              <w:ind w:left="57" w:right="57"/>
              <w:rPr>
                <w:lang w:val="fr-FR"/>
              </w:rPr>
            </w:pPr>
            <w:r w:rsidRPr="00076651">
              <w:rPr>
                <w:lang w:val="fr-FR"/>
              </w:rPr>
              <w:t>Jusqu’à nouvel ordre</w:t>
            </w:r>
          </w:p>
        </w:tc>
      </w:tr>
    </w:tbl>
    <w:p w14:paraId="4A2A7B1B" w14:textId="41E7601B" w:rsidR="00EE67D8" w:rsidRPr="00076651" w:rsidRDefault="00EE67D8" w:rsidP="001D0B69">
      <w:pPr>
        <w:pStyle w:val="SingleTxtG"/>
        <w:tabs>
          <w:tab w:val="clear" w:pos="2268"/>
        </w:tabs>
        <w:spacing w:before="120"/>
        <w:rPr>
          <w:rFonts w:eastAsiaTheme="minorHAnsi"/>
          <w:i/>
          <w:iCs/>
          <w:lang w:val="fr-FR" w:eastAsia="en-US"/>
        </w:rPr>
      </w:pPr>
      <w:r w:rsidRPr="00076651">
        <w:rPr>
          <w:rFonts w:eastAsiaTheme="minorHAnsi"/>
          <w:i/>
          <w:iCs/>
          <w:lang w:val="fr-FR" w:eastAsia="en-US"/>
        </w:rPr>
        <w:t>(Document</w:t>
      </w:r>
      <w:r w:rsidR="001D0B69" w:rsidRPr="00076651">
        <w:rPr>
          <w:rFonts w:eastAsiaTheme="minorHAnsi"/>
          <w:i/>
          <w:iCs/>
          <w:lang w:val="fr-FR" w:eastAsia="en-US"/>
        </w:rPr>
        <w:t>s</w:t>
      </w:r>
      <w:r w:rsidRPr="00076651">
        <w:rPr>
          <w:rFonts w:eastAsiaTheme="minorHAnsi"/>
          <w:i/>
          <w:iCs/>
          <w:lang w:val="fr-FR" w:eastAsia="en-US"/>
        </w:rPr>
        <w:t xml:space="preserve"> de référence : </w:t>
      </w:r>
      <w:r w:rsidR="001D0B69" w:rsidRPr="00076651">
        <w:rPr>
          <w:i/>
          <w:iCs/>
        </w:rPr>
        <w:t xml:space="preserve">ST/SG/AC.10/C.3/126, annexe I  et </w:t>
      </w:r>
      <w:r w:rsidRPr="00076651">
        <w:rPr>
          <w:i/>
          <w:iCs/>
        </w:rPr>
        <w:t>ST/SG/AC.10/C.3/128, annexe</w:t>
      </w:r>
      <w:r w:rsidR="001D0B69" w:rsidRPr="00076651">
        <w:rPr>
          <w:i/>
          <w:iCs/>
        </w:rPr>
        <w:t> </w:t>
      </w:r>
      <w:r w:rsidRPr="00076651">
        <w:rPr>
          <w:i/>
          <w:iCs/>
        </w:rPr>
        <w:t>II</w:t>
      </w:r>
      <w:r w:rsidRPr="00076651">
        <w:rPr>
          <w:rFonts w:eastAsiaTheme="minorHAnsi"/>
          <w:i/>
          <w:iCs/>
          <w:lang w:val="fr-FR" w:eastAsia="en-US"/>
        </w:rPr>
        <w:t>)</w:t>
      </w:r>
    </w:p>
    <w:p w14:paraId="02801148" w14:textId="6F9C31AA" w:rsidR="00BD2E88" w:rsidRPr="00076651" w:rsidRDefault="00BD2E88" w:rsidP="00BD2E88">
      <w:pPr>
        <w:tabs>
          <w:tab w:val="left" w:pos="1701"/>
          <w:tab w:val="left" w:pos="2268"/>
          <w:tab w:val="left" w:pos="2835"/>
        </w:tabs>
        <w:spacing w:before="120" w:after="120"/>
        <w:ind w:left="2268" w:right="1134" w:hanging="1134"/>
        <w:jc w:val="both"/>
        <w:rPr>
          <w:rFonts w:eastAsiaTheme="minorHAnsi"/>
          <w:lang w:val="fr-FR" w:eastAsia="en-US"/>
        </w:rPr>
      </w:pPr>
      <w:r w:rsidRPr="00076651">
        <w:rPr>
          <w:rFonts w:eastAsiaTheme="minorHAnsi"/>
          <w:lang w:val="fr-FR" w:eastAsia="en-US"/>
        </w:rPr>
        <w:t>6.2.2.4</w:t>
      </w:r>
      <w:r w:rsidRPr="00076651">
        <w:rPr>
          <w:rFonts w:eastAsiaTheme="minorHAnsi"/>
          <w:lang w:val="fr-FR" w:eastAsia="en-US"/>
        </w:rPr>
        <w:tab/>
      </w:r>
      <w:r w:rsidRPr="00076651">
        <w:rPr>
          <w:rFonts w:eastAsiaTheme="minorHAnsi"/>
          <w:lang w:val="fr-FR" w:eastAsia="en-US"/>
        </w:rPr>
        <w:tab/>
        <w:t>Dans le premier tableau, pour la ligne relative à la norme ISO 11623:2015, dans la colonne « Applicable », remplacer « Jusqu’à nouvel ordre » par « Jusqu’au 31 décembre 2028 ». Après cette ligne, ajouter la nouvelle ligne suivante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5365"/>
        <w:gridCol w:w="1420"/>
      </w:tblGrid>
      <w:tr w:rsidR="00BD2E88" w:rsidRPr="00076651" w14:paraId="22F81DC3" w14:textId="77777777" w:rsidTr="00076651">
        <w:tc>
          <w:tcPr>
            <w:tcW w:w="1489" w:type="dxa"/>
            <w:tcBorders>
              <w:top w:val="single" w:sz="4" w:space="0" w:color="auto"/>
              <w:left w:val="single" w:sz="4" w:space="0" w:color="auto"/>
              <w:bottom w:val="single" w:sz="4" w:space="0" w:color="auto"/>
              <w:right w:val="single" w:sz="4" w:space="0" w:color="auto"/>
            </w:tcBorders>
            <w:hideMark/>
          </w:tcPr>
          <w:p w14:paraId="0623B520" w14:textId="77777777" w:rsidR="00BD2E88" w:rsidRPr="00076651" w:rsidRDefault="00BD2E88" w:rsidP="00076651">
            <w:pPr>
              <w:spacing w:before="60" w:after="60" w:line="236" w:lineRule="atLeast"/>
              <w:ind w:left="57" w:right="57"/>
              <w:rPr>
                <w:lang w:val="fr-FR"/>
              </w:rPr>
            </w:pPr>
            <w:r w:rsidRPr="00076651">
              <w:rPr>
                <w:lang w:val="fr-FR"/>
              </w:rPr>
              <w:t>ISO 11623:2023</w:t>
            </w:r>
          </w:p>
        </w:tc>
        <w:tc>
          <w:tcPr>
            <w:tcW w:w="4646" w:type="dxa"/>
            <w:tcBorders>
              <w:top w:val="single" w:sz="4" w:space="0" w:color="auto"/>
              <w:left w:val="single" w:sz="4" w:space="0" w:color="auto"/>
              <w:bottom w:val="single" w:sz="4" w:space="0" w:color="auto"/>
              <w:right w:val="single" w:sz="4" w:space="0" w:color="auto"/>
            </w:tcBorders>
            <w:hideMark/>
          </w:tcPr>
          <w:p w14:paraId="22E8486C" w14:textId="77777777" w:rsidR="00BD2E88" w:rsidRPr="00076651" w:rsidRDefault="00BD2E88" w:rsidP="00076651">
            <w:pPr>
              <w:spacing w:before="60" w:after="60"/>
              <w:ind w:left="57" w:right="57"/>
              <w:rPr>
                <w:lang w:val="fr-FR"/>
              </w:rPr>
            </w:pPr>
            <w:r w:rsidRPr="00076651">
              <w:rPr>
                <w:lang w:val="fr-FR"/>
              </w:rPr>
              <w:t>Bouteilles à gaz − Bouteilles et tubes composites − Contrôles et essais périodiques</w:t>
            </w:r>
          </w:p>
          <w:p w14:paraId="442F1FC1" w14:textId="77777777" w:rsidR="00BD2E88" w:rsidRPr="00076651" w:rsidRDefault="00BD2E88" w:rsidP="00076651">
            <w:pPr>
              <w:spacing w:before="60" w:after="60" w:line="236" w:lineRule="atLeast"/>
              <w:ind w:left="57" w:right="57"/>
              <w:rPr>
                <w:lang w:val="fr-FR"/>
              </w:rPr>
            </w:pPr>
            <w:r w:rsidRPr="00076651">
              <w:rPr>
                <w:b/>
                <w:bCs/>
                <w:i/>
                <w:iCs/>
                <w:lang w:val="fr-FR"/>
              </w:rPr>
              <w:t>NOTA </w:t>
            </w:r>
            <w:r w:rsidRPr="00076651">
              <w:rPr>
                <w:i/>
                <w:iCs/>
                <w:lang w:val="fr-FR"/>
              </w:rPr>
              <w:t>: L'épreuve de pression ne doit pas être remplacée par une technique d'épreuve non destructive, bien que de telles techniques puissent être utilisées à des fins de surveillance.</w:t>
            </w:r>
          </w:p>
        </w:tc>
        <w:tc>
          <w:tcPr>
            <w:tcW w:w="1230" w:type="dxa"/>
            <w:tcBorders>
              <w:top w:val="single" w:sz="4" w:space="0" w:color="auto"/>
              <w:left w:val="single" w:sz="4" w:space="0" w:color="auto"/>
              <w:bottom w:val="single" w:sz="4" w:space="0" w:color="auto"/>
              <w:right w:val="single" w:sz="4" w:space="0" w:color="auto"/>
            </w:tcBorders>
            <w:hideMark/>
          </w:tcPr>
          <w:p w14:paraId="5EE21979" w14:textId="77777777" w:rsidR="00BD2E88" w:rsidRPr="00076651" w:rsidRDefault="00BD2E88" w:rsidP="00076651">
            <w:pPr>
              <w:spacing w:before="60" w:after="60" w:line="236" w:lineRule="atLeast"/>
              <w:ind w:left="57" w:right="57"/>
              <w:rPr>
                <w:lang w:val="fr-FR"/>
              </w:rPr>
            </w:pPr>
            <w:r w:rsidRPr="00076651">
              <w:rPr>
                <w:lang w:val="fr-FR"/>
              </w:rPr>
              <w:t>Jusqu’à nouvel ordre</w:t>
            </w:r>
          </w:p>
        </w:tc>
      </w:tr>
    </w:tbl>
    <w:p w14:paraId="3F68F967" w14:textId="5838A311" w:rsidR="002F6A18" w:rsidRPr="00076651" w:rsidRDefault="002F6A18" w:rsidP="00BD2E88">
      <w:pPr>
        <w:pStyle w:val="SingleTxtG"/>
        <w:tabs>
          <w:tab w:val="clear" w:pos="1701"/>
        </w:tabs>
        <w:spacing w:before="120"/>
        <w:ind w:left="2268" w:hanging="1134"/>
        <w:rPr>
          <w:lang w:val="fr-FR"/>
        </w:rPr>
      </w:pPr>
      <w:r w:rsidRPr="00076651">
        <w:rPr>
          <w:lang w:val="fr-FR"/>
        </w:rPr>
        <w:tab/>
        <w:t>Dans le premier tableau, dans la ligne pour ISO 22434:2006, dans la colonne « Applicable », remplacer « Jusqu’à nouvel ordre » par « Jusqu’au 31 décembre 2028 ». Après cette ligne, ajouter la nouvelle ligne suivante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5365"/>
        <w:gridCol w:w="1420"/>
      </w:tblGrid>
      <w:tr w:rsidR="004674BC" w:rsidRPr="00076651" w14:paraId="0C065A59" w14:textId="77777777" w:rsidTr="00076651">
        <w:tc>
          <w:tcPr>
            <w:tcW w:w="1489" w:type="dxa"/>
            <w:tcBorders>
              <w:top w:val="single" w:sz="4" w:space="0" w:color="auto"/>
              <w:left w:val="single" w:sz="4" w:space="0" w:color="auto"/>
              <w:bottom w:val="single" w:sz="4" w:space="0" w:color="auto"/>
              <w:right w:val="single" w:sz="4" w:space="0" w:color="auto"/>
            </w:tcBorders>
            <w:hideMark/>
          </w:tcPr>
          <w:p w14:paraId="4B290500" w14:textId="31321EA5" w:rsidR="004674BC" w:rsidRPr="00076651" w:rsidRDefault="004674BC" w:rsidP="00076651">
            <w:pPr>
              <w:spacing w:before="60" w:after="60" w:line="236" w:lineRule="atLeast"/>
              <w:ind w:left="57" w:right="57"/>
              <w:rPr>
                <w:lang w:val="fr-FR"/>
              </w:rPr>
            </w:pPr>
            <w:r w:rsidRPr="00076651">
              <w:rPr>
                <w:lang w:val="fr-FR"/>
              </w:rPr>
              <w:t>ISO 22434:2022</w:t>
            </w:r>
          </w:p>
        </w:tc>
        <w:tc>
          <w:tcPr>
            <w:tcW w:w="4646" w:type="dxa"/>
            <w:tcBorders>
              <w:top w:val="single" w:sz="4" w:space="0" w:color="auto"/>
              <w:left w:val="single" w:sz="4" w:space="0" w:color="auto"/>
              <w:bottom w:val="single" w:sz="4" w:space="0" w:color="auto"/>
              <w:right w:val="single" w:sz="4" w:space="0" w:color="auto"/>
            </w:tcBorders>
            <w:hideMark/>
          </w:tcPr>
          <w:p w14:paraId="7CE87DD6" w14:textId="77777777" w:rsidR="004674BC" w:rsidRPr="00076651" w:rsidRDefault="004674BC" w:rsidP="004674BC">
            <w:pPr>
              <w:spacing w:before="60" w:after="60"/>
              <w:ind w:left="57" w:right="57"/>
              <w:jc w:val="both"/>
              <w:rPr>
                <w:iCs/>
                <w:color w:val="000000"/>
                <w:lang w:val="fr-FR"/>
              </w:rPr>
            </w:pPr>
            <w:r w:rsidRPr="00076651">
              <w:rPr>
                <w:lang w:val="fr-FR"/>
              </w:rPr>
              <w:t>Bouteilles à gaz − Contrôle et maintenance des robinets</w:t>
            </w:r>
          </w:p>
          <w:p w14:paraId="7FB1B8C6" w14:textId="7E30747F" w:rsidR="004674BC" w:rsidRPr="00076651" w:rsidRDefault="004674BC" w:rsidP="004674BC">
            <w:pPr>
              <w:spacing w:before="60" w:after="60" w:line="236" w:lineRule="atLeast"/>
              <w:ind w:left="57" w:right="57"/>
              <w:rPr>
                <w:lang w:val="fr-FR"/>
              </w:rPr>
            </w:pPr>
            <w:r w:rsidRPr="00076651">
              <w:rPr>
                <w:b/>
                <w:bCs/>
                <w:i/>
                <w:iCs/>
                <w:lang w:val="fr-FR"/>
              </w:rPr>
              <w:t>NOTA</w:t>
            </w:r>
            <w:r w:rsidRPr="00076651">
              <w:rPr>
                <w:i/>
                <w:iCs/>
                <w:lang w:val="fr-FR"/>
              </w:rPr>
              <w:t> : Il peut être satisfait à ces prescriptions à d’autres moments que lors des contrôles et épreuves périodiques des bouteilles « UN ».</w:t>
            </w:r>
          </w:p>
        </w:tc>
        <w:tc>
          <w:tcPr>
            <w:tcW w:w="1230" w:type="dxa"/>
            <w:tcBorders>
              <w:top w:val="single" w:sz="4" w:space="0" w:color="auto"/>
              <w:left w:val="single" w:sz="4" w:space="0" w:color="auto"/>
              <w:bottom w:val="single" w:sz="4" w:space="0" w:color="auto"/>
              <w:right w:val="single" w:sz="4" w:space="0" w:color="auto"/>
            </w:tcBorders>
            <w:hideMark/>
          </w:tcPr>
          <w:p w14:paraId="600A73B9" w14:textId="77777777" w:rsidR="004674BC" w:rsidRPr="00076651" w:rsidRDefault="004674BC" w:rsidP="00076651">
            <w:pPr>
              <w:spacing w:before="60" w:after="60" w:line="236" w:lineRule="atLeast"/>
              <w:ind w:left="57" w:right="57"/>
              <w:rPr>
                <w:lang w:val="fr-FR"/>
              </w:rPr>
            </w:pPr>
            <w:r w:rsidRPr="00076651">
              <w:rPr>
                <w:lang w:val="fr-FR"/>
              </w:rPr>
              <w:t>Jusqu’à nouvel ordre</w:t>
            </w:r>
          </w:p>
        </w:tc>
      </w:tr>
    </w:tbl>
    <w:p w14:paraId="2043DE17" w14:textId="2173249D" w:rsidR="00EE67D8" w:rsidRPr="00076651" w:rsidRDefault="00EE67D8" w:rsidP="00BD2E88">
      <w:pPr>
        <w:pStyle w:val="SingleTxtG"/>
        <w:tabs>
          <w:tab w:val="clear" w:pos="2268"/>
        </w:tabs>
        <w:spacing w:before="120"/>
        <w:rPr>
          <w:rFonts w:eastAsiaTheme="minorHAnsi"/>
          <w:i/>
          <w:iCs/>
          <w:lang w:val="fr-FR" w:eastAsia="en-US"/>
        </w:rPr>
      </w:pPr>
      <w:r w:rsidRPr="00076651">
        <w:rPr>
          <w:rFonts w:eastAsiaTheme="minorHAnsi"/>
          <w:i/>
          <w:iCs/>
          <w:lang w:val="fr-FR" w:eastAsia="en-US"/>
        </w:rPr>
        <w:t>(Document</w:t>
      </w:r>
      <w:r w:rsidR="00BD2E88" w:rsidRPr="00076651">
        <w:rPr>
          <w:rFonts w:eastAsiaTheme="minorHAnsi"/>
          <w:i/>
          <w:iCs/>
          <w:lang w:val="fr-FR" w:eastAsia="en-US"/>
        </w:rPr>
        <w:t>s</w:t>
      </w:r>
      <w:r w:rsidRPr="00076651">
        <w:rPr>
          <w:rFonts w:eastAsiaTheme="minorHAnsi"/>
          <w:i/>
          <w:iCs/>
          <w:lang w:val="fr-FR" w:eastAsia="en-US"/>
        </w:rPr>
        <w:t xml:space="preserve"> de référence : </w:t>
      </w:r>
      <w:r w:rsidR="00BD2E88" w:rsidRPr="00076651">
        <w:rPr>
          <w:i/>
          <w:iCs/>
        </w:rPr>
        <w:t xml:space="preserve">ST/SG/AC.10/C.3/126, annexe I et </w:t>
      </w:r>
      <w:r w:rsidRPr="00076651">
        <w:rPr>
          <w:i/>
          <w:iCs/>
        </w:rPr>
        <w:t>ST/SG/AC.10/C.3/128, annexe</w:t>
      </w:r>
      <w:r w:rsidR="00BD2E88" w:rsidRPr="00076651">
        <w:rPr>
          <w:i/>
          <w:iCs/>
        </w:rPr>
        <w:t> </w:t>
      </w:r>
      <w:r w:rsidRPr="00076651">
        <w:rPr>
          <w:i/>
          <w:iCs/>
        </w:rPr>
        <w:t>II</w:t>
      </w:r>
      <w:r w:rsidRPr="00076651">
        <w:rPr>
          <w:rFonts w:eastAsiaTheme="minorHAnsi"/>
          <w:i/>
          <w:iCs/>
          <w:lang w:val="fr-FR" w:eastAsia="en-US"/>
        </w:rPr>
        <w:t>)</w:t>
      </w:r>
    </w:p>
    <w:p w14:paraId="6F3A3999" w14:textId="77777777" w:rsidR="002F6A18" w:rsidRPr="00076651" w:rsidRDefault="002F6A18" w:rsidP="00BC0E36">
      <w:pPr>
        <w:pStyle w:val="SingleTxtG"/>
        <w:tabs>
          <w:tab w:val="clear" w:pos="1701"/>
        </w:tabs>
        <w:rPr>
          <w:lang w:val="fr-FR"/>
        </w:rPr>
      </w:pPr>
      <w:r w:rsidRPr="00076651">
        <w:rPr>
          <w:lang w:val="fr-FR"/>
        </w:rPr>
        <w:t>6.2.2.7.4</w:t>
      </w:r>
      <w:r w:rsidRPr="00076651">
        <w:rPr>
          <w:lang w:val="fr-FR"/>
        </w:rPr>
        <w:tab/>
        <w:t xml:space="preserve">À l’alinéa p), après « ISO 11114-1:2020 » ajouter « + </w:t>
      </w:r>
      <w:proofErr w:type="spellStart"/>
      <w:r w:rsidRPr="00076651">
        <w:rPr>
          <w:lang w:val="fr-FR"/>
        </w:rPr>
        <w:t>Amd</w:t>
      </w:r>
      <w:proofErr w:type="spellEnd"/>
      <w:r w:rsidRPr="00076651">
        <w:rPr>
          <w:lang w:val="fr-FR"/>
        </w:rPr>
        <w:t xml:space="preserve"> 1:2023 ».</w:t>
      </w:r>
    </w:p>
    <w:p w14:paraId="2DA72B40"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247107EC" w14:textId="77777777" w:rsidR="002F6A18" w:rsidRPr="00076651" w:rsidRDefault="002F6A18" w:rsidP="00BC0E36">
      <w:pPr>
        <w:pStyle w:val="SingleTxtG"/>
        <w:tabs>
          <w:tab w:val="clear" w:pos="1701"/>
        </w:tabs>
        <w:rPr>
          <w:lang w:val="fr-FR"/>
        </w:rPr>
      </w:pPr>
      <w:r w:rsidRPr="00076651">
        <w:rPr>
          <w:lang w:val="fr-FR"/>
        </w:rPr>
        <w:t>6.2.2.9.2</w:t>
      </w:r>
      <w:r w:rsidRPr="00076651">
        <w:rPr>
          <w:lang w:val="fr-FR"/>
        </w:rPr>
        <w:tab/>
        <w:t xml:space="preserve">À l’alinéa j), après « ISO 11114-1:2020 » ajouter « + </w:t>
      </w:r>
      <w:proofErr w:type="spellStart"/>
      <w:r w:rsidRPr="00076651">
        <w:rPr>
          <w:lang w:val="fr-FR"/>
        </w:rPr>
        <w:t>Amd</w:t>
      </w:r>
      <w:proofErr w:type="spellEnd"/>
      <w:r w:rsidRPr="00076651">
        <w:rPr>
          <w:lang w:val="fr-FR"/>
        </w:rPr>
        <w:t xml:space="preserve"> 1:2023 ».</w:t>
      </w:r>
    </w:p>
    <w:p w14:paraId="6A7AA24B"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lastRenderedPageBreak/>
        <w:t xml:space="preserve">(Document de référence : </w:t>
      </w:r>
      <w:r w:rsidRPr="00076651">
        <w:rPr>
          <w:i/>
          <w:iCs/>
        </w:rPr>
        <w:t>ST/SG/AC.10/C.3/126, annexe I</w:t>
      </w:r>
      <w:r w:rsidRPr="00076651">
        <w:rPr>
          <w:rStyle w:val="ui-provider"/>
          <w:rFonts w:eastAsiaTheme="minorHAnsi"/>
          <w:i/>
          <w:iCs/>
          <w:lang w:val="fr-FR"/>
        </w:rPr>
        <w:t>)</w:t>
      </w:r>
    </w:p>
    <w:p w14:paraId="6A9DBFE0" w14:textId="77777777" w:rsidR="002F6A18" w:rsidRPr="00076651" w:rsidRDefault="002F6A18" w:rsidP="00BC0E36">
      <w:pPr>
        <w:pStyle w:val="SingleTxtG"/>
        <w:tabs>
          <w:tab w:val="clear" w:pos="1701"/>
        </w:tabs>
        <w:rPr>
          <w:lang w:val="fr-FR"/>
        </w:rPr>
      </w:pPr>
      <w:r w:rsidRPr="00076651">
        <w:rPr>
          <w:lang w:val="fr-FR"/>
        </w:rPr>
        <w:t>6.2.3.5</w:t>
      </w:r>
      <w:r w:rsidRPr="00076651">
        <w:rPr>
          <w:lang w:val="fr-FR"/>
        </w:rPr>
        <w:tab/>
        <w:t>Dans le deuxième paragraphe, avant la dernière phrase, ajouter :</w:t>
      </w:r>
    </w:p>
    <w:p w14:paraId="40D6E61E" w14:textId="77777777" w:rsidR="002F6A18" w:rsidRPr="00076651" w:rsidRDefault="002F6A18" w:rsidP="002F6A18">
      <w:pPr>
        <w:pStyle w:val="SingleTxtG"/>
        <w:rPr>
          <w:lang w:val="fr-FR"/>
        </w:rPr>
      </w:pPr>
      <w:r w:rsidRPr="00076651">
        <w:rPr>
          <w:lang w:val="fr-FR"/>
        </w:rPr>
        <w:t>« Cette indication doit s’accompagner des informations suivantes :</w:t>
      </w:r>
    </w:p>
    <w:p w14:paraId="0F46DC67" w14:textId="77777777" w:rsidR="002F6A18" w:rsidRPr="00076651" w:rsidRDefault="002F6A18" w:rsidP="002F6A18">
      <w:pPr>
        <w:pStyle w:val="SingleTxtG"/>
        <w:ind w:left="2835" w:hanging="567"/>
        <w:rPr>
          <w:lang w:val="fr-FR"/>
        </w:rPr>
      </w:pPr>
      <w:r w:rsidRPr="00076651">
        <w:rPr>
          <w:lang w:val="fr-FR"/>
        </w:rPr>
        <w:t>a)</w:t>
      </w:r>
      <w:r w:rsidRPr="00076651">
        <w:rPr>
          <w:lang w:val="fr-FR"/>
        </w:rPr>
        <w:tab/>
        <w:t>La pression d’épreuve à laquelle le récipient à pression de secours peut être rempli à la température maximale, qui limite le stockage des récipients à pression remplis de gaz liquéfiés ;</w:t>
      </w:r>
    </w:p>
    <w:p w14:paraId="2C82042E" w14:textId="77777777" w:rsidR="002F6A18" w:rsidRPr="00076651" w:rsidRDefault="002F6A18" w:rsidP="002F6A18">
      <w:pPr>
        <w:pStyle w:val="SingleTxtG"/>
        <w:ind w:left="2835" w:hanging="567"/>
        <w:rPr>
          <w:lang w:val="fr-FR"/>
        </w:rPr>
      </w:pPr>
      <w:r w:rsidRPr="00076651">
        <w:rPr>
          <w:lang w:val="fr-FR"/>
        </w:rPr>
        <w:t>b)</w:t>
      </w:r>
      <w:r w:rsidRPr="00076651">
        <w:rPr>
          <w:lang w:val="fr-FR"/>
        </w:rPr>
        <w:tab/>
        <w:t xml:space="preserve">La contenance en eau utilisable et la valeur maximale du produit </w:t>
      </w:r>
      <w:proofErr w:type="spellStart"/>
      <w:r w:rsidRPr="00076651">
        <w:rPr>
          <w:lang w:val="fr-FR"/>
        </w:rPr>
        <w:t>pV</w:t>
      </w:r>
      <w:proofErr w:type="spellEnd"/>
      <w:r w:rsidRPr="00076651">
        <w:rPr>
          <w:lang w:val="fr-FR"/>
        </w:rPr>
        <w:t xml:space="preserve"> autorisée pour les récipients à pression stockés, qui limite le stockage des récipients à pression remplis de gaz comprimés. La valeur de produit </w:t>
      </w:r>
      <w:proofErr w:type="spellStart"/>
      <w:r w:rsidRPr="00076651">
        <w:rPr>
          <w:lang w:val="fr-FR"/>
        </w:rPr>
        <w:t>pV</w:t>
      </w:r>
      <w:proofErr w:type="spellEnd"/>
      <w:r w:rsidRPr="00076651">
        <w:rPr>
          <w:lang w:val="fr-FR"/>
        </w:rPr>
        <w:t xml:space="preserve"> maximum est la plus petite des valeurs suivantes :</w:t>
      </w:r>
    </w:p>
    <w:p w14:paraId="12E72B5C" w14:textId="77777777" w:rsidR="002F6A18" w:rsidRPr="00076651" w:rsidRDefault="002F6A18" w:rsidP="002F6A18">
      <w:pPr>
        <w:pStyle w:val="SingleTxtG"/>
        <w:tabs>
          <w:tab w:val="clear" w:pos="1701"/>
        </w:tabs>
        <w:ind w:left="3402" w:hanging="567"/>
        <w:rPr>
          <w:lang w:val="fr-FR"/>
        </w:rPr>
      </w:pPr>
      <w:r w:rsidRPr="00076651">
        <w:rPr>
          <w:lang w:val="fr-FR"/>
        </w:rPr>
        <w:t>i)</w:t>
      </w:r>
      <w:r w:rsidRPr="00076651">
        <w:rPr>
          <w:lang w:val="fr-FR"/>
        </w:rPr>
        <w:tab/>
        <w:t xml:space="preserve">La limite générale du produit </w:t>
      </w:r>
      <w:proofErr w:type="spellStart"/>
      <w:r w:rsidRPr="00076651">
        <w:rPr>
          <w:lang w:val="fr-FR"/>
        </w:rPr>
        <w:t>pV</w:t>
      </w:r>
      <w:proofErr w:type="spellEnd"/>
      <w:r w:rsidRPr="00076651">
        <w:rPr>
          <w:lang w:val="fr-FR"/>
        </w:rPr>
        <w:t>, à savoir 1,5 million de bar litres ; ou</w:t>
      </w:r>
    </w:p>
    <w:p w14:paraId="4977294F" w14:textId="77777777" w:rsidR="002F6A18" w:rsidRPr="00076651" w:rsidRDefault="002F6A18" w:rsidP="002F6A18">
      <w:pPr>
        <w:pStyle w:val="SingleTxtG"/>
        <w:tabs>
          <w:tab w:val="clear" w:pos="1701"/>
        </w:tabs>
        <w:ind w:left="3402" w:hanging="567"/>
        <w:rPr>
          <w:lang w:val="fr-FR"/>
        </w:rPr>
      </w:pPr>
      <w:r w:rsidRPr="00076651">
        <w:rPr>
          <w:lang w:val="fr-FR"/>
        </w:rPr>
        <w:t>ii)</w:t>
      </w:r>
      <w:r w:rsidRPr="00076651">
        <w:rPr>
          <w:lang w:val="fr-FR"/>
        </w:rPr>
        <w:tab/>
        <w:t xml:space="preserve">Le produit </w:t>
      </w:r>
      <w:proofErr w:type="spellStart"/>
      <w:r w:rsidRPr="00076651">
        <w:rPr>
          <w:lang w:val="fr-FR"/>
        </w:rPr>
        <w:t>pV</w:t>
      </w:r>
      <w:proofErr w:type="spellEnd"/>
      <w:r w:rsidRPr="00076651">
        <w:rPr>
          <w:lang w:val="fr-FR"/>
        </w:rPr>
        <w:t xml:space="preserve"> du récipient à pression de secours calculé au moyen de la pression d’épreuve à laquelle il est autorisé à être rempli à la température maximale et de la contenance en eau utilisable. »</w:t>
      </w:r>
    </w:p>
    <w:p w14:paraId="7B78A113" w14:textId="77777777" w:rsidR="002F6A18" w:rsidRPr="00076651" w:rsidRDefault="002F6A18" w:rsidP="002F6A18">
      <w:pPr>
        <w:pStyle w:val="SingleTxtG"/>
        <w:tabs>
          <w:tab w:val="clear" w:pos="1701"/>
        </w:tabs>
        <w:ind w:left="2268" w:hanging="567"/>
        <w:rPr>
          <w:lang w:val="fr-FR"/>
        </w:rPr>
      </w:pPr>
      <w:r w:rsidRPr="00076651">
        <w:rPr>
          <w:lang w:val="fr-FR"/>
        </w:rPr>
        <w:tab/>
        <w:t>La dernière phrase du deuxième paragraphe devient un nouveau paragraphe. À la fin de cette phrase, ajouter « dans le certificat d’agrément ».</w:t>
      </w:r>
    </w:p>
    <w:p w14:paraId="5DC84CE3" w14:textId="77777777" w:rsidR="002F6A18" w:rsidRPr="00076651" w:rsidRDefault="002F6A18" w:rsidP="002F6A18">
      <w:pPr>
        <w:pStyle w:val="SingleTxtG"/>
        <w:tabs>
          <w:tab w:val="clear" w:pos="1701"/>
        </w:tabs>
        <w:rPr>
          <w:rStyle w:val="ui-provider"/>
          <w:rFonts w:eastAsiaTheme="minorHAnsi"/>
          <w:lang w:val="fr-FR"/>
        </w:rPr>
      </w:pPr>
      <w:r w:rsidRPr="00076651">
        <w:rPr>
          <w:rStyle w:val="ui-provider"/>
          <w:rFonts w:eastAsiaTheme="minorHAnsi"/>
          <w:i/>
          <w:iCs/>
          <w:lang w:val="fr-FR"/>
        </w:rPr>
        <w:tab/>
      </w:r>
      <w:r w:rsidRPr="00076651">
        <w:rPr>
          <w:rStyle w:val="ui-provider"/>
          <w:rFonts w:eastAsiaTheme="minorHAnsi"/>
          <w:lang w:val="fr-FR"/>
        </w:rPr>
        <w:t>Dans le dernier paragraphe, modifier la dernière phrase pour lire comme suit :</w:t>
      </w:r>
    </w:p>
    <w:p w14:paraId="29023686" w14:textId="766F1060" w:rsidR="002F6A18" w:rsidRPr="00076651" w:rsidRDefault="002F6A18" w:rsidP="00B57942">
      <w:pPr>
        <w:pStyle w:val="SingleTxtG"/>
        <w:tabs>
          <w:tab w:val="clear" w:pos="1701"/>
        </w:tabs>
        <w:rPr>
          <w:lang w:val="fr-FR"/>
        </w:rPr>
      </w:pPr>
      <w:r w:rsidRPr="00076651">
        <w:t xml:space="preserve">« Le marquage du récipient à pression de secours doit comprendre la </w:t>
      </w:r>
      <w:r w:rsidRPr="00076651">
        <w:rPr>
          <w:lang w:val="fr-FR"/>
        </w:rPr>
        <w:t xml:space="preserve">contenance en eau utilisable, la pression d’épreuve et le produit pression-volume maximum. Cette marque commence par les lettres “PVP” suivies du produit </w:t>
      </w:r>
      <w:proofErr w:type="spellStart"/>
      <w:r w:rsidRPr="00076651">
        <w:rPr>
          <w:lang w:val="fr-FR"/>
        </w:rPr>
        <w:t>pV</w:t>
      </w:r>
      <w:proofErr w:type="spellEnd"/>
      <w:r w:rsidRPr="00076651">
        <w:rPr>
          <w:lang w:val="fr-FR"/>
        </w:rPr>
        <w:t xml:space="preserve"> et des unités. Le produit </w:t>
      </w:r>
      <w:proofErr w:type="spellStart"/>
      <w:r w:rsidRPr="00076651">
        <w:rPr>
          <w:lang w:val="fr-FR"/>
        </w:rPr>
        <w:t>pV</w:t>
      </w:r>
      <w:proofErr w:type="spellEnd"/>
      <w:r w:rsidRPr="00076651">
        <w:rPr>
          <w:lang w:val="fr-FR"/>
        </w:rPr>
        <w:t xml:space="preserve"> comporte un espace avant les trois derniers chiffres de la valeur. Les unités « BAR » et « L » doivent être séparées par un point. Pour une lisibilité harmonisée et pour éviter toute manipulation ultérieure, la marque ne doit pas comporter d’autres espaces. Un exemple de la </w:t>
      </w:r>
      <w:proofErr w:type="spellStart"/>
      <w:r w:rsidRPr="00076651">
        <w:rPr>
          <w:lang w:val="fr-FR"/>
        </w:rPr>
        <w:t>la</w:t>
      </w:r>
      <w:proofErr w:type="spellEnd"/>
      <w:r w:rsidRPr="00076651">
        <w:rPr>
          <w:lang w:val="fr-FR"/>
        </w:rPr>
        <w:t xml:space="preserve"> marque PVP est donné ci-après :</w:t>
      </w:r>
    </w:p>
    <w:p w14:paraId="54F27930" w14:textId="77777777" w:rsidR="002F6A18" w:rsidRPr="00076651" w:rsidRDefault="002F6A18" w:rsidP="002F6A18">
      <w:pPr>
        <w:pStyle w:val="SingleTxtG"/>
        <w:tabs>
          <w:tab w:val="clear" w:pos="1701"/>
        </w:tabs>
      </w:pPr>
      <w:r w:rsidRPr="00076651">
        <w:rPr>
          <w:lang w:val="fr-FR"/>
        </w:rPr>
        <w:tab/>
      </w:r>
      <w:r w:rsidRPr="00076651">
        <w:t>PVP1500 000BAR.L »</w:t>
      </w:r>
    </w:p>
    <w:p w14:paraId="751FFD5A" w14:textId="77777777" w:rsidR="002F6A18" w:rsidRPr="00076651" w:rsidRDefault="002F6A18" w:rsidP="002F6A18">
      <w:pPr>
        <w:pStyle w:val="SingleTxtG"/>
        <w:tabs>
          <w:tab w:val="clear" w:pos="1701"/>
        </w:tabs>
      </w:pPr>
      <w:r w:rsidRPr="00076651">
        <w:tab/>
        <w:t>À la fin, remplacer le nota existant par le nota suivant :</w:t>
      </w:r>
    </w:p>
    <w:p w14:paraId="67475A82" w14:textId="77777777" w:rsidR="002F6A18" w:rsidRPr="00076651" w:rsidRDefault="002F6A18" w:rsidP="002F6A18">
      <w:pPr>
        <w:pStyle w:val="SingleTxtG"/>
        <w:tabs>
          <w:tab w:val="clear" w:pos="1701"/>
        </w:tabs>
        <w:rPr>
          <w:lang w:val="fr-FR"/>
        </w:rPr>
      </w:pPr>
      <w:r w:rsidRPr="00076651">
        <w:t>« </w:t>
      </w:r>
      <w:r w:rsidRPr="00076651">
        <w:rPr>
          <w:b/>
          <w:bCs/>
          <w:i/>
          <w:iCs/>
        </w:rPr>
        <w:t>NOTA :</w:t>
      </w:r>
      <w:r w:rsidRPr="00076651">
        <w:rPr>
          <w:i/>
          <w:iCs/>
        </w:rPr>
        <w:t xml:space="preserve"> Les récipients à pression de secours dont la contenance en eau ne dépasse pas 3 000 litres peuvent être utilisés sans porter la marque PVP supplémentaire jusqu’au 31 décembre 2030.</w:t>
      </w:r>
      <w:r w:rsidRPr="00076651">
        <w:t> »</w:t>
      </w:r>
    </w:p>
    <w:p w14:paraId="7CF97532"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59474DD3" w14:textId="77777777" w:rsidR="007C1ACA" w:rsidRPr="00076651" w:rsidRDefault="007C1ACA" w:rsidP="007C1ACA">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6.3</w:t>
      </w:r>
    </w:p>
    <w:p w14:paraId="1F818DBE" w14:textId="77777777" w:rsidR="007C1ACA" w:rsidRPr="00076651" w:rsidRDefault="007C1ACA" w:rsidP="007C1ACA">
      <w:pPr>
        <w:tabs>
          <w:tab w:val="left" w:pos="1701"/>
          <w:tab w:val="left" w:pos="2268"/>
          <w:tab w:val="left" w:pos="2835"/>
        </w:tabs>
        <w:spacing w:before="120" w:after="120"/>
        <w:ind w:left="2268" w:right="1134" w:hanging="1134"/>
        <w:jc w:val="both"/>
        <w:rPr>
          <w:rFonts w:eastAsiaTheme="minorHAnsi"/>
          <w:lang w:val="fr-FR" w:eastAsia="en-US"/>
        </w:rPr>
      </w:pPr>
      <w:r w:rsidRPr="00076651">
        <w:rPr>
          <w:lang w:val="fr-FR"/>
        </w:rPr>
        <w:t>6.3.5.1.3</w:t>
      </w:r>
      <w:r w:rsidRPr="00076651">
        <w:rPr>
          <w:rFonts w:eastAsiaTheme="minorHAnsi"/>
          <w:lang w:val="fr-FR" w:eastAsia="en-US"/>
        </w:rPr>
        <w:tab/>
        <w:t>Après « Les épreuves » ajouter « appropriées ».</w:t>
      </w:r>
    </w:p>
    <w:p w14:paraId="68A3AC54"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1E432B92" w14:textId="77777777" w:rsidR="00A36353" w:rsidRPr="00076651" w:rsidRDefault="00A36353" w:rsidP="00B14684">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6.4</w:t>
      </w:r>
    </w:p>
    <w:p w14:paraId="11EB4C18" w14:textId="6E88A4A4" w:rsidR="00A36353" w:rsidRPr="00076651" w:rsidRDefault="00A36353" w:rsidP="00AB4D12">
      <w:pPr>
        <w:pStyle w:val="SingleTxtG"/>
        <w:tabs>
          <w:tab w:val="clear" w:pos="1701"/>
        </w:tabs>
        <w:ind w:left="2268" w:hanging="1134"/>
        <w:rPr>
          <w:lang w:val="fr-FR"/>
        </w:rPr>
      </w:pPr>
      <w:r w:rsidRPr="00076651">
        <w:rPr>
          <w:lang w:val="fr-FR"/>
        </w:rPr>
        <w:t>6.4.11.2</w:t>
      </w:r>
      <w:r w:rsidR="00AB4D12" w:rsidRPr="00AB4D12">
        <w:rPr>
          <w:lang w:val="fr-FR"/>
        </w:rPr>
        <w:t xml:space="preserve"> </w:t>
      </w:r>
      <w:r w:rsidR="00AB4D12" w:rsidRPr="00076651">
        <w:rPr>
          <w:lang w:val="fr-FR"/>
        </w:rPr>
        <w:tab/>
        <w:t xml:space="preserve">À l’alinéa </w:t>
      </w:r>
      <w:r w:rsidRPr="00076651">
        <w:rPr>
          <w:lang w:val="fr-FR"/>
        </w:rPr>
        <w:t>d)</w:t>
      </w:r>
      <w:r w:rsidR="00AB4D12">
        <w:rPr>
          <w:lang w:val="fr-FR"/>
        </w:rPr>
        <w:t>, r</w:t>
      </w:r>
      <w:r w:rsidRPr="00076651">
        <w:rPr>
          <w:lang w:val="fr-FR"/>
        </w:rPr>
        <w:t>emplacer « du poids » par « </w:t>
      </w:r>
      <w:r w:rsidRPr="00076651">
        <w:t>de la masse</w:t>
      </w:r>
      <w:r w:rsidRPr="00076651">
        <w:rPr>
          <w:lang w:val="fr-FR"/>
        </w:rPr>
        <w:t> ».</w:t>
      </w:r>
    </w:p>
    <w:p w14:paraId="679416FE"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3277B562" w14:textId="77777777" w:rsidR="00695FB6" w:rsidRPr="00076651" w:rsidRDefault="00695FB6" w:rsidP="00695FB6">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6.5</w:t>
      </w:r>
    </w:p>
    <w:p w14:paraId="35763CBB" w14:textId="77777777" w:rsidR="00695FB6" w:rsidRPr="00076651" w:rsidRDefault="00695FB6" w:rsidP="00695FB6">
      <w:pPr>
        <w:pStyle w:val="SingleTxtG"/>
        <w:tabs>
          <w:tab w:val="clear" w:pos="1701"/>
        </w:tabs>
        <w:ind w:left="2268" w:hanging="1134"/>
        <w:rPr>
          <w:color w:val="231F20"/>
          <w:lang w:val="fr-FR"/>
        </w:rPr>
      </w:pPr>
      <w:r w:rsidRPr="00076651">
        <w:rPr>
          <w:lang w:val="fr-FR"/>
        </w:rPr>
        <w:t>6.5.2.1.1</w:t>
      </w:r>
      <w:r w:rsidRPr="00076651">
        <w:rPr>
          <w:lang w:val="fr-FR"/>
        </w:rPr>
        <w:tab/>
        <w:t>À l’alinéa g), remplacer « La charge appliquée lors de l’épreuve de gerbage » par « La masse de gerbage superposée lors de l’épreuve ».</w:t>
      </w:r>
    </w:p>
    <w:p w14:paraId="52961B0E"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0FA3BA9C" w14:textId="77777777" w:rsidR="00695FB6" w:rsidRPr="00076651" w:rsidRDefault="00695FB6" w:rsidP="00695FB6">
      <w:pPr>
        <w:pStyle w:val="SingleTxtG"/>
        <w:tabs>
          <w:tab w:val="clear" w:pos="1701"/>
        </w:tabs>
        <w:ind w:left="2268" w:hanging="1134"/>
        <w:rPr>
          <w:lang w:val="fr-FR"/>
        </w:rPr>
      </w:pPr>
      <w:r w:rsidRPr="00076651">
        <w:rPr>
          <w:lang w:val="fr-FR"/>
        </w:rPr>
        <w:lastRenderedPageBreak/>
        <w:t>6.5.2.1.3</w:t>
      </w:r>
      <w:r w:rsidRPr="00076651">
        <w:rPr>
          <w:lang w:val="fr-FR"/>
        </w:rPr>
        <w:tab/>
        <w:t>Dans le premier exemple, remplacer « La charge utilisée pour l’épreuve de gerbage » par « La masse de gerbage superposée lors de l’épreuve ».</w:t>
      </w:r>
    </w:p>
    <w:p w14:paraId="632C0AD2"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3F80976D" w14:textId="77777777" w:rsidR="00695FB6" w:rsidRPr="00076651" w:rsidRDefault="00695FB6" w:rsidP="00BC0E36">
      <w:pPr>
        <w:pStyle w:val="SingleTxtG"/>
        <w:tabs>
          <w:tab w:val="clear" w:pos="1701"/>
        </w:tabs>
        <w:ind w:left="2268" w:hanging="1134"/>
        <w:rPr>
          <w:lang w:val="fr-FR"/>
        </w:rPr>
      </w:pPr>
      <w:r w:rsidRPr="00076651">
        <w:rPr>
          <w:lang w:val="fr-FR"/>
        </w:rPr>
        <w:t>6.5.2.2.2</w:t>
      </w:r>
      <w:r w:rsidRPr="00076651">
        <w:rPr>
          <w:lang w:val="fr-FR"/>
        </w:rPr>
        <w:tab/>
        <w:t>Remplacer « La charge de gerbage » par « La masse de gerbage superposée ».</w:t>
      </w:r>
    </w:p>
    <w:p w14:paraId="0CBD7576"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3DBBC104" w14:textId="77777777" w:rsidR="00695FB6" w:rsidRPr="00076651" w:rsidRDefault="00695FB6" w:rsidP="00BC0E36">
      <w:pPr>
        <w:pStyle w:val="SingleTxtG"/>
        <w:rPr>
          <w:lang w:val="fr-FR"/>
        </w:rPr>
      </w:pPr>
      <w:r w:rsidRPr="00076651">
        <w:rPr>
          <w:lang w:val="fr-FR"/>
        </w:rPr>
        <w:t>6.5.5.4.16</w:t>
      </w:r>
      <w:r w:rsidRPr="00076651">
        <w:rPr>
          <w:lang w:val="fr-FR"/>
        </w:rPr>
        <w:tab/>
        <w:t>Dans la deuxième phrase, remplacer « ISO 535:2014 » par « ISO 535:2023 ».</w:t>
      </w:r>
    </w:p>
    <w:p w14:paraId="1100F8F1"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021FA87E" w14:textId="77777777" w:rsidR="00695FB6" w:rsidRPr="00076651" w:rsidRDefault="00695FB6" w:rsidP="00BC0E36">
      <w:pPr>
        <w:pStyle w:val="SingleTxtG"/>
        <w:rPr>
          <w:lang w:val="fr-FR"/>
        </w:rPr>
      </w:pPr>
      <w:r w:rsidRPr="00076651">
        <w:rPr>
          <w:lang w:val="fr-FR"/>
        </w:rPr>
        <w:t>6.5.5.5.3</w:t>
      </w:r>
      <w:r w:rsidRPr="00076651">
        <w:rPr>
          <w:lang w:val="fr-FR"/>
        </w:rPr>
        <w:tab/>
        <w:t>Dans la deuxième phrase, remplacer « ISO 535:2014 » par « ISO 535:2023 ».</w:t>
      </w:r>
    </w:p>
    <w:p w14:paraId="438C35D4"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07347611" w14:textId="77777777" w:rsidR="00695FB6" w:rsidRPr="00076651" w:rsidRDefault="00695FB6" w:rsidP="00BC0E36">
      <w:pPr>
        <w:pStyle w:val="SingleTxtG"/>
        <w:tabs>
          <w:tab w:val="clear" w:pos="1701"/>
        </w:tabs>
        <w:ind w:left="2268" w:hanging="1134"/>
        <w:rPr>
          <w:lang w:val="fr-FR"/>
        </w:rPr>
      </w:pPr>
      <w:r w:rsidRPr="00076651">
        <w:rPr>
          <w:lang w:val="fr-FR"/>
        </w:rPr>
        <w:t>6.5.6.6.4</w:t>
      </w:r>
      <w:r w:rsidRPr="00076651">
        <w:rPr>
          <w:lang w:val="fr-FR"/>
        </w:rPr>
        <w:tab/>
        <w:t xml:space="preserve">Dans le paragraphe sous le titre, remplacer « La charge qui doit être appliquée au GRV » par « La masse appliquée sur la surface du GRV pour créer la charge d’épreuve superposée ». </w:t>
      </w:r>
    </w:p>
    <w:p w14:paraId="71C4335C"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207DBFA9" w14:textId="77777777" w:rsidR="00695FB6" w:rsidRPr="00076651" w:rsidRDefault="00695FB6" w:rsidP="00BC0E36">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6.6</w:t>
      </w:r>
    </w:p>
    <w:p w14:paraId="132E8094" w14:textId="77777777" w:rsidR="00695FB6" w:rsidRPr="00076651" w:rsidRDefault="00695FB6" w:rsidP="00695FB6">
      <w:pPr>
        <w:pStyle w:val="SingleTxtG"/>
        <w:tabs>
          <w:tab w:val="clear" w:pos="1701"/>
        </w:tabs>
        <w:ind w:left="2268" w:hanging="1134"/>
        <w:rPr>
          <w:color w:val="231F20"/>
          <w:lang w:val="fr-FR"/>
        </w:rPr>
      </w:pPr>
      <w:r w:rsidRPr="00076651">
        <w:rPr>
          <w:lang w:val="fr-FR"/>
        </w:rPr>
        <w:t>6.6.3.1</w:t>
      </w:r>
      <w:r w:rsidRPr="00076651">
        <w:rPr>
          <w:lang w:val="fr-FR"/>
        </w:rPr>
        <w:tab/>
        <w:t>À l’alinéa g), remplacer « La charge appliquée lors de l’épreuve de gerbage » par « La masse de gerbage superposée lors de l’épreuve ».</w:t>
      </w:r>
    </w:p>
    <w:p w14:paraId="6F98B901"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0A9A1D23" w14:textId="77777777" w:rsidR="00695FB6" w:rsidRPr="00076651" w:rsidRDefault="00695FB6" w:rsidP="00BC0E36">
      <w:pPr>
        <w:pStyle w:val="SingleTxtG"/>
        <w:tabs>
          <w:tab w:val="clear" w:pos="1701"/>
        </w:tabs>
        <w:ind w:left="2268" w:hanging="1134"/>
        <w:rPr>
          <w:lang w:val="fr-FR"/>
        </w:rPr>
      </w:pPr>
      <w:r w:rsidRPr="00076651">
        <w:rPr>
          <w:lang w:val="fr-FR"/>
        </w:rPr>
        <w:t>6.6.3.2</w:t>
      </w:r>
      <w:r w:rsidRPr="00076651">
        <w:rPr>
          <w:lang w:val="fr-FR"/>
        </w:rPr>
        <w:tab/>
        <w:t>Dans les premier et deuxième exemples, remplacer « charge de gerbage » par « masse de gerbage superposée lors de l’épreuve ».</w:t>
      </w:r>
    </w:p>
    <w:p w14:paraId="60E4F490"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56176DAE" w14:textId="77777777" w:rsidR="00695FB6" w:rsidRPr="00076651" w:rsidRDefault="00695FB6" w:rsidP="00BC0E36">
      <w:pPr>
        <w:pStyle w:val="SingleTxtG"/>
        <w:tabs>
          <w:tab w:val="clear" w:pos="1701"/>
        </w:tabs>
        <w:ind w:left="2268" w:hanging="1134"/>
        <w:rPr>
          <w:lang w:val="fr-FR"/>
        </w:rPr>
      </w:pPr>
      <w:r w:rsidRPr="00076651">
        <w:rPr>
          <w:lang w:val="fr-FR"/>
        </w:rPr>
        <w:t>6.6.3.3</w:t>
      </w:r>
      <w:r w:rsidRPr="00076651">
        <w:rPr>
          <w:lang w:val="fr-FR"/>
        </w:rPr>
        <w:tab/>
        <w:t>Au début, remplacer « </w:t>
      </w:r>
      <w:r w:rsidRPr="00076651">
        <w:rPr>
          <w:rFonts w:ascii="TimesNewRomanPSMT" w:hAnsi="TimesNewRomanPSMT" w:cs="TimesNewRomanPSMT"/>
          <w:lang w:val="fr-FR"/>
        </w:rPr>
        <w:t>La charge de gerbage » par « La masse de gerbage superposée ».</w:t>
      </w:r>
    </w:p>
    <w:p w14:paraId="43F699F4"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79B98A4D" w14:textId="77777777" w:rsidR="00695FB6" w:rsidRPr="00076651" w:rsidRDefault="00695FB6" w:rsidP="00BC0E36">
      <w:pPr>
        <w:pStyle w:val="SingleTxtG"/>
        <w:rPr>
          <w:rStyle w:val="ui-provider"/>
          <w:rFonts w:eastAsiaTheme="minorHAnsi"/>
          <w:i/>
          <w:iCs/>
          <w:lang w:val="fr-FR"/>
        </w:rPr>
      </w:pPr>
      <w:r w:rsidRPr="00076651">
        <w:rPr>
          <w:lang w:val="fr-FR"/>
        </w:rPr>
        <w:t xml:space="preserve">6.6.4.4.1 </w:t>
      </w:r>
      <w:r w:rsidRPr="00076651">
        <w:rPr>
          <w:lang w:val="fr-FR"/>
        </w:rPr>
        <w:tab/>
        <w:t>Remplacer « ISO 535 :2014 » par « ISO 535 :2023 ».</w:t>
      </w:r>
      <w:r w:rsidRPr="00076651">
        <w:rPr>
          <w:rStyle w:val="ui-provider"/>
          <w:rFonts w:eastAsiaTheme="minorHAnsi"/>
          <w:i/>
          <w:iCs/>
          <w:lang w:val="fr-FR"/>
        </w:rPr>
        <w:t xml:space="preserve"> </w:t>
      </w:r>
    </w:p>
    <w:p w14:paraId="52E2253F"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22188F8A" w14:textId="77777777" w:rsidR="00B219F2" w:rsidRPr="00076651" w:rsidRDefault="00B219F2" w:rsidP="00B219F2">
      <w:pPr>
        <w:tabs>
          <w:tab w:val="left" w:pos="1701"/>
          <w:tab w:val="left" w:pos="2268"/>
          <w:tab w:val="left" w:pos="2835"/>
        </w:tabs>
        <w:spacing w:before="120" w:after="120"/>
        <w:ind w:left="2268" w:right="1134" w:hanging="1134"/>
        <w:jc w:val="both"/>
        <w:rPr>
          <w:rFonts w:eastAsiaTheme="minorHAnsi"/>
          <w:lang w:val="fr-FR" w:eastAsia="en-US"/>
        </w:rPr>
      </w:pPr>
      <w:r w:rsidRPr="00076651">
        <w:rPr>
          <w:lang w:val="fr-FR"/>
        </w:rPr>
        <w:t>6.6.5.1.3</w:t>
      </w:r>
      <w:r w:rsidRPr="00076651">
        <w:rPr>
          <w:rFonts w:eastAsiaTheme="minorHAnsi"/>
          <w:lang w:val="fr-FR" w:eastAsia="en-US"/>
        </w:rPr>
        <w:tab/>
        <w:t>Dans la première phrase, après « Les épreuves » ajouter « appropriées ».</w:t>
      </w:r>
    </w:p>
    <w:p w14:paraId="4ECE4CA2"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193D20CA" w14:textId="77777777" w:rsidR="00695FB6" w:rsidRPr="00076651" w:rsidRDefault="00695FB6" w:rsidP="00BC0E36">
      <w:pPr>
        <w:pStyle w:val="SingleTxtG"/>
        <w:tabs>
          <w:tab w:val="clear" w:pos="1701"/>
        </w:tabs>
        <w:ind w:left="2268" w:hanging="1134"/>
        <w:rPr>
          <w:lang w:val="fr-FR"/>
        </w:rPr>
      </w:pPr>
      <w:r w:rsidRPr="00076651">
        <w:rPr>
          <w:lang w:val="fr-FR"/>
        </w:rPr>
        <w:t>6.6.5.3.3.4</w:t>
      </w:r>
      <w:r w:rsidRPr="00076651">
        <w:rPr>
          <w:lang w:val="fr-FR"/>
        </w:rPr>
        <w:tab/>
        <w:t xml:space="preserve">Dans le paragraphe sous le titre, remplacer « La charge posée sur le grand emballage » par « La masse appliquée sur la surface du grand emballage pour créer la charge d’épreuve superposée ». </w:t>
      </w:r>
    </w:p>
    <w:p w14:paraId="4CE27324"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2E4609EE" w14:textId="77777777" w:rsidR="00695FB6" w:rsidRPr="00076651" w:rsidRDefault="00695FB6" w:rsidP="00BC0E36">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6.7</w:t>
      </w:r>
    </w:p>
    <w:p w14:paraId="4FF7AF99" w14:textId="77777777" w:rsidR="00695FB6" w:rsidRPr="00076651" w:rsidRDefault="00695FB6" w:rsidP="00695FB6">
      <w:pPr>
        <w:pStyle w:val="SingleTxtG"/>
        <w:tabs>
          <w:tab w:val="clear" w:pos="1701"/>
        </w:tabs>
        <w:ind w:left="2268" w:hanging="1134"/>
        <w:rPr>
          <w:lang w:val="fr-FR"/>
        </w:rPr>
      </w:pPr>
      <w:r w:rsidRPr="00076651">
        <w:rPr>
          <w:lang w:val="fr-FR"/>
        </w:rPr>
        <w:t>6.7.2.1</w:t>
      </w:r>
      <w:r w:rsidRPr="00076651">
        <w:rPr>
          <w:lang w:val="fr-FR"/>
        </w:rPr>
        <w:tab/>
        <w:t>À la fin de la définition de « </w:t>
      </w:r>
      <w:r w:rsidRPr="00076651">
        <w:rPr>
          <w:i/>
          <w:iCs/>
          <w:lang w:val="fr-FR"/>
        </w:rPr>
        <w:t>Citerne mobile</w:t>
      </w:r>
      <w:r w:rsidRPr="00076651">
        <w:rPr>
          <w:lang w:val="fr-FR"/>
        </w:rPr>
        <w:t> », supprimer « , les citernes non métalliques ».</w:t>
      </w:r>
    </w:p>
    <w:p w14:paraId="18681497"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001A92D6" w14:textId="77777777" w:rsidR="00695FB6" w:rsidRPr="00076651" w:rsidRDefault="00695FB6" w:rsidP="00BC0E36">
      <w:pPr>
        <w:pStyle w:val="SingleTxtG"/>
        <w:tabs>
          <w:tab w:val="clear" w:pos="1701"/>
        </w:tabs>
        <w:ind w:left="2268" w:hanging="1134"/>
        <w:rPr>
          <w:lang w:val="fr-FR"/>
        </w:rPr>
      </w:pPr>
      <w:r w:rsidRPr="00076651">
        <w:rPr>
          <w:lang w:val="fr-FR"/>
        </w:rPr>
        <w:t>[6.7.2.5.11</w:t>
      </w:r>
      <w:r w:rsidRPr="00076651">
        <w:rPr>
          <w:lang w:val="fr-FR"/>
        </w:rPr>
        <w:tab/>
        <w:t>Après « ductiles » ajouter « ou du plastique renforcé de fibres (PRF) conforme aux prescriptions énoncées à la section 6.9.3 ».]</w:t>
      </w:r>
    </w:p>
    <w:p w14:paraId="12E8279F"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4700B76A" w14:textId="77777777" w:rsidR="00822589" w:rsidRPr="00076651" w:rsidRDefault="00822589" w:rsidP="00CD13D9">
      <w:pPr>
        <w:pStyle w:val="SingleTxtG"/>
        <w:keepNext/>
        <w:ind w:left="2268" w:hanging="1134"/>
        <w:rPr>
          <w:rFonts w:eastAsiaTheme="minorHAnsi"/>
          <w:lang w:val="fr-FR" w:eastAsia="en-US"/>
        </w:rPr>
      </w:pPr>
      <w:r w:rsidRPr="00076651">
        <w:rPr>
          <w:rFonts w:eastAsiaTheme="minorHAnsi"/>
          <w:lang w:val="fr-FR" w:eastAsia="en-US"/>
        </w:rPr>
        <w:lastRenderedPageBreak/>
        <w:t>6.7.2.17.5</w:t>
      </w:r>
      <w:r w:rsidRPr="00076651">
        <w:rPr>
          <w:rFonts w:eastAsiaTheme="minorHAnsi"/>
          <w:lang w:val="fr-FR" w:eastAsia="en-US"/>
        </w:rPr>
        <w:tab/>
        <w:t>À l’alinéa d), remplacer « </w:t>
      </w:r>
      <w:r w:rsidRPr="00076651">
        <w:rPr>
          <w:lang w:val="fr-FR"/>
        </w:rPr>
        <w:t xml:space="preserve">ISO 1496-3:1995. » par « ISO 1496-3:2019. </w:t>
      </w:r>
      <w:r w:rsidRPr="00076651">
        <w:rPr>
          <w:rFonts w:eastAsiaTheme="minorHAnsi"/>
          <w:lang w:val="fr-FR" w:eastAsia="en-US"/>
        </w:rPr>
        <w:t>Les modèles types conformes à la norme ISO 1496-3:1995 agréés avant le 1</w:t>
      </w:r>
      <w:r w:rsidRPr="00076651">
        <w:rPr>
          <w:rFonts w:eastAsiaTheme="minorHAnsi"/>
          <w:vertAlign w:val="superscript"/>
          <w:lang w:val="fr-FR" w:eastAsia="en-US"/>
        </w:rPr>
        <w:t>er</w:t>
      </w:r>
      <w:r w:rsidRPr="00076651">
        <w:rPr>
          <w:rFonts w:eastAsiaTheme="minorHAnsi"/>
          <w:lang w:val="fr-FR" w:eastAsia="en-US"/>
        </w:rPr>
        <w:t xml:space="preserve"> janvier 2030 peuvent encore être utilisés. ».</w:t>
      </w:r>
    </w:p>
    <w:p w14:paraId="540AB5DD"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0B16E0BC" w14:textId="77777777" w:rsidR="00822589" w:rsidRPr="00076651" w:rsidRDefault="00822589" w:rsidP="00822589">
      <w:pPr>
        <w:pStyle w:val="SingleTxtG"/>
        <w:ind w:left="2268" w:hanging="1134"/>
        <w:rPr>
          <w:rFonts w:eastAsiaTheme="minorHAnsi"/>
          <w:lang w:val="fr-FR" w:eastAsia="en-US"/>
        </w:rPr>
      </w:pPr>
      <w:r w:rsidRPr="00076651">
        <w:rPr>
          <w:rFonts w:eastAsiaTheme="minorHAnsi"/>
          <w:lang w:val="fr-FR" w:eastAsia="en-US"/>
        </w:rPr>
        <w:t>6.7.2.18.2</w:t>
      </w:r>
      <w:r w:rsidRPr="00076651">
        <w:rPr>
          <w:rFonts w:eastAsiaTheme="minorHAnsi"/>
          <w:lang w:val="fr-FR" w:eastAsia="en-US"/>
        </w:rPr>
        <w:tab/>
        <w:t>À l’alinéa a), remplacer « </w:t>
      </w:r>
      <w:r w:rsidRPr="00076651">
        <w:rPr>
          <w:lang w:val="fr-FR"/>
        </w:rPr>
        <w:t xml:space="preserve">ISO 1496-3:1995 ; » par « ISO 1496-3:2019. </w:t>
      </w:r>
      <w:r w:rsidRPr="00076651">
        <w:rPr>
          <w:rFonts w:eastAsiaTheme="minorHAnsi"/>
          <w:lang w:val="fr-FR" w:eastAsia="en-US"/>
        </w:rPr>
        <w:t>Les essais spécifiés dans la norme ISO 1496-3:1995 peuvent encore être utilisés jusqu'au 31 décembre 2029 ; ».</w:t>
      </w:r>
    </w:p>
    <w:p w14:paraId="238B2E2B"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1E16DBBF" w14:textId="77777777" w:rsidR="00FA7700" w:rsidRPr="00076651" w:rsidRDefault="00FA7700" w:rsidP="00FA7700">
      <w:pPr>
        <w:pStyle w:val="SingleTxtG"/>
        <w:ind w:left="2268" w:hanging="1134"/>
        <w:rPr>
          <w:rFonts w:eastAsiaTheme="minorHAnsi"/>
          <w:lang w:val="fr-FR" w:eastAsia="en-US"/>
        </w:rPr>
      </w:pPr>
      <w:r w:rsidRPr="00076651">
        <w:rPr>
          <w:rFonts w:eastAsiaTheme="minorHAnsi"/>
          <w:lang w:val="fr-FR" w:eastAsia="en-US"/>
        </w:rPr>
        <w:t>6.7.3.13.5</w:t>
      </w:r>
      <w:r w:rsidRPr="00076651">
        <w:rPr>
          <w:rFonts w:eastAsiaTheme="minorHAnsi"/>
          <w:lang w:val="fr-FR" w:eastAsia="en-US"/>
        </w:rPr>
        <w:tab/>
        <w:t>À l’alinéa d), remplacer « </w:t>
      </w:r>
      <w:r w:rsidRPr="00076651">
        <w:rPr>
          <w:lang w:val="fr-FR"/>
        </w:rPr>
        <w:t xml:space="preserve">ISO 1496-3:1995. » par « ISO 1496-3:2019. </w:t>
      </w:r>
      <w:r w:rsidRPr="00076651">
        <w:rPr>
          <w:rFonts w:eastAsiaTheme="minorHAnsi"/>
          <w:lang w:val="fr-FR" w:eastAsia="en-US"/>
        </w:rPr>
        <w:t>Les modèles types conformes à la norme ISO 1496-3:1995 agréés avant le 1</w:t>
      </w:r>
      <w:r w:rsidRPr="00076651">
        <w:rPr>
          <w:rFonts w:eastAsiaTheme="minorHAnsi"/>
          <w:vertAlign w:val="superscript"/>
          <w:lang w:val="fr-FR" w:eastAsia="en-US"/>
        </w:rPr>
        <w:t>er</w:t>
      </w:r>
      <w:r w:rsidRPr="00076651">
        <w:rPr>
          <w:rFonts w:eastAsiaTheme="minorHAnsi"/>
          <w:lang w:val="fr-FR" w:eastAsia="en-US"/>
        </w:rPr>
        <w:t xml:space="preserve"> janvier 2030 peuvent encore être utilisés. ».</w:t>
      </w:r>
    </w:p>
    <w:p w14:paraId="2AE63F6A"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01B2994E" w14:textId="77777777" w:rsidR="00FA7700" w:rsidRPr="00076651" w:rsidRDefault="00FA7700" w:rsidP="00EE67D8">
      <w:pPr>
        <w:pStyle w:val="SingleTxtG"/>
        <w:ind w:left="2268" w:hanging="1134"/>
        <w:rPr>
          <w:rFonts w:eastAsiaTheme="minorHAnsi"/>
          <w:lang w:val="fr-FR" w:eastAsia="en-US"/>
        </w:rPr>
      </w:pPr>
      <w:r w:rsidRPr="00076651">
        <w:rPr>
          <w:rFonts w:eastAsiaTheme="minorHAnsi"/>
          <w:lang w:val="fr-FR" w:eastAsia="en-US"/>
        </w:rPr>
        <w:t>6.7.3.14.2</w:t>
      </w:r>
      <w:r w:rsidRPr="00076651">
        <w:rPr>
          <w:rFonts w:eastAsiaTheme="minorHAnsi"/>
          <w:lang w:val="fr-FR" w:eastAsia="en-US"/>
        </w:rPr>
        <w:tab/>
        <w:t>À l’alinéa a), remplacer « </w:t>
      </w:r>
      <w:r w:rsidRPr="00076651">
        <w:rPr>
          <w:lang w:val="fr-FR"/>
        </w:rPr>
        <w:t xml:space="preserve">ISO 1496-3:1995 ; » par « ISO 1496-3:2019. </w:t>
      </w:r>
      <w:r w:rsidRPr="00076651">
        <w:rPr>
          <w:rFonts w:eastAsiaTheme="minorHAnsi"/>
          <w:lang w:val="fr-FR" w:eastAsia="en-US"/>
        </w:rPr>
        <w:t>Les essais spécifiés dans la norme ISO 1496-3:1995 peuvent encore être utilisés jusqu'au 31 décembre 2029 ; ».</w:t>
      </w:r>
    </w:p>
    <w:p w14:paraId="1CF71491"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66FAAB7B" w14:textId="77777777" w:rsidR="00FA7700" w:rsidRPr="00076651" w:rsidRDefault="00FA7700" w:rsidP="00EE67D8">
      <w:pPr>
        <w:pStyle w:val="SingleTxtG"/>
        <w:ind w:left="2268" w:hanging="1134"/>
        <w:rPr>
          <w:rFonts w:eastAsiaTheme="minorHAnsi"/>
          <w:lang w:val="fr-FR" w:eastAsia="en-US"/>
        </w:rPr>
      </w:pPr>
      <w:r w:rsidRPr="00076651">
        <w:rPr>
          <w:rFonts w:eastAsiaTheme="minorHAnsi"/>
          <w:lang w:val="fr-FR" w:eastAsia="en-US"/>
        </w:rPr>
        <w:t>6.7.4.12.5</w:t>
      </w:r>
      <w:r w:rsidRPr="00076651">
        <w:rPr>
          <w:rFonts w:eastAsiaTheme="minorHAnsi"/>
          <w:lang w:val="fr-FR" w:eastAsia="en-US"/>
        </w:rPr>
        <w:tab/>
        <w:t>À l’alinéa d), remplacer « </w:t>
      </w:r>
      <w:r w:rsidRPr="00076651">
        <w:rPr>
          <w:lang w:val="fr-FR"/>
        </w:rPr>
        <w:t xml:space="preserve">ISO 1496-3:1995. » par « ISO 1496-3:2019. </w:t>
      </w:r>
      <w:r w:rsidRPr="00076651">
        <w:rPr>
          <w:rFonts w:eastAsiaTheme="minorHAnsi"/>
          <w:lang w:val="fr-FR" w:eastAsia="en-US"/>
        </w:rPr>
        <w:t>Les modèles types conformes à la norme ISO 1496-3:1995 agréés avant le 1</w:t>
      </w:r>
      <w:r w:rsidRPr="00076651">
        <w:rPr>
          <w:rFonts w:eastAsiaTheme="minorHAnsi"/>
          <w:vertAlign w:val="superscript"/>
          <w:lang w:val="fr-FR" w:eastAsia="en-US"/>
        </w:rPr>
        <w:t>er</w:t>
      </w:r>
      <w:r w:rsidRPr="00076651">
        <w:rPr>
          <w:rFonts w:eastAsiaTheme="minorHAnsi"/>
          <w:lang w:val="fr-FR" w:eastAsia="en-US"/>
        </w:rPr>
        <w:t xml:space="preserve"> janvier 2030 peuvent encore être utilisés. ».</w:t>
      </w:r>
    </w:p>
    <w:p w14:paraId="0C836680"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1A9C2D16" w14:textId="77777777" w:rsidR="00FA7700" w:rsidRPr="00076651" w:rsidRDefault="00FA7700" w:rsidP="00EE67D8">
      <w:pPr>
        <w:pStyle w:val="SingleTxtG"/>
        <w:ind w:left="2268" w:hanging="1134"/>
        <w:rPr>
          <w:rFonts w:eastAsiaTheme="minorHAnsi"/>
          <w:lang w:val="fr-FR" w:eastAsia="en-US"/>
        </w:rPr>
      </w:pPr>
      <w:r w:rsidRPr="00076651">
        <w:rPr>
          <w:rFonts w:eastAsiaTheme="minorHAnsi"/>
          <w:lang w:val="fr-FR" w:eastAsia="en-US"/>
        </w:rPr>
        <w:t>6.7.4.13.2</w:t>
      </w:r>
      <w:r w:rsidRPr="00076651">
        <w:rPr>
          <w:rFonts w:eastAsiaTheme="minorHAnsi"/>
          <w:lang w:val="fr-FR" w:eastAsia="en-US"/>
        </w:rPr>
        <w:tab/>
        <w:t>À l’alinéa a), remplacer « </w:t>
      </w:r>
      <w:r w:rsidRPr="00076651">
        <w:rPr>
          <w:lang w:val="fr-FR"/>
        </w:rPr>
        <w:t xml:space="preserve">ISO 1496-3:1995 ; » par « ISO 1496-3:2019. </w:t>
      </w:r>
      <w:r w:rsidRPr="00076651">
        <w:rPr>
          <w:rFonts w:eastAsiaTheme="minorHAnsi"/>
          <w:lang w:val="fr-FR" w:eastAsia="en-US"/>
        </w:rPr>
        <w:t>Les essais spécifiés dans la norme ISO 1496-3:1995 peuvent encore être utilisés jusqu'au 31 décembre 2029 ; ».</w:t>
      </w:r>
    </w:p>
    <w:p w14:paraId="4C9EF466"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4242D1BD" w14:textId="319A97B2" w:rsidR="00695FB6" w:rsidRPr="00076651" w:rsidRDefault="00695FB6" w:rsidP="00EE67D8">
      <w:pPr>
        <w:pStyle w:val="SingleTxtG"/>
        <w:rPr>
          <w:i/>
          <w:iCs/>
          <w:lang w:val="fr-FR"/>
        </w:rPr>
      </w:pPr>
      <w:r w:rsidRPr="00076651">
        <w:rPr>
          <w:lang w:val="fr-FR"/>
        </w:rPr>
        <w:t>6.7.5.2.4 </w:t>
      </w:r>
      <w:r w:rsidRPr="00076651">
        <w:rPr>
          <w:lang w:val="fr-FR"/>
        </w:rPr>
        <w:tab/>
        <w:t xml:space="preserve">À l’alinéa a), après « ISO 11114-1:2020 » ajouter « + </w:t>
      </w:r>
      <w:proofErr w:type="spellStart"/>
      <w:r w:rsidRPr="00076651">
        <w:rPr>
          <w:lang w:val="fr-FR"/>
        </w:rPr>
        <w:t>Amd</w:t>
      </w:r>
      <w:proofErr w:type="spellEnd"/>
      <w:r w:rsidRPr="00076651">
        <w:rPr>
          <w:lang w:val="fr-FR"/>
        </w:rPr>
        <w:t xml:space="preserve"> 1:2023 ».</w:t>
      </w:r>
      <w:r w:rsidRPr="00076651">
        <w:rPr>
          <w:i/>
          <w:iCs/>
          <w:lang w:val="fr-FR"/>
        </w:rPr>
        <w:t xml:space="preserve"> </w:t>
      </w:r>
    </w:p>
    <w:p w14:paraId="7C98635B"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27B59A7C" w14:textId="77777777" w:rsidR="00C13CC3" w:rsidRPr="00076651" w:rsidRDefault="00C13CC3" w:rsidP="00C13CC3">
      <w:pPr>
        <w:pStyle w:val="SingleTxtG"/>
        <w:ind w:left="2268" w:hanging="1134"/>
        <w:rPr>
          <w:rFonts w:eastAsiaTheme="minorHAnsi"/>
          <w:lang w:val="fr-FR" w:eastAsia="en-US"/>
        </w:rPr>
      </w:pPr>
      <w:r w:rsidRPr="00076651">
        <w:rPr>
          <w:rFonts w:eastAsiaTheme="minorHAnsi"/>
          <w:lang w:val="fr-FR" w:eastAsia="en-US"/>
        </w:rPr>
        <w:t>6.7.5.10.4</w:t>
      </w:r>
      <w:r w:rsidRPr="00076651">
        <w:rPr>
          <w:rFonts w:eastAsiaTheme="minorHAnsi"/>
          <w:lang w:val="fr-FR" w:eastAsia="en-US"/>
        </w:rPr>
        <w:tab/>
        <w:t>À l’alinéa d), remplacer « </w:t>
      </w:r>
      <w:r w:rsidRPr="00076651">
        <w:rPr>
          <w:lang w:val="fr-FR"/>
        </w:rPr>
        <w:t xml:space="preserve">ISO 1496-3:1995. » par « ISO 1496-3:2019. </w:t>
      </w:r>
      <w:r w:rsidRPr="00076651">
        <w:rPr>
          <w:rFonts w:eastAsiaTheme="minorHAnsi"/>
          <w:lang w:val="fr-FR" w:eastAsia="en-US"/>
        </w:rPr>
        <w:t>Les modèles types conformes à la norme ISO 1496-3:1995 agréés avant le 1</w:t>
      </w:r>
      <w:r w:rsidRPr="00076651">
        <w:rPr>
          <w:rFonts w:eastAsiaTheme="minorHAnsi"/>
          <w:vertAlign w:val="superscript"/>
          <w:lang w:val="fr-FR" w:eastAsia="en-US"/>
        </w:rPr>
        <w:t>er</w:t>
      </w:r>
      <w:r w:rsidRPr="00076651">
        <w:rPr>
          <w:rFonts w:eastAsiaTheme="minorHAnsi"/>
          <w:lang w:val="fr-FR" w:eastAsia="en-US"/>
        </w:rPr>
        <w:t xml:space="preserve"> janvier 2030 peuvent encore être utilisés. ».</w:t>
      </w:r>
    </w:p>
    <w:p w14:paraId="3D134AE2"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4438ED07" w14:textId="77777777" w:rsidR="00C13CC3" w:rsidRPr="00076651" w:rsidRDefault="00C13CC3" w:rsidP="00EE67D8">
      <w:pPr>
        <w:pStyle w:val="SingleTxtG"/>
        <w:ind w:left="2268" w:hanging="1134"/>
        <w:rPr>
          <w:rFonts w:eastAsiaTheme="minorHAnsi"/>
          <w:lang w:val="fr-FR" w:eastAsia="en-US"/>
        </w:rPr>
      </w:pPr>
      <w:r w:rsidRPr="00076651">
        <w:rPr>
          <w:rFonts w:eastAsiaTheme="minorHAnsi"/>
          <w:lang w:val="fr-FR" w:eastAsia="en-US"/>
        </w:rPr>
        <w:t>6.7.5.11.2</w:t>
      </w:r>
      <w:r w:rsidRPr="00076651">
        <w:rPr>
          <w:rFonts w:eastAsiaTheme="minorHAnsi"/>
          <w:lang w:val="fr-FR" w:eastAsia="en-US"/>
        </w:rPr>
        <w:tab/>
        <w:t>À l’alinéa a), remplacer « </w:t>
      </w:r>
      <w:r w:rsidRPr="00076651">
        <w:rPr>
          <w:lang w:val="fr-FR"/>
        </w:rPr>
        <w:t xml:space="preserve">ISO 1496-3:1995 ; » par « ISO 1496-3:2019. </w:t>
      </w:r>
      <w:r w:rsidRPr="00076651">
        <w:rPr>
          <w:rFonts w:eastAsiaTheme="minorHAnsi"/>
          <w:lang w:val="fr-FR" w:eastAsia="en-US"/>
        </w:rPr>
        <w:t>Les essais spécifiés dans la norme ISO 1496-3:1995 peuvent encore être utilisés jusqu'au 31 décembre 2029 ; ».</w:t>
      </w:r>
    </w:p>
    <w:p w14:paraId="3DCE0675"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5F879B69" w14:textId="77777777" w:rsidR="00695FB6" w:rsidRPr="00076651" w:rsidRDefault="00695FB6" w:rsidP="00EE67D8">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6.8</w:t>
      </w:r>
    </w:p>
    <w:p w14:paraId="7897A896" w14:textId="77777777" w:rsidR="00B47C46" w:rsidRPr="00076651" w:rsidRDefault="00B47C46" w:rsidP="00B47C46">
      <w:pPr>
        <w:pStyle w:val="SingleTxtG"/>
        <w:ind w:left="2268" w:hanging="1134"/>
        <w:rPr>
          <w:rFonts w:eastAsiaTheme="minorHAnsi"/>
          <w:lang w:val="fr-FR" w:eastAsia="en-US"/>
        </w:rPr>
      </w:pPr>
      <w:r w:rsidRPr="00076651">
        <w:rPr>
          <w:rFonts w:eastAsiaTheme="minorHAnsi"/>
          <w:lang w:val="fr-FR" w:eastAsia="en-US"/>
        </w:rPr>
        <w:t>6.8.3.1.1</w:t>
      </w:r>
      <w:r w:rsidRPr="00076651">
        <w:rPr>
          <w:rFonts w:eastAsiaTheme="minorHAnsi"/>
          <w:lang w:val="fr-FR" w:eastAsia="en-US"/>
        </w:rPr>
        <w:tab/>
        <w:t>Remplacer « </w:t>
      </w:r>
      <w:r w:rsidRPr="00076651">
        <w:rPr>
          <w:lang w:val="fr-FR"/>
        </w:rPr>
        <w:t>ISO 1496</w:t>
      </w:r>
      <w:r w:rsidRPr="00076651">
        <w:rPr>
          <w:lang w:val="fr-FR"/>
        </w:rPr>
        <w:noBreakHyphen/>
        <w:t>4:1991 » par « ISO 1496</w:t>
      </w:r>
      <w:r w:rsidRPr="00076651">
        <w:rPr>
          <w:lang w:val="fr-FR"/>
        </w:rPr>
        <w:noBreakHyphen/>
        <w:t>4:2023</w:t>
      </w:r>
      <w:r w:rsidRPr="00076651">
        <w:rPr>
          <w:rFonts w:eastAsiaTheme="minorHAnsi"/>
          <w:lang w:val="fr-FR" w:eastAsia="en-US"/>
        </w:rPr>
        <w:t> ». Ajouter la nouvelle phrase suivante à la fin : « Les types de conteneurs pour vrac conformes à la norme ISO 1496-4:1991 peuvent encore être utilisés jusqu'au 31 décembre 2034. ».</w:t>
      </w:r>
    </w:p>
    <w:p w14:paraId="11D6C942"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39C5F276" w14:textId="77777777" w:rsidR="00B47C46" w:rsidRPr="00076651" w:rsidRDefault="00B47C46" w:rsidP="00EE67D8">
      <w:pPr>
        <w:pStyle w:val="SingleTxtG"/>
        <w:ind w:left="2268" w:hanging="1134"/>
        <w:rPr>
          <w:rFonts w:eastAsiaTheme="minorHAnsi"/>
          <w:lang w:val="fr-FR" w:eastAsia="en-US"/>
        </w:rPr>
      </w:pPr>
      <w:r w:rsidRPr="00076651">
        <w:rPr>
          <w:rFonts w:eastAsiaTheme="minorHAnsi"/>
          <w:lang w:val="fr-FR" w:eastAsia="en-US"/>
        </w:rPr>
        <w:t>6.8.3.1.2</w:t>
      </w:r>
      <w:r w:rsidRPr="00076651">
        <w:rPr>
          <w:rFonts w:eastAsiaTheme="minorHAnsi"/>
          <w:lang w:val="fr-FR" w:eastAsia="en-US"/>
        </w:rPr>
        <w:tab/>
        <w:t>Remplacer « </w:t>
      </w:r>
      <w:r w:rsidRPr="00076651">
        <w:rPr>
          <w:lang w:val="fr-FR"/>
        </w:rPr>
        <w:t>ISO 1496</w:t>
      </w:r>
      <w:r w:rsidRPr="00076651">
        <w:rPr>
          <w:lang w:val="fr-FR"/>
        </w:rPr>
        <w:noBreakHyphen/>
        <w:t>4:1991 » par « ISO 1496</w:t>
      </w:r>
      <w:r w:rsidRPr="00076651">
        <w:rPr>
          <w:lang w:val="fr-FR"/>
        </w:rPr>
        <w:noBreakHyphen/>
        <w:t>4:2023</w:t>
      </w:r>
      <w:r w:rsidRPr="00076651">
        <w:rPr>
          <w:rFonts w:eastAsiaTheme="minorHAnsi"/>
          <w:lang w:val="fr-FR" w:eastAsia="en-US"/>
        </w:rPr>
        <w:t> ». Ajouter la nouvelle phrase suivante à la fin : « Les prescriptions d'essai de la norme ISO 1496-4:1991 peuvent encore être utilisées jusqu'au 31 décembre 2034. ».</w:t>
      </w:r>
    </w:p>
    <w:p w14:paraId="47C9E166"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7061FA56" w14:textId="77777777" w:rsidR="00695FB6" w:rsidRPr="00076651" w:rsidRDefault="00695FB6" w:rsidP="00AC0E18">
      <w:pPr>
        <w:pStyle w:val="SingleTxtG"/>
        <w:keepNext/>
        <w:tabs>
          <w:tab w:val="clear" w:pos="1701"/>
        </w:tabs>
        <w:ind w:left="2268" w:hanging="1134"/>
        <w:rPr>
          <w:lang w:val="fr-FR" w:eastAsia="ja-JP"/>
        </w:rPr>
      </w:pPr>
      <w:r w:rsidRPr="00076651">
        <w:rPr>
          <w:spacing w:val="-4"/>
          <w:lang w:val="fr-FR" w:eastAsia="ja-JP"/>
        </w:rPr>
        <w:lastRenderedPageBreak/>
        <w:t>6.8.4.1</w:t>
      </w:r>
      <w:r w:rsidRPr="00076651">
        <w:rPr>
          <w:spacing w:val="-4"/>
          <w:lang w:val="fr-FR" w:eastAsia="ja-JP"/>
        </w:rPr>
        <w:tab/>
        <w:t>Remplacer « compartiments de charge » par « compartiments de chargement ».</w:t>
      </w:r>
    </w:p>
    <w:p w14:paraId="7613F7E5"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612745A5" w14:textId="77777777" w:rsidR="00695FB6" w:rsidRPr="00076651" w:rsidRDefault="00695FB6" w:rsidP="00BC0E36">
      <w:pPr>
        <w:pStyle w:val="SingleTxtG"/>
        <w:tabs>
          <w:tab w:val="clear" w:pos="1701"/>
        </w:tabs>
        <w:ind w:left="2268" w:hanging="1134"/>
        <w:rPr>
          <w:lang w:val="fr-FR"/>
        </w:rPr>
      </w:pPr>
      <w:r w:rsidRPr="00076651">
        <w:rPr>
          <w:lang w:val="fr-FR"/>
        </w:rPr>
        <w:t>6.8.5.5.1</w:t>
      </w:r>
      <w:r w:rsidRPr="00076651">
        <w:rPr>
          <w:lang w:val="fr-FR"/>
        </w:rPr>
        <w:tab/>
        <w:t>À l’alinéa g), remplacer « La charge appliquée lors de l’épreuve de gerbage » par « La masse de gerbage superposée lors de l’épreuve ».</w:t>
      </w:r>
    </w:p>
    <w:p w14:paraId="4791789B"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5A3C1FA7" w14:textId="77777777" w:rsidR="00A36353" w:rsidRPr="00076651" w:rsidRDefault="00A36353" w:rsidP="00BC0E36">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6.9</w:t>
      </w:r>
    </w:p>
    <w:p w14:paraId="0F2BB4DF" w14:textId="77777777" w:rsidR="00E51818" w:rsidRPr="00076651" w:rsidRDefault="00E51818" w:rsidP="00E51818">
      <w:pPr>
        <w:pStyle w:val="SingleTxtG"/>
        <w:ind w:left="2268" w:hanging="1134"/>
        <w:rPr>
          <w:lang w:val="fr-FR"/>
        </w:rPr>
      </w:pPr>
      <w:r w:rsidRPr="00076651">
        <w:rPr>
          <w:lang w:val="fr-FR"/>
        </w:rPr>
        <w:t>[6.9.1</w:t>
      </w:r>
      <w:r w:rsidRPr="00076651">
        <w:rPr>
          <w:lang w:val="fr-FR"/>
        </w:rPr>
        <w:tab/>
      </w:r>
      <w:r w:rsidRPr="00076651">
        <w:rPr>
          <w:lang w:val="fr-FR"/>
        </w:rPr>
        <w:tab/>
        <w:t xml:space="preserve">Ajouter un nouveau 6.9.1.5 libellé comme suit : </w:t>
      </w:r>
    </w:p>
    <w:p w14:paraId="1AC688EF" w14:textId="77777777" w:rsidR="00E51818" w:rsidRPr="00076651" w:rsidRDefault="00E51818" w:rsidP="00E51818">
      <w:pPr>
        <w:pStyle w:val="SingleTxtG"/>
        <w:tabs>
          <w:tab w:val="clear" w:pos="1701"/>
          <w:tab w:val="clear" w:pos="2835"/>
        </w:tabs>
        <w:rPr>
          <w:lang w:val="fr-FR"/>
        </w:rPr>
      </w:pPr>
      <w:r w:rsidRPr="00076651">
        <w:rPr>
          <w:lang w:val="fr-FR"/>
        </w:rPr>
        <w:t>« 6.9.1.5</w:t>
      </w:r>
      <w:r w:rsidRPr="00076651">
        <w:rPr>
          <w:lang w:val="fr-FR"/>
        </w:rPr>
        <w:tab/>
        <w:t>Les prescriptions de la section 6.9.3 s’appliquent aux équipements de service en PRF pour les citernes mobiles dont les réservoirs sont construits en matériaux métalliques ou en PRF destinées au transport de marchandises dangereuses des classes ou divisions 1, 3, 5.1, 6.1, 6.2, 8 et 9, par tous les modes de transport. ».]</w:t>
      </w:r>
    </w:p>
    <w:p w14:paraId="078401E9"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4F971FAF" w14:textId="562A3461" w:rsidR="00A36353" w:rsidRPr="00076651" w:rsidRDefault="00A36353" w:rsidP="00A36353">
      <w:pPr>
        <w:pStyle w:val="SingleTxtG"/>
        <w:rPr>
          <w:lang w:val="fr-FR" w:eastAsia="en-US"/>
        </w:rPr>
      </w:pPr>
      <w:r w:rsidRPr="00076651">
        <w:rPr>
          <w:lang w:val="fr-FR" w:eastAsia="en-US"/>
        </w:rPr>
        <w:t>6.9.2.1</w:t>
      </w:r>
      <w:r w:rsidRPr="00076651">
        <w:rPr>
          <w:lang w:val="fr-FR" w:eastAsia="en-US"/>
        </w:rPr>
        <w:tab/>
      </w:r>
      <w:r w:rsidRPr="00076651">
        <w:rPr>
          <w:lang w:val="fr-FR" w:eastAsia="en-US"/>
        </w:rPr>
        <w:tab/>
        <w:t xml:space="preserve">Modifier la définition de </w:t>
      </w:r>
      <w:r w:rsidRPr="00076651">
        <w:rPr>
          <w:i/>
          <w:iCs/>
          <w:lang w:val="fr-FR" w:eastAsia="en-US"/>
        </w:rPr>
        <w:t>Réservoir en PRF</w:t>
      </w:r>
      <w:r w:rsidRPr="00076651">
        <w:rPr>
          <w:lang w:val="fr-FR" w:eastAsia="en-US"/>
        </w:rPr>
        <w:t xml:space="preserve"> pour lire comme suit :</w:t>
      </w:r>
    </w:p>
    <w:p w14:paraId="73A76A7E" w14:textId="77777777" w:rsidR="00A36353" w:rsidRPr="00076651" w:rsidRDefault="00A36353" w:rsidP="00A36353">
      <w:pPr>
        <w:pStyle w:val="SingleTxtG"/>
        <w:tabs>
          <w:tab w:val="clear" w:pos="1701"/>
        </w:tabs>
        <w:rPr>
          <w:lang w:val="fr-FR" w:eastAsia="en-US"/>
        </w:rPr>
      </w:pPr>
      <w:r w:rsidRPr="00076651">
        <w:rPr>
          <w:lang w:val="fr-FR" w:eastAsia="en-US"/>
        </w:rPr>
        <w:t>« </w:t>
      </w:r>
      <w:r w:rsidRPr="00076651">
        <w:rPr>
          <w:i/>
          <w:iCs/>
          <w:lang w:val="fr-FR" w:eastAsia="en-US"/>
        </w:rPr>
        <w:t>Réservoir en PRF</w:t>
      </w:r>
      <w:r w:rsidRPr="00076651">
        <w:rPr>
          <w:lang w:val="fr-FR" w:eastAsia="en-US"/>
        </w:rPr>
        <w:t>, la partie de la citerne mobile construite à partir de PRF, qui contient la matière à transporter (la citerne proprement dite), y compris les ouvertures et leurs moyens d’obturation, mais à l’exclusion de l’équipement de service et de l’équipement de structure extérieur; ».  Les ouvertures et leurs moyens d’obturation peuvent être fabriqués à partir de matériaux métalliques ou de PRF ; »</w:t>
      </w:r>
    </w:p>
    <w:p w14:paraId="78AD4F84" w14:textId="77777777" w:rsidR="00A36353" w:rsidRPr="00076651" w:rsidRDefault="00A36353" w:rsidP="00A36353">
      <w:pPr>
        <w:pStyle w:val="SingleTxtG"/>
        <w:tabs>
          <w:tab w:val="clear" w:pos="1701"/>
        </w:tabs>
        <w:rPr>
          <w:lang w:val="fr-FR" w:eastAsia="en-US"/>
        </w:rPr>
      </w:pPr>
      <w:r w:rsidRPr="00076651">
        <w:rPr>
          <w:lang w:val="fr-FR" w:eastAsia="en-US"/>
        </w:rPr>
        <w:tab/>
        <w:t xml:space="preserve">Remplacer la définition de </w:t>
      </w:r>
      <w:r w:rsidRPr="00076651">
        <w:rPr>
          <w:rFonts w:eastAsia="Calibri"/>
          <w:i/>
          <w:iCs/>
          <w:lang w:eastAsia="en-US"/>
        </w:rPr>
        <w:t>Citerne en PRF</w:t>
      </w:r>
      <w:r w:rsidRPr="00076651">
        <w:rPr>
          <w:lang w:val="fr-FR" w:eastAsia="en-US"/>
        </w:rPr>
        <w:t xml:space="preserve"> par la définition suivante :</w:t>
      </w:r>
    </w:p>
    <w:p w14:paraId="2BD082F3" w14:textId="23E7392C" w:rsidR="00A36353" w:rsidRPr="00076651" w:rsidRDefault="00A36353" w:rsidP="00A36353">
      <w:pPr>
        <w:pStyle w:val="SingleTxtG"/>
        <w:tabs>
          <w:tab w:val="clear" w:pos="1701"/>
        </w:tabs>
        <w:rPr>
          <w:lang w:val="fr-FR" w:eastAsia="en-US"/>
        </w:rPr>
      </w:pPr>
      <w:r w:rsidRPr="00076651">
        <w:rPr>
          <w:lang w:val="fr-FR" w:eastAsia="en-US"/>
        </w:rPr>
        <w:t>« </w:t>
      </w:r>
      <w:r w:rsidRPr="00076651">
        <w:rPr>
          <w:rFonts w:eastAsia="Calibri"/>
          <w:i/>
          <w:iCs/>
          <w:lang w:eastAsia="en-US"/>
        </w:rPr>
        <w:t>Citerne mobile en PRF</w:t>
      </w:r>
      <w:r w:rsidRPr="00076651">
        <w:rPr>
          <w:rFonts w:eastAsia="Calibri"/>
          <w:lang w:eastAsia="en-US"/>
        </w:rPr>
        <w:t xml:space="preserve">, </w:t>
      </w:r>
      <w:r w:rsidR="001664E9" w:rsidRPr="00076651">
        <w:rPr>
          <w:rFonts w:eastAsia="Calibri"/>
          <w:lang w:val="fr-FR" w:eastAsia="en-US"/>
        </w:rPr>
        <w:t>une citerne mobile, telle que définie au 6.7.2.1, avec un réservoir en PRF ;</w:t>
      </w:r>
      <w:r w:rsidRPr="00076651">
        <w:rPr>
          <w:rFonts w:eastAsia="Calibri"/>
          <w:lang w:eastAsia="en-US"/>
        </w:rPr>
        <w:t> »</w:t>
      </w:r>
    </w:p>
    <w:p w14:paraId="31D86A6B" w14:textId="00191E95" w:rsidR="00B14684" w:rsidRPr="00076651" w:rsidRDefault="00B14684" w:rsidP="00B14684">
      <w:pPr>
        <w:spacing w:after="120"/>
        <w:ind w:left="1134" w:right="1134"/>
        <w:jc w:val="both"/>
        <w:rPr>
          <w:i/>
          <w:iCs/>
          <w:lang w:val="fr-FR" w:eastAsia="en-US"/>
        </w:rPr>
      </w:pPr>
      <w:r w:rsidRPr="00076651">
        <w:rPr>
          <w:i/>
          <w:iCs/>
          <w:lang w:val="fr-FR" w:eastAsia="en-US"/>
        </w:rPr>
        <w:t>(Document</w:t>
      </w:r>
      <w:r w:rsidR="00B05A94" w:rsidRPr="00076651">
        <w:rPr>
          <w:i/>
          <w:iCs/>
          <w:lang w:val="fr-FR" w:eastAsia="en-US"/>
        </w:rPr>
        <w:t>s</w:t>
      </w:r>
      <w:r w:rsidRPr="00076651">
        <w:rPr>
          <w:i/>
          <w:iCs/>
          <w:lang w:val="fr-FR" w:eastAsia="en-US"/>
        </w:rPr>
        <w:t xml:space="preserve"> de référence : </w:t>
      </w:r>
      <w:r w:rsidRPr="00076651">
        <w:rPr>
          <w:i/>
          <w:iCs/>
        </w:rPr>
        <w:t>ST/SG/AC.10/C.3/124, annexe I</w:t>
      </w:r>
      <w:r w:rsidR="00EE54A7" w:rsidRPr="00076651">
        <w:rPr>
          <w:i/>
          <w:iCs/>
        </w:rPr>
        <w:t xml:space="preserve"> et ST/SG/AC.10/C.3/126, annexe</w:t>
      </w:r>
      <w:r w:rsidR="006D74EB" w:rsidRPr="00076651">
        <w:rPr>
          <w:i/>
          <w:iCs/>
        </w:rPr>
        <w:t> </w:t>
      </w:r>
      <w:r w:rsidR="00EE54A7" w:rsidRPr="00076651">
        <w:rPr>
          <w:i/>
          <w:iCs/>
        </w:rPr>
        <w:t>I</w:t>
      </w:r>
      <w:r w:rsidRPr="00076651">
        <w:rPr>
          <w:i/>
          <w:iCs/>
          <w:lang w:val="fr-FR" w:eastAsia="en-US"/>
        </w:rPr>
        <w:t>)</w:t>
      </w:r>
    </w:p>
    <w:p w14:paraId="1EE7ABC8" w14:textId="4021E425" w:rsidR="00A36353" w:rsidRPr="00076651" w:rsidRDefault="00A36353" w:rsidP="00B14684">
      <w:pPr>
        <w:pStyle w:val="SingleTxtG"/>
        <w:rPr>
          <w:lang w:val="fr-FR" w:eastAsia="en-US"/>
        </w:rPr>
      </w:pPr>
      <w:r w:rsidRPr="00076651">
        <w:rPr>
          <w:lang w:val="en-GB"/>
        </w:rPr>
        <w:t>6.9.2.2.3.14.1</w:t>
      </w:r>
      <w:r w:rsidRPr="00076651">
        <w:rPr>
          <w:lang w:val="en-GB"/>
        </w:rPr>
        <w:tab/>
      </w:r>
      <w:r w:rsidRPr="00076651">
        <w:rPr>
          <w:lang w:val="fr-FR" w:eastAsia="en-US"/>
        </w:rPr>
        <w:tab/>
        <w:t>Remplacer « citernes en PRF » par « citernes mobiles en PRF ».</w:t>
      </w:r>
    </w:p>
    <w:p w14:paraId="2DE3EDFB" w14:textId="591C108F" w:rsidR="00B14684" w:rsidRPr="00076651" w:rsidRDefault="00B14684" w:rsidP="00B14684">
      <w:pPr>
        <w:spacing w:after="120"/>
        <w:ind w:left="1134" w:right="1134"/>
        <w:jc w:val="both"/>
        <w:rPr>
          <w:i/>
          <w:iCs/>
          <w:lang w:val="fr-FR" w:eastAsia="en-US"/>
        </w:rPr>
      </w:pPr>
      <w:r w:rsidRPr="00076651">
        <w:rPr>
          <w:i/>
          <w:iCs/>
          <w:lang w:val="fr-FR" w:eastAsia="en-US"/>
        </w:rPr>
        <w:t>(Document</w:t>
      </w:r>
      <w:r w:rsidR="00B05A94" w:rsidRPr="00076651">
        <w:rPr>
          <w:i/>
          <w:iCs/>
          <w:lang w:val="fr-FR" w:eastAsia="en-US"/>
        </w:rPr>
        <w:t>s</w:t>
      </w:r>
      <w:r w:rsidRPr="00076651">
        <w:rPr>
          <w:i/>
          <w:iCs/>
          <w:lang w:val="fr-FR" w:eastAsia="en-US"/>
        </w:rPr>
        <w:t xml:space="preserve"> de référence : </w:t>
      </w:r>
      <w:r w:rsidRPr="00076651">
        <w:rPr>
          <w:i/>
          <w:iCs/>
        </w:rPr>
        <w:t>ST/SG/AC.10/C.3/124, annexe I</w:t>
      </w:r>
      <w:r w:rsidR="00A54C6C" w:rsidRPr="00076651">
        <w:rPr>
          <w:i/>
          <w:iCs/>
        </w:rPr>
        <w:t xml:space="preserve"> et ST/SG/AC.10/C.3/126, annexe</w:t>
      </w:r>
      <w:r w:rsidR="006D74EB" w:rsidRPr="00076651">
        <w:rPr>
          <w:i/>
          <w:iCs/>
        </w:rPr>
        <w:t> </w:t>
      </w:r>
      <w:r w:rsidR="00A54C6C" w:rsidRPr="00076651">
        <w:rPr>
          <w:i/>
          <w:iCs/>
        </w:rPr>
        <w:t>I</w:t>
      </w:r>
      <w:r w:rsidRPr="00076651">
        <w:rPr>
          <w:i/>
          <w:iCs/>
          <w:lang w:val="fr-FR" w:eastAsia="en-US"/>
        </w:rPr>
        <w:t>)</w:t>
      </w:r>
    </w:p>
    <w:p w14:paraId="34BF80AD" w14:textId="77777777" w:rsidR="00A36353" w:rsidRPr="00076651" w:rsidRDefault="00A36353" w:rsidP="00B14684">
      <w:pPr>
        <w:pStyle w:val="SingleTxtG"/>
        <w:ind w:left="2268" w:hanging="1134"/>
        <w:rPr>
          <w:lang w:val="fr-FR"/>
        </w:rPr>
      </w:pPr>
      <w:r w:rsidRPr="00076651">
        <w:rPr>
          <w:lang w:val="fr-FR"/>
        </w:rPr>
        <w:t xml:space="preserve">6.9.2.2.3.16.2 </w:t>
      </w:r>
      <w:r w:rsidRPr="00076651">
        <w:rPr>
          <w:lang w:val="fr-FR"/>
        </w:rPr>
        <w:tab/>
        <w:t>Dans la première phrase, remplacer « Le poids » par « La masse » et remplacer « à celui indiqué » par « à celle indiquée ».</w:t>
      </w:r>
    </w:p>
    <w:p w14:paraId="22C3FA5F"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6CDD27F8" w14:textId="77777777" w:rsidR="00F925BD" w:rsidRPr="00076651" w:rsidRDefault="00F925BD" w:rsidP="00F925BD">
      <w:pPr>
        <w:pStyle w:val="SingleTxtG"/>
        <w:tabs>
          <w:tab w:val="clear" w:pos="1701"/>
        </w:tabs>
        <w:ind w:left="2268" w:hanging="1134"/>
        <w:rPr>
          <w:rStyle w:val="ui-provider"/>
          <w:rFonts w:eastAsiaTheme="minorHAnsi"/>
          <w:lang w:val="fr-FR"/>
        </w:rPr>
      </w:pPr>
      <w:r w:rsidRPr="00076651">
        <w:rPr>
          <w:rStyle w:val="ui-provider"/>
          <w:rFonts w:eastAsiaTheme="minorHAnsi"/>
          <w:lang w:val="fr-FR"/>
        </w:rPr>
        <w:t xml:space="preserve">6.9.2.4.6.2 </w:t>
      </w:r>
      <w:r w:rsidRPr="00076651">
        <w:rPr>
          <w:rStyle w:val="ui-provider"/>
          <w:rFonts w:eastAsiaTheme="minorHAnsi"/>
          <w:lang w:val="fr-FR"/>
        </w:rPr>
        <w:tab/>
        <w:t>Dans l’alinéa a), remplacer « </w:t>
      </w:r>
      <w:r w:rsidRPr="00076651">
        <w:rPr>
          <w:rFonts w:ascii="TimesNewRomanPSMT" w:hAnsi="TimesNewRomanPSMT" w:cs="TimesNewRomanPSMT"/>
        </w:rPr>
        <w:t>La citerne doit être remplie » par « Le prototype doit être rempli ». Dans l’alinéa b), remplacer « La citerne doit être remplie d’eau au taux maximal de remplissage et soumise »  par « Le prototype doit être rempli d’eau au taux maximal de remplissage et soumis ». Dans l’alinéa c), dans la première phrase, remplacer « La citerne doit être remplie d’eau et soumise » par « Le prototype doit être rempli d’eau et soumis » et, dans la deuxième phrase, remplacer « la citerne » par « le prototype »</w:t>
      </w:r>
      <w:r w:rsidRPr="00076651">
        <w:rPr>
          <w:rStyle w:val="ui-provider"/>
          <w:rFonts w:eastAsiaTheme="minorHAnsi"/>
          <w:lang w:val="fr-FR"/>
        </w:rPr>
        <w:t>.</w:t>
      </w:r>
    </w:p>
    <w:p w14:paraId="7719C3D0"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57E75722" w14:textId="77777777" w:rsidR="004500C1" w:rsidRPr="00076651" w:rsidRDefault="004500C1" w:rsidP="00BC0E36">
      <w:pPr>
        <w:pStyle w:val="SingleTxtG"/>
        <w:tabs>
          <w:tab w:val="clear" w:pos="1701"/>
        </w:tabs>
        <w:ind w:left="2268" w:hanging="1134"/>
      </w:pPr>
      <w:r w:rsidRPr="00076651">
        <w:rPr>
          <w:rStyle w:val="ui-provider"/>
          <w:rFonts w:eastAsiaTheme="minorHAnsi"/>
          <w:lang w:val="fr-FR"/>
        </w:rPr>
        <w:t>6.9.2.5</w:t>
      </w:r>
      <w:r w:rsidRPr="00076651">
        <w:rPr>
          <w:rStyle w:val="ui-provider"/>
          <w:rFonts w:eastAsiaTheme="minorHAnsi"/>
          <w:lang w:val="fr-FR"/>
        </w:rPr>
        <w:tab/>
        <w:t>Dans le titre, remplacer « </w:t>
      </w:r>
      <w:r w:rsidRPr="00076651">
        <w:rPr>
          <w:b/>
          <w:bCs/>
          <w:i/>
          <w:iCs/>
        </w:rPr>
        <w:t>citernes mobiles équipées d’un réservoir en PRF</w:t>
      </w:r>
      <w:r w:rsidRPr="00076651">
        <w:t xml:space="preserve"> » par </w:t>
      </w:r>
      <w:r w:rsidRPr="00076651">
        <w:rPr>
          <w:rStyle w:val="ui-provider"/>
          <w:rFonts w:eastAsiaTheme="minorHAnsi"/>
          <w:lang w:val="fr-FR"/>
        </w:rPr>
        <w:t>« </w:t>
      </w:r>
      <w:r w:rsidRPr="00076651">
        <w:rPr>
          <w:b/>
          <w:bCs/>
          <w:i/>
          <w:iCs/>
        </w:rPr>
        <w:t>citernes mobiles en PRF</w:t>
      </w:r>
      <w:r w:rsidRPr="00076651">
        <w:t> ».</w:t>
      </w:r>
    </w:p>
    <w:p w14:paraId="61068B51" w14:textId="77777777" w:rsidR="004500C1" w:rsidRPr="00076651" w:rsidRDefault="004500C1" w:rsidP="004500C1">
      <w:pPr>
        <w:pStyle w:val="SingleTxtG"/>
        <w:tabs>
          <w:tab w:val="clear" w:pos="1701"/>
        </w:tabs>
        <w:ind w:left="2268" w:hanging="1134"/>
      </w:pPr>
      <w:r w:rsidRPr="00076651">
        <w:tab/>
        <w:t>Dans le texte sous le titre, dans la première phrase, [</w:t>
      </w:r>
      <w:r w:rsidRPr="00076651">
        <w:rPr>
          <w:lang w:val="fr-FR"/>
        </w:rPr>
        <w:t xml:space="preserve">supprimer « les ouvertures en partie basse, les dispositifs de décompression, les jauges, »] et </w:t>
      </w:r>
      <w:r w:rsidRPr="00076651">
        <w:t>remplacer « citernes</w:t>
      </w:r>
      <w:r w:rsidRPr="00076651">
        <w:rPr>
          <w:spacing w:val="40"/>
        </w:rPr>
        <w:t xml:space="preserve"> </w:t>
      </w:r>
      <w:r w:rsidRPr="00076651">
        <w:t>mobiles » par « citernes</w:t>
      </w:r>
      <w:r w:rsidRPr="00076651">
        <w:rPr>
          <w:spacing w:val="40"/>
        </w:rPr>
        <w:t xml:space="preserve"> </w:t>
      </w:r>
      <w:r w:rsidRPr="00076651">
        <w:t>mobiles en PRF ».</w:t>
      </w:r>
    </w:p>
    <w:p w14:paraId="531B85B4" w14:textId="77777777" w:rsidR="004500C1" w:rsidRPr="00076651" w:rsidRDefault="004500C1" w:rsidP="004500C1">
      <w:pPr>
        <w:pStyle w:val="SingleTxtG"/>
        <w:tabs>
          <w:tab w:val="clear" w:pos="1701"/>
        </w:tabs>
        <w:ind w:left="2268" w:hanging="1134"/>
        <w:rPr>
          <w:rFonts w:eastAsia="Calibri"/>
          <w:lang w:val="fr-FR" w:eastAsia="en-US"/>
        </w:rPr>
      </w:pPr>
      <w:r w:rsidRPr="00076651">
        <w:tab/>
        <w:t>[</w:t>
      </w:r>
      <w:r w:rsidRPr="00076651">
        <w:rPr>
          <w:lang w:val="fr-FR"/>
        </w:rPr>
        <w:t>Ajouter la nouvelle phrase suivante à la fin : « Des équipements de service en PRF conformément à la section 6.9.3 peuvent être utilisés. ».]</w:t>
      </w:r>
    </w:p>
    <w:p w14:paraId="77CB39BE"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049826FA" w14:textId="77777777" w:rsidR="000E0BB1" w:rsidRPr="00076651" w:rsidRDefault="000E0BB1" w:rsidP="00BC0E36">
      <w:pPr>
        <w:pStyle w:val="SingleTxtG"/>
        <w:tabs>
          <w:tab w:val="clear" w:pos="1701"/>
        </w:tabs>
      </w:pPr>
      <w:r w:rsidRPr="00076651">
        <w:rPr>
          <w:lang w:val="fr-FR"/>
        </w:rPr>
        <w:t>6.9.2.6.4</w:t>
      </w:r>
      <w:r w:rsidRPr="00076651">
        <w:rPr>
          <w:lang w:val="fr-FR"/>
        </w:rPr>
        <w:tab/>
        <w:t>Remplacer « de la citerne » par « de citerne mobile en PRF ».</w:t>
      </w:r>
    </w:p>
    <w:p w14:paraId="012ED774"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lastRenderedPageBreak/>
        <w:t xml:space="preserve">(Document de référence : </w:t>
      </w:r>
      <w:r w:rsidRPr="00076651">
        <w:rPr>
          <w:i/>
          <w:iCs/>
        </w:rPr>
        <w:t>ST/SG/AC.10/C.3/126, annexe I</w:t>
      </w:r>
      <w:r w:rsidRPr="00076651">
        <w:rPr>
          <w:rStyle w:val="ui-provider"/>
          <w:rFonts w:eastAsiaTheme="minorHAnsi"/>
          <w:i/>
          <w:iCs/>
          <w:lang w:val="fr-FR"/>
        </w:rPr>
        <w:t>)</w:t>
      </w:r>
    </w:p>
    <w:p w14:paraId="02748288" w14:textId="77777777" w:rsidR="00A36353" w:rsidRPr="00076651" w:rsidRDefault="00A36353" w:rsidP="00BC0E36">
      <w:pPr>
        <w:pStyle w:val="SingleTxtG"/>
        <w:tabs>
          <w:tab w:val="clear" w:pos="1701"/>
          <w:tab w:val="clear" w:pos="2268"/>
        </w:tabs>
        <w:ind w:left="2268" w:hanging="1134"/>
        <w:rPr>
          <w:lang w:val="fr-FR"/>
        </w:rPr>
      </w:pPr>
      <w:r w:rsidRPr="00076651">
        <w:rPr>
          <w:lang w:val="fr-FR"/>
        </w:rPr>
        <w:t>6.9.2.6.4.2</w:t>
      </w:r>
      <w:r w:rsidRPr="00076651">
        <w:rPr>
          <w:lang w:val="fr-FR"/>
        </w:rPr>
        <w:tab/>
        <w:t>Aux alinéas a) et b), remplacer « taux maximal de remplissage » par « degré maximal de remplissage ».</w:t>
      </w:r>
    </w:p>
    <w:p w14:paraId="2695EE5A" w14:textId="77777777"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Pr="00076651">
        <w:rPr>
          <w:i/>
          <w:iCs/>
          <w:lang w:val="fr-FR" w:eastAsia="en-US"/>
        </w:rPr>
        <w:t>)</w:t>
      </w:r>
    </w:p>
    <w:p w14:paraId="4E93864B" w14:textId="26B19C78" w:rsidR="00A36353" w:rsidRPr="00076651" w:rsidRDefault="00A36353" w:rsidP="00B14684">
      <w:pPr>
        <w:pStyle w:val="SingleTxtG"/>
        <w:rPr>
          <w:lang w:val="fr-FR" w:eastAsia="en-US"/>
        </w:rPr>
      </w:pPr>
      <w:r w:rsidRPr="00076651">
        <w:rPr>
          <w:lang w:val="en-GB"/>
        </w:rPr>
        <w:t>6.9.2.8.1</w:t>
      </w:r>
      <w:r w:rsidRPr="00076651">
        <w:rPr>
          <w:lang w:val="fr-FR" w:eastAsia="en-US"/>
        </w:rPr>
        <w:tab/>
        <w:t>Remplacer « citernes en PRF » par « citernes mobiles en PRF ».</w:t>
      </w:r>
    </w:p>
    <w:p w14:paraId="02DA5B96" w14:textId="233EFA3A" w:rsidR="00B14684" w:rsidRPr="00076651" w:rsidRDefault="00B14684" w:rsidP="00B14684">
      <w:pPr>
        <w:spacing w:after="120"/>
        <w:ind w:left="1134" w:right="1134"/>
        <w:jc w:val="both"/>
        <w:rPr>
          <w:i/>
          <w:iCs/>
          <w:lang w:val="fr-FR" w:eastAsia="en-US"/>
        </w:rPr>
      </w:pPr>
      <w:bookmarkStart w:id="8" w:name="_Hlk139544162"/>
      <w:r w:rsidRPr="00076651">
        <w:rPr>
          <w:i/>
          <w:iCs/>
          <w:lang w:val="fr-FR" w:eastAsia="en-US"/>
        </w:rPr>
        <w:t>(Document</w:t>
      </w:r>
      <w:r w:rsidR="00B05A94" w:rsidRPr="00076651">
        <w:rPr>
          <w:i/>
          <w:iCs/>
          <w:lang w:val="fr-FR" w:eastAsia="en-US"/>
        </w:rPr>
        <w:t>s</w:t>
      </w:r>
      <w:r w:rsidRPr="00076651">
        <w:rPr>
          <w:i/>
          <w:iCs/>
          <w:lang w:val="fr-FR" w:eastAsia="en-US"/>
        </w:rPr>
        <w:t xml:space="preserve"> de référence : </w:t>
      </w:r>
      <w:r w:rsidRPr="00076651">
        <w:rPr>
          <w:i/>
          <w:iCs/>
        </w:rPr>
        <w:t>ST/SG/AC.10/C.3/124, annexe I</w:t>
      </w:r>
      <w:r w:rsidR="00A54C6C" w:rsidRPr="00076651">
        <w:rPr>
          <w:i/>
          <w:iCs/>
        </w:rPr>
        <w:t xml:space="preserve"> et ST/SG/AC.10/C.3/126, annexe</w:t>
      </w:r>
      <w:r w:rsidR="00CA3E08" w:rsidRPr="00076651">
        <w:rPr>
          <w:i/>
          <w:iCs/>
        </w:rPr>
        <w:t> </w:t>
      </w:r>
      <w:r w:rsidR="00A54C6C" w:rsidRPr="00076651">
        <w:rPr>
          <w:i/>
          <w:iCs/>
        </w:rPr>
        <w:t>I</w:t>
      </w:r>
      <w:r w:rsidRPr="00076651">
        <w:rPr>
          <w:i/>
          <w:iCs/>
          <w:lang w:val="fr-FR" w:eastAsia="en-US"/>
        </w:rPr>
        <w:t>)</w:t>
      </w:r>
    </w:p>
    <w:p w14:paraId="1E9B3A48" w14:textId="77777777" w:rsidR="00DD3554" w:rsidRPr="00076651" w:rsidRDefault="00DD3554" w:rsidP="00DD3554">
      <w:pPr>
        <w:pStyle w:val="SingleTxtG"/>
        <w:tabs>
          <w:tab w:val="clear" w:pos="1701"/>
        </w:tabs>
      </w:pPr>
      <w:r w:rsidRPr="00076651">
        <w:rPr>
          <w:lang w:val="fr-FR"/>
        </w:rPr>
        <w:t>6.9.2.8.3</w:t>
      </w:r>
      <w:r w:rsidRPr="00076651">
        <w:rPr>
          <w:lang w:val="fr-FR"/>
        </w:rPr>
        <w:tab/>
        <w:t>Remplacer « citerne » par « citerne mobile en PRF ».</w:t>
      </w:r>
    </w:p>
    <w:p w14:paraId="7BCB31E0"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5A0767D4" w14:textId="77777777" w:rsidR="00DD3554" w:rsidRPr="00076651" w:rsidRDefault="00DD3554" w:rsidP="00BC0E36">
      <w:pPr>
        <w:pStyle w:val="SingleTxtG"/>
      </w:pPr>
      <w:r w:rsidRPr="00076651">
        <w:rPr>
          <w:lang w:val="fr-FR"/>
        </w:rPr>
        <w:t>6.9.2.8.4</w:t>
      </w:r>
      <w:r w:rsidRPr="00076651">
        <w:rPr>
          <w:lang w:val="fr-FR"/>
        </w:rPr>
        <w:tab/>
        <w:t>Remplacer « réservoir » par « réservoir en PRF » (deux occurrences).</w:t>
      </w:r>
    </w:p>
    <w:p w14:paraId="7A6C0E22"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1BA611BB" w14:textId="77777777" w:rsidR="00DD3554" w:rsidRPr="00076651" w:rsidRDefault="00DD3554" w:rsidP="00BC0E36">
      <w:pPr>
        <w:pStyle w:val="SingleTxtG"/>
        <w:tabs>
          <w:tab w:val="clear" w:pos="1701"/>
        </w:tabs>
        <w:ind w:left="2268" w:hanging="1134"/>
      </w:pPr>
      <w:r w:rsidRPr="00076651">
        <w:rPr>
          <w:lang w:val="fr-FR"/>
        </w:rPr>
        <w:t>6.9.2.9</w:t>
      </w:r>
      <w:r w:rsidRPr="00076651">
        <w:rPr>
          <w:lang w:val="fr-FR"/>
        </w:rPr>
        <w:tab/>
        <w:t>Remplacer « réservoir » par « réservoir en PRF » et « citerne » par « citerne mobile en PRF ».</w:t>
      </w:r>
    </w:p>
    <w:p w14:paraId="4BD0B44E"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0503082A" w14:textId="77777777" w:rsidR="00DD3554" w:rsidRPr="00076651" w:rsidRDefault="00DD3554" w:rsidP="00BC0E36">
      <w:pPr>
        <w:pStyle w:val="SingleTxtG"/>
      </w:pPr>
      <w:r w:rsidRPr="00076651">
        <w:rPr>
          <w:lang w:val="fr-FR"/>
        </w:rPr>
        <w:t>6.9.2.10.2</w:t>
      </w:r>
      <w:r w:rsidRPr="00076651">
        <w:rPr>
          <w:lang w:val="fr-FR"/>
        </w:rPr>
        <w:tab/>
        <w:t>Remplacer « réservoir » par « réservoir en PRF ».</w:t>
      </w:r>
    </w:p>
    <w:p w14:paraId="5FC72B8B"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65186278" w14:textId="77777777" w:rsidR="00DD3554" w:rsidRPr="00076651" w:rsidRDefault="00DD3554" w:rsidP="00BC0E36">
      <w:pPr>
        <w:pStyle w:val="SingleTxtG"/>
        <w:tabs>
          <w:tab w:val="clear" w:pos="1701"/>
        </w:tabs>
        <w:ind w:left="2268" w:hanging="1134"/>
        <w:rPr>
          <w:lang w:val="fr-FR"/>
        </w:rPr>
      </w:pPr>
      <w:r w:rsidRPr="00076651">
        <w:rPr>
          <w:lang w:val="fr-FR"/>
        </w:rPr>
        <w:t>[Ajouter la nouvelle section 6.9.3 suivante :</w:t>
      </w:r>
      <w:r w:rsidRPr="00076651">
        <w:rPr>
          <w:lang w:val="fr-FR"/>
        </w:rPr>
        <w:tab/>
      </w:r>
    </w:p>
    <w:p w14:paraId="73868981" w14:textId="77777777" w:rsidR="00DD3554" w:rsidRPr="00076651" w:rsidRDefault="00DD3554" w:rsidP="00DD3554">
      <w:pPr>
        <w:pStyle w:val="SingleTxtG"/>
        <w:tabs>
          <w:tab w:val="clear" w:pos="1701"/>
        </w:tabs>
        <w:ind w:left="2268" w:hanging="1134"/>
        <w:rPr>
          <w:b/>
          <w:lang w:val="fr-FR"/>
        </w:rPr>
      </w:pPr>
      <w:r w:rsidRPr="00076651">
        <w:rPr>
          <w:b/>
          <w:lang w:val="fr-FR"/>
        </w:rPr>
        <w:t>« 6.9.3</w:t>
      </w:r>
      <w:r w:rsidRPr="00076651">
        <w:rPr>
          <w:b/>
          <w:lang w:val="fr-FR"/>
        </w:rPr>
        <w:tab/>
      </w:r>
      <w:r w:rsidRPr="00076651">
        <w:rPr>
          <w:b/>
          <w:bCs/>
          <w:lang w:val="fr-FR"/>
        </w:rPr>
        <w:t>Prescriptions relatives à la conception et à la fabrication des équipements de service en PRF pour citernes mobiles et aux contrôles et épreuves qu’ils doivent subir</w:t>
      </w:r>
    </w:p>
    <w:p w14:paraId="0B5619FF" w14:textId="77777777" w:rsidR="00DD3554" w:rsidRPr="00076651" w:rsidRDefault="00DD3554" w:rsidP="00DD3554">
      <w:pPr>
        <w:pStyle w:val="SingleTxtG"/>
        <w:tabs>
          <w:tab w:val="clear" w:pos="1701"/>
        </w:tabs>
        <w:ind w:left="2268" w:hanging="1134"/>
        <w:rPr>
          <w:b/>
          <w:i/>
          <w:iCs/>
        </w:rPr>
      </w:pPr>
      <w:r w:rsidRPr="00076651">
        <w:rPr>
          <w:b/>
          <w:lang w:val="fr-FR"/>
        </w:rPr>
        <w:t>6.9.3.1</w:t>
      </w:r>
      <w:r w:rsidRPr="00076651">
        <w:rPr>
          <w:b/>
          <w:lang w:val="fr-FR"/>
        </w:rPr>
        <w:tab/>
      </w:r>
      <w:r w:rsidRPr="00076651">
        <w:rPr>
          <w:b/>
          <w:i/>
          <w:iCs/>
          <w:lang w:val="fr-FR"/>
        </w:rPr>
        <w:t>Définitions</w:t>
      </w:r>
    </w:p>
    <w:p w14:paraId="012FF022" w14:textId="77777777" w:rsidR="00DD3554" w:rsidRPr="00076651" w:rsidRDefault="00DD3554" w:rsidP="00DD3554">
      <w:pPr>
        <w:pStyle w:val="SingleTxtG"/>
        <w:tabs>
          <w:tab w:val="clear" w:pos="1701"/>
          <w:tab w:val="clear" w:pos="2268"/>
        </w:tabs>
        <w:ind w:firstLine="1134"/>
      </w:pPr>
      <w:r w:rsidRPr="00076651">
        <w:rPr>
          <w:lang w:val="fr-FR"/>
        </w:rPr>
        <w:t>Aux fins de la présente section, les définitions des 6.7.2.1 et 6.9.2.1, à l’exception des celles relatives aux matériaux métalliques, s’appliquent à la construction des équipements de service pour citernes mobiles.</w:t>
      </w:r>
    </w:p>
    <w:p w14:paraId="271BE713" w14:textId="77777777" w:rsidR="00DD3554" w:rsidRPr="00076651" w:rsidRDefault="00DD3554" w:rsidP="00DD3554">
      <w:pPr>
        <w:pStyle w:val="SingleTxtG"/>
        <w:tabs>
          <w:tab w:val="clear" w:pos="1701"/>
          <w:tab w:val="clear" w:pos="2268"/>
        </w:tabs>
        <w:ind w:firstLine="1134"/>
      </w:pPr>
      <w:r w:rsidRPr="00076651">
        <w:rPr>
          <w:lang w:val="fr-FR"/>
        </w:rPr>
        <w:t>En outre, les définitions ci-après s’appliquent aux équipements de service en plastique renforcé de fibres (PRF).</w:t>
      </w:r>
    </w:p>
    <w:p w14:paraId="747C8982" w14:textId="77777777" w:rsidR="00DD3554" w:rsidRPr="00076651" w:rsidRDefault="00DD3554" w:rsidP="00DD3554">
      <w:pPr>
        <w:pStyle w:val="SingleTxtG"/>
        <w:tabs>
          <w:tab w:val="clear" w:pos="1701"/>
          <w:tab w:val="clear" w:pos="2268"/>
        </w:tabs>
        <w:ind w:firstLine="1134"/>
        <w:rPr>
          <w:lang w:val="fr-FR"/>
        </w:rPr>
      </w:pPr>
      <w:r w:rsidRPr="00076651">
        <w:rPr>
          <w:lang w:val="fr-FR"/>
        </w:rPr>
        <w:t>On entend par :</w:t>
      </w:r>
    </w:p>
    <w:p w14:paraId="68B4421D" w14:textId="77777777" w:rsidR="00DD3554" w:rsidRPr="00076651" w:rsidRDefault="00DD3554" w:rsidP="00DD3554">
      <w:pPr>
        <w:pStyle w:val="SingleTxtG"/>
        <w:tabs>
          <w:tab w:val="clear" w:pos="1701"/>
          <w:tab w:val="clear" w:pos="2268"/>
        </w:tabs>
        <w:rPr>
          <w:lang w:val="fr-FR"/>
        </w:rPr>
      </w:pPr>
      <w:r w:rsidRPr="00076651">
        <w:rPr>
          <w:i/>
          <w:iCs/>
          <w:lang w:val="fr-FR"/>
        </w:rPr>
        <w:t>Équipement de service en PRF</w:t>
      </w:r>
      <w:r w:rsidRPr="00076651">
        <w:rPr>
          <w:lang w:val="fr-FR"/>
        </w:rPr>
        <w:t>, un équipement de service tel que défini au 6.7.2.1 en PRF, y compris ses éléments faits en autres matériaux, tels que les systèmes d’obturation et d’étanchéité, et les parties métalliques, par exemple les ressorts ou fixations, dont peuvent être équipés les réservoirs métalliques et les réservoirs en PRF des citernes mobiles ;</w:t>
      </w:r>
    </w:p>
    <w:p w14:paraId="66593AC2" w14:textId="77777777" w:rsidR="00DD3554" w:rsidRPr="00076651" w:rsidRDefault="00DD3554" w:rsidP="00DD3554">
      <w:pPr>
        <w:pStyle w:val="SingleTxtG"/>
        <w:tabs>
          <w:tab w:val="clear" w:pos="1701"/>
          <w:tab w:val="clear" w:pos="2268"/>
        </w:tabs>
      </w:pPr>
      <w:r w:rsidRPr="00076651">
        <w:rPr>
          <w:i/>
          <w:iCs/>
          <w:lang w:val="fr-FR"/>
        </w:rPr>
        <w:t>Moulage par injection</w:t>
      </w:r>
      <w:r w:rsidRPr="00076651">
        <w:rPr>
          <w:lang w:val="fr-FR"/>
        </w:rPr>
        <w:t>, un procédé de fusion de granulés de plastique (polymères thermodurcissables/thermoplastiques) et de mélange avec des agents de renforcement tels que des fibres de verre coupées. Le mélange est ensuite dosé dans un moule à l’aide de pompes à haute pression ou de cylindres d’injection, qui se remplit et se solidifie pour donner le produit final ;</w:t>
      </w:r>
    </w:p>
    <w:p w14:paraId="083017B8" w14:textId="77777777" w:rsidR="00DD3554" w:rsidRPr="00076651" w:rsidRDefault="00DD3554" w:rsidP="00DD3554">
      <w:pPr>
        <w:pStyle w:val="SingleTxtG"/>
        <w:tabs>
          <w:tab w:val="clear" w:pos="1701"/>
          <w:tab w:val="clear" w:pos="2268"/>
        </w:tabs>
      </w:pPr>
      <w:r w:rsidRPr="00076651">
        <w:rPr>
          <w:i/>
          <w:iCs/>
          <w:lang w:val="fr-FR"/>
        </w:rPr>
        <w:t>Moulage par compression</w:t>
      </w:r>
      <w:r w:rsidRPr="00076651">
        <w:rPr>
          <w:lang w:val="fr-FR"/>
        </w:rPr>
        <w:t xml:space="preserve">, un procédé de fabrication de pièces composites dans une large gamme de volumes utilisant généralement un outil métallique adapté dans une presse chauffée (normalement hydraulique) pour consolider des matériaux en feuilles ou des mélanges à mouler sous pression ; </w:t>
      </w:r>
    </w:p>
    <w:p w14:paraId="380AAF42" w14:textId="77777777" w:rsidR="00DD3554" w:rsidRPr="00076651" w:rsidRDefault="00DD3554" w:rsidP="00DD3554">
      <w:pPr>
        <w:pStyle w:val="SingleTxtG"/>
        <w:tabs>
          <w:tab w:val="clear" w:pos="1701"/>
          <w:tab w:val="clear" w:pos="2268"/>
        </w:tabs>
      </w:pPr>
      <w:r w:rsidRPr="00076651">
        <w:rPr>
          <w:i/>
          <w:iCs/>
          <w:lang w:val="fr-FR"/>
        </w:rPr>
        <w:t>Moulage par injection réactive sur renforts (RRIM)</w:t>
      </w:r>
      <w:r w:rsidRPr="00076651">
        <w:rPr>
          <w:lang w:val="fr-FR"/>
        </w:rPr>
        <w:t>, un procédé consistant à mélanger deux ou plusieurs résines dans la chambre de mélange pour former un polymère thermodurcissable sous haute pression. Des agents de renforcement comme des fibres de verre sont ajoutés au mélange. Le mélange de résine est ensuite dosé dans un moule à l’aide de pompes à haute pression ou de cylindres d’injection.</w:t>
      </w:r>
    </w:p>
    <w:p w14:paraId="0CF24069" w14:textId="77777777" w:rsidR="00DD3554" w:rsidRPr="00076651" w:rsidRDefault="00DD3554" w:rsidP="00DD3554">
      <w:pPr>
        <w:pStyle w:val="SingleTxtG"/>
        <w:tabs>
          <w:tab w:val="clear" w:pos="1701"/>
          <w:tab w:val="clear" w:pos="2268"/>
        </w:tabs>
      </w:pPr>
      <w:r w:rsidRPr="00076651">
        <w:rPr>
          <w:i/>
          <w:iCs/>
          <w:lang w:val="fr-FR"/>
        </w:rPr>
        <w:t>Échantillon-coupon</w:t>
      </w:r>
      <w:r w:rsidRPr="00076651">
        <w:rPr>
          <w:lang w:val="fr-FR"/>
        </w:rPr>
        <w:t>, un échantillon en PRF fabriqué et éprouvé conformément aux normes nationales ou internationales pour définir les valeurs admissibles de conception ;</w:t>
      </w:r>
    </w:p>
    <w:p w14:paraId="449DAFEC" w14:textId="77777777" w:rsidR="00DD3554" w:rsidRPr="00076651" w:rsidRDefault="00DD3554" w:rsidP="00DD3554">
      <w:pPr>
        <w:pStyle w:val="SingleTxtG"/>
        <w:tabs>
          <w:tab w:val="clear" w:pos="1701"/>
          <w:tab w:val="clear" w:pos="2268"/>
        </w:tabs>
      </w:pPr>
      <w:r w:rsidRPr="00076651">
        <w:rPr>
          <w:i/>
          <w:iCs/>
          <w:lang w:val="fr-FR"/>
        </w:rPr>
        <w:lastRenderedPageBreak/>
        <w:t>Échantillon de contrôle</w:t>
      </w:r>
      <w:r w:rsidRPr="00076651">
        <w:rPr>
          <w:lang w:val="fr-FR"/>
        </w:rPr>
        <w:t>, un échantillon découpé dans l’équipement de service en PRF afin d’établir la conformité du dispositif de série par rapport au prototype ;</w:t>
      </w:r>
    </w:p>
    <w:p w14:paraId="7072B7EA" w14:textId="77777777" w:rsidR="00DD3554" w:rsidRPr="00076651" w:rsidRDefault="00DD3554" w:rsidP="00DD3554">
      <w:pPr>
        <w:pStyle w:val="SingleTxtG"/>
        <w:tabs>
          <w:tab w:val="clear" w:pos="1701"/>
          <w:tab w:val="clear" w:pos="2268"/>
        </w:tabs>
      </w:pPr>
      <w:r w:rsidRPr="00076651">
        <w:rPr>
          <w:i/>
          <w:iCs/>
          <w:lang w:val="fr-FR"/>
        </w:rPr>
        <w:t>Constituants en PRF</w:t>
      </w:r>
      <w:r w:rsidRPr="00076651">
        <w:rPr>
          <w:lang w:val="fr-FR"/>
        </w:rPr>
        <w:t xml:space="preserve">, des fibres ou particules de renforcement, des polymères </w:t>
      </w:r>
      <w:proofErr w:type="spellStart"/>
      <w:r w:rsidRPr="00076651">
        <w:rPr>
          <w:lang w:val="fr-FR"/>
        </w:rPr>
        <w:t>thermodurcis</w:t>
      </w:r>
      <w:proofErr w:type="spellEnd"/>
      <w:r w:rsidRPr="00076651">
        <w:rPr>
          <w:lang w:val="fr-FR"/>
        </w:rPr>
        <w:t xml:space="preserve"> ou thermoplastiques (matrice), des adhésifs et des additifs.</w:t>
      </w:r>
    </w:p>
    <w:p w14:paraId="7C067B46" w14:textId="77777777" w:rsidR="00DD3554" w:rsidRPr="00076651" w:rsidRDefault="00DD3554" w:rsidP="00DD3554">
      <w:pPr>
        <w:pStyle w:val="SingleTxtG"/>
        <w:tabs>
          <w:tab w:val="clear" w:pos="1701"/>
        </w:tabs>
        <w:ind w:left="2268" w:hanging="1134"/>
        <w:rPr>
          <w:b/>
        </w:rPr>
      </w:pPr>
      <w:r w:rsidRPr="00076651">
        <w:rPr>
          <w:b/>
          <w:lang w:val="fr-FR"/>
        </w:rPr>
        <w:t>6.9.3.2</w:t>
      </w:r>
      <w:r w:rsidRPr="00076651">
        <w:rPr>
          <w:b/>
          <w:lang w:val="fr-FR"/>
        </w:rPr>
        <w:tab/>
      </w:r>
      <w:r w:rsidRPr="00076651">
        <w:rPr>
          <w:b/>
          <w:i/>
          <w:iCs/>
          <w:lang w:val="fr-FR"/>
        </w:rPr>
        <w:t>Prescriptions générales concernant la conception et la fabrication</w:t>
      </w:r>
    </w:p>
    <w:p w14:paraId="1FB42298" w14:textId="77777777" w:rsidR="00DD3554" w:rsidRPr="00076651" w:rsidRDefault="00DD3554" w:rsidP="00DD3554">
      <w:pPr>
        <w:pStyle w:val="SingleTxtG"/>
        <w:tabs>
          <w:tab w:val="clear" w:pos="1701"/>
        </w:tabs>
      </w:pPr>
      <w:r w:rsidRPr="00076651">
        <w:rPr>
          <w:lang w:val="fr-FR"/>
        </w:rPr>
        <w:t>6.9.3.2.1</w:t>
      </w:r>
      <w:r w:rsidRPr="00076651">
        <w:rPr>
          <w:lang w:val="fr-FR"/>
        </w:rPr>
        <w:tab/>
        <w:t xml:space="preserve">Aux fins de la présente section, les prescriptions des 6.7.2.2.11, 6.7.2.5.1 à 6.7.2.5.6, 6.7.2.5.10, 6.7.2.6.3, 6.7.2.8.2, 6.7.2.8.3, 6.7.2.9, 6.7.2.12, 6.7.2.14 et 6.7.2.15 s’appliquent aux équipements de service en PRF, y compris aux parties métalliques (ressorts, fixations, etc.). Les équipements de service en PRF doivent être conçus et fabriqués conformément aux prescriptions d’un code pour appareils à pression ainsi que des normes nationales et internationales applicables aux PRF et reconnues par l’autorité compétente. </w:t>
      </w:r>
    </w:p>
    <w:p w14:paraId="5C9FE5ED" w14:textId="77777777" w:rsidR="00DD3554" w:rsidRPr="00076651" w:rsidRDefault="00DD3554" w:rsidP="00DD3554">
      <w:pPr>
        <w:pStyle w:val="SingleTxtG"/>
        <w:tabs>
          <w:tab w:val="clear" w:pos="1701"/>
        </w:tabs>
        <w:ind w:left="2268" w:hanging="1134"/>
        <w:rPr>
          <w:i/>
          <w:iCs/>
        </w:rPr>
      </w:pPr>
      <w:r w:rsidRPr="00076651">
        <w:rPr>
          <w:lang w:val="fr-FR"/>
        </w:rPr>
        <w:t>6.9.3.2.2</w:t>
      </w:r>
      <w:r w:rsidRPr="00076651">
        <w:rPr>
          <w:lang w:val="fr-FR"/>
        </w:rPr>
        <w:tab/>
      </w:r>
      <w:r w:rsidRPr="00076651">
        <w:rPr>
          <w:i/>
          <w:iCs/>
          <w:lang w:val="fr-FR"/>
        </w:rPr>
        <w:t>Système qualité du fabricant</w:t>
      </w:r>
    </w:p>
    <w:p w14:paraId="7D44A496" w14:textId="77777777" w:rsidR="00DD3554" w:rsidRPr="00076651" w:rsidRDefault="00DD3554" w:rsidP="00DD3554">
      <w:pPr>
        <w:pStyle w:val="SingleTxtG"/>
        <w:tabs>
          <w:tab w:val="clear" w:pos="1701"/>
        </w:tabs>
      </w:pPr>
      <w:r w:rsidRPr="00076651">
        <w:rPr>
          <w:lang w:val="fr-FR"/>
        </w:rPr>
        <w:t>6.9.3.2.2.1</w:t>
      </w:r>
      <w:r w:rsidRPr="00076651">
        <w:rPr>
          <w:lang w:val="fr-FR"/>
        </w:rPr>
        <w:tab/>
        <w:t>Le fabricant d’équipements de service en PRF doit disposer d’un système qualité documenté garantissant la conformité de chaque élément de la production en série de l’équipement au prototype approuvé. Le programme d’assurance qualité doit être soumis à l’autorité compétente pour approbation. Tous les fournisseurs de matériaux et de composants destinés aux équipements de service en PRF du fabricant doivent disposer d’un système qualité documenté, mis au point conformément aux principes généraux des normes de qualité internationales et nationales.</w:t>
      </w:r>
    </w:p>
    <w:p w14:paraId="4D6B197C" w14:textId="77777777" w:rsidR="00DD3554" w:rsidRPr="00076651" w:rsidRDefault="00DD3554" w:rsidP="00DD3554">
      <w:pPr>
        <w:pStyle w:val="SingleTxtG"/>
        <w:tabs>
          <w:tab w:val="clear" w:pos="1701"/>
        </w:tabs>
      </w:pPr>
      <w:r w:rsidRPr="00076651">
        <w:rPr>
          <w:lang w:val="fr-FR"/>
        </w:rPr>
        <w:t>6.9.3.2.2.2</w:t>
      </w:r>
      <w:r w:rsidRPr="00076651">
        <w:rPr>
          <w:lang w:val="fr-FR"/>
        </w:rPr>
        <w:tab/>
        <w:t>Les prescriptions du 6.9.2.2.2 s’appliquent, selon qu’il convient, au système qualité du fabricant d’équipements de service en PRF.</w:t>
      </w:r>
    </w:p>
    <w:p w14:paraId="20BD81CA" w14:textId="77777777" w:rsidR="00DD3554" w:rsidRPr="00076651" w:rsidRDefault="00DD3554" w:rsidP="00DD3554">
      <w:pPr>
        <w:pStyle w:val="SingleTxtG"/>
        <w:tabs>
          <w:tab w:val="clear" w:pos="1701"/>
        </w:tabs>
        <w:ind w:left="2268" w:hanging="1134"/>
        <w:rPr>
          <w:i/>
          <w:iCs/>
        </w:rPr>
      </w:pPr>
      <w:r w:rsidRPr="00076651">
        <w:rPr>
          <w:lang w:val="fr-FR"/>
        </w:rPr>
        <w:t>6.9.3.2.3</w:t>
      </w:r>
      <w:r w:rsidRPr="00076651">
        <w:rPr>
          <w:lang w:val="fr-FR"/>
        </w:rPr>
        <w:tab/>
      </w:r>
      <w:r w:rsidRPr="00076651">
        <w:rPr>
          <w:i/>
          <w:iCs/>
          <w:lang w:val="fr-FR"/>
        </w:rPr>
        <w:t>Équipements de service en PRF</w:t>
      </w:r>
    </w:p>
    <w:p w14:paraId="2128F0C3" w14:textId="77777777" w:rsidR="00DD3554" w:rsidRPr="00076651" w:rsidRDefault="00DD3554" w:rsidP="00DD3554">
      <w:pPr>
        <w:pStyle w:val="SingleTxtG"/>
        <w:tabs>
          <w:tab w:val="clear" w:pos="1701"/>
        </w:tabs>
      </w:pPr>
      <w:r w:rsidRPr="00076651">
        <w:rPr>
          <w:lang w:val="fr-FR"/>
        </w:rPr>
        <w:t>6.9.3.2.3.1</w:t>
      </w:r>
      <w:r w:rsidRPr="00076651">
        <w:rPr>
          <w:lang w:val="fr-FR"/>
        </w:rPr>
        <w:tab/>
        <w:t>Les équipements de service en PRF doivent être munis de joints rigides adaptés au réservoir de la citerne mobile. Les raccords ne doivent pas provoquer de concentrations de contraintes locales dépassant les valeurs admissibles de conception pour toutes les conditions de fonctionnement et d’essai.</w:t>
      </w:r>
    </w:p>
    <w:p w14:paraId="3AA91C2B" w14:textId="77777777" w:rsidR="00DD3554" w:rsidRPr="00076651" w:rsidRDefault="00DD3554" w:rsidP="00DD3554">
      <w:pPr>
        <w:pStyle w:val="SingleTxtG"/>
        <w:tabs>
          <w:tab w:val="clear" w:pos="1701"/>
        </w:tabs>
      </w:pPr>
      <w:r w:rsidRPr="00076651">
        <w:rPr>
          <w:lang w:val="fr-FR"/>
        </w:rPr>
        <w:t>6.9.3.2.3.2</w:t>
      </w:r>
      <w:r w:rsidRPr="00076651">
        <w:rPr>
          <w:lang w:val="fr-FR"/>
        </w:rPr>
        <w:tab/>
        <w:t>Les équipements de service en PRF doivent être faits de matériaux appropriés, capables de résister à des températures de calcul comprises entre -40 °С et +50 °С, à moins que d’autres gammes de température ne soient prescrites par l’autorité compétente du pays où s’effectue le transport pour des conditions climatiques ou de fonctionnement plus extrêmes (par exemple, présence d’éléments chauffants).</w:t>
      </w:r>
    </w:p>
    <w:p w14:paraId="04AA615C" w14:textId="77777777" w:rsidR="00DD3554" w:rsidRPr="00076651" w:rsidRDefault="00DD3554" w:rsidP="00DD3554">
      <w:pPr>
        <w:pStyle w:val="SingleTxtG"/>
        <w:tabs>
          <w:tab w:val="clear" w:pos="1701"/>
        </w:tabs>
      </w:pPr>
      <w:r w:rsidRPr="00076651">
        <w:rPr>
          <w:lang w:val="fr-FR"/>
        </w:rPr>
        <w:t>6.9.3.2.3.3</w:t>
      </w:r>
      <w:r w:rsidRPr="00076651">
        <w:rPr>
          <w:lang w:val="fr-FR"/>
        </w:rPr>
        <w:tab/>
        <w:t>Les équipements de service en PRF doivent être conçus et fabriqués de façon à résister à une pression d’épreuve au moins égale à 1,5 fois la PSMA. Les obturateurs, tubulures et raccords de tubulure destinés au remplissage ou à la vidange doivent être conçus et fabriqués de façon à résister à une pression au moins égale à 4 fois la PSMA. Des prescriptions particulières sont prévues pour certaines matières dans l’instruction de transport en citernes mobiles applicable indiquée dans la colonne 10 de la Liste des marchandises dangereuses et décrite au 4.2.5, ou dans la disposition spéciale applicable au transport en citernes mobiles indiquée dans la colonne 11 de la Liste des marchandises dangereuses et décrite au 4.2.5.3.</w:t>
      </w:r>
    </w:p>
    <w:p w14:paraId="1765C1B1" w14:textId="77777777" w:rsidR="00DD3554" w:rsidRPr="00076651" w:rsidRDefault="00DD3554" w:rsidP="00DD3554">
      <w:pPr>
        <w:pStyle w:val="SingleTxtG"/>
        <w:tabs>
          <w:tab w:val="clear" w:pos="1701"/>
        </w:tabs>
      </w:pPr>
      <w:r w:rsidRPr="00076651">
        <w:rPr>
          <w:lang w:val="fr-FR"/>
        </w:rPr>
        <w:t>6.9.3.2.3.4</w:t>
      </w:r>
      <w:r w:rsidRPr="00076651">
        <w:rPr>
          <w:lang w:val="fr-FR"/>
        </w:rPr>
        <w:tab/>
        <w:t>Les équipements de service en PRF doivent résister aux vibrations, aux impacts de service, à l’exposition à la température de la matière et aux effets dus à l’environnement.</w:t>
      </w:r>
    </w:p>
    <w:p w14:paraId="35C470C7" w14:textId="77777777" w:rsidR="00DD3554" w:rsidRPr="00076651" w:rsidRDefault="00DD3554" w:rsidP="00DD3554">
      <w:pPr>
        <w:pStyle w:val="SingleTxtG"/>
        <w:tabs>
          <w:tab w:val="clear" w:pos="1701"/>
        </w:tabs>
      </w:pPr>
      <w:r w:rsidRPr="00076651">
        <w:rPr>
          <w:lang w:val="fr-FR"/>
        </w:rPr>
        <w:t>6.9.3.2.3.5</w:t>
      </w:r>
      <w:r w:rsidRPr="00076651">
        <w:rPr>
          <w:lang w:val="fr-FR"/>
        </w:rPr>
        <w:tab/>
        <w:t>Les calculs de conception des équipements de service en PRF et des joints qui les relient au réservoir de la citerne mobile doivent être effectués au moyen de la méthode des éléments finis ou d’une autre méthode reconnue par l’autorité compétente.</w:t>
      </w:r>
    </w:p>
    <w:p w14:paraId="4C275517" w14:textId="77777777" w:rsidR="00DD3554" w:rsidRPr="00076651" w:rsidRDefault="00DD3554" w:rsidP="00DD3554">
      <w:pPr>
        <w:pStyle w:val="SingleTxtG"/>
        <w:tabs>
          <w:tab w:val="clear" w:pos="1701"/>
        </w:tabs>
      </w:pPr>
      <w:r w:rsidRPr="00076651">
        <w:rPr>
          <w:lang w:val="fr-FR"/>
        </w:rPr>
        <w:t>6.9.3.2.3.6</w:t>
      </w:r>
      <w:r w:rsidRPr="00076651">
        <w:rPr>
          <w:lang w:val="fr-FR"/>
        </w:rPr>
        <w:tab/>
        <w:t>Les équipements de service en PRF doivent satisfaire aux mêmes prescriptions que celles indiquées au 6.9.2.2.3.14 pour le transport de matières ayant un point d’éclair ne dépassant pas 60 °C.</w:t>
      </w:r>
    </w:p>
    <w:p w14:paraId="1BF8222F" w14:textId="77777777" w:rsidR="00DD3554" w:rsidRPr="00076651" w:rsidRDefault="00DD3554" w:rsidP="00DD3554">
      <w:pPr>
        <w:pStyle w:val="SingleTxtG"/>
        <w:tabs>
          <w:tab w:val="clear" w:pos="1701"/>
        </w:tabs>
        <w:ind w:left="2268" w:hanging="1134"/>
        <w:rPr>
          <w:i/>
          <w:iCs/>
        </w:rPr>
      </w:pPr>
      <w:r w:rsidRPr="00076651">
        <w:rPr>
          <w:lang w:val="fr-FR"/>
        </w:rPr>
        <w:t>6.9.3.2.4</w:t>
      </w:r>
      <w:r w:rsidRPr="00076651">
        <w:rPr>
          <w:lang w:val="fr-FR"/>
        </w:rPr>
        <w:tab/>
      </w:r>
      <w:r w:rsidRPr="00076651">
        <w:rPr>
          <w:i/>
          <w:iCs/>
          <w:lang w:val="fr-FR"/>
        </w:rPr>
        <w:t>Matériaux</w:t>
      </w:r>
    </w:p>
    <w:p w14:paraId="19441BD9" w14:textId="77777777" w:rsidR="00DD3554" w:rsidRPr="00076651" w:rsidRDefault="00DD3554" w:rsidP="00DD3554">
      <w:pPr>
        <w:pStyle w:val="SingleTxtG"/>
        <w:tabs>
          <w:tab w:val="clear" w:pos="1701"/>
        </w:tabs>
        <w:ind w:left="2268" w:hanging="1134"/>
      </w:pPr>
      <w:r w:rsidRPr="00076651">
        <w:rPr>
          <w:lang w:val="fr-FR"/>
        </w:rPr>
        <w:t>6.9.3.2.4.1</w:t>
      </w:r>
      <w:r w:rsidRPr="00076651">
        <w:rPr>
          <w:lang w:val="fr-FR"/>
        </w:rPr>
        <w:tab/>
        <w:t>Résines</w:t>
      </w:r>
    </w:p>
    <w:p w14:paraId="64ED2534" w14:textId="77777777" w:rsidR="00DD3554" w:rsidRPr="00076651" w:rsidRDefault="00DD3554" w:rsidP="00DD3554">
      <w:pPr>
        <w:pStyle w:val="SingleTxtG"/>
        <w:tabs>
          <w:tab w:val="clear" w:pos="1701"/>
        </w:tabs>
      </w:pPr>
      <w:r w:rsidRPr="00076651">
        <w:rPr>
          <w:lang w:val="fr-FR"/>
        </w:rPr>
        <w:lastRenderedPageBreak/>
        <w:tab/>
        <w:t>Le traitement du mélange de résine doit être effectué strictement selon les recommandations du fournisseur. Cela est notamment le cas des durcisseurs, des amorceurs et des accélérateurs. Les résines peuvent être :</w:t>
      </w:r>
    </w:p>
    <w:p w14:paraId="78B91FC4" w14:textId="77777777" w:rsidR="00DD3554" w:rsidRPr="00076651" w:rsidRDefault="00DD3554" w:rsidP="00DD3554">
      <w:pPr>
        <w:pStyle w:val="SingleTxtG"/>
        <w:ind w:left="2268"/>
        <w:rPr>
          <w:bCs/>
          <w:color w:val="000000"/>
        </w:rPr>
      </w:pPr>
      <w:r w:rsidRPr="00076651">
        <w:rPr>
          <w:lang w:val="fr-FR"/>
        </w:rPr>
        <w:t>a)</w:t>
      </w:r>
      <w:r w:rsidRPr="00076651">
        <w:rPr>
          <w:lang w:val="fr-FR"/>
        </w:rPr>
        <w:tab/>
        <w:t>Des résines polyester non saturées ;</w:t>
      </w:r>
    </w:p>
    <w:p w14:paraId="7104A746" w14:textId="77777777" w:rsidR="00DD3554" w:rsidRPr="00076651" w:rsidRDefault="00DD3554" w:rsidP="00DD3554">
      <w:pPr>
        <w:pStyle w:val="SingleTxtG"/>
        <w:ind w:left="2268"/>
        <w:rPr>
          <w:bCs/>
          <w:color w:val="000000"/>
        </w:rPr>
      </w:pPr>
      <w:r w:rsidRPr="00076651">
        <w:rPr>
          <w:lang w:val="fr-FR"/>
        </w:rPr>
        <w:t>b)</w:t>
      </w:r>
      <w:r w:rsidRPr="00076651">
        <w:rPr>
          <w:lang w:val="fr-FR"/>
        </w:rPr>
        <w:tab/>
        <w:t xml:space="preserve">Des résines </w:t>
      </w:r>
      <w:proofErr w:type="spellStart"/>
      <w:r w:rsidRPr="00076651">
        <w:rPr>
          <w:lang w:val="fr-FR"/>
        </w:rPr>
        <w:t>vinylester</w:t>
      </w:r>
      <w:proofErr w:type="spellEnd"/>
      <w:r w:rsidRPr="00076651">
        <w:rPr>
          <w:lang w:val="fr-FR"/>
        </w:rPr>
        <w:t> ;</w:t>
      </w:r>
    </w:p>
    <w:p w14:paraId="5A92190C" w14:textId="77777777" w:rsidR="00DD3554" w:rsidRPr="00076651" w:rsidRDefault="00DD3554" w:rsidP="00DD3554">
      <w:pPr>
        <w:pStyle w:val="SingleTxtG"/>
        <w:ind w:left="2268"/>
        <w:rPr>
          <w:bCs/>
          <w:color w:val="000000"/>
        </w:rPr>
      </w:pPr>
      <w:r w:rsidRPr="00076651">
        <w:rPr>
          <w:lang w:val="fr-FR"/>
        </w:rPr>
        <w:t>c)</w:t>
      </w:r>
      <w:r w:rsidRPr="00076651">
        <w:rPr>
          <w:lang w:val="fr-FR"/>
        </w:rPr>
        <w:tab/>
        <w:t>Des résines époxydes ;</w:t>
      </w:r>
    </w:p>
    <w:p w14:paraId="31D7BB80" w14:textId="77777777" w:rsidR="00DD3554" w:rsidRPr="00076651" w:rsidRDefault="00DD3554" w:rsidP="00DD3554">
      <w:pPr>
        <w:pStyle w:val="SingleTxtG"/>
        <w:ind w:left="2268"/>
        <w:rPr>
          <w:bCs/>
          <w:color w:val="000000"/>
        </w:rPr>
      </w:pPr>
      <w:r w:rsidRPr="00076651">
        <w:rPr>
          <w:lang w:val="fr-FR"/>
        </w:rPr>
        <w:t>d)</w:t>
      </w:r>
      <w:r w:rsidRPr="00076651">
        <w:rPr>
          <w:lang w:val="fr-FR"/>
        </w:rPr>
        <w:tab/>
        <w:t xml:space="preserve">Des résines phénoliques ; </w:t>
      </w:r>
    </w:p>
    <w:p w14:paraId="3C40E4AF" w14:textId="77777777" w:rsidR="00DD3554" w:rsidRPr="00076651" w:rsidRDefault="00DD3554" w:rsidP="00DD3554">
      <w:pPr>
        <w:pStyle w:val="SingleTxtG"/>
        <w:ind w:left="2268"/>
        <w:rPr>
          <w:bCs/>
          <w:color w:val="000000"/>
        </w:rPr>
      </w:pPr>
      <w:r w:rsidRPr="00076651">
        <w:rPr>
          <w:lang w:val="fr-FR"/>
        </w:rPr>
        <w:t>e)</w:t>
      </w:r>
      <w:r w:rsidRPr="00076651">
        <w:rPr>
          <w:lang w:val="fr-FR"/>
        </w:rPr>
        <w:tab/>
        <w:t>Des résines thermoplastiques.</w:t>
      </w:r>
    </w:p>
    <w:p w14:paraId="2091D67B" w14:textId="77777777" w:rsidR="00DD3554" w:rsidRPr="00076651" w:rsidRDefault="00DD3554" w:rsidP="00DD3554">
      <w:pPr>
        <w:pStyle w:val="SingleTxtG"/>
        <w:tabs>
          <w:tab w:val="clear" w:pos="1701"/>
        </w:tabs>
      </w:pPr>
      <w:r w:rsidRPr="00076651">
        <w:rPr>
          <w:lang w:val="fr-FR"/>
        </w:rPr>
        <w:tab/>
        <w:t>La température de distorsion thermique (HDT) de la résine et du PRF, déterminée conformément à la norme ISO 75-1:2020, doit être supérieure d’au moins 20 °C à la température de service maximale de la citerne, mais ne doit en aucun cas être inférieure à 70 °C.</w:t>
      </w:r>
    </w:p>
    <w:p w14:paraId="15DDFC69" w14:textId="77777777" w:rsidR="00DD3554" w:rsidRPr="00076651" w:rsidRDefault="00DD3554" w:rsidP="00DD3554">
      <w:pPr>
        <w:pStyle w:val="SingleTxtG"/>
        <w:tabs>
          <w:tab w:val="clear" w:pos="1701"/>
        </w:tabs>
        <w:ind w:left="2268" w:hanging="1134"/>
      </w:pPr>
      <w:r w:rsidRPr="00076651">
        <w:rPr>
          <w:lang w:val="fr-FR"/>
        </w:rPr>
        <w:t>6.9.3.2.4.2</w:t>
      </w:r>
      <w:r w:rsidRPr="00076651">
        <w:rPr>
          <w:lang w:val="fr-FR"/>
        </w:rPr>
        <w:tab/>
        <w:t>Adjuvants</w:t>
      </w:r>
    </w:p>
    <w:p w14:paraId="002905D1" w14:textId="77777777" w:rsidR="00DD3554" w:rsidRPr="00076651" w:rsidRDefault="00DD3554" w:rsidP="00DD3554">
      <w:pPr>
        <w:pStyle w:val="SingleTxtG"/>
        <w:tabs>
          <w:tab w:val="clear" w:pos="1701"/>
        </w:tabs>
      </w:pPr>
      <w:r w:rsidRPr="00076651">
        <w:rPr>
          <w:lang w:val="fr-FR"/>
        </w:rPr>
        <w:tab/>
        <w:t>Les adjuvants nécessaires pour le traitement de la résine, tels que catalyseurs, accélérateurs, durcisseurs et matières thixotropiques, de même que les matériaux utilisés pour améliorer les caractéristiques de l’équipement de service en PRF, tels que charges, colorants, pigments, etc., ne doivent pas affaiblir le matériau, compte tenu de la durée de vie et de la température de fonctionnement prévue selon le type.</w:t>
      </w:r>
    </w:p>
    <w:p w14:paraId="40D0C2D8" w14:textId="77777777" w:rsidR="00DD3554" w:rsidRPr="00076651" w:rsidRDefault="00DD3554" w:rsidP="00DD3554">
      <w:pPr>
        <w:pStyle w:val="SingleTxtG"/>
        <w:tabs>
          <w:tab w:val="clear" w:pos="1701"/>
        </w:tabs>
        <w:ind w:left="2268" w:hanging="1134"/>
      </w:pPr>
      <w:r w:rsidRPr="00076651">
        <w:rPr>
          <w:lang w:val="fr-FR"/>
        </w:rPr>
        <w:t>6.9.3.2.4.3</w:t>
      </w:r>
      <w:r w:rsidRPr="00076651">
        <w:rPr>
          <w:lang w:val="fr-FR"/>
        </w:rPr>
        <w:tab/>
        <w:t>Fibres de renforcement</w:t>
      </w:r>
    </w:p>
    <w:p w14:paraId="23CFC0D9" w14:textId="77777777" w:rsidR="00DD3554" w:rsidRPr="00076651" w:rsidRDefault="00DD3554" w:rsidP="00DD3554">
      <w:pPr>
        <w:pStyle w:val="SingleTxtG"/>
        <w:tabs>
          <w:tab w:val="clear" w:pos="1701"/>
        </w:tabs>
      </w:pPr>
      <w:r w:rsidRPr="00076651">
        <w:rPr>
          <w:lang w:val="fr-FR"/>
        </w:rPr>
        <w:tab/>
        <w:t>Les fibres de renforcement doivent être des fibres coupées ou des fibres continues de plusieurs types.</w:t>
      </w:r>
    </w:p>
    <w:p w14:paraId="742607AA" w14:textId="77777777" w:rsidR="00DD3554" w:rsidRPr="00076651" w:rsidRDefault="00DD3554" w:rsidP="00DD3554">
      <w:pPr>
        <w:pStyle w:val="SingleTxtG"/>
        <w:tabs>
          <w:tab w:val="clear" w:pos="1701"/>
        </w:tabs>
      </w:pPr>
      <w:r w:rsidRPr="00076651">
        <w:rPr>
          <w:lang w:val="fr-FR"/>
        </w:rPr>
        <w:t>6.9.3.2.4.4</w:t>
      </w:r>
      <w:r w:rsidRPr="00076651">
        <w:rPr>
          <w:lang w:val="fr-FR"/>
        </w:rPr>
        <w:tab/>
        <w:t>Les équipements de service en PRF doivent être fabriqués par moulage par compression, injection, injection réactive sur renforts ou au contact. D’autres technologies de fabrication peuvent être utilisées avec l’accord de l’autorité compétente.</w:t>
      </w:r>
    </w:p>
    <w:p w14:paraId="720105DB" w14:textId="77777777" w:rsidR="00DD3554" w:rsidRPr="00076651" w:rsidRDefault="00DD3554" w:rsidP="00DD3554">
      <w:pPr>
        <w:pStyle w:val="SingleTxtG"/>
        <w:tabs>
          <w:tab w:val="clear" w:pos="1701"/>
        </w:tabs>
        <w:ind w:left="2268" w:hanging="1134"/>
        <w:rPr>
          <w:b/>
          <w:i/>
          <w:iCs/>
        </w:rPr>
      </w:pPr>
      <w:r w:rsidRPr="00076651">
        <w:rPr>
          <w:b/>
          <w:lang w:val="fr-FR"/>
        </w:rPr>
        <w:t>6.9.3.3</w:t>
      </w:r>
      <w:r w:rsidRPr="00076651">
        <w:rPr>
          <w:b/>
          <w:lang w:val="fr-FR"/>
        </w:rPr>
        <w:tab/>
      </w:r>
      <w:r w:rsidRPr="00076651">
        <w:rPr>
          <w:b/>
          <w:i/>
          <w:iCs/>
          <w:lang w:val="fr-FR"/>
        </w:rPr>
        <w:t>Critères de conception</w:t>
      </w:r>
    </w:p>
    <w:p w14:paraId="2C4AA190" w14:textId="77777777" w:rsidR="00DD3554" w:rsidRPr="00076651" w:rsidRDefault="00DD3554" w:rsidP="00DD3554">
      <w:pPr>
        <w:pStyle w:val="SingleTxtG"/>
        <w:tabs>
          <w:tab w:val="clear" w:pos="1701"/>
        </w:tabs>
      </w:pPr>
      <w:r w:rsidRPr="00076651">
        <w:rPr>
          <w:lang w:val="fr-FR"/>
        </w:rPr>
        <w:t>6.9.3.3.1</w:t>
      </w:r>
      <w:r w:rsidRPr="00076651">
        <w:rPr>
          <w:lang w:val="fr-FR"/>
        </w:rPr>
        <w:tab/>
        <w:t>Les équipements de service en PRF doivent être conçus de façon à se prêter à une analyse mathématique ou expérimentale des contraintes au moyen de jauges de contrainte à fil résistant ou d’autres méthodes agréées par l’autorité compétente.</w:t>
      </w:r>
    </w:p>
    <w:p w14:paraId="4624E6A8" w14:textId="77777777" w:rsidR="00DD3554" w:rsidRPr="00076651" w:rsidRDefault="00DD3554" w:rsidP="00DD3554">
      <w:pPr>
        <w:pStyle w:val="SingleTxtG"/>
        <w:tabs>
          <w:tab w:val="clear" w:pos="1701"/>
        </w:tabs>
      </w:pPr>
      <w:r w:rsidRPr="00076651">
        <w:rPr>
          <w:lang w:val="fr-FR"/>
        </w:rPr>
        <w:t>6.9.3.3.2</w:t>
      </w:r>
      <w:r w:rsidRPr="00076651">
        <w:rPr>
          <w:lang w:val="fr-FR"/>
        </w:rPr>
        <w:tab/>
        <w:t>Les équipements de service en PRF doivent être conçus et fabriqués de façon à résister aux pressions d’épreuve indiquées au 6.9.3.2.3.3.</w:t>
      </w:r>
    </w:p>
    <w:p w14:paraId="10B1909A" w14:textId="77777777" w:rsidR="00DD3554" w:rsidRPr="00076651" w:rsidRDefault="00DD3554" w:rsidP="00DD3554">
      <w:pPr>
        <w:pStyle w:val="SingleTxtG"/>
        <w:tabs>
          <w:tab w:val="clear" w:pos="1701"/>
        </w:tabs>
      </w:pPr>
      <w:r w:rsidRPr="00076651">
        <w:rPr>
          <w:lang w:val="fr-FR"/>
        </w:rPr>
        <w:t>6.9.3.3.3</w:t>
      </w:r>
      <w:r w:rsidRPr="00076651">
        <w:rPr>
          <w:lang w:val="fr-FR"/>
        </w:rPr>
        <w:tab/>
        <w:t>À la pression d’épreuve prescrite, la déformation maximale relative due à la traction mesurée dans l’équipement de service en PRF, en mm/mm, ne doit pas entraîner la formation de microfissures et ne doit donc pas dépasser le premier point de rupture ou d’endommagement de la résine à l’allongement, mesuré lors des essais de traction prescrits aux 6.9.2.7.1.2 c) et 6.9.3.4.1.1.</w:t>
      </w:r>
    </w:p>
    <w:p w14:paraId="0705280F" w14:textId="77777777" w:rsidR="00DD3554" w:rsidRPr="00076651" w:rsidRDefault="00DD3554" w:rsidP="00DD3554">
      <w:pPr>
        <w:pStyle w:val="SingleTxtG"/>
        <w:tabs>
          <w:tab w:val="clear" w:pos="1701"/>
        </w:tabs>
      </w:pPr>
      <w:r w:rsidRPr="00076651">
        <w:rPr>
          <w:lang w:val="fr-FR"/>
        </w:rPr>
        <w:t>6.9.3.3.4</w:t>
      </w:r>
      <w:r w:rsidRPr="00076651">
        <w:rPr>
          <w:lang w:val="fr-FR"/>
        </w:rPr>
        <w:tab/>
        <w:t>Pour la pression d’épreuve interne prescrite au 6.9.3.2.3.3, les critères de défaillance (FC) ne doivent pas dépasser la valeur suivante :</w:t>
      </w:r>
    </w:p>
    <w:p w14:paraId="6BDE7F32" w14:textId="390129FD" w:rsidR="00DD3554" w:rsidRPr="00076651" w:rsidRDefault="00076651" w:rsidP="00DD3554">
      <w:pPr>
        <w:pStyle w:val="SingleTxtG"/>
        <w:ind w:left="2268"/>
        <w:rPr>
          <w:i/>
          <w:iCs/>
          <w:lang w:val="en-GB"/>
        </w:rPr>
      </w:pPr>
      <m:oMathPara>
        <m:oMathParaPr>
          <m:jc m:val="center"/>
        </m:oMathParaPr>
        <m:oMath>
          <m:r>
            <w:rPr>
              <w:rFonts w:ascii="Cambria Math" w:hAnsi="Cambria Math"/>
              <w:lang w:val="en-GB"/>
            </w:rPr>
            <m:t>FC≤</m:t>
          </m:r>
          <m:f>
            <m:fPr>
              <m:ctrlPr>
                <w:rPr>
                  <w:rFonts w:ascii="Cambria Math" w:hAnsi="Cambria Math"/>
                  <w:i/>
                  <w:iCs/>
                  <w:lang w:val="en-GB"/>
                </w:rPr>
              </m:ctrlPr>
            </m:fPr>
            <m:num>
              <m:r>
                <w:rPr>
                  <w:rFonts w:ascii="Cambria Math" w:hAnsi="Cambria Math"/>
                  <w:lang w:val="en-GB"/>
                </w:rPr>
                <m:t>1</m:t>
              </m:r>
            </m:num>
            <m:den>
              <m:r>
                <w:rPr>
                  <w:rFonts w:ascii="Cambria Math" w:hAnsi="Cambria Math"/>
                  <w:lang w:val="en-GB"/>
                </w:rPr>
                <m:t>K</m:t>
              </m:r>
            </m:den>
          </m:f>
          <m:r>
            <w:rPr>
              <w:rFonts w:ascii="Cambria Math" w:hAnsi="Cambria Math"/>
              <w:lang w:val="en-GB"/>
            </w:rPr>
            <m:t xml:space="preserve"> </m:t>
          </m:r>
        </m:oMath>
      </m:oMathPara>
    </w:p>
    <w:p w14:paraId="51C28066" w14:textId="77777777" w:rsidR="00DD3554" w:rsidRPr="00076651" w:rsidRDefault="00DD3554" w:rsidP="00DD3554">
      <w:pPr>
        <w:pStyle w:val="SingleTxtG"/>
        <w:ind w:left="2268"/>
      </w:pPr>
      <w:r w:rsidRPr="00076651">
        <w:rPr>
          <w:lang w:val="fr-FR"/>
        </w:rPr>
        <w:t>où :</w:t>
      </w:r>
    </w:p>
    <w:p w14:paraId="2DC49DCD" w14:textId="14D3C19B" w:rsidR="00DD3554" w:rsidRPr="00076651" w:rsidRDefault="00076651" w:rsidP="00DD3554">
      <w:pPr>
        <w:pStyle w:val="SingleTxtG"/>
        <w:ind w:left="2268"/>
        <w:rPr>
          <w:i/>
          <w:iCs/>
        </w:rPr>
      </w:pPr>
      <m:oMathPara>
        <m:oMathParaPr>
          <m:jc m:val="center"/>
        </m:oMathParaPr>
        <m:oMath>
          <m:r>
            <w:rPr>
              <w:rFonts w:ascii="Cambria Math" w:hAnsi="Cambria Math"/>
            </w:rPr>
            <m:t>K=</m:t>
          </m:r>
          <m:sSub>
            <m:sSubPr>
              <m:ctrlPr>
                <w:rPr>
                  <w:rFonts w:ascii="Cambria Math" w:hAnsi="Cambria Math"/>
                  <w:i/>
                  <w:iCs/>
                </w:rPr>
              </m:ctrlPr>
            </m:sSubPr>
            <m:e>
              <m:r>
                <w:rPr>
                  <w:rFonts w:ascii="Cambria Math" w:hAnsi="Cambria Math"/>
                </w:rPr>
                <m:t>K</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4</m:t>
              </m:r>
            </m:sub>
          </m:sSub>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5</m:t>
              </m:r>
            </m:sub>
          </m:sSub>
        </m:oMath>
      </m:oMathPara>
    </w:p>
    <w:p w14:paraId="6AE685A8" w14:textId="77777777" w:rsidR="00DD3554" w:rsidRPr="00076651" w:rsidRDefault="00DD3554" w:rsidP="00DD3554">
      <w:pPr>
        <w:pStyle w:val="SingleTxtG"/>
        <w:ind w:left="2268"/>
      </w:pPr>
      <w:r w:rsidRPr="00076651">
        <w:rPr>
          <w:lang w:val="fr-FR"/>
        </w:rPr>
        <w:t>où :</w:t>
      </w:r>
    </w:p>
    <w:p w14:paraId="28A2631C" w14:textId="77777777" w:rsidR="00DD3554" w:rsidRPr="00076651" w:rsidRDefault="00DD3554" w:rsidP="00DD3554">
      <w:pPr>
        <w:pStyle w:val="SingleTxtG"/>
        <w:ind w:left="2835" w:hanging="567"/>
      </w:pPr>
      <w:r w:rsidRPr="00076651">
        <w:rPr>
          <w:i/>
          <w:iCs/>
          <w:lang w:val="fr-FR"/>
        </w:rPr>
        <w:t>K</w:t>
      </w:r>
      <w:r w:rsidRPr="00076651">
        <w:rPr>
          <w:lang w:val="fr-FR"/>
        </w:rPr>
        <w:tab/>
        <w:t>doit avoir une valeur minimale de 4.</w:t>
      </w:r>
    </w:p>
    <w:p w14:paraId="78C1045B" w14:textId="0D86BD35" w:rsidR="00DD3554" w:rsidRPr="00076651" w:rsidRDefault="001D496E" w:rsidP="00DD3554">
      <w:pPr>
        <w:pStyle w:val="SingleTxtG"/>
        <w:ind w:left="2835" w:hanging="567"/>
      </w:pP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oMath>
      <w:r w:rsidR="00DD3554" w:rsidRPr="00076651">
        <w:rPr>
          <w:iCs/>
          <w:lang w:val="fr-FR"/>
        </w:rPr>
        <w:t xml:space="preserve"> </w:t>
      </w:r>
      <w:r w:rsidR="00DD3554" w:rsidRPr="00076651">
        <w:rPr>
          <w:lang w:val="fr-FR"/>
        </w:rPr>
        <w:t>sont indiqués au 6.9.2.3.4.</w:t>
      </w:r>
    </w:p>
    <w:p w14:paraId="1FD11970" w14:textId="0269B166" w:rsidR="00DD3554" w:rsidRPr="00076651" w:rsidRDefault="001D496E" w:rsidP="00DD3554">
      <w:pPr>
        <w:pStyle w:val="SingleTxtG"/>
        <w:ind w:left="2835" w:hanging="567"/>
      </w:pPr>
      <m:oMath>
        <m:sSub>
          <m:sSubPr>
            <m:ctrlPr>
              <w:rPr>
                <w:rFonts w:ascii="Cambria Math" w:hAnsi="Cambria Math"/>
                <w:i/>
              </w:rPr>
            </m:ctrlPr>
          </m:sSubPr>
          <m:e>
            <m:r>
              <w:rPr>
                <w:rFonts w:ascii="Cambria Math" w:hAnsi="Cambria Math"/>
              </w:rPr>
              <m:t>K</m:t>
            </m:r>
          </m:e>
          <m:sub>
            <m:r>
              <w:rPr>
                <w:rFonts w:ascii="Cambria Math" w:hAnsi="Cambria Math"/>
              </w:rPr>
              <m:t>5</m:t>
            </m:r>
          </m:sub>
        </m:sSub>
      </m:oMath>
      <w:r w:rsidR="00DD3554" w:rsidRPr="00076651">
        <w:rPr>
          <w:lang w:val="fr-FR"/>
        </w:rPr>
        <w:tab/>
        <w:t>est un facteur lié à la détérioration des propriétés du matériau due aux effets de l’exposition au brouillard salin et au rayonnement ultraviolet, déterminé par la formule :</w:t>
      </w:r>
    </w:p>
    <w:p w14:paraId="33C99343" w14:textId="10478491" w:rsidR="00DD3554" w:rsidRPr="00076651" w:rsidRDefault="001D496E" w:rsidP="00DD3554">
      <w:pPr>
        <w:pStyle w:val="SingleTxtG"/>
        <w:ind w:left="2835"/>
        <w:rPr>
          <w:i/>
        </w:rPr>
      </w:pPr>
      <m:oMathPara>
        <m:oMathParaPr>
          <m:jc m:val="center"/>
        </m:oMathParaPr>
        <m:oMath>
          <m:sSub>
            <m:sSubPr>
              <m:ctrlPr>
                <w:rPr>
                  <w:rFonts w:ascii="Cambria Math" w:hAnsi="Cambria Math"/>
                  <w:i/>
                </w:rPr>
              </m:ctrlPr>
            </m:sSubPr>
            <m:e>
              <m:r>
                <w:rPr>
                  <w:rFonts w:ascii="Cambria Math" w:hAnsi="Cambria Math"/>
                </w:rPr>
                <m:t>K</m:t>
              </m:r>
            </m:e>
            <m:sub>
              <m:r>
                <w:rPr>
                  <w:rFonts w:ascii="Cambria Math" w:hAnsi="Cambria Math"/>
                </w:rPr>
                <m:t>5</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n</m:t>
                  </m:r>
                </m:sub>
              </m:sSub>
            </m:num>
            <m:den>
              <m:sSub>
                <m:sSubPr>
                  <m:ctrlPr>
                    <w:rPr>
                      <w:rFonts w:ascii="Cambria Math" w:hAnsi="Cambria Math"/>
                      <w:i/>
                    </w:rPr>
                  </m:ctrlPr>
                </m:sSubPr>
                <m:e>
                  <m:r>
                    <w:rPr>
                      <w:rFonts w:ascii="Cambria Math" w:hAnsi="Cambria Math"/>
                    </w:rPr>
                    <m:t>σ</m:t>
                  </m:r>
                </m:e>
                <m:sub>
                  <m:r>
                    <w:rPr>
                      <w:rFonts w:ascii="Cambria Math" w:hAnsi="Cambria Math"/>
                    </w:rPr>
                    <m:t>eff</m:t>
                  </m:r>
                </m:sub>
              </m:sSub>
            </m:den>
          </m:f>
        </m:oMath>
      </m:oMathPara>
    </w:p>
    <w:p w14:paraId="5723464F" w14:textId="77777777" w:rsidR="00DD3554" w:rsidRPr="00076651" w:rsidRDefault="00DD3554" w:rsidP="00DD3554">
      <w:pPr>
        <w:pStyle w:val="SingleTxtG"/>
        <w:ind w:left="2835" w:hanging="567"/>
      </w:pPr>
      <w:r w:rsidRPr="00076651">
        <w:rPr>
          <w:lang w:val="fr-FR"/>
        </w:rPr>
        <w:t>où :</w:t>
      </w:r>
    </w:p>
    <w:p w14:paraId="7F4D1DC9" w14:textId="79DF2899" w:rsidR="00DD3554" w:rsidRPr="00076651" w:rsidRDefault="001D496E" w:rsidP="00DD3554">
      <w:pPr>
        <w:pStyle w:val="SingleTxtG"/>
        <w:ind w:left="2835" w:hanging="567"/>
      </w:pPr>
      <m:oMath>
        <m:sSub>
          <m:sSubPr>
            <m:ctrlPr>
              <w:rPr>
                <w:rFonts w:ascii="Cambria Math" w:hAnsi="Cambria Math"/>
                <w:i/>
              </w:rPr>
            </m:ctrlPr>
          </m:sSubPr>
          <m:e>
            <m:r>
              <w:rPr>
                <w:rFonts w:ascii="Cambria Math" w:hAnsi="Cambria Math"/>
              </w:rPr>
              <m:t>σ</m:t>
            </m:r>
          </m:e>
          <m:sub>
            <m:r>
              <w:rPr>
                <w:rFonts w:ascii="Cambria Math" w:hAnsi="Cambria Math"/>
              </w:rPr>
              <m:t>n</m:t>
            </m:r>
          </m:sub>
        </m:sSub>
      </m:oMath>
      <w:r w:rsidR="00DD3554" w:rsidRPr="00076651">
        <w:rPr>
          <w:lang w:val="fr-FR"/>
        </w:rPr>
        <w:tab/>
        <w:t xml:space="preserve">est la résistance à la traction nominale (dans des conditions normales) du matériau en PRF et </w:t>
      </w:r>
      <m:oMath>
        <m:sSub>
          <m:sSubPr>
            <m:ctrlPr>
              <w:rPr>
                <w:rFonts w:ascii="Cambria Math" w:hAnsi="Cambria Math"/>
                <w:i/>
              </w:rPr>
            </m:ctrlPr>
          </m:sSubPr>
          <m:e>
            <m:r>
              <w:rPr>
                <w:rFonts w:ascii="Cambria Math" w:hAnsi="Cambria Math"/>
              </w:rPr>
              <m:t>σ</m:t>
            </m:r>
          </m:e>
          <m:sub>
            <m:r>
              <w:rPr>
                <w:rFonts w:ascii="Cambria Math" w:hAnsi="Cambria Math"/>
              </w:rPr>
              <m:t>eff</m:t>
            </m:r>
          </m:sub>
        </m:sSub>
      </m:oMath>
      <w:r w:rsidR="00DD3554" w:rsidRPr="00076651">
        <w:rPr>
          <w:rFonts w:eastAsiaTheme="minorEastAsia"/>
        </w:rPr>
        <w:t xml:space="preserve"> </w:t>
      </w:r>
      <w:r w:rsidR="00DD3554" w:rsidRPr="00076651">
        <w:rPr>
          <w:lang w:val="fr-FR"/>
        </w:rPr>
        <w:t>est la résistance à la traction du matériau après une exposition consécutive au brouillard salin, conformément aux normes ISO 12944-2:2017 et ISO 12944-6:2018, pendant 168 h à +(35 </w:t>
      </w:r>
      <w:r w:rsidR="00DD3554" w:rsidRPr="00076651">
        <w:rPr>
          <w:lang w:val="fr-FR"/>
        </w:rPr>
        <w:sym w:font="Symbol" w:char="F0B1"/>
      </w:r>
      <w:r w:rsidR="00DD3554" w:rsidRPr="00076651">
        <w:rPr>
          <w:lang w:val="fr-FR"/>
        </w:rPr>
        <w:t> 2) °С, et aux rayons ultraviolets, conformément à la norme ISO 4892-2, pendant 168 h à +(23 </w:t>
      </w:r>
      <w:r w:rsidR="00DD3554" w:rsidRPr="00076651">
        <w:rPr>
          <w:lang w:val="fr-FR"/>
        </w:rPr>
        <w:sym w:font="Symbol" w:char="F0B1"/>
      </w:r>
      <w:r w:rsidR="00DD3554" w:rsidRPr="00076651">
        <w:rPr>
          <w:lang w:val="fr-FR"/>
        </w:rPr>
        <w:t> 2) °С.</w:t>
      </w:r>
    </w:p>
    <w:p w14:paraId="4C7CA719" w14:textId="19348B0E" w:rsidR="00DD3554" w:rsidRPr="00076651" w:rsidRDefault="001D496E" w:rsidP="00DD3554">
      <w:pPr>
        <w:pStyle w:val="SingleTxtG"/>
        <w:ind w:left="2835" w:hanging="567"/>
      </w:pPr>
      <m:oMath>
        <m:sSub>
          <m:sSubPr>
            <m:ctrlPr>
              <w:rPr>
                <w:rFonts w:ascii="Cambria Math" w:hAnsi="Cambria Math"/>
                <w:i/>
              </w:rPr>
            </m:ctrlPr>
          </m:sSubPr>
          <m:e>
            <m:r>
              <w:rPr>
                <w:rFonts w:ascii="Cambria Math" w:hAnsi="Cambria Math"/>
              </w:rPr>
              <m:t>σ</m:t>
            </m:r>
          </m:e>
          <m:sub>
            <m:r>
              <w:rPr>
                <w:rFonts w:ascii="Cambria Math" w:hAnsi="Cambria Math"/>
              </w:rPr>
              <m:t>eff</m:t>
            </m:r>
          </m:sub>
        </m:sSub>
      </m:oMath>
      <w:r w:rsidR="00DD3554" w:rsidRPr="00076651">
        <w:rPr>
          <w:lang w:val="fr-FR"/>
        </w:rPr>
        <w:tab/>
        <w:t>est la valeur minimum (</w:t>
      </w:r>
      <m:oMath>
        <m:sSub>
          <m:sSubPr>
            <m:ctrlPr>
              <w:rPr>
                <w:rFonts w:ascii="Cambria Math" w:hAnsi="Cambria Math"/>
                <w:iCs/>
              </w:rPr>
            </m:ctrlPr>
          </m:sSubPr>
          <m:e>
            <m:r>
              <m:rPr>
                <m:sty m:val="p"/>
              </m:rPr>
              <w:rPr>
                <w:rFonts w:ascii="Cambria Math" w:hAnsi="Cambria Math"/>
              </w:rPr>
              <m:t>σ</m:t>
            </m:r>
          </m:e>
          <m:sub>
            <m:r>
              <m:rPr>
                <m:sty m:val="p"/>
              </m:rPr>
              <w:rPr>
                <w:rFonts w:ascii="Cambria Math" w:hAnsi="Cambria Math"/>
              </w:rPr>
              <m:t>eff1</m:t>
            </m:r>
          </m:sub>
        </m:sSub>
      </m:oMath>
      <w:r w:rsidR="00DD3554" w:rsidRPr="00076651">
        <w:rPr>
          <w:lang w:val="fr-FR"/>
        </w:rPr>
        <w:t xml:space="preserve">, </w:t>
      </w:r>
      <m:oMath>
        <m:sSub>
          <m:sSubPr>
            <m:ctrlPr>
              <w:rPr>
                <w:rFonts w:ascii="Cambria Math" w:hAnsi="Cambria Math"/>
                <w:iCs/>
              </w:rPr>
            </m:ctrlPr>
          </m:sSubPr>
          <m:e>
            <m:r>
              <m:rPr>
                <m:sty m:val="p"/>
              </m:rPr>
              <w:rPr>
                <w:rFonts w:ascii="Cambria Math" w:hAnsi="Cambria Math"/>
              </w:rPr>
              <m:t>σ</m:t>
            </m:r>
          </m:e>
          <m:sub>
            <m:r>
              <m:rPr>
                <m:sty m:val="p"/>
              </m:rPr>
              <w:rPr>
                <w:rFonts w:ascii="Cambria Math" w:hAnsi="Cambria Math"/>
              </w:rPr>
              <m:t>eff2</m:t>
            </m:r>
          </m:sub>
        </m:sSub>
      </m:oMath>
      <w:r w:rsidR="00DD3554" w:rsidRPr="00076651">
        <w:rPr>
          <w:lang w:val="fr-FR"/>
        </w:rPr>
        <w:t xml:space="preserve">, …, </w:t>
      </w:r>
      <m:oMath>
        <m:sSub>
          <m:sSubPr>
            <m:ctrlPr>
              <w:rPr>
                <w:rFonts w:ascii="Cambria Math" w:hAnsi="Cambria Math"/>
                <w:iCs/>
              </w:rPr>
            </m:ctrlPr>
          </m:sSubPr>
          <m:e>
            <m:r>
              <m:rPr>
                <m:sty m:val="p"/>
              </m:rPr>
              <w:rPr>
                <w:rFonts w:ascii="Cambria Math" w:hAnsi="Cambria Math"/>
              </w:rPr>
              <m:t>σ</m:t>
            </m:r>
          </m:e>
          <m:sub>
            <m:r>
              <m:rPr>
                <m:sty m:val="p"/>
              </m:rPr>
              <w:rPr>
                <w:rFonts w:ascii="Cambria Math" w:hAnsi="Cambria Math"/>
              </w:rPr>
              <m:t>effk</m:t>
            </m:r>
          </m:sub>
        </m:sSub>
      </m:oMath>
      <w:r w:rsidR="00DD3554" w:rsidRPr="00076651">
        <w:rPr>
          <w:lang w:val="fr-FR"/>
        </w:rPr>
        <w:t>), où 1, 2, ... k sont les identifiants des matières approuvées pour être transportées par la citerne mobile concernée. Si un revêtement de protection est utilisé, les échantillons ainsi revêtus doivent être fabriqués et soumis à l’essai.</w:t>
      </w:r>
    </w:p>
    <w:p w14:paraId="65234651" w14:textId="77777777" w:rsidR="00DD3554" w:rsidRPr="00076651" w:rsidRDefault="00DD3554" w:rsidP="00DD3554">
      <w:pPr>
        <w:pStyle w:val="SingleTxtG"/>
        <w:tabs>
          <w:tab w:val="clear" w:pos="1701"/>
        </w:tabs>
      </w:pPr>
      <w:r w:rsidRPr="00076651">
        <w:rPr>
          <w:lang w:val="fr-FR"/>
        </w:rPr>
        <w:tab/>
        <w:t>Un exercice de validation de la conception s’appuyant sur une analyse numérique et sur un critère pertinent de défaillance des composites doit être réalisé pour vérifier que les contraintes des équipements de service en PRF présentent des valeurs inférieures aux valeurs admissibles. Les critères pertinents de défaillance des composites comprennent, entre autres, la méthode SIFT (</w:t>
      </w:r>
      <w:proofErr w:type="spellStart"/>
      <w:r w:rsidRPr="00076651">
        <w:rPr>
          <w:lang w:val="fr-FR"/>
        </w:rPr>
        <w:t>Strain</w:t>
      </w:r>
      <w:proofErr w:type="spellEnd"/>
      <w:r w:rsidRPr="00076651">
        <w:rPr>
          <w:lang w:val="fr-FR"/>
        </w:rPr>
        <w:t xml:space="preserve"> Invariant Failure Theory), le critère de déformation maximale ou le critère de contrainte maximale. D’autres relations pour le critère de résistance sont autorisés avec l’accord de l’autorité compétente. La méthode de cet exercice de validation de la conception, des éléments attestant de la pertinence du critère de défaillance retenu, assorti d’une liste des expériences à mener pour tous les paramètres visés par ledit critère, et les résultats obtenus doivent être communiqués à l’autorité compétente.</w:t>
      </w:r>
    </w:p>
    <w:p w14:paraId="154D8245" w14:textId="77777777" w:rsidR="00DD3554" w:rsidRPr="00076651" w:rsidRDefault="00DD3554" w:rsidP="00DD3554">
      <w:pPr>
        <w:pStyle w:val="SingleTxtG"/>
        <w:tabs>
          <w:tab w:val="clear" w:pos="1701"/>
        </w:tabs>
      </w:pPr>
      <w:r w:rsidRPr="00076651">
        <w:rPr>
          <w:lang w:val="fr-FR"/>
        </w:rPr>
        <w:tab/>
        <w:t>Les paramètres visés par le critère de défaillance retenu doivent être évalués sur la base des expériences correspondantes et des critères de déformation maximale en tension prescrits au 6.9.2.3.5, associés au facteur de sécurité K. Au minimum, toutes les expériences définies au 6.9.3.4.2 doivent être menées.</w:t>
      </w:r>
    </w:p>
    <w:p w14:paraId="598B59AC" w14:textId="77777777" w:rsidR="00DD3554" w:rsidRPr="00076651" w:rsidRDefault="00DD3554" w:rsidP="00DD3554">
      <w:pPr>
        <w:pStyle w:val="SingleTxtG"/>
        <w:tabs>
          <w:tab w:val="clear" w:pos="1701"/>
        </w:tabs>
      </w:pPr>
      <w:r w:rsidRPr="00076651">
        <w:rPr>
          <w:lang w:val="fr-FR"/>
        </w:rPr>
        <w:t>6.9.3.3.5</w:t>
      </w:r>
      <w:r w:rsidRPr="00076651">
        <w:rPr>
          <w:lang w:val="fr-FR"/>
        </w:rPr>
        <w:tab/>
        <w:t>La résistance des équipements de service en PRF et des joints qui les relient au réservoir de la citerne mobile doit être calculée au moyen de la méthode des éléments finis. Les singularités doivent être traitées suivant une méthode adéquate conformément au code pour appareils à pression applicable.</w:t>
      </w:r>
    </w:p>
    <w:p w14:paraId="51FBF5B3" w14:textId="77777777" w:rsidR="00DD3554" w:rsidRPr="00076651" w:rsidRDefault="00DD3554" w:rsidP="00DD3554">
      <w:pPr>
        <w:pStyle w:val="SingleTxtG"/>
        <w:tabs>
          <w:tab w:val="clear" w:pos="1701"/>
        </w:tabs>
        <w:ind w:left="2268" w:hanging="1134"/>
        <w:rPr>
          <w:b/>
          <w:i/>
          <w:iCs/>
        </w:rPr>
      </w:pPr>
      <w:r w:rsidRPr="00076651">
        <w:rPr>
          <w:b/>
          <w:lang w:val="fr-FR"/>
        </w:rPr>
        <w:t>6.9.3.4</w:t>
      </w:r>
      <w:r w:rsidRPr="00076651">
        <w:rPr>
          <w:b/>
          <w:lang w:val="fr-FR"/>
        </w:rPr>
        <w:tab/>
      </w:r>
      <w:r w:rsidRPr="00076651">
        <w:rPr>
          <w:b/>
          <w:i/>
          <w:iCs/>
          <w:lang w:val="fr-FR"/>
        </w:rPr>
        <w:t>Essais des matériaux</w:t>
      </w:r>
    </w:p>
    <w:p w14:paraId="4A0DA22D" w14:textId="77777777" w:rsidR="00DD3554" w:rsidRPr="00076651" w:rsidRDefault="00DD3554" w:rsidP="00DD3554">
      <w:pPr>
        <w:pStyle w:val="SingleTxtG"/>
        <w:tabs>
          <w:tab w:val="clear" w:pos="1701"/>
        </w:tabs>
        <w:ind w:left="2268" w:hanging="1134"/>
        <w:rPr>
          <w:bCs/>
        </w:rPr>
      </w:pPr>
      <w:r w:rsidRPr="00076651">
        <w:rPr>
          <w:bCs/>
          <w:lang w:val="fr-FR"/>
        </w:rPr>
        <w:t>6.9.3.4.1</w:t>
      </w:r>
      <w:r w:rsidRPr="00076651">
        <w:rPr>
          <w:bCs/>
          <w:lang w:val="fr-FR"/>
        </w:rPr>
        <w:tab/>
      </w:r>
      <w:r w:rsidRPr="00076651">
        <w:rPr>
          <w:bCs/>
          <w:i/>
          <w:iCs/>
          <w:lang w:val="fr-FR"/>
        </w:rPr>
        <w:t>Résines</w:t>
      </w:r>
    </w:p>
    <w:p w14:paraId="08138380" w14:textId="77777777" w:rsidR="00DD3554" w:rsidRPr="00076651" w:rsidRDefault="00DD3554" w:rsidP="00DD3554">
      <w:pPr>
        <w:pStyle w:val="SingleTxtG"/>
        <w:tabs>
          <w:tab w:val="clear" w:pos="1701"/>
        </w:tabs>
      </w:pPr>
      <w:r w:rsidRPr="00076651">
        <w:rPr>
          <w:lang w:val="fr-FR"/>
        </w:rPr>
        <w:tab/>
        <w:t>Si des éprouvettes de résine pure sont utilisées pour les essais de matériaux visés aux 6.9.3.4.1.1 et 6.9.3.4.1.2, la résine doit être traitée de la même manière que lorsqu’elle est utilisée dans un matériau composite, compte tenu des rapports de mélange, des adjuvants, de la période post-réticulation et de tout autre paramètre jugé pertinent pour la réticulation.</w:t>
      </w:r>
    </w:p>
    <w:p w14:paraId="6FA86F3C" w14:textId="77777777" w:rsidR="00DD3554" w:rsidRPr="00076651" w:rsidRDefault="00DD3554" w:rsidP="00DD3554">
      <w:pPr>
        <w:pStyle w:val="SingleTxtG"/>
        <w:tabs>
          <w:tab w:val="clear" w:pos="1701"/>
        </w:tabs>
      </w:pPr>
      <w:r w:rsidRPr="00076651">
        <w:rPr>
          <w:lang w:val="fr-FR"/>
        </w:rPr>
        <w:t>6.9.3.4.1.1</w:t>
      </w:r>
      <w:r w:rsidRPr="00076651">
        <w:rPr>
          <w:lang w:val="fr-FR"/>
        </w:rPr>
        <w:tab/>
        <w:t xml:space="preserve">L’allongement à la rupture de la résine doit être éprouvé selon la norme ISО 527-2:2012. </w:t>
      </w:r>
    </w:p>
    <w:p w14:paraId="2BC0314E" w14:textId="77777777" w:rsidR="00DD3554" w:rsidRPr="00076651" w:rsidRDefault="00DD3554" w:rsidP="00DD3554">
      <w:pPr>
        <w:pStyle w:val="SingleTxtG"/>
        <w:tabs>
          <w:tab w:val="clear" w:pos="1701"/>
        </w:tabs>
      </w:pPr>
      <w:r w:rsidRPr="00076651">
        <w:rPr>
          <w:lang w:val="fr-FR"/>
        </w:rPr>
        <w:t>6.9.3.4.1.2</w:t>
      </w:r>
      <w:r w:rsidRPr="00076651">
        <w:rPr>
          <w:lang w:val="fr-FR"/>
        </w:rPr>
        <w:tab/>
        <w:t>La température de distorsion thermique doit être éprouvée selon la norme ISO 75-1:2020.</w:t>
      </w:r>
    </w:p>
    <w:p w14:paraId="07305561" w14:textId="77777777" w:rsidR="00DD3554" w:rsidRPr="00076651" w:rsidRDefault="00DD3554" w:rsidP="00DD3554">
      <w:pPr>
        <w:pStyle w:val="SingleTxtG"/>
        <w:tabs>
          <w:tab w:val="clear" w:pos="1701"/>
        </w:tabs>
        <w:ind w:left="2268" w:hanging="1134"/>
        <w:rPr>
          <w:bCs/>
        </w:rPr>
      </w:pPr>
      <w:r w:rsidRPr="00076651">
        <w:rPr>
          <w:bCs/>
          <w:lang w:val="fr-FR"/>
        </w:rPr>
        <w:t>6.9.3.4.2</w:t>
      </w:r>
      <w:r w:rsidRPr="00076651">
        <w:rPr>
          <w:bCs/>
          <w:lang w:val="fr-FR"/>
        </w:rPr>
        <w:tab/>
      </w:r>
      <w:r w:rsidRPr="00076651">
        <w:rPr>
          <w:bCs/>
          <w:i/>
          <w:iCs/>
          <w:lang w:val="fr-FR"/>
        </w:rPr>
        <w:t>Échantillons-coupons</w:t>
      </w:r>
    </w:p>
    <w:p w14:paraId="64482E1F" w14:textId="77777777" w:rsidR="00DD3554" w:rsidRPr="00076651" w:rsidRDefault="00DD3554" w:rsidP="00DD3554">
      <w:pPr>
        <w:pStyle w:val="SingleTxtG"/>
        <w:tabs>
          <w:tab w:val="clear" w:pos="1701"/>
        </w:tabs>
      </w:pPr>
      <w:r w:rsidRPr="00076651">
        <w:rPr>
          <w:lang w:val="fr-FR"/>
        </w:rPr>
        <w:tab/>
        <w:t>Les échantillons-coupons doivent être fabriqués au moyen de la même technologie que celle utilisée pour les équipements de service en PRF correspondants.</w:t>
      </w:r>
    </w:p>
    <w:p w14:paraId="401E4AD5" w14:textId="77777777" w:rsidR="00DD3554" w:rsidRPr="00076651" w:rsidRDefault="00DD3554" w:rsidP="00DD3554">
      <w:pPr>
        <w:pStyle w:val="SingleTxtG"/>
        <w:tabs>
          <w:tab w:val="clear" w:pos="1701"/>
        </w:tabs>
      </w:pPr>
      <w:r w:rsidRPr="00076651">
        <w:rPr>
          <w:lang w:val="fr-FR"/>
        </w:rPr>
        <w:t>6.9.3.4.2.1</w:t>
      </w:r>
      <w:r w:rsidRPr="00076651">
        <w:rPr>
          <w:lang w:val="fr-FR"/>
        </w:rPr>
        <w:tab/>
        <w:t xml:space="preserve">La résistance à la traction et l’allongement à la rupture doivent être éprouvés conformément aux normes ISO 527-4:2021 ou ISO 527-5:2021 en fonction du type de moulage et de fibres de renforcement utilisés. </w:t>
      </w:r>
    </w:p>
    <w:p w14:paraId="6529929C" w14:textId="77777777" w:rsidR="00DD3554" w:rsidRPr="00076651" w:rsidRDefault="00DD3554" w:rsidP="00DD3554">
      <w:pPr>
        <w:pStyle w:val="SingleTxtG"/>
        <w:tabs>
          <w:tab w:val="clear" w:pos="1701"/>
        </w:tabs>
      </w:pPr>
      <w:r w:rsidRPr="00076651">
        <w:rPr>
          <w:lang w:val="fr-FR"/>
        </w:rPr>
        <w:t>6.9.3.4.2.2</w:t>
      </w:r>
      <w:r w:rsidRPr="00076651">
        <w:rPr>
          <w:lang w:val="fr-FR"/>
        </w:rPr>
        <w:tab/>
        <w:t>La détermination des caractéristiques en compression doit être effectuée dans le sens du plan conformément à la norme ISO 14126:1999 + Cor 1:2001.</w:t>
      </w:r>
    </w:p>
    <w:p w14:paraId="06EA6496" w14:textId="77777777" w:rsidR="00DD3554" w:rsidRPr="00076651" w:rsidRDefault="00DD3554" w:rsidP="00DD3554">
      <w:pPr>
        <w:pStyle w:val="SingleTxtG"/>
        <w:tabs>
          <w:tab w:val="clear" w:pos="1701"/>
        </w:tabs>
      </w:pPr>
      <w:r w:rsidRPr="00076651">
        <w:rPr>
          <w:lang w:val="fr-FR"/>
        </w:rPr>
        <w:lastRenderedPageBreak/>
        <w:t>6.9.3.4.2.3</w:t>
      </w:r>
      <w:r w:rsidRPr="00076651">
        <w:rPr>
          <w:lang w:val="fr-FR"/>
        </w:rPr>
        <w:tab/>
        <w:t>La détermination de la contrainte de cisaillement/déformation au cisaillement dans le plan et du module de cisaillement doit être effectuée conformément à la norme ISO 20337:2018.</w:t>
      </w:r>
    </w:p>
    <w:p w14:paraId="69216FE8" w14:textId="77777777" w:rsidR="00DD3554" w:rsidRPr="00076651" w:rsidRDefault="00DD3554" w:rsidP="00DD3554">
      <w:pPr>
        <w:pStyle w:val="SingleTxtG"/>
        <w:tabs>
          <w:tab w:val="clear" w:pos="1701"/>
        </w:tabs>
      </w:pPr>
      <w:r w:rsidRPr="00076651">
        <w:rPr>
          <w:lang w:val="fr-FR"/>
        </w:rPr>
        <w:t>6.9.3.4.2.4</w:t>
      </w:r>
      <w:r w:rsidRPr="00076651">
        <w:rPr>
          <w:lang w:val="fr-FR"/>
        </w:rPr>
        <w:tab/>
        <w:t>La masse volumique doit être éprouvée conformément à la norme ISO 1183</w:t>
      </w:r>
      <w:r w:rsidRPr="00076651">
        <w:rPr>
          <w:lang w:val="fr-FR"/>
        </w:rPr>
        <w:noBreakHyphen/>
        <w:t>1:2019.</w:t>
      </w:r>
    </w:p>
    <w:p w14:paraId="42CF17EF" w14:textId="77777777" w:rsidR="00DD3554" w:rsidRPr="00076651" w:rsidRDefault="00DD3554" w:rsidP="00DD3554">
      <w:pPr>
        <w:pStyle w:val="SingleTxtG"/>
        <w:tabs>
          <w:tab w:val="clear" w:pos="1701"/>
        </w:tabs>
      </w:pPr>
      <w:r w:rsidRPr="00076651">
        <w:rPr>
          <w:lang w:val="fr-FR"/>
        </w:rPr>
        <w:t>6.9.3.4.2.5</w:t>
      </w:r>
      <w:r w:rsidRPr="00076651">
        <w:rPr>
          <w:lang w:val="fr-FR"/>
        </w:rPr>
        <w:tab/>
        <w:t>La teneur en masse et la composition des fibres de renforcement doivent être éprouvées conformément aux normes ISO 1172:1996 ou ISO 14127:2008. La teneur en masse de fibres des échantillons-coupons doit être comprise entre 90 et 100 % de la teneur minimale en masse de fibres spécifiée pour l’équipement de service en PRF correspondant et obtenue à partir d’essais sur les échantillons de contrôle.</w:t>
      </w:r>
    </w:p>
    <w:p w14:paraId="1DD600F2" w14:textId="77777777" w:rsidR="00DD3554" w:rsidRPr="00076651" w:rsidRDefault="00DD3554" w:rsidP="00DD3554">
      <w:pPr>
        <w:pStyle w:val="SingleTxtG"/>
        <w:tabs>
          <w:tab w:val="clear" w:pos="1701"/>
        </w:tabs>
      </w:pPr>
      <w:r w:rsidRPr="00076651">
        <w:rPr>
          <w:lang w:val="fr-FR"/>
        </w:rPr>
        <w:t>6.9.3.4.2.6</w:t>
      </w:r>
      <w:r w:rsidRPr="00076651">
        <w:rPr>
          <w:lang w:val="fr-FR"/>
        </w:rPr>
        <w:tab/>
        <w:t>La température de distorsion thermique doit être éprouvée selon les normes ISO 75-1:2020, ISO 75-2:2013 ou ISO 75-3:2004, en fonction du type de moulage et de fibres de renforcement utilisés.</w:t>
      </w:r>
    </w:p>
    <w:p w14:paraId="35EF0494" w14:textId="77777777" w:rsidR="00DD3554" w:rsidRPr="00076651" w:rsidRDefault="00DD3554" w:rsidP="00DD3554">
      <w:pPr>
        <w:pStyle w:val="SingleTxtG"/>
        <w:tabs>
          <w:tab w:val="clear" w:pos="1701"/>
        </w:tabs>
      </w:pPr>
      <w:r w:rsidRPr="00076651">
        <w:rPr>
          <w:lang w:val="fr-FR"/>
        </w:rPr>
        <w:t>6.9.3.4.2.7</w:t>
      </w:r>
      <w:r w:rsidRPr="00076651">
        <w:rPr>
          <w:lang w:val="fr-FR"/>
        </w:rPr>
        <w:tab/>
        <w:t>La dureté doit être éprouvée conformément à la norme ISO 868:2003.</w:t>
      </w:r>
    </w:p>
    <w:p w14:paraId="2D8F723D" w14:textId="77777777" w:rsidR="00DD3554" w:rsidRPr="00076651" w:rsidRDefault="00DD3554" w:rsidP="00DD3554">
      <w:pPr>
        <w:pStyle w:val="SingleTxtG"/>
        <w:tabs>
          <w:tab w:val="clear" w:pos="1701"/>
        </w:tabs>
      </w:pPr>
      <w:r w:rsidRPr="00076651">
        <w:rPr>
          <w:lang w:val="fr-FR"/>
        </w:rPr>
        <w:t>6.9.3.4.2.8</w:t>
      </w:r>
      <w:r w:rsidRPr="00076651">
        <w:rPr>
          <w:lang w:val="fr-FR"/>
        </w:rPr>
        <w:tab/>
        <w:t>Le facteur de fluage α doit être déterminé selon la procédure prescrite au 6.9.2.7.1.2 e). Les échantillons d’essai doivent être prélevés conformément à la norme ISO 14125:1998.</w:t>
      </w:r>
    </w:p>
    <w:p w14:paraId="731E6B25" w14:textId="77777777" w:rsidR="00DD3554" w:rsidRPr="00076651" w:rsidRDefault="00DD3554" w:rsidP="00DD3554">
      <w:pPr>
        <w:pStyle w:val="SingleTxtG"/>
        <w:tabs>
          <w:tab w:val="clear" w:pos="1701"/>
        </w:tabs>
      </w:pPr>
      <w:r w:rsidRPr="00076651">
        <w:rPr>
          <w:lang w:val="fr-FR"/>
        </w:rPr>
        <w:t>6.9.3.4.2.9</w:t>
      </w:r>
      <w:r w:rsidRPr="00076651">
        <w:rPr>
          <w:lang w:val="fr-FR"/>
        </w:rPr>
        <w:tab/>
        <w:t>Le facteur de vieillissement β doit être déterminé selon la procédure prescrite au 6.9.2.7.1.2 f). Les échantillons d’essai doivent être prélevés conformément à la norme ISO 14125:1998. L’essai peut être effectué sur des échantillons vierges ou préalablement exposés à un brouillard salin, comme indiqué au 6.9.3.2.4.10.</w:t>
      </w:r>
    </w:p>
    <w:p w14:paraId="7101543D" w14:textId="77777777" w:rsidR="00DD3554" w:rsidRPr="00076651" w:rsidRDefault="00DD3554" w:rsidP="00DD3554">
      <w:pPr>
        <w:pStyle w:val="SingleTxtG"/>
        <w:tabs>
          <w:tab w:val="clear" w:pos="1701"/>
        </w:tabs>
      </w:pPr>
      <w:r w:rsidRPr="00076651">
        <w:rPr>
          <w:lang w:val="fr-FR"/>
        </w:rPr>
        <w:t>6.9.3.4.2.10</w:t>
      </w:r>
      <w:r w:rsidRPr="00076651">
        <w:rPr>
          <w:lang w:val="fr-FR"/>
        </w:rPr>
        <w:tab/>
        <w:t>L’épreuve d’exposition au brouillard salin doit être exécutée conformément aux normes ISO 12944-2:2017 et ISO 12944-6:2018, pendant 168 h à +(35 </w:t>
      </w:r>
      <w:r w:rsidRPr="00076651">
        <w:rPr>
          <w:lang w:val="fr-FR"/>
        </w:rPr>
        <w:sym w:font="Symbol" w:char="F0B1"/>
      </w:r>
      <w:r w:rsidRPr="00076651">
        <w:rPr>
          <w:lang w:val="fr-FR"/>
        </w:rPr>
        <w:t> 2) °C.</w:t>
      </w:r>
    </w:p>
    <w:p w14:paraId="5B099448" w14:textId="77777777" w:rsidR="00DD3554" w:rsidRPr="00076651" w:rsidRDefault="00DD3554" w:rsidP="00DD3554">
      <w:pPr>
        <w:pStyle w:val="SingleTxtG"/>
        <w:tabs>
          <w:tab w:val="clear" w:pos="1701"/>
        </w:tabs>
      </w:pPr>
      <w:r w:rsidRPr="00076651">
        <w:rPr>
          <w:lang w:val="fr-FR"/>
        </w:rPr>
        <w:t>6.9.3.4.2.11</w:t>
      </w:r>
      <w:r w:rsidRPr="00076651">
        <w:rPr>
          <w:lang w:val="fr-FR"/>
        </w:rPr>
        <w:tab/>
        <w:t>L’épreuve d’exposition au rayonnement ultraviolet doit être exécutée conformément à la norme ISO 4892-2:2013, pendant 168 h à +(23 </w:t>
      </w:r>
      <w:r w:rsidRPr="00076651">
        <w:rPr>
          <w:lang w:val="fr-FR"/>
        </w:rPr>
        <w:sym w:font="Symbol" w:char="F0B1"/>
      </w:r>
      <w:r w:rsidRPr="00076651">
        <w:rPr>
          <w:lang w:val="fr-FR"/>
        </w:rPr>
        <w:t> 2) °С.</w:t>
      </w:r>
    </w:p>
    <w:p w14:paraId="198A6C32" w14:textId="77777777" w:rsidR="00DD3554" w:rsidRPr="00076651" w:rsidRDefault="00DD3554" w:rsidP="00DD3554">
      <w:pPr>
        <w:pStyle w:val="SingleTxtG"/>
        <w:tabs>
          <w:tab w:val="clear" w:pos="1701"/>
        </w:tabs>
      </w:pPr>
      <w:r w:rsidRPr="00076651">
        <w:rPr>
          <w:lang w:val="fr-FR"/>
        </w:rPr>
        <w:t>6.9.3.4.2.12</w:t>
      </w:r>
      <w:r w:rsidRPr="00076651">
        <w:rPr>
          <w:lang w:val="fr-FR"/>
        </w:rPr>
        <w:tab/>
        <w:t>La compatibilité chimique avec les matières transportées doit être éprouvée conformément au 6.9.2.7.1.3.</w:t>
      </w:r>
    </w:p>
    <w:p w14:paraId="6E656C10" w14:textId="77777777" w:rsidR="00DD3554" w:rsidRPr="00076651" w:rsidRDefault="00DD3554" w:rsidP="00DD3554">
      <w:pPr>
        <w:pStyle w:val="SingleTxtG"/>
        <w:tabs>
          <w:tab w:val="clear" w:pos="1701"/>
        </w:tabs>
        <w:ind w:left="2268" w:hanging="1134"/>
      </w:pPr>
      <w:r w:rsidRPr="00076651">
        <w:rPr>
          <w:lang w:val="fr-FR"/>
        </w:rPr>
        <w:t>6.9.3.4.3</w:t>
      </w:r>
      <w:r w:rsidRPr="00076651">
        <w:rPr>
          <w:lang w:val="fr-FR"/>
        </w:rPr>
        <w:tab/>
      </w:r>
      <w:r w:rsidRPr="00076651">
        <w:rPr>
          <w:i/>
          <w:iCs/>
          <w:lang w:val="fr-FR"/>
        </w:rPr>
        <w:t>Épreuves supplémentaires</w:t>
      </w:r>
    </w:p>
    <w:p w14:paraId="43EFA0F7" w14:textId="77777777" w:rsidR="00DD3554" w:rsidRPr="00076651" w:rsidRDefault="00DD3554" w:rsidP="00DD3554">
      <w:pPr>
        <w:pStyle w:val="SingleTxtG"/>
        <w:tabs>
          <w:tab w:val="clear" w:pos="1701"/>
        </w:tabs>
      </w:pPr>
      <w:r w:rsidRPr="00076651">
        <w:rPr>
          <w:lang w:val="fr-FR"/>
        </w:rPr>
        <w:tab/>
        <w:t>Des épreuves supplémentaires doivent être exécutées pour déterminer les propriétés des matériaux nécessaires au calcul de conception.</w:t>
      </w:r>
    </w:p>
    <w:p w14:paraId="5AFF0702" w14:textId="77777777" w:rsidR="00DD3554" w:rsidRPr="00076651" w:rsidRDefault="00DD3554" w:rsidP="00DD3554">
      <w:pPr>
        <w:pStyle w:val="SingleTxtG"/>
        <w:tabs>
          <w:tab w:val="clear" w:pos="1701"/>
        </w:tabs>
      </w:pPr>
      <w:r w:rsidRPr="00076651">
        <w:rPr>
          <w:lang w:val="fr-FR"/>
        </w:rPr>
        <w:t>6.9.3.4.3.1</w:t>
      </w:r>
      <w:r w:rsidRPr="00076651">
        <w:rPr>
          <w:lang w:val="fr-FR"/>
        </w:rPr>
        <w:tab/>
        <w:t xml:space="preserve">La résistance à la flexion doit être mesurée conformément à la norme ISO 14125:1998. </w:t>
      </w:r>
    </w:p>
    <w:p w14:paraId="04BCCB6B" w14:textId="77777777" w:rsidR="00DD3554" w:rsidRPr="00076651" w:rsidRDefault="00DD3554" w:rsidP="00DD3554">
      <w:pPr>
        <w:pStyle w:val="SingleTxtG"/>
        <w:tabs>
          <w:tab w:val="clear" w:pos="1701"/>
        </w:tabs>
      </w:pPr>
      <w:r w:rsidRPr="00076651">
        <w:rPr>
          <w:lang w:val="fr-FR"/>
        </w:rPr>
        <w:t>6.9.3.4.3.2</w:t>
      </w:r>
      <w:r w:rsidRPr="00076651">
        <w:rPr>
          <w:lang w:val="fr-FR"/>
        </w:rPr>
        <w:tab/>
        <w:t>L’épreuve de résistance au matage doit être déterminée conformément à la norme ISO 12815:2013.</w:t>
      </w:r>
    </w:p>
    <w:p w14:paraId="59D48CBB" w14:textId="77777777" w:rsidR="00DD3554" w:rsidRPr="00076651" w:rsidRDefault="00DD3554" w:rsidP="00DD3554">
      <w:pPr>
        <w:pStyle w:val="SingleTxtG"/>
        <w:tabs>
          <w:tab w:val="clear" w:pos="1701"/>
        </w:tabs>
        <w:ind w:left="2268" w:hanging="1134"/>
        <w:rPr>
          <w:bCs/>
        </w:rPr>
      </w:pPr>
      <w:r w:rsidRPr="00076651">
        <w:rPr>
          <w:bCs/>
          <w:lang w:val="fr-FR"/>
        </w:rPr>
        <w:t>6.9.3.4.4</w:t>
      </w:r>
      <w:r w:rsidRPr="00076651">
        <w:rPr>
          <w:bCs/>
          <w:lang w:val="fr-FR"/>
        </w:rPr>
        <w:tab/>
      </w:r>
      <w:r w:rsidRPr="00076651">
        <w:rPr>
          <w:bCs/>
          <w:i/>
          <w:iCs/>
          <w:lang w:val="fr-FR"/>
        </w:rPr>
        <w:t>Échantillons de contrôle</w:t>
      </w:r>
    </w:p>
    <w:p w14:paraId="4A27B900" w14:textId="77777777" w:rsidR="00DD3554" w:rsidRPr="00076651" w:rsidRDefault="00DD3554" w:rsidP="00DD3554">
      <w:pPr>
        <w:pStyle w:val="SingleTxtG"/>
        <w:tabs>
          <w:tab w:val="clear" w:pos="1701"/>
        </w:tabs>
      </w:pPr>
      <w:r w:rsidRPr="00076651">
        <w:rPr>
          <w:lang w:val="fr-FR"/>
        </w:rPr>
        <w:tab/>
        <w:t>Avant les essais, les échantillons doivent être débarrassés de tout revêtement. Les épreuves décrites aux 6.9.3.4.2.1 à 6.9.3.4.2.8 doivent être exécutées.</w:t>
      </w:r>
    </w:p>
    <w:p w14:paraId="70F11162" w14:textId="77777777" w:rsidR="00DD3554" w:rsidRPr="00076651" w:rsidRDefault="00DD3554" w:rsidP="00DD3554">
      <w:pPr>
        <w:pStyle w:val="SingleTxtG"/>
        <w:tabs>
          <w:tab w:val="clear" w:pos="1701"/>
        </w:tabs>
        <w:ind w:left="2268" w:hanging="1134"/>
        <w:rPr>
          <w:b/>
          <w:i/>
          <w:iCs/>
        </w:rPr>
      </w:pPr>
      <w:r w:rsidRPr="00076651">
        <w:rPr>
          <w:b/>
          <w:lang w:val="fr-FR"/>
        </w:rPr>
        <w:t>6.9.3.5</w:t>
      </w:r>
      <w:r w:rsidRPr="00076651">
        <w:rPr>
          <w:b/>
          <w:lang w:val="fr-FR"/>
        </w:rPr>
        <w:tab/>
      </w:r>
      <w:r w:rsidRPr="00076651">
        <w:rPr>
          <w:b/>
          <w:i/>
          <w:iCs/>
          <w:lang w:val="fr-FR"/>
        </w:rPr>
        <w:t>Agrément de type</w:t>
      </w:r>
    </w:p>
    <w:p w14:paraId="6B34DB61" w14:textId="77777777" w:rsidR="00DD3554" w:rsidRPr="00076651" w:rsidRDefault="00DD3554" w:rsidP="00DD3554">
      <w:pPr>
        <w:pStyle w:val="SingleTxtG"/>
        <w:tabs>
          <w:tab w:val="clear" w:pos="1701"/>
        </w:tabs>
      </w:pPr>
      <w:r w:rsidRPr="00076651">
        <w:rPr>
          <w:lang w:val="fr-FR"/>
        </w:rPr>
        <w:t>6.9.3.5.1</w:t>
      </w:r>
      <w:r w:rsidRPr="00076651">
        <w:rPr>
          <w:lang w:val="fr-FR"/>
        </w:rPr>
        <w:tab/>
        <w:t>L’autorité compétente, ou un organisme désigné par elle, doit établir un certificat d’agrément de type pour les équipements de service en PRF. Ce certificat doit attester que le modèle a été contrôlé par l’autorité, convient à l’usage auquel il est destiné et satisfait aux prescriptions générales énoncées dans le présent chapitre. Il doit comporter une mention indiquant que les épreuves sur le prototype ont été effectuées conformément au 6.9.3.5.2, les informations sur les matières dont le transport est autorisé, les matériaux du corps et des garnitures d’étanchéité et le numéro du certificat.</w:t>
      </w:r>
    </w:p>
    <w:p w14:paraId="65D0FEF7" w14:textId="77777777" w:rsidR="00DD3554" w:rsidRPr="00076651" w:rsidRDefault="00DD3554" w:rsidP="00DD3554">
      <w:pPr>
        <w:pStyle w:val="SingleTxtG"/>
        <w:tabs>
          <w:tab w:val="clear" w:pos="1701"/>
        </w:tabs>
      </w:pPr>
      <w:r w:rsidRPr="00076651">
        <w:rPr>
          <w:lang w:val="fr-FR"/>
        </w:rPr>
        <w:t>6.9.3.5.2</w:t>
      </w:r>
      <w:r w:rsidRPr="00076651">
        <w:rPr>
          <w:lang w:val="fr-FR"/>
        </w:rPr>
        <w:tab/>
        <w:t>Le procès-verbal d’épreuve du prototype d’équipement de service en PRF doit comprendre au moins :</w:t>
      </w:r>
    </w:p>
    <w:p w14:paraId="1DD224C5" w14:textId="77777777" w:rsidR="00DD3554" w:rsidRPr="00076651" w:rsidRDefault="00DD3554" w:rsidP="00DD3554">
      <w:pPr>
        <w:pStyle w:val="SingleTxtG"/>
        <w:ind w:left="2835" w:hanging="567"/>
      </w:pPr>
      <w:r w:rsidRPr="00076651">
        <w:rPr>
          <w:lang w:val="fr-FR"/>
        </w:rPr>
        <w:lastRenderedPageBreak/>
        <w:t>a)</w:t>
      </w:r>
      <w:r w:rsidRPr="00076651">
        <w:rPr>
          <w:lang w:val="fr-FR"/>
        </w:rPr>
        <w:tab/>
        <w:t>Les résultats des épreuves exécutées sur le matériau utilisé pour la construction des équipements de service en PRF conformément aux prescriptions des 6.9.3.4.1 à 6.9.3.4.3 ;</w:t>
      </w:r>
    </w:p>
    <w:p w14:paraId="21D967A5" w14:textId="77777777" w:rsidR="00DD3554" w:rsidRPr="00076651" w:rsidRDefault="00DD3554" w:rsidP="00DD3554">
      <w:pPr>
        <w:pStyle w:val="SingleTxtG"/>
        <w:ind w:left="2835" w:hanging="567"/>
      </w:pPr>
      <w:r w:rsidRPr="00076651">
        <w:rPr>
          <w:lang w:val="fr-FR"/>
        </w:rPr>
        <w:t>b)</w:t>
      </w:r>
      <w:r w:rsidRPr="00076651">
        <w:rPr>
          <w:lang w:val="fr-FR"/>
        </w:rPr>
        <w:tab/>
        <w:t>Les résultats des épreuves exécutées conformément à la norme ISO 4126-1:2013 pour les dispositifs de sécurité correspondants ;</w:t>
      </w:r>
    </w:p>
    <w:p w14:paraId="2C69E2C2" w14:textId="77777777" w:rsidR="00DD3554" w:rsidRPr="00076651" w:rsidRDefault="00DD3554" w:rsidP="00DD3554">
      <w:pPr>
        <w:pStyle w:val="SingleTxtG"/>
        <w:ind w:left="2835" w:hanging="567"/>
        <w:rPr>
          <w:strike/>
        </w:rPr>
      </w:pPr>
      <w:r w:rsidRPr="00076651">
        <w:rPr>
          <w:lang w:val="fr-FR"/>
        </w:rPr>
        <w:t>c)</w:t>
      </w:r>
      <w:r w:rsidRPr="00076651">
        <w:rPr>
          <w:lang w:val="fr-FR"/>
        </w:rPr>
        <w:tab/>
        <w:t>Les résultats des épreuves de pression exécutées conformément aux normes ISO correspondantes, le cas échéant, ou à la procédure approuvée par l’autorité compétente. La pression d’épreuve ne doit pas être inférieure à la pression définie au 6.9.3.2.3.3 ;</w:t>
      </w:r>
    </w:p>
    <w:p w14:paraId="752D00B1" w14:textId="77777777" w:rsidR="00DD3554" w:rsidRPr="00076651" w:rsidRDefault="00DD3554" w:rsidP="00DD3554">
      <w:pPr>
        <w:pStyle w:val="SingleTxtG"/>
        <w:ind w:left="2835" w:hanging="567"/>
      </w:pPr>
      <w:r w:rsidRPr="00076651">
        <w:rPr>
          <w:lang w:val="fr-FR"/>
        </w:rPr>
        <w:t>d)</w:t>
      </w:r>
      <w:r w:rsidRPr="00076651">
        <w:rPr>
          <w:lang w:val="fr-FR"/>
        </w:rPr>
        <w:tab/>
        <w:t xml:space="preserve">Un prototype représentatif de l’équipement de service en PRF doit être soumis à l’épreuve de résistance au feu prescrite à la section 42 de la quatrième partie du </w:t>
      </w:r>
      <w:r w:rsidRPr="00076651">
        <w:rPr>
          <w:i/>
          <w:iCs/>
          <w:lang w:val="fr-FR"/>
        </w:rPr>
        <w:t>Manuel d’épreuves et de critères</w:t>
      </w:r>
      <w:r w:rsidRPr="00076651">
        <w:rPr>
          <w:lang w:val="fr-FR"/>
        </w:rPr>
        <w:t xml:space="preserve"> ; </w:t>
      </w:r>
    </w:p>
    <w:p w14:paraId="5A808CCC" w14:textId="77777777" w:rsidR="00DD3554" w:rsidRPr="00076651" w:rsidRDefault="00DD3554" w:rsidP="00DD3554">
      <w:pPr>
        <w:pStyle w:val="SingleTxtG"/>
        <w:ind w:left="2835" w:hanging="567"/>
      </w:pPr>
      <w:r w:rsidRPr="00076651">
        <w:rPr>
          <w:lang w:val="fr-FR"/>
        </w:rPr>
        <w:t>e)</w:t>
      </w:r>
      <w:r w:rsidRPr="00076651">
        <w:rPr>
          <w:lang w:val="fr-FR"/>
        </w:rPr>
        <w:tab/>
        <w:t xml:space="preserve">Les résultats des épreuves de résistance électrique exécutées conformément à la procédure reconnue par l’autorité compétente ; </w:t>
      </w:r>
    </w:p>
    <w:p w14:paraId="10A649C0" w14:textId="77777777" w:rsidR="00DD3554" w:rsidRPr="00076651" w:rsidRDefault="00DD3554" w:rsidP="00DD3554">
      <w:pPr>
        <w:pStyle w:val="SingleTxtG"/>
        <w:ind w:left="2835" w:hanging="567"/>
      </w:pPr>
      <w:r w:rsidRPr="00076651">
        <w:rPr>
          <w:lang w:val="fr-FR"/>
        </w:rPr>
        <w:t>f)</w:t>
      </w:r>
      <w:r w:rsidRPr="00076651">
        <w:rPr>
          <w:lang w:val="fr-FR"/>
        </w:rPr>
        <w:tab/>
        <w:t>Les résultats des autres épreuves prescrites dans les normes ou codes applicables aux équipements à pression, en accord avec l’autorité compétente.</w:t>
      </w:r>
    </w:p>
    <w:p w14:paraId="566803D8" w14:textId="77777777" w:rsidR="00DD3554" w:rsidRPr="00076651" w:rsidRDefault="00DD3554" w:rsidP="00DD3554">
      <w:pPr>
        <w:pStyle w:val="SingleTxtG"/>
        <w:tabs>
          <w:tab w:val="clear" w:pos="1701"/>
        </w:tabs>
      </w:pPr>
      <w:r w:rsidRPr="00076651">
        <w:rPr>
          <w:lang w:val="fr-FR"/>
        </w:rPr>
        <w:t>6.9.3.5.3</w:t>
      </w:r>
      <w:r w:rsidRPr="00076651">
        <w:rPr>
          <w:lang w:val="fr-FR"/>
        </w:rPr>
        <w:tab/>
        <w:t>Un programme d’inspection de la durée de service doit être mis en place et prévu dans le manuel d’exploitation, afin de surveiller l’état de l’équipement de service en PRF lors des contrôles périodiques. Ce programme doit être agréé par l’autorité compétente.</w:t>
      </w:r>
    </w:p>
    <w:p w14:paraId="6F685F0A" w14:textId="77777777" w:rsidR="00DD3554" w:rsidRPr="00076651" w:rsidRDefault="00DD3554" w:rsidP="00DD3554">
      <w:pPr>
        <w:pStyle w:val="SingleTxtG"/>
        <w:tabs>
          <w:tab w:val="clear" w:pos="1701"/>
        </w:tabs>
        <w:ind w:left="2268" w:hanging="1134"/>
        <w:rPr>
          <w:b/>
          <w:i/>
          <w:iCs/>
        </w:rPr>
      </w:pPr>
      <w:r w:rsidRPr="00076651">
        <w:rPr>
          <w:b/>
          <w:lang w:val="fr-FR"/>
        </w:rPr>
        <w:t>6.9.3.6</w:t>
      </w:r>
      <w:r w:rsidRPr="00076651">
        <w:rPr>
          <w:b/>
          <w:lang w:val="fr-FR"/>
        </w:rPr>
        <w:tab/>
      </w:r>
      <w:r w:rsidRPr="00076651">
        <w:rPr>
          <w:b/>
          <w:i/>
          <w:iCs/>
          <w:lang w:val="fr-FR"/>
        </w:rPr>
        <w:t>Contrôles et épreuves</w:t>
      </w:r>
    </w:p>
    <w:p w14:paraId="12130037" w14:textId="77777777" w:rsidR="00DD3554" w:rsidRPr="00076651" w:rsidRDefault="00DD3554" w:rsidP="00DD3554">
      <w:pPr>
        <w:pStyle w:val="SingleTxtG"/>
        <w:tabs>
          <w:tab w:val="clear" w:pos="1701"/>
        </w:tabs>
      </w:pPr>
      <w:r w:rsidRPr="00076651">
        <w:rPr>
          <w:lang w:val="fr-FR"/>
        </w:rPr>
        <w:t>6.9.3.6.1</w:t>
      </w:r>
      <w:r w:rsidRPr="00076651">
        <w:rPr>
          <w:lang w:val="fr-FR"/>
        </w:rPr>
        <w:tab/>
        <w:t>Les équipements de service en PRF doivent être soumis à un contrôle et à une épreuve avant leur mise en service. Le contrôle et l’épreuve initiaux après fabrication doivent comprendre une vérification des caractéristiques de conception et un examen extérieur de l’équipement de service en PRF compte tenu des matières devant être transportées, et une épreuve de pression. Avant que l’équipement de service en PRF ne soit mis en service, il faut procéder à une épreuve d’étanchéité et à la vérification du bon fonctionnement de l’équipement. Les soupapes de sécurité doivent être soumises à une épreuve destinée à déterminer la pression d’ouverture et de fermeture avant leur montage. Le programme de contrôle et d’épreuve initiaux doit être agréé par l’autorité compétente.</w:t>
      </w:r>
    </w:p>
    <w:p w14:paraId="7DFC01F0" w14:textId="77777777" w:rsidR="00DD3554" w:rsidRPr="00076651" w:rsidRDefault="00DD3554" w:rsidP="00DD3554">
      <w:pPr>
        <w:pStyle w:val="SingleTxtG"/>
        <w:tabs>
          <w:tab w:val="clear" w:pos="1701"/>
        </w:tabs>
      </w:pPr>
      <w:r w:rsidRPr="00076651">
        <w:rPr>
          <w:lang w:val="fr-FR"/>
        </w:rPr>
        <w:t>6.9.3.6.2</w:t>
      </w:r>
      <w:r w:rsidRPr="00076651">
        <w:rPr>
          <w:lang w:val="fr-FR"/>
        </w:rPr>
        <w:tab/>
        <w:t>Le contrôle et l’épreuve périodiques des équipements de service en PRF doivent être effectués lors du contrôle de la citerne mobile réalisé conformément aux 6.7.2.19.2, 6.7.2.19.4 et 6.7.2.19.5 ou 6.9.2.8.1, selon le programme d’inspection de la durée de service agréé par l’autorité compétente.</w:t>
      </w:r>
    </w:p>
    <w:p w14:paraId="47E34AB9" w14:textId="77777777" w:rsidR="00DD3554" w:rsidRPr="00076651" w:rsidRDefault="00DD3554" w:rsidP="00DD3554">
      <w:pPr>
        <w:pStyle w:val="SingleTxtG"/>
        <w:tabs>
          <w:tab w:val="clear" w:pos="1701"/>
        </w:tabs>
      </w:pPr>
      <w:r w:rsidRPr="00076651">
        <w:rPr>
          <w:lang w:val="fr-FR"/>
        </w:rPr>
        <w:t>6.9.3.6.3</w:t>
      </w:r>
      <w:r w:rsidRPr="00076651">
        <w:rPr>
          <w:lang w:val="fr-FR"/>
        </w:rPr>
        <w:tab/>
        <w:t xml:space="preserve">Les contrôles et les épreuves indiqués aux 6.9.3.6.1 et 6.9.3.6.2 doivent être effectués par un expert agréé par l’autorité compétente ou en sa présence. </w:t>
      </w:r>
    </w:p>
    <w:p w14:paraId="75B682D4" w14:textId="77777777" w:rsidR="00DD3554" w:rsidRPr="00076651" w:rsidRDefault="00DD3554" w:rsidP="00DD3554">
      <w:pPr>
        <w:pStyle w:val="SingleTxtG"/>
        <w:tabs>
          <w:tab w:val="clear" w:pos="1701"/>
        </w:tabs>
      </w:pPr>
      <w:r w:rsidRPr="00076651">
        <w:rPr>
          <w:lang w:val="fr-FR"/>
        </w:rPr>
        <w:t>6.9.3.6.4</w:t>
      </w:r>
      <w:r w:rsidRPr="00076651">
        <w:rPr>
          <w:lang w:val="fr-FR"/>
        </w:rPr>
        <w:tab/>
        <w:t>La réparation des équipements de service en PRF doit se limiter au remplacement des composants endommagés par des composants visés par l’agrément de type de l’équipement de service.</w:t>
      </w:r>
    </w:p>
    <w:p w14:paraId="75C6073B" w14:textId="77777777" w:rsidR="00DD3554" w:rsidRPr="00076651" w:rsidRDefault="00DD3554" w:rsidP="00DD3554">
      <w:pPr>
        <w:pStyle w:val="SingleTxtG"/>
        <w:keepNext/>
        <w:tabs>
          <w:tab w:val="clear" w:pos="1701"/>
        </w:tabs>
        <w:ind w:left="2268" w:hanging="1134"/>
        <w:rPr>
          <w:b/>
        </w:rPr>
      </w:pPr>
      <w:r w:rsidRPr="00076651">
        <w:rPr>
          <w:b/>
          <w:lang w:val="fr-FR"/>
        </w:rPr>
        <w:t>6.9.3.7</w:t>
      </w:r>
      <w:r w:rsidRPr="00076651">
        <w:rPr>
          <w:b/>
          <w:lang w:val="fr-FR"/>
        </w:rPr>
        <w:tab/>
      </w:r>
      <w:r w:rsidRPr="00076651">
        <w:rPr>
          <w:b/>
          <w:i/>
          <w:iCs/>
          <w:lang w:val="fr-FR"/>
        </w:rPr>
        <w:t>Marquage</w:t>
      </w:r>
    </w:p>
    <w:p w14:paraId="49106B54" w14:textId="77777777" w:rsidR="00DD3554" w:rsidRPr="00076651" w:rsidRDefault="00DD3554" w:rsidP="00DD3554">
      <w:pPr>
        <w:pStyle w:val="SingleTxtG"/>
        <w:keepNext/>
        <w:tabs>
          <w:tab w:val="clear" w:pos="1701"/>
        </w:tabs>
        <w:ind w:left="2268" w:hanging="1134"/>
        <w:rPr>
          <w:bCs/>
          <w:i/>
          <w:iCs/>
        </w:rPr>
      </w:pPr>
      <w:r w:rsidRPr="00076651">
        <w:rPr>
          <w:bCs/>
          <w:lang w:val="fr-FR"/>
        </w:rPr>
        <w:t>6.9.3.7.1</w:t>
      </w:r>
      <w:r w:rsidRPr="00076651">
        <w:rPr>
          <w:bCs/>
          <w:lang w:val="fr-FR"/>
        </w:rPr>
        <w:tab/>
      </w:r>
      <w:r w:rsidRPr="00076651">
        <w:rPr>
          <w:bCs/>
          <w:i/>
          <w:iCs/>
          <w:lang w:val="fr-FR"/>
        </w:rPr>
        <w:t>Marquage des dispositifs de décompression</w:t>
      </w:r>
    </w:p>
    <w:p w14:paraId="15F249F6" w14:textId="77777777" w:rsidR="00DD3554" w:rsidRPr="00076651" w:rsidRDefault="00DD3554" w:rsidP="00DD3554">
      <w:pPr>
        <w:pStyle w:val="SingleTxtG"/>
        <w:tabs>
          <w:tab w:val="clear" w:pos="1701"/>
        </w:tabs>
      </w:pPr>
      <w:r w:rsidRPr="00076651">
        <w:rPr>
          <w:lang w:val="fr-FR"/>
        </w:rPr>
        <w:tab/>
        <w:t xml:space="preserve">Sur chaque dispositif de décompression, les indications ci-après doivent être marquées : </w:t>
      </w:r>
    </w:p>
    <w:p w14:paraId="0B0C310C" w14:textId="77777777" w:rsidR="00DD3554" w:rsidRPr="00076651" w:rsidRDefault="00DD3554" w:rsidP="00DD3554">
      <w:pPr>
        <w:pStyle w:val="SingleTxtG"/>
        <w:ind w:left="2268"/>
      </w:pPr>
      <w:r w:rsidRPr="00076651">
        <w:rPr>
          <w:lang w:val="fr-FR"/>
        </w:rPr>
        <w:t>a)</w:t>
      </w:r>
      <w:r w:rsidRPr="00076651">
        <w:rPr>
          <w:lang w:val="fr-FR"/>
        </w:rPr>
        <w:tab/>
        <w:t>Nom du fabricant et numéro de série de l’équipement ;</w:t>
      </w:r>
    </w:p>
    <w:p w14:paraId="6DC24231" w14:textId="77777777" w:rsidR="00DD3554" w:rsidRPr="00076651" w:rsidRDefault="00DD3554" w:rsidP="00DD3554">
      <w:pPr>
        <w:pStyle w:val="SingleTxtG"/>
        <w:ind w:left="2268"/>
      </w:pPr>
      <w:r w:rsidRPr="00076651">
        <w:rPr>
          <w:lang w:val="fr-FR"/>
        </w:rPr>
        <w:t>b)</w:t>
      </w:r>
      <w:r w:rsidRPr="00076651">
        <w:rPr>
          <w:lang w:val="fr-FR"/>
        </w:rPr>
        <w:tab/>
        <w:t>Nom des matériaux du corps et des garnitures d’étanchéité ;</w:t>
      </w:r>
    </w:p>
    <w:p w14:paraId="507251C7" w14:textId="77777777" w:rsidR="00DD3554" w:rsidRPr="00076651" w:rsidRDefault="00DD3554" w:rsidP="00DD3554">
      <w:pPr>
        <w:pStyle w:val="SingleTxtG"/>
        <w:ind w:left="2268"/>
      </w:pPr>
      <w:r w:rsidRPr="00076651">
        <w:rPr>
          <w:lang w:val="fr-FR"/>
        </w:rPr>
        <w:t>c)</w:t>
      </w:r>
      <w:r w:rsidRPr="00076651">
        <w:rPr>
          <w:lang w:val="fr-FR"/>
        </w:rPr>
        <w:tab/>
        <w:t>Numéro du certificat d’agrément de type ;</w:t>
      </w:r>
    </w:p>
    <w:p w14:paraId="4CB8226C" w14:textId="77777777" w:rsidR="00DD3554" w:rsidRPr="00076651" w:rsidRDefault="00DD3554" w:rsidP="00DD3554">
      <w:pPr>
        <w:pStyle w:val="SingleTxtG"/>
        <w:ind w:left="2268"/>
      </w:pPr>
      <w:r w:rsidRPr="00076651">
        <w:rPr>
          <w:lang w:val="fr-FR"/>
        </w:rPr>
        <w:t>d)</w:t>
      </w:r>
      <w:r w:rsidRPr="00076651">
        <w:rPr>
          <w:lang w:val="fr-FR"/>
        </w:rPr>
        <w:tab/>
        <w:t xml:space="preserve">Pression nominale d’ouverture du dispositif (en MPa ou bar) ; </w:t>
      </w:r>
    </w:p>
    <w:p w14:paraId="4F0D6EFD" w14:textId="77777777" w:rsidR="00DD3554" w:rsidRPr="00076651" w:rsidRDefault="00DD3554" w:rsidP="00DD3554">
      <w:pPr>
        <w:pStyle w:val="SingleTxtG"/>
        <w:ind w:left="2835" w:hanging="567"/>
      </w:pPr>
      <w:r w:rsidRPr="00076651">
        <w:rPr>
          <w:lang w:val="fr-FR"/>
        </w:rPr>
        <w:t>e)</w:t>
      </w:r>
      <w:r w:rsidRPr="00076651">
        <w:rPr>
          <w:lang w:val="fr-FR"/>
        </w:rPr>
        <w:tab/>
        <w:t xml:space="preserve">Tolérances admissibles pour la pression d’ouverture des dispositifs de décompression à ressort ; </w:t>
      </w:r>
    </w:p>
    <w:p w14:paraId="5167AD03" w14:textId="77777777" w:rsidR="00DD3554" w:rsidRPr="00076651" w:rsidRDefault="00DD3554" w:rsidP="00DD3554">
      <w:pPr>
        <w:pStyle w:val="SingleTxtG"/>
        <w:ind w:left="2835" w:hanging="567"/>
      </w:pPr>
      <w:r w:rsidRPr="00076651">
        <w:rPr>
          <w:lang w:val="fr-FR"/>
        </w:rPr>
        <w:lastRenderedPageBreak/>
        <w:t>f)</w:t>
      </w:r>
      <w:r w:rsidRPr="00076651">
        <w:rPr>
          <w:lang w:val="fr-FR"/>
        </w:rPr>
        <w:tab/>
        <w:t>Débit nominal des dispositifs de décompression à ressort dans des conditions normales (pression extérieure de 1 bar et température ambiante de 0 °C) en m</w:t>
      </w:r>
      <w:r w:rsidRPr="00076651">
        <w:rPr>
          <w:vertAlign w:val="superscript"/>
          <w:lang w:val="fr-FR"/>
        </w:rPr>
        <w:t>3</w:t>
      </w:r>
      <w:r w:rsidRPr="00076651">
        <w:rPr>
          <w:lang w:val="fr-FR"/>
        </w:rPr>
        <w:t xml:space="preserve"> d’air normalisés par seconde, m</w:t>
      </w:r>
      <w:r w:rsidRPr="00076651">
        <w:rPr>
          <w:vertAlign w:val="superscript"/>
          <w:lang w:val="fr-FR"/>
        </w:rPr>
        <w:t>3</w:t>
      </w:r>
      <w:r w:rsidRPr="00076651">
        <w:rPr>
          <w:lang w:val="fr-FR"/>
        </w:rPr>
        <w:t>/s (calculé conformément au 6.7.2.13.2) ;</w:t>
      </w:r>
    </w:p>
    <w:p w14:paraId="11652269" w14:textId="77777777" w:rsidR="00DD3554" w:rsidRPr="00076651" w:rsidRDefault="00DD3554" w:rsidP="00DD3554">
      <w:pPr>
        <w:pStyle w:val="SingleTxtG"/>
        <w:ind w:left="2835" w:hanging="567"/>
      </w:pPr>
      <w:r w:rsidRPr="00076651">
        <w:rPr>
          <w:lang w:val="fr-FR"/>
        </w:rPr>
        <w:t>g)</w:t>
      </w:r>
      <w:r w:rsidRPr="00076651">
        <w:rPr>
          <w:lang w:val="fr-FR"/>
        </w:rPr>
        <w:tab/>
        <w:t>Section transversale des dispositifs de décompression à ressort (en mm</w:t>
      </w:r>
      <w:r w:rsidRPr="00076651">
        <w:rPr>
          <w:vertAlign w:val="superscript"/>
          <w:lang w:val="fr-FR"/>
        </w:rPr>
        <w:t>2</w:t>
      </w:r>
      <w:r w:rsidRPr="00076651">
        <w:rPr>
          <w:lang w:val="fr-FR"/>
        </w:rPr>
        <w:t>) ;</w:t>
      </w:r>
    </w:p>
    <w:p w14:paraId="6FE5D335" w14:textId="77777777" w:rsidR="00DD3554" w:rsidRPr="00076651" w:rsidRDefault="00DD3554" w:rsidP="00DD3554">
      <w:pPr>
        <w:pStyle w:val="SingleTxtG"/>
        <w:ind w:left="2268"/>
      </w:pPr>
      <w:r w:rsidRPr="00076651">
        <w:rPr>
          <w:lang w:val="fr-FR"/>
        </w:rPr>
        <w:t>h)</w:t>
      </w:r>
      <w:r w:rsidRPr="00076651">
        <w:rPr>
          <w:lang w:val="fr-FR"/>
        </w:rPr>
        <w:tab/>
        <w:t>Pression de service maximale autorisée (PSMA), en MPa ou en bar ;</w:t>
      </w:r>
    </w:p>
    <w:p w14:paraId="5EE499E1" w14:textId="77777777" w:rsidR="00DD3554" w:rsidRPr="00076651" w:rsidRDefault="00DD3554" w:rsidP="00DD3554">
      <w:pPr>
        <w:pStyle w:val="SingleTxtG"/>
        <w:ind w:left="2268"/>
      </w:pPr>
      <w:r w:rsidRPr="00076651">
        <w:rPr>
          <w:lang w:val="fr-FR"/>
        </w:rPr>
        <w:t>i)</w:t>
      </w:r>
      <w:r w:rsidRPr="00076651">
        <w:rPr>
          <w:lang w:val="fr-FR"/>
        </w:rPr>
        <w:tab/>
        <w:t xml:space="preserve">Pression extérieure de calcul (s’il y a lieu), en MPa ou en bar ; </w:t>
      </w:r>
    </w:p>
    <w:p w14:paraId="02F02FDF" w14:textId="77777777" w:rsidR="00DD3554" w:rsidRPr="00076651" w:rsidRDefault="00DD3554" w:rsidP="00DD3554">
      <w:pPr>
        <w:pStyle w:val="SingleTxtG"/>
        <w:ind w:left="2268"/>
      </w:pPr>
      <w:r w:rsidRPr="00076651">
        <w:rPr>
          <w:lang w:val="fr-FR"/>
        </w:rPr>
        <w:t>j)</w:t>
      </w:r>
      <w:r w:rsidRPr="00076651">
        <w:rPr>
          <w:lang w:val="fr-FR"/>
        </w:rPr>
        <w:tab/>
        <w:t>Intervalle des températures de calcul.</w:t>
      </w:r>
    </w:p>
    <w:p w14:paraId="53693D66" w14:textId="77777777" w:rsidR="00DD3554" w:rsidRPr="00076651" w:rsidRDefault="00DD3554" w:rsidP="00DD3554">
      <w:pPr>
        <w:pStyle w:val="SingleTxtG"/>
        <w:tabs>
          <w:tab w:val="clear" w:pos="1701"/>
        </w:tabs>
        <w:ind w:left="2268" w:hanging="1134"/>
        <w:rPr>
          <w:bCs/>
          <w:i/>
          <w:iCs/>
        </w:rPr>
      </w:pPr>
      <w:r w:rsidRPr="00076651">
        <w:rPr>
          <w:bCs/>
          <w:lang w:val="fr-FR"/>
        </w:rPr>
        <w:t>6.9.3.7.2</w:t>
      </w:r>
      <w:r w:rsidRPr="00076651">
        <w:rPr>
          <w:bCs/>
          <w:lang w:val="fr-FR"/>
        </w:rPr>
        <w:tab/>
      </w:r>
      <w:r w:rsidRPr="00076651">
        <w:rPr>
          <w:bCs/>
          <w:i/>
          <w:iCs/>
          <w:lang w:val="fr-FR"/>
        </w:rPr>
        <w:t>Marquage des obturateurs</w:t>
      </w:r>
    </w:p>
    <w:p w14:paraId="07656586" w14:textId="77777777" w:rsidR="00DD3554" w:rsidRPr="00076651" w:rsidRDefault="00DD3554" w:rsidP="00DD3554">
      <w:pPr>
        <w:pStyle w:val="SingleTxtG"/>
        <w:ind w:left="2268"/>
      </w:pPr>
      <w:r w:rsidRPr="00076651">
        <w:rPr>
          <w:lang w:val="fr-FR"/>
        </w:rPr>
        <w:t>Sur chaque obturateur, les indications ci-après doivent être marquées :</w:t>
      </w:r>
    </w:p>
    <w:p w14:paraId="57F48CA3" w14:textId="77777777" w:rsidR="00DD3554" w:rsidRPr="00076651" w:rsidRDefault="00DD3554" w:rsidP="00DD3554">
      <w:pPr>
        <w:pStyle w:val="SingleTxtG"/>
        <w:ind w:left="2268"/>
      </w:pPr>
      <w:r w:rsidRPr="00076651">
        <w:rPr>
          <w:lang w:val="fr-FR"/>
        </w:rPr>
        <w:t>a)</w:t>
      </w:r>
      <w:r w:rsidRPr="00076651">
        <w:rPr>
          <w:lang w:val="fr-FR"/>
        </w:rPr>
        <w:tab/>
        <w:t>Nom du fabricant et numéro de série de l’équipement ;</w:t>
      </w:r>
    </w:p>
    <w:p w14:paraId="5BC42394" w14:textId="77777777" w:rsidR="00DD3554" w:rsidRPr="00076651" w:rsidRDefault="00DD3554" w:rsidP="00DD3554">
      <w:pPr>
        <w:pStyle w:val="SingleTxtG"/>
        <w:ind w:left="2268"/>
      </w:pPr>
      <w:r w:rsidRPr="00076651">
        <w:rPr>
          <w:lang w:val="fr-FR"/>
        </w:rPr>
        <w:t>b)</w:t>
      </w:r>
      <w:r w:rsidRPr="00076651">
        <w:rPr>
          <w:lang w:val="fr-FR"/>
        </w:rPr>
        <w:tab/>
        <w:t>Nom des matériaux du corps et des garnitures d’étanchéité ;</w:t>
      </w:r>
    </w:p>
    <w:p w14:paraId="0E95C0DB" w14:textId="77777777" w:rsidR="00DD3554" w:rsidRPr="00076651" w:rsidRDefault="00DD3554" w:rsidP="00DD3554">
      <w:pPr>
        <w:pStyle w:val="SingleTxtG"/>
        <w:ind w:left="2268"/>
      </w:pPr>
      <w:r w:rsidRPr="00076651">
        <w:rPr>
          <w:lang w:val="fr-FR"/>
        </w:rPr>
        <w:t>c)</w:t>
      </w:r>
      <w:r w:rsidRPr="00076651">
        <w:rPr>
          <w:lang w:val="fr-FR"/>
        </w:rPr>
        <w:tab/>
        <w:t>Numéro du certificat d’agrément de type ;</w:t>
      </w:r>
    </w:p>
    <w:p w14:paraId="22144E1A" w14:textId="77777777" w:rsidR="00DD3554" w:rsidRPr="00076651" w:rsidRDefault="00DD3554" w:rsidP="00DD3554">
      <w:pPr>
        <w:pStyle w:val="SingleTxtG"/>
        <w:ind w:left="2268"/>
      </w:pPr>
      <w:r w:rsidRPr="00076651">
        <w:rPr>
          <w:lang w:val="fr-FR"/>
        </w:rPr>
        <w:t>d)</w:t>
      </w:r>
      <w:r w:rsidRPr="00076651">
        <w:rPr>
          <w:lang w:val="fr-FR"/>
        </w:rPr>
        <w:tab/>
        <w:t>Désignation de l’obturateur ;</w:t>
      </w:r>
    </w:p>
    <w:p w14:paraId="00050C4C" w14:textId="77777777" w:rsidR="00DD3554" w:rsidRPr="00076651" w:rsidRDefault="00DD3554" w:rsidP="00DD3554">
      <w:pPr>
        <w:pStyle w:val="SingleTxtG"/>
        <w:ind w:left="2268"/>
      </w:pPr>
      <w:r w:rsidRPr="00076651">
        <w:rPr>
          <w:lang w:val="fr-FR"/>
        </w:rPr>
        <w:t>e)</w:t>
      </w:r>
      <w:r w:rsidRPr="00076651">
        <w:rPr>
          <w:lang w:val="fr-FR"/>
        </w:rPr>
        <w:tab/>
        <w:t>Diamètre nominal (en mm) ;</w:t>
      </w:r>
    </w:p>
    <w:p w14:paraId="5CB572B6" w14:textId="77777777" w:rsidR="00DD3554" w:rsidRPr="00076651" w:rsidRDefault="00DD3554" w:rsidP="00DD3554">
      <w:pPr>
        <w:pStyle w:val="SingleTxtG"/>
        <w:ind w:left="2268"/>
      </w:pPr>
      <w:r w:rsidRPr="00076651">
        <w:rPr>
          <w:lang w:val="fr-FR"/>
        </w:rPr>
        <w:t>f)</w:t>
      </w:r>
      <w:r w:rsidRPr="00076651">
        <w:rPr>
          <w:lang w:val="fr-FR"/>
        </w:rPr>
        <w:tab/>
        <w:t>Pression de service maximale autorisée (PSMA), en MPa ou en bar ;</w:t>
      </w:r>
    </w:p>
    <w:p w14:paraId="37FE8550" w14:textId="77777777" w:rsidR="00DD3554" w:rsidRPr="00076651" w:rsidRDefault="00DD3554" w:rsidP="00DD3554">
      <w:pPr>
        <w:pStyle w:val="SingleTxtG"/>
        <w:ind w:left="2268"/>
      </w:pPr>
      <w:r w:rsidRPr="00076651">
        <w:rPr>
          <w:lang w:val="fr-FR"/>
        </w:rPr>
        <w:t>g)</w:t>
      </w:r>
      <w:r w:rsidRPr="00076651">
        <w:rPr>
          <w:lang w:val="fr-FR"/>
        </w:rPr>
        <w:tab/>
        <w:t>Pression d’épreuve, en MPa ou en bar ;</w:t>
      </w:r>
    </w:p>
    <w:p w14:paraId="3A4D238E" w14:textId="77777777" w:rsidR="00DD3554" w:rsidRPr="00076651" w:rsidRDefault="00DD3554" w:rsidP="00DD3554">
      <w:pPr>
        <w:pStyle w:val="SingleTxtG"/>
        <w:ind w:left="2268"/>
      </w:pPr>
      <w:r w:rsidRPr="00076651">
        <w:rPr>
          <w:lang w:val="fr-FR"/>
        </w:rPr>
        <w:t>h)</w:t>
      </w:r>
      <w:r w:rsidRPr="00076651">
        <w:rPr>
          <w:lang w:val="fr-FR"/>
        </w:rPr>
        <w:tab/>
        <w:t xml:space="preserve">Direction du débit moyen ; </w:t>
      </w:r>
    </w:p>
    <w:p w14:paraId="3C59E217" w14:textId="77777777" w:rsidR="00DD3554" w:rsidRPr="00076651" w:rsidRDefault="00DD3554" w:rsidP="00DD3554">
      <w:pPr>
        <w:pStyle w:val="SingleTxtG"/>
        <w:ind w:left="2268"/>
      </w:pPr>
      <w:r w:rsidRPr="00076651">
        <w:rPr>
          <w:lang w:val="fr-FR"/>
        </w:rPr>
        <w:t>i)</w:t>
      </w:r>
      <w:r w:rsidRPr="00076651">
        <w:rPr>
          <w:lang w:val="fr-FR"/>
        </w:rPr>
        <w:tab/>
        <w:t>Intervalle des températures de calcul. »]</w:t>
      </w:r>
    </w:p>
    <w:p w14:paraId="12535842"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602CCBDF" w14:textId="77777777" w:rsidR="007635A3" w:rsidRPr="00076651" w:rsidRDefault="007635A3" w:rsidP="007635A3">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Chapitre 7.1</w:t>
      </w:r>
    </w:p>
    <w:p w14:paraId="65DD0404" w14:textId="77777777" w:rsidR="00CF0E1A" w:rsidRPr="00076651" w:rsidRDefault="00CF0E1A" w:rsidP="00CF0E1A">
      <w:pPr>
        <w:pStyle w:val="SingleTxtG"/>
        <w:tabs>
          <w:tab w:val="clear" w:pos="1701"/>
        </w:tabs>
        <w:ind w:left="2268" w:hanging="1134"/>
        <w:rPr>
          <w:rFonts w:eastAsiaTheme="minorHAnsi"/>
          <w:lang w:val="fr-FR" w:eastAsia="en-US"/>
        </w:rPr>
      </w:pPr>
      <w:r w:rsidRPr="00076651">
        <w:rPr>
          <w:rFonts w:eastAsiaTheme="minorHAnsi"/>
          <w:lang w:val="fr-FR" w:eastAsia="en-US"/>
        </w:rPr>
        <w:t>7.1.1.9</w:t>
      </w:r>
      <w:r w:rsidRPr="00076651">
        <w:rPr>
          <w:rFonts w:eastAsiaTheme="minorHAnsi"/>
          <w:lang w:val="fr-FR" w:eastAsia="en-US"/>
        </w:rPr>
        <w:tab/>
        <w:t>Ajouter la nouvelle deuxième phrase suivante : « Sauf indication contraire, les colis ayant subi une épreuve de gerbage doivent être chargés dans le même sens que celui dans lequel les échantillons ont été soumis à l’épreuve. ».</w:t>
      </w:r>
    </w:p>
    <w:p w14:paraId="6AEFEA5D" w14:textId="77777777" w:rsidR="00CF0E1A" w:rsidRPr="00076651" w:rsidRDefault="00CF0E1A" w:rsidP="00CF0E1A">
      <w:pPr>
        <w:pStyle w:val="SingleTxtG"/>
        <w:tabs>
          <w:tab w:val="clear" w:pos="1701"/>
        </w:tabs>
        <w:ind w:left="2268" w:hanging="1134"/>
        <w:rPr>
          <w:rFonts w:eastAsiaTheme="minorHAnsi"/>
          <w:lang w:val="fr-FR" w:eastAsia="en-US"/>
        </w:rPr>
      </w:pPr>
      <w:r w:rsidRPr="00076651">
        <w:rPr>
          <w:rFonts w:eastAsiaTheme="minorHAnsi"/>
          <w:lang w:val="fr-FR" w:eastAsia="en-US"/>
        </w:rPr>
        <w:tab/>
        <w:t>Ajouter le nouveau nota suivant à la fin :</w:t>
      </w:r>
    </w:p>
    <w:p w14:paraId="10FED49E" w14:textId="77777777" w:rsidR="00CF0E1A" w:rsidRPr="00076651" w:rsidRDefault="00CF0E1A" w:rsidP="00CF0E1A">
      <w:pPr>
        <w:pStyle w:val="SingleTxtG"/>
        <w:ind w:left="2268" w:hanging="1134"/>
        <w:rPr>
          <w:rFonts w:eastAsiaTheme="minorHAnsi"/>
          <w:i/>
          <w:iCs/>
          <w:lang w:val="fr-FR"/>
        </w:rPr>
      </w:pPr>
      <w:r w:rsidRPr="00076651">
        <w:rPr>
          <w:i/>
          <w:iCs/>
          <w:lang w:val="fr-FR"/>
        </w:rPr>
        <w:t>« </w:t>
      </w:r>
      <w:r w:rsidRPr="00076651">
        <w:rPr>
          <w:b/>
          <w:bCs/>
          <w:i/>
          <w:iCs/>
          <w:lang w:val="fr-FR"/>
        </w:rPr>
        <w:t>NOTA :</w:t>
      </w:r>
      <w:r w:rsidRPr="00076651">
        <w:rPr>
          <w:i/>
          <w:iCs/>
          <w:lang w:val="fr-FR"/>
        </w:rPr>
        <w:t xml:space="preserve"> </w:t>
      </w:r>
      <w:r w:rsidRPr="00076651">
        <w:rPr>
          <w:i/>
          <w:iCs/>
          <w:lang w:val="fr-FR"/>
        </w:rPr>
        <w:tab/>
        <w:t>L’épreuve de gerbage est généralement effectuée sur la surface supérieure du colis. Les colis autres que les sacs doivent donc être empilés sur leur surface supérieure, sauf indication contraire. »</w:t>
      </w:r>
    </w:p>
    <w:p w14:paraId="109EA231" w14:textId="77777777" w:rsidR="00EE67D8" w:rsidRPr="00076651" w:rsidRDefault="00EE67D8" w:rsidP="00EE67D8">
      <w:pPr>
        <w:pStyle w:val="SingleTxtG"/>
        <w:ind w:left="2268" w:hanging="1134"/>
        <w:rPr>
          <w:rFonts w:eastAsiaTheme="minorHAnsi"/>
          <w:i/>
          <w:iCs/>
          <w:lang w:val="fr-FR" w:eastAsia="en-US"/>
        </w:rPr>
      </w:pPr>
      <w:r w:rsidRPr="00076651">
        <w:rPr>
          <w:rFonts w:eastAsiaTheme="minorHAnsi"/>
          <w:i/>
          <w:iCs/>
          <w:lang w:val="fr-FR" w:eastAsia="en-US"/>
        </w:rPr>
        <w:t xml:space="preserve">(Document de référence : </w:t>
      </w:r>
      <w:r w:rsidRPr="00076651">
        <w:rPr>
          <w:i/>
          <w:iCs/>
        </w:rPr>
        <w:t>ST/SG/AC.10/C.3/128, annexe II</w:t>
      </w:r>
      <w:r w:rsidRPr="00076651">
        <w:rPr>
          <w:rFonts w:eastAsiaTheme="minorHAnsi"/>
          <w:i/>
          <w:iCs/>
          <w:lang w:val="fr-FR" w:eastAsia="en-US"/>
        </w:rPr>
        <w:t>)</w:t>
      </w:r>
    </w:p>
    <w:p w14:paraId="319613F6" w14:textId="77777777" w:rsidR="007635A3" w:rsidRPr="00076651" w:rsidRDefault="007635A3" w:rsidP="007635A3">
      <w:pPr>
        <w:pStyle w:val="SingleTxtG"/>
        <w:tabs>
          <w:tab w:val="clear" w:pos="1701"/>
        </w:tabs>
        <w:ind w:left="2268" w:hanging="1134"/>
        <w:rPr>
          <w:lang w:val="fr-FR" w:eastAsia="ja-JP"/>
        </w:rPr>
      </w:pPr>
      <w:r w:rsidRPr="00076651">
        <w:rPr>
          <w:lang w:val="fr-FR" w:eastAsia="ja-JP"/>
        </w:rPr>
        <w:t>7.1.7.2.3</w:t>
      </w:r>
      <w:r w:rsidRPr="00076651">
        <w:rPr>
          <w:lang w:val="fr-FR" w:eastAsia="ja-JP"/>
        </w:rPr>
        <w:tab/>
        <w:t>Remplacer « compartiment de charge » par « compartiment de chargement » (deux fois).</w:t>
      </w:r>
    </w:p>
    <w:p w14:paraId="1A329664" w14:textId="77777777" w:rsidR="00BC0E36" w:rsidRPr="00076651" w:rsidRDefault="00BC0E36" w:rsidP="00BC0E36">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w:t>
      </w:r>
      <w:r w:rsidRPr="00076651">
        <w:rPr>
          <w:rStyle w:val="ui-provider"/>
          <w:rFonts w:eastAsiaTheme="minorHAnsi"/>
          <w:i/>
          <w:iCs/>
          <w:lang w:val="fr-FR"/>
        </w:rPr>
        <w:t>)</w:t>
      </w:r>
    </w:p>
    <w:p w14:paraId="7B6E81F3" w14:textId="48D75F5C" w:rsidR="00640355" w:rsidRPr="00076651" w:rsidRDefault="00A36353" w:rsidP="00B234CE">
      <w:pPr>
        <w:pStyle w:val="H23G"/>
        <w:rPr>
          <w:rFonts w:eastAsiaTheme="minorHAnsi"/>
          <w:lang w:val="fr-FR"/>
        </w:rPr>
      </w:pPr>
      <w:r w:rsidRPr="00076651">
        <w:rPr>
          <w:lang w:val="fr-FR" w:eastAsia="en-US"/>
        </w:rPr>
        <w:tab/>
      </w:r>
      <w:r w:rsidRPr="00076651">
        <w:rPr>
          <w:lang w:val="fr-FR" w:eastAsia="en-US"/>
        </w:rPr>
        <w:tab/>
      </w:r>
      <w:r w:rsidRPr="00076651">
        <w:rPr>
          <w:lang w:val="fr-FR"/>
        </w:rPr>
        <w:t xml:space="preserve">Les </w:t>
      </w:r>
      <w:r w:rsidRPr="00076651">
        <w:rPr>
          <w:lang w:val="fr-FR" w:eastAsia="en-US"/>
        </w:rPr>
        <w:t>documents ST/SG/AC.10/C.3/2023/3</w:t>
      </w:r>
      <w:r w:rsidR="00550F4E" w:rsidRPr="00076651">
        <w:rPr>
          <w:lang w:val="fr-FR" w:eastAsia="en-US"/>
        </w:rPr>
        <w:t xml:space="preserve">, </w:t>
      </w:r>
      <w:r w:rsidRPr="00076651">
        <w:rPr>
          <w:lang w:val="fr-FR" w:eastAsia="en-US"/>
        </w:rPr>
        <w:t>ST/SG/AC.10/C.3/2023/4</w:t>
      </w:r>
      <w:r w:rsidR="00B234CE" w:rsidRPr="00076651">
        <w:rPr>
          <w:lang w:val="fr-FR" w:eastAsia="en-US"/>
        </w:rPr>
        <w:t>,</w:t>
      </w:r>
      <w:r w:rsidRPr="00076651">
        <w:rPr>
          <w:lang w:val="fr-FR" w:eastAsia="en-US"/>
        </w:rPr>
        <w:t xml:space="preserve"> </w:t>
      </w:r>
      <w:r w:rsidR="00B234CE" w:rsidRPr="00076651">
        <w:rPr>
          <w:rFonts w:eastAsiaTheme="minorHAnsi"/>
          <w:lang w:val="fr-FR"/>
        </w:rPr>
        <w:t xml:space="preserve">ST/SG/AC.10/C.3/2024/9 et ST/SG/AC.10/C.3/2024/30 (avec une modification supplémentaire pour la liste alphabétique) </w:t>
      </w:r>
      <w:r w:rsidRPr="00076651">
        <w:rPr>
          <w:lang w:val="fr-FR" w:eastAsia="en-US"/>
        </w:rPr>
        <w:t xml:space="preserve">et </w:t>
      </w:r>
      <w:r w:rsidR="00B234CE" w:rsidRPr="00076651">
        <w:rPr>
          <w:lang w:val="fr-FR" w:eastAsia="en-US"/>
        </w:rPr>
        <w:t>les</w:t>
      </w:r>
      <w:r w:rsidRPr="00076651">
        <w:rPr>
          <w:lang w:val="fr-FR" w:eastAsia="en-US"/>
        </w:rPr>
        <w:t xml:space="preserve"> document</w:t>
      </w:r>
      <w:r w:rsidR="00B234CE" w:rsidRPr="00076651">
        <w:rPr>
          <w:lang w:val="fr-FR" w:eastAsia="en-US"/>
        </w:rPr>
        <w:t>s</w:t>
      </w:r>
      <w:r w:rsidRPr="00076651">
        <w:rPr>
          <w:lang w:val="fr-FR" w:eastAsia="en-US"/>
        </w:rPr>
        <w:t xml:space="preserve"> informel</w:t>
      </w:r>
      <w:r w:rsidR="00550F4E" w:rsidRPr="00076651">
        <w:rPr>
          <w:lang w:val="fr-FR" w:eastAsia="en-US"/>
        </w:rPr>
        <w:t>s</w:t>
      </w:r>
      <w:r w:rsidRPr="00076651">
        <w:rPr>
          <w:lang w:val="fr-FR" w:eastAsia="en-US"/>
        </w:rPr>
        <w:t xml:space="preserve"> INF.7</w:t>
      </w:r>
      <w:r w:rsidR="00640355" w:rsidRPr="00076651">
        <w:rPr>
          <w:lang w:val="fr-FR" w:eastAsia="en-US"/>
        </w:rPr>
        <w:t xml:space="preserve"> de la soixante-deuxième session</w:t>
      </w:r>
      <w:r w:rsidR="00B234CE" w:rsidRPr="00076651">
        <w:rPr>
          <w:lang w:val="fr-FR" w:eastAsia="en-US"/>
        </w:rPr>
        <w:t xml:space="preserve"> et </w:t>
      </w:r>
      <w:r w:rsidR="00640355" w:rsidRPr="00076651">
        <w:rPr>
          <w:rFonts w:eastAsiaTheme="minorHAnsi"/>
          <w:lang w:val="fr-FR"/>
        </w:rPr>
        <w:t xml:space="preserve">INF.17 </w:t>
      </w:r>
      <w:r w:rsidR="00640355" w:rsidRPr="00076651">
        <w:rPr>
          <w:lang w:val="fr-FR" w:eastAsia="en-US"/>
        </w:rPr>
        <w:t>de la soixante-quatrième session</w:t>
      </w:r>
      <w:r w:rsidR="00640355" w:rsidRPr="00076651">
        <w:rPr>
          <w:rFonts w:eastAsiaTheme="minorHAnsi"/>
          <w:lang w:val="fr-FR"/>
        </w:rPr>
        <w:t xml:space="preserve"> </w:t>
      </w:r>
      <w:r w:rsidR="00B234CE" w:rsidRPr="00076651">
        <w:rPr>
          <w:rFonts w:eastAsiaTheme="minorHAnsi"/>
          <w:lang w:val="fr-FR"/>
        </w:rPr>
        <w:t xml:space="preserve">avec des amendements applicables à la version espagnole </w:t>
      </w:r>
      <w:r w:rsidR="00640355" w:rsidRPr="00076651">
        <w:rPr>
          <w:rFonts w:eastAsiaTheme="minorHAnsi"/>
          <w:lang w:val="fr-FR"/>
        </w:rPr>
        <w:t xml:space="preserve">ont été adoptés. </w:t>
      </w:r>
    </w:p>
    <w:p w14:paraId="3E4C2723" w14:textId="5F903A20" w:rsidR="00895E50" w:rsidRPr="00076651" w:rsidRDefault="00895E50" w:rsidP="00895E50">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(Documents de référence : </w:t>
      </w:r>
      <w:r w:rsidRPr="00076651">
        <w:rPr>
          <w:i/>
          <w:iCs/>
        </w:rPr>
        <w:t>ST/SG/AC.10/C.3/124, annexe I et ST/SG/AC.10/C.3/128, annexe II</w:t>
      </w:r>
      <w:r w:rsidRPr="00076651">
        <w:rPr>
          <w:rStyle w:val="ui-provider"/>
          <w:rFonts w:eastAsiaTheme="minorHAnsi"/>
          <w:i/>
          <w:iCs/>
          <w:lang w:val="fr-FR"/>
        </w:rPr>
        <w:t>)</w:t>
      </w:r>
    </w:p>
    <w:bookmarkEnd w:id="8"/>
    <w:p w14:paraId="1DDA16DB" w14:textId="77777777" w:rsidR="00A36353" w:rsidRPr="00076651" w:rsidRDefault="00A36353" w:rsidP="00A36353">
      <w:pPr>
        <w:rPr>
          <w:b/>
          <w:sz w:val="28"/>
          <w:lang w:val="fr-FR"/>
        </w:rPr>
      </w:pPr>
      <w:r w:rsidRPr="00076651">
        <w:rPr>
          <w:lang w:val="fr-FR"/>
        </w:rPr>
        <w:br w:type="page"/>
      </w:r>
    </w:p>
    <w:p w14:paraId="52ABA1FB" w14:textId="77777777" w:rsidR="00A36353" w:rsidRPr="00076651" w:rsidRDefault="00A36353" w:rsidP="00A36353">
      <w:pPr>
        <w:pStyle w:val="HChG"/>
        <w:rPr>
          <w:lang w:val="fr-FR"/>
        </w:rPr>
      </w:pPr>
      <w:r w:rsidRPr="00076651">
        <w:rPr>
          <w:lang w:val="fr-FR"/>
        </w:rPr>
        <w:lastRenderedPageBreak/>
        <w:tab/>
        <w:t>II.</w:t>
      </w:r>
      <w:r w:rsidRPr="00076651">
        <w:rPr>
          <w:lang w:val="fr-FR"/>
        </w:rPr>
        <w:tab/>
        <w:t xml:space="preserve">Projet d’amendements à la huitième édition révisée du Manuel d’épreuves et de critères (ST/SG/AC.10/11/Rev.8) </w:t>
      </w:r>
    </w:p>
    <w:p w14:paraId="5DED01FB" w14:textId="77777777" w:rsidR="00991915" w:rsidRPr="00076651" w:rsidRDefault="00991915" w:rsidP="00991915">
      <w:pPr>
        <w:pStyle w:val="H1G"/>
        <w:rPr>
          <w:lang w:val="fr-FR"/>
        </w:rPr>
      </w:pPr>
      <w:r w:rsidRPr="00076651">
        <w:rPr>
          <w:lang w:val="fr-FR"/>
        </w:rPr>
        <w:tab/>
      </w:r>
      <w:r w:rsidRPr="00076651">
        <w:rPr>
          <w:lang w:val="fr-FR"/>
        </w:rPr>
        <w:tab/>
        <w:t>Section 10</w:t>
      </w:r>
    </w:p>
    <w:p w14:paraId="6871D059" w14:textId="77777777" w:rsidR="00991915" w:rsidRPr="00076651" w:rsidRDefault="00991915" w:rsidP="00991915">
      <w:pPr>
        <w:pStyle w:val="SingleTxtG"/>
        <w:tabs>
          <w:tab w:val="clear" w:pos="1701"/>
          <w:tab w:val="clear" w:pos="2268"/>
          <w:tab w:val="clear" w:pos="2835"/>
        </w:tabs>
        <w:ind w:left="2268" w:hanging="1134"/>
        <w:rPr>
          <w:lang w:val="fr-FR"/>
        </w:rPr>
      </w:pPr>
      <w:r w:rsidRPr="00076651">
        <w:rPr>
          <w:lang w:val="fr-FR"/>
        </w:rPr>
        <w:t>10.3.2.2</w:t>
      </w:r>
      <w:r w:rsidRPr="00076651">
        <w:rPr>
          <w:lang w:val="fr-FR"/>
        </w:rPr>
        <w:tab/>
        <w:t>Dans la première phrase, remplacer « S'agit-il d'une matière explosible ? » par « Est-ce que la matière a des propriétés explosives ? ».</w:t>
      </w:r>
    </w:p>
    <w:p w14:paraId="7152E230" w14:textId="77777777" w:rsidR="00991915" w:rsidRPr="00076651" w:rsidRDefault="00991915" w:rsidP="00991915">
      <w:pPr>
        <w:pStyle w:val="SingleTxtG"/>
        <w:ind w:left="2268" w:hanging="1134"/>
        <w:rPr>
          <w:lang w:val="fr-FR"/>
        </w:rPr>
      </w:pPr>
      <w:r w:rsidRPr="00076651">
        <w:rPr>
          <w:lang w:val="fr-FR"/>
        </w:rPr>
        <w:t>Figure 10.2</w:t>
      </w:r>
      <w:r w:rsidRPr="00076651">
        <w:rPr>
          <w:lang w:val="fr-FR"/>
        </w:rPr>
        <w:tab/>
        <w:t>Modifier le texte de la case 5 pour lire « Est-ce que la matière a des propriétés explosives ? ».</w:t>
      </w:r>
    </w:p>
    <w:p w14:paraId="13BC2EF2" w14:textId="77777777" w:rsidR="00991915" w:rsidRPr="00076651" w:rsidRDefault="00991915" w:rsidP="00991915">
      <w:pPr>
        <w:pStyle w:val="SingleTxtG"/>
        <w:ind w:left="2268" w:hanging="1134"/>
        <w:rPr>
          <w:lang w:val="fr-FR"/>
        </w:rPr>
      </w:pPr>
      <w:r w:rsidRPr="00076651">
        <w:rPr>
          <w:lang w:val="fr-FR"/>
        </w:rPr>
        <w:t>Figure 10.7 a)</w:t>
      </w:r>
      <w:r w:rsidRPr="00076651">
        <w:rPr>
          <w:lang w:val="fr-FR"/>
        </w:rPr>
        <w:tab/>
        <w:t>Au point 6, remplacer « S'agit-il d'une matière explosible ? » par « Est-ce que la matière a des propriétés explosives ? ».</w:t>
      </w:r>
    </w:p>
    <w:p w14:paraId="13A695AD" w14:textId="5877212B" w:rsidR="00991915" w:rsidRPr="00076651" w:rsidRDefault="00991915" w:rsidP="00991915">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5EAA4333" w14:textId="77777777" w:rsidR="008F7F8D" w:rsidRPr="00076651" w:rsidRDefault="008F7F8D" w:rsidP="008F7F8D">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Section 11</w:t>
      </w:r>
    </w:p>
    <w:p w14:paraId="76D89DB1" w14:textId="77777777" w:rsidR="00665EC2" w:rsidRPr="00076651" w:rsidRDefault="00665EC2" w:rsidP="00665EC2">
      <w:pPr>
        <w:pStyle w:val="SingleTxtG"/>
        <w:tabs>
          <w:tab w:val="clear" w:pos="1701"/>
          <w:tab w:val="clear" w:pos="2268"/>
          <w:tab w:val="clear" w:pos="2835"/>
        </w:tabs>
        <w:ind w:left="2268" w:hanging="1134"/>
        <w:rPr>
          <w:lang w:val="fr-FR"/>
        </w:rPr>
      </w:pPr>
      <w:r w:rsidRPr="00076651">
        <w:rPr>
          <w:lang w:val="fr-FR"/>
        </w:rPr>
        <w:t>11.1.1</w:t>
      </w:r>
      <w:r w:rsidRPr="00076651">
        <w:rPr>
          <w:lang w:val="fr-FR"/>
        </w:rPr>
        <w:tab/>
        <w:t>Dans la première phrase, remplacer « S'agit-il d'une matière explosible ? » par « Est-ce que la matière a des propriétés explosives ? ».</w:t>
      </w:r>
    </w:p>
    <w:p w14:paraId="0CD1367D"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44E0E3FA" w14:textId="77777777" w:rsidR="008F7F8D" w:rsidRPr="00076651" w:rsidRDefault="008F7F8D" w:rsidP="007B33A9">
      <w:pPr>
        <w:pStyle w:val="SingleTxtG"/>
        <w:tabs>
          <w:tab w:val="clear" w:pos="1701"/>
        </w:tabs>
        <w:rPr>
          <w:rStyle w:val="ui-provider"/>
          <w:rFonts w:eastAsiaTheme="minorHAnsi"/>
          <w:lang w:val="fr-FR"/>
        </w:rPr>
      </w:pPr>
      <w:r w:rsidRPr="00076651">
        <w:rPr>
          <w:lang w:val="fr-FR"/>
        </w:rPr>
        <w:t>11.6.1.3.1</w:t>
      </w:r>
      <w:r w:rsidRPr="00076651">
        <w:rPr>
          <w:lang w:val="fr-FR"/>
        </w:rPr>
        <w:tab/>
        <w:t>Dans la cinquième phrase, remplacer « le poids » par « la masse ».</w:t>
      </w:r>
    </w:p>
    <w:p w14:paraId="28052A49" w14:textId="297B8380" w:rsidR="008F7F8D" w:rsidRPr="00076651" w:rsidRDefault="008F7F8D" w:rsidP="008F7F8D">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IV</w:t>
      </w:r>
      <w:r w:rsidRPr="00076651">
        <w:rPr>
          <w:rStyle w:val="ui-provider"/>
          <w:rFonts w:eastAsiaTheme="minorHAnsi"/>
          <w:i/>
          <w:iCs/>
          <w:lang w:val="fr-FR"/>
        </w:rPr>
        <w:t>)</w:t>
      </w:r>
    </w:p>
    <w:p w14:paraId="6EA7225B" w14:textId="77777777" w:rsidR="008F7F8D" w:rsidRPr="00076651" w:rsidRDefault="008F7F8D" w:rsidP="008F7F8D">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Section 12</w:t>
      </w:r>
    </w:p>
    <w:p w14:paraId="3C5D976D" w14:textId="6EF023F1" w:rsidR="007B3440" w:rsidRPr="00076651" w:rsidRDefault="007B3440" w:rsidP="007B3440">
      <w:pPr>
        <w:pStyle w:val="SingleTxtG"/>
        <w:tabs>
          <w:tab w:val="clear" w:pos="1701"/>
          <w:tab w:val="clear" w:pos="2268"/>
          <w:tab w:val="clear" w:pos="2835"/>
        </w:tabs>
        <w:ind w:left="2268" w:hanging="1134"/>
        <w:rPr>
          <w:lang w:val="fr-FR"/>
        </w:rPr>
      </w:pPr>
      <w:r w:rsidRPr="00076651">
        <w:rPr>
          <w:lang w:val="fr-FR"/>
        </w:rPr>
        <w:t>12.1.1</w:t>
      </w:r>
      <w:r w:rsidRPr="00076651">
        <w:rPr>
          <w:lang w:val="fr-FR"/>
        </w:rPr>
        <w:tab/>
      </w:r>
      <w:r w:rsidR="007D2B25" w:rsidRPr="00076651">
        <w:rPr>
          <w:lang w:val="fr-FR"/>
        </w:rPr>
        <w:t>L’amendement ne</w:t>
      </w:r>
      <w:r w:rsidRPr="00076651">
        <w:rPr>
          <w:lang w:val="fr-FR"/>
        </w:rPr>
        <w:t xml:space="preserve"> s’applique pas au texte français.</w:t>
      </w:r>
    </w:p>
    <w:p w14:paraId="6B3B7439"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1CDDEDFB" w14:textId="77777777" w:rsidR="008F7F8D" w:rsidRPr="00076651" w:rsidRDefault="008F7F8D" w:rsidP="007B33A9">
      <w:pPr>
        <w:pStyle w:val="SingleTxtG"/>
        <w:tabs>
          <w:tab w:val="clear" w:pos="1701"/>
        </w:tabs>
        <w:rPr>
          <w:rStyle w:val="ui-provider"/>
          <w:rFonts w:eastAsiaTheme="minorHAnsi"/>
          <w:lang w:val="fr-FR"/>
        </w:rPr>
      </w:pPr>
      <w:r w:rsidRPr="00076651">
        <w:rPr>
          <w:lang w:val="fr-FR"/>
        </w:rPr>
        <w:t>12.6.1.3.1</w:t>
      </w:r>
      <w:r w:rsidRPr="00076651">
        <w:rPr>
          <w:lang w:val="fr-FR"/>
        </w:rPr>
        <w:tab/>
        <w:t>Dans la cinquième phrase, remplacer « le poids » par « la masse ».</w:t>
      </w:r>
    </w:p>
    <w:p w14:paraId="32061275" w14:textId="77777777" w:rsidR="008F7F8D" w:rsidRPr="00076651" w:rsidRDefault="008F7F8D" w:rsidP="008F7F8D">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IV</w:t>
      </w:r>
      <w:r w:rsidRPr="00076651">
        <w:rPr>
          <w:rStyle w:val="ui-provider"/>
          <w:rFonts w:eastAsiaTheme="minorHAnsi"/>
          <w:i/>
          <w:iCs/>
          <w:lang w:val="fr-FR"/>
        </w:rPr>
        <w:t>)</w:t>
      </w:r>
    </w:p>
    <w:p w14:paraId="4B6DF415" w14:textId="77777777" w:rsidR="008F7F8D" w:rsidRPr="00076651" w:rsidRDefault="008F7F8D" w:rsidP="008F7F8D">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Section 13</w:t>
      </w:r>
    </w:p>
    <w:p w14:paraId="543998FA" w14:textId="77777777" w:rsidR="008F7F8D" w:rsidRPr="00076651" w:rsidRDefault="008F7F8D" w:rsidP="008F7F8D">
      <w:pPr>
        <w:pStyle w:val="SingleTxtG"/>
        <w:tabs>
          <w:tab w:val="clear" w:pos="1701"/>
        </w:tabs>
        <w:rPr>
          <w:rStyle w:val="ui-provider"/>
          <w:rFonts w:eastAsiaTheme="minorHAnsi"/>
          <w:lang w:val="fr-FR"/>
        </w:rPr>
      </w:pPr>
      <w:r w:rsidRPr="00076651">
        <w:rPr>
          <w:lang w:val="fr-FR"/>
        </w:rPr>
        <w:t>13.4.1.3.1</w:t>
      </w:r>
      <w:r w:rsidRPr="00076651">
        <w:rPr>
          <w:lang w:val="fr-FR"/>
        </w:rPr>
        <w:tab/>
        <w:t>Dans la première phrase, supprimer « de matière ».</w:t>
      </w:r>
    </w:p>
    <w:p w14:paraId="2A015D66" w14:textId="77777777" w:rsidR="008F7F8D" w:rsidRPr="00076651" w:rsidRDefault="008F7F8D" w:rsidP="008F7F8D">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IV</w:t>
      </w:r>
      <w:r w:rsidRPr="00076651">
        <w:rPr>
          <w:rStyle w:val="ui-provider"/>
          <w:rFonts w:eastAsiaTheme="minorHAnsi"/>
          <w:i/>
          <w:iCs/>
          <w:lang w:val="fr-FR"/>
        </w:rPr>
        <w:t>)</w:t>
      </w:r>
    </w:p>
    <w:p w14:paraId="04CB9567" w14:textId="77777777" w:rsidR="008F7F8D" w:rsidRPr="00076651" w:rsidRDefault="008F7F8D" w:rsidP="008F7F8D">
      <w:pPr>
        <w:pStyle w:val="SingleTxtG"/>
        <w:tabs>
          <w:tab w:val="clear" w:pos="1701"/>
        </w:tabs>
        <w:ind w:left="2268" w:hanging="1134"/>
        <w:rPr>
          <w:rStyle w:val="ui-provider"/>
          <w:rFonts w:eastAsiaTheme="minorHAnsi"/>
          <w:lang w:val="fr-FR"/>
        </w:rPr>
      </w:pPr>
      <w:r w:rsidRPr="00076651">
        <w:rPr>
          <w:lang w:val="fr-FR"/>
        </w:rPr>
        <w:t>13.4.2.2.2</w:t>
      </w:r>
      <w:r w:rsidRPr="00076651">
        <w:rPr>
          <w:lang w:val="fr-FR"/>
        </w:rPr>
        <w:tab/>
        <w:t>Dans la quatrième phrase, remplacer « pesant respectivement » par « respectivement de ».</w:t>
      </w:r>
    </w:p>
    <w:p w14:paraId="5A89B6B0" w14:textId="77777777" w:rsidR="008F7F8D" w:rsidRPr="00076651" w:rsidRDefault="008F7F8D" w:rsidP="008F7F8D">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IV</w:t>
      </w:r>
      <w:r w:rsidRPr="00076651">
        <w:rPr>
          <w:rStyle w:val="ui-provider"/>
          <w:rFonts w:eastAsiaTheme="minorHAnsi"/>
          <w:i/>
          <w:iCs/>
          <w:lang w:val="fr-FR"/>
        </w:rPr>
        <w:t>)</w:t>
      </w:r>
    </w:p>
    <w:p w14:paraId="06EA36F9" w14:textId="77777777" w:rsidR="00502B2E" w:rsidRPr="00076651" w:rsidRDefault="00502B2E" w:rsidP="00502B2E">
      <w:pPr>
        <w:pStyle w:val="H1G"/>
        <w:rPr>
          <w:lang w:val="fr-FR"/>
        </w:rPr>
      </w:pPr>
      <w:r w:rsidRPr="00076651">
        <w:rPr>
          <w:lang w:val="fr-FR"/>
        </w:rPr>
        <w:tab/>
      </w:r>
      <w:r w:rsidRPr="00076651">
        <w:rPr>
          <w:lang w:val="fr-FR"/>
        </w:rPr>
        <w:tab/>
        <w:t>Section 18</w:t>
      </w:r>
    </w:p>
    <w:p w14:paraId="624B95A5" w14:textId="77777777" w:rsidR="00502B2E" w:rsidRPr="00076651" w:rsidRDefault="00502B2E" w:rsidP="00502B2E">
      <w:pPr>
        <w:pStyle w:val="SingleTxtG"/>
        <w:tabs>
          <w:tab w:val="clear" w:pos="1701"/>
          <w:tab w:val="clear" w:pos="2268"/>
          <w:tab w:val="clear" w:pos="2835"/>
        </w:tabs>
        <w:ind w:left="2268" w:hanging="1134"/>
        <w:rPr>
          <w:lang w:val="fr-FR"/>
        </w:rPr>
      </w:pPr>
      <w:r w:rsidRPr="00076651">
        <w:rPr>
          <w:lang w:val="fr-FR"/>
        </w:rPr>
        <w:t>18.8.1.2.1</w:t>
      </w:r>
      <w:r w:rsidRPr="00076651">
        <w:rPr>
          <w:lang w:val="fr-FR"/>
        </w:rPr>
        <w:tab/>
        <w:t>Dans la quatrième phrase, à la fin, ajouter « par exemple à l'aide d'une seringue ou d'une poche à douille lorsque la viscosité de l'échantillon le permet ».</w:t>
      </w:r>
    </w:p>
    <w:p w14:paraId="4B983D62"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30F94E75" w14:textId="77777777" w:rsidR="00502B2E" w:rsidRPr="00076651" w:rsidRDefault="00502B2E" w:rsidP="007B33A9">
      <w:pPr>
        <w:pStyle w:val="SingleTxtG"/>
        <w:tabs>
          <w:tab w:val="clear" w:pos="1701"/>
          <w:tab w:val="clear" w:pos="2268"/>
          <w:tab w:val="clear" w:pos="2835"/>
        </w:tabs>
        <w:ind w:left="2268" w:hanging="1134"/>
        <w:rPr>
          <w:lang w:val="fr-FR"/>
        </w:rPr>
      </w:pPr>
      <w:r w:rsidRPr="00076651">
        <w:rPr>
          <w:lang w:val="fr-FR"/>
        </w:rPr>
        <w:t>18.8.1.2.2</w:t>
      </w:r>
      <w:r w:rsidRPr="00076651">
        <w:rPr>
          <w:lang w:val="fr-FR"/>
        </w:rPr>
        <w:tab/>
        <w:t>Dans la première phrase, remplacer « 0,51 mm » par « 0,50 à 0,51 mm » et remplacer « 5,5 Ω m</w:t>
      </w:r>
      <w:r w:rsidRPr="00076651">
        <w:rPr>
          <w:vertAlign w:val="superscript"/>
          <w:lang w:val="fr-FR"/>
        </w:rPr>
        <w:t>-1</w:t>
      </w:r>
      <w:r w:rsidRPr="00076651">
        <w:rPr>
          <w:lang w:val="fr-FR"/>
        </w:rPr>
        <w:t> » par « 5,50 à 5,75 Ω·m</w:t>
      </w:r>
      <w:r w:rsidRPr="00076651">
        <w:rPr>
          <w:vertAlign w:val="superscript"/>
          <w:lang w:val="fr-FR"/>
        </w:rPr>
        <w:t>-1</w:t>
      </w:r>
      <w:r w:rsidRPr="00076651">
        <w:rPr>
          <w:lang w:val="fr-FR"/>
        </w:rPr>
        <w:t> ».</w:t>
      </w:r>
    </w:p>
    <w:p w14:paraId="404FCB22"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2C90B34E" w14:textId="77777777" w:rsidR="00502B2E" w:rsidRPr="00076651" w:rsidRDefault="00502B2E" w:rsidP="007B33A9">
      <w:pPr>
        <w:pStyle w:val="SingleTxtG"/>
        <w:tabs>
          <w:tab w:val="clear" w:pos="1701"/>
          <w:tab w:val="clear" w:pos="2268"/>
          <w:tab w:val="clear" w:pos="2835"/>
        </w:tabs>
        <w:ind w:left="2268" w:hanging="1134"/>
        <w:rPr>
          <w:lang w:val="fr-FR"/>
        </w:rPr>
      </w:pPr>
      <w:r w:rsidRPr="00076651">
        <w:rPr>
          <w:lang w:val="fr-FR"/>
        </w:rPr>
        <w:t>18.8.1.2.3</w:t>
      </w:r>
      <w:r w:rsidRPr="00076651">
        <w:rPr>
          <w:lang w:val="fr-FR"/>
        </w:rPr>
        <w:tab/>
        <w:t>À la fin, ajouter « et d’un thermocouple de type K permettant de mesurer la température du gaz ».</w:t>
      </w:r>
    </w:p>
    <w:p w14:paraId="11C7F74A"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74A7EF40" w14:textId="77777777" w:rsidR="00502B2E" w:rsidRPr="00076651" w:rsidRDefault="00502B2E" w:rsidP="007B33A9">
      <w:pPr>
        <w:pStyle w:val="SingleTxtG"/>
        <w:tabs>
          <w:tab w:val="clear" w:pos="1701"/>
          <w:tab w:val="clear" w:pos="2268"/>
          <w:tab w:val="clear" w:pos="2835"/>
        </w:tabs>
        <w:ind w:left="2268" w:hanging="1134"/>
        <w:rPr>
          <w:lang w:val="fr-FR"/>
        </w:rPr>
      </w:pPr>
      <w:r w:rsidRPr="00076651">
        <w:rPr>
          <w:lang w:val="fr-FR"/>
        </w:rPr>
        <w:lastRenderedPageBreak/>
        <w:t>18.8.1.3.3</w:t>
      </w:r>
      <w:r w:rsidRPr="00076651">
        <w:rPr>
          <w:lang w:val="fr-FR"/>
        </w:rPr>
        <w:tab/>
        <w:t>À la fin, ajuter les deux nouvelles phrases suivantes : « L'épreuve doit être lancé une fois que la température du gaz est redescendue à la température ambiante ou que la pression du gaz s'est stabilisée. La valeur du capteur de pression est alors consignée comme étant la pression initiale. ».</w:t>
      </w:r>
    </w:p>
    <w:p w14:paraId="5B3DEAC1"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5F324401" w14:textId="77777777" w:rsidR="008F7F8D" w:rsidRPr="00076651" w:rsidRDefault="008F7F8D" w:rsidP="008F7F8D">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Section 23</w:t>
      </w:r>
    </w:p>
    <w:p w14:paraId="2667D433" w14:textId="77777777" w:rsidR="008F7F8D" w:rsidRPr="00076651" w:rsidRDefault="008F7F8D" w:rsidP="008F7F8D">
      <w:pPr>
        <w:pStyle w:val="SingleTxtG"/>
        <w:tabs>
          <w:tab w:val="clear" w:pos="1701"/>
        </w:tabs>
        <w:ind w:left="2268" w:hanging="1134"/>
        <w:rPr>
          <w:rStyle w:val="ui-provider"/>
          <w:rFonts w:eastAsiaTheme="minorHAnsi"/>
          <w:lang w:val="fr-FR"/>
        </w:rPr>
      </w:pPr>
      <w:r w:rsidRPr="00076651">
        <w:rPr>
          <w:lang w:val="fr-FR"/>
        </w:rPr>
        <w:t>23.4.1.3.1</w:t>
      </w:r>
      <w:r w:rsidRPr="00076651">
        <w:rPr>
          <w:lang w:val="fr-FR"/>
        </w:rPr>
        <w:tab/>
        <w:t>Dans la quatrième phrase, supprimer « même » et remplacer « au maximum de sa contenance » par « complètement ». Dans la cinquième phrase, remplacer « le poids » par « la masse ».</w:t>
      </w:r>
    </w:p>
    <w:p w14:paraId="33AB5A35" w14:textId="77777777" w:rsidR="008F7F8D" w:rsidRPr="00076651" w:rsidRDefault="008F7F8D" w:rsidP="008F7F8D">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IV</w:t>
      </w:r>
      <w:r w:rsidRPr="00076651">
        <w:rPr>
          <w:rStyle w:val="ui-provider"/>
          <w:rFonts w:eastAsiaTheme="minorHAnsi"/>
          <w:i/>
          <w:iCs/>
          <w:lang w:val="fr-FR"/>
        </w:rPr>
        <w:t>)</w:t>
      </w:r>
    </w:p>
    <w:p w14:paraId="738A0D03" w14:textId="77777777" w:rsidR="008F7F8D" w:rsidRPr="00076651" w:rsidRDefault="008F7F8D" w:rsidP="008F7F8D">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Section 26</w:t>
      </w:r>
    </w:p>
    <w:p w14:paraId="12222733" w14:textId="77777777" w:rsidR="008F7F8D" w:rsidRPr="00076651" w:rsidRDefault="008F7F8D" w:rsidP="008F7F8D">
      <w:pPr>
        <w:pStyle w:val="SingleTxtG"/>
        <w:tabs>
          <w:tab w:val="clear" w:pos="1701"/>
        </w:tabs>
        <w:ind w:left="2268" w:hanging="1134"/>
        <w:rPr>
          <w:rStyle w:val="ui-provider"/>
          <w:rFonts w:eastAsiaTheme="minorHAnsi"/>
          <w:lang w:val="fr-FR"/>
        </w:rPr>
      </w:pPr>
      <w:r w:rsidRPr="00076651">
        <w:rPr>
          <w:lang w:val="fr-FR"/>
        </w:rPr>
        <w:t>26.4.1.2.1</w:t>
      </w:r>
      <w:r w:rsidRPr="00076651">
        <w:rPr>
          <w:lang w:val="fr-FR"/>
        </w:rPr>
        <w:tab/>
        <w:t>La modification ne s’applique pas au texte français.</w:t>
      </w:r>
    </w:p>
    <w:p w14:paraId="3A3B1D15" w14:textId="77777777" w:rsidR="008F7F8D" w:rsidRPr="00076651" w:rsidRDefault="008F7F8D" w:rsidP="008F7F8D">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IV</w:t>
      </w:r>
      <w:r w:rsidRPr="00076651">
        <w:rPr>
          <w:rStyle w:val="ui-provider"/>
          <w:rFonts w:eastAsiaTheme="minorHAnsi"/>
          <w:i/>
          <w:iCs/>
          <w:lang w:val="fr-FR"/>
        </w:rPr>
        <w:t>)</w:t>
      </w:r>
    </w:p>
    <w:p w14:paraId="05A07212" w14:textId="77777777" w:rsidR="008F7F8D" w:rsidRPr="00076651" w:rsidRDefault="008F7F8D" w:rsidP="008F7F8D">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Section 28</w:t>
      </w:r>
    </w:p>
    <w:p w14:paraId="7744CD2A" w14:textId="77777777" w:rsidR="008F7F8D" w:rsidRPr="00076651" w:rsidRDefault="008F7F8D" w:rsidP="008F7F8D">
      <w:pPr>
        <w:pStyle w:val="SingleTxtG"/>
        <w:tabs>
          <w:tab w:val="clear" w:pos="1701"/>
        </w:tabs>
        <w:ind w:left="2268" w:hanging="1134"/>
        <w:rPr>
          <w:rStyle w:val="ui-provider"/>
          <w:rFonts w:eastAsiaTheme="minorHAnsi"/>
          <w:lang w:val="fr-FR"/>
        </w:rPr>
      </w:pPr>
      <w:r w:rsidRPr="00076651">
        <w:rPr>
          <w:lang w:val="fr-FR"/>
        </w:rPr>
        <w:t>28.4.2.2.2.3</w:t>
      </w:r>
      <w:r w:rsidRPr="00076651">
        <w:rPr>
          <w:lang w:val="fr-FR"/>
        </w:rPr>
        <w:tab/>
        <w:t>Dans la deuxième phrase, remplacer « Le poids de l’échantillon doit être déterminé » par « La masse de l’échantillon doit être déterminée ».</w:t>
      </w:r>
    </w:p>
    <w:p w14:paraId="70E77B13" w14:textId="77777777" w:rsidR="008F7F8D" w:rsidRPr="00076651" w:rsidRDefault="008F7F8D" w:rsidP="008F7F8D">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IV</w:t>
      </w:r>
      <w:r w:rsidRPr="00076651">
        <w:rPr>
          <w:rStyle w:val="ui-provider"/>
          <w:rFonts w:eastAsiaTheme="minorHAnsi"/>
          <w:i/>
          <w:iCs/>
          <w:lang w:val="fr-FR"/>
        </w:rPr>
        <w:t>)</w:t>
      </w:r>
    </w:p>
    <w:p w14:paraId="48D6FDD2" w14:textId="77777777" w:rsidR="0086726B" w:rsidRPr="00076651" w:rsidRDefault="0086726B" w:rsidP="0086726B">
      <w:pPr>
        <w:pStyle w:val="H1G"/>
        <w:rPr>
          <w:lang w:val="fr-FR"/>
        </w:rPr>
      </w:pPr>
      <w:r w:rsidRPr="00076651">
        <w:rPr>
          <w:lang w:val="fr-FR"/>
        </w:rPr>
        <w:tab/>
      </w:r>
      <w:r w:rsidRPr="00076651">
        <w:rPr>
          <w:lang w:val="fr-FR"/>
        </w:rPr>
        <w:tab/>
        <w:t>Section 32</w:t>
      </w:r>
    </w:p>
    <w:p w14:paraId="7AD445B1" w14:textId="77777777" w:rsidR="0086726B" w:rsidRPr="00076651" w:rsidRDefault="0086726B" w:rsidP="0086726B">
      <w:pPr>
        <w:pStyle w:val="SingleTxtG"/>
        <w:tabs>
          <w:tab w:val="clear" w:pos="1701"/>
          <w:tab w:val="clear" w:pos="2268"/>
          <w:tab w:val="clear" w:pos="2835"/>
        </w:tabs>
        <w:ind w:left="2268" w:hanging="1134"/>
        <w:rPr>
          <w:lang w:val="fr-FR"/>
        </w:rPr>
      </w:pPr>
      <w:r w:rsidRPr="00076651">
        <w:rPr>
          <w:lang w:val="fr-FR"/>
        </w:rPr>
        <w:t>32.3.2.1</w:t>
      </w:r>
      <w:r w:rsidRPr="00076651">
        <w:rPr>
          <w:lang w:val="fr-FR"/>
        </w:rPr>
        <w:tab/>
        <w:t xml:space="preserve">Dans la première phrase, remplacer « Nota 2 au paragraphe 2.1.1 du </w:t>
      </w:r>
      <w:r w:rsidRPr="00076651">
        <w:rPr>
          <w:i/>
          <w:iCs/>
          <w:lang w:val="fr-FR"/>
        </w:rPr>
        <w:t>SGH</w:t>
      </w:r>
      <w:r w:rsidRPr="00076651">
        <w:rPr>
          <w:lang w:val="fr-FR"/>
        </w:rPr>
        <w:t xml:space="preserve"> » par « 2.17.1.2 b) du </w:t>
      </w:r>
      <w:r w:rsidRPr="00076651">
        <w:rPr>
          <w:i/>
          <w:iCs/>
          <w:lang w:val="fr-FR"/>
        </w:rPr>
        <w:t>SGH</w:t>
      </w:r>
      <w:r w:rsidRPr="00076651">
        <w:rPr>
          <w:lang w:val="fr-FR"/>
        </w:rPr>
        <w:t> ».</w:t>
      </w:r>
    </w:p>
    <w:p w14:paraId="44A7C24F"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3C0D9142" w14:textId="12D7CB8B" w:rsidR="00D37397" w:rsidRPr="00076651" w:rsidRDefault="00D37397" w:rsidP="005B72D9">
      <w:pPr>
        <w:pStyle w:val="SingleTxtG"/>
        <w:rPr>
          <w:rStyle w:val="ui-provider"/>
          <w:rFonts w:eastAsiaTheme="minorHAnsi"/>
          <w:i/>
          <w:iCs/>
          <w:lang w:val="fr-FR"/>
        </w:rPr>
      </w:pPr>
      <w:r w:rsidRPr="00B45AC8">
        <w:rPr>
          <w:rStyle w:val="ui-provider"/>
          <w:rFonts w:eastAsiaTheme="minorHAnsi"/>
          <w:b/>
          <w:bCs/>
          <w:i/>
          <w:iCs/>
          <w:lang w:val="fr-FR"/>
        </w:rPr>
        <w:t>Note du secrétariat :</w:t>
      </w:r>
      <w:r w:rsidRPr="00076651">
        <w:rPr>
          <w:rStyle w:val="ui-provider"/>
          <w:rFonts w:eastAsiaTheme="minorHAnsi"/>
          <w:i/>
          <w:iCs/>
          <w:lang w:val="fr-FR"/>
        </w:rPr>
        <w:t xml:space="preserve"> À sa quarante-sixième session, le </w:t>
      </w:r>
      <w:r w:rsidR="005B72D9" w:rsidRPr="00076651">
        <w:rPr>
          <w:rStyle w:val="ui-provider"/>
          <w:rFonts w:eastAsiaTheme="minorHAnsi"/>
          <w:i/>
          <w:iCs/>
          <w:lang w:val="fr-FR"/>
        </w:rPr>
        <w:t>Sous-Comité d’experts du Système général harmonisé de classification et d’étiquetage des produits chimiques (</w:t>
      </w:r>
      <w:r w:rsidRPr="00076651">
        <w:rPr>
          <w:rStyle w:val="ui-provider"/>
          <w:rFonts w:eastAsiaTheme="minorHAnsi"/>
          <w:i/>
          <w:iCs/>
          <w:lang w:val="fr-FR"/>
        </w:rPr>
        <w:t>Sous-Comité SGH</w:t>
      </w:r>
      <w:r w:rsidR="005B72D9" w:rsidRPr="00076651">
        <w:rPr>
          <w:rStyle w:val="ui-provider"/>
          <w:rFonts w:eastAsiaTheme="minorHAnsi"/>
          <w:i/>
          <w:iCs/>
          <w:lang w:val="fr-FR"/>
        </w:rPr>
        <w:t>)</w:t>
      </w:r>
      <w:r w:rsidRPr="00076651">
        <w:rPr>
          <w:rStyle w:val="ui-provider"/>
          <w:rFonts w:eastAsiaTheme="minorHAnsi"/>
          <w:i/>
          <w:iCs/>
          <w:lang w:val="fr-FR"/>
        </w:rPr>
        <w:t xml:space="preserve"> a examiné les propositions figurant dans le document de l'AEISG et les recommandations du Sous-Comité. Après discussion, le Sous-Comité SGH a proposé la variante d'amendement suivante pour examen par le Sous-Comité à sa soixante-cinquième session (pour plus de détails, voir le rapport du Sous-Comité SGH, ST/SG/AC.10/C.4/92, paragraphe 12, et annexe II) :</w:t>
      </w:r>
    </w:p>
    <w:p w14:paraId="28E08B0B" w14:textId="61C72C0D" w:rsidR="00FA5C34" w:rsidRPr="00076651" w:rsidRDefault="00FA5C34" w:rsidP="0063569E">
      <w:pPr>
        <w:pStyle w:val="SingleTxtG"/>
        <w:tabs>
          <w:tab w:val="clear" w:pos="1701"/>
          <w:tab w:val="clear" w:pos="2268"/>
          <w:tab w:val="clear" w:pos="2835"/>
          <w:tab w:val="left" w:pos="3119"/>
        </w:tabs>
        <w:ind w:left="2268" w:hanging="1134"/>
        <w:rPr>
          <w:lang w:val="fr-FR"/>
        </w:rPr>
      </w:pPr>
      <w:r w:rsidRPr="00076651">
        <w:rPr>
          <w:lang w:val="fr-FR"/>
        </w:rPr>
        <w:t>32.3.2.1</w:t>
      </w:r>
      <w:r w:rsidRPr="00076651">
        <w:rPr>
          <w:lang w:val="fr-FR"/>
        </w:rPr>
        <w:tab/>
        <w:t xml:space="preserve">Modifier la première phrase </w:t>
      </w:r>
      <w:r w:rsidR="0063569E" w:rsidRPr="00076651">
        <w:rPr>
          <w:lang w:val="fr-FR"/>
        </w:rPr>
        <w:t xml:space="preserve">pour lire </w:t>
      </w:r>
      <w:r w:rsidRPr="00076651">
        <w:rPr>
          <w:lang w:val="fr-FR"/>
        </w:rPr>
        <w:t>comme suit :</w:t>
      </w:r>
      <w:r w:rsidR="0063569E" w:rsidRPr="00076651">
        <w:rPr>
          <w:lang w:val="fr-FR"/>
        </w:rPr>
        <w:t xml:space="preserve"> </w:t>
      </w:r>
      <w:r w:rsidRPr="00076651">
        <w:rPr>
          <w:lang w:val="fr-FR"/>
        </w:rPr>
        <w:t xml:space="preserve">« Cette sous-section présente le système du Règlement type pour le classement des matières explosibles désensibilisées en tant que liquides inflammables (voir le paragraphe 2.3.1.4 du Règlement type ; pour le </w:t>
      </w:r>
      <w:r w:rsidRPr="00076651">
        <w:rPr>
          <w:i/>
          <w:iCs/>
          <w:lang w:val="fr-FR"/>
        </w:rPr>
        <w:t>SGH</w:t>
      </w:r>
      <w:r w:rsidRPr="00076651">
        <w:rPr>
          <w:lang w:val="fr-FR"/>
        </w:rPr>
        <w:t xml:space="preserve">, voir l’alinéa 2.17.1.2 b) du </w:t>
      </w:r>
      <w:r w:rsidRPr="00076651">
        <w:rPr>
          <w:i/>
          <w:iCs/>
          <w:lang w:val="fr-FR"/>
        </w:rPr>
        <w:t>SGH</w:t>
      </w:r>
      <w:r w:rsidRPr="00076651">
        <w:rPr>
          <w:lang w:val="fr-FR"/>
        </w:rPr>
        <w:t>).</w:t>
      </w:r>
      <w:r w:rsidR="00A562CB" w:rsidRPr="00076651">
        <w:rPr>
          <w:lang w:val="fr-FR"/>
        </w:rPr>
        <w:t> </w:t>
      </w:r>
      <w:r w:rsidRPr="00076651">
        <w:rPr>
          <w:lang w:val="fr-FR"/>
        </w:rPr>
        <w:t>»</w:t>
      </w:r>
      <w:r w:rsidR="00872ED9" w:rsidRPr="00076651">
        <w:rPr>
          <w:lang w:val="fr-FR"/>
        </w:rPr>
        <w:t>.</w:t>
      </w:r>
    </w:p>
    <w:p w14:paraId="7585A971" w14:textId="77777777" w:rsidR="0086726B" w:rsidRPr="00076651" w:rsidRDefault="0086726B" w:rsidP="007B33A9">
      <w:pPr>
        <w:pStyle w:val="H1G"/>
        <w:rPr>
          <w:lang w:val="fr-FR"/>
        </w:rPr>
      </w:pPr>
      <w:r w:rsidRPr="00076651">
        <w:rPr>
          <w:lang w:val="fr-FR"/>
        </w:rPr>
        <w:tab/>
      </w:r>
      <w:r w:rsidRPr="00076651">
        <w:rPr>
          <w:lang w:val="fr-FR"/>
        </w:rPr>
        <w:tab/>
        <w:t>Section 33</w:t>
      </w:r>
    </w:p>
    <w:p w14:paraId="23C237B5" w14:textId="77777777" w:rsidR="0086726B" w:rsidRPr="00076651" w:rsidRDefault="0086726B" w:rsidP="0086726B">
      <w:pPr>
        <w:pStyle w:val="SingleTxtG"/>
        <w:tabs>
          <w:tab w:val="clear" w:pos="1701"/>
          <w:tab w:val="clear" w:pos="2268"/>
          <w:tab w:val="clear" w:pos="2835"/>
        </w:tabs>
        <w:ind w:left="2268" w:hanging="1134"/>
        <w:rPr>
          <w:lang w:val="fr-FR"/>
        </w:rPr>
      </w:pPr>
      <w:r w:rsidRPr="00076651">
        <w:rPr>
          <w:lang w:val="fr-FR"/>
        </w:rPr>
        <w:t>33.3.1</w:t>
      </w:r>
      <w:r w:rsidRPr="00076651">
        <w:rPr>
          <w:lang w:val="fr-FR"/>
        </w:rPr>
        <w:tab/>
        <w:t xml:space="preserve">Dans la première phrase, remplacer « Nota 2 au 2.1.2.2 du </w:t>
      </w:r>
      <w:r w:rsidRPr="00076651">
        <w:rPr>
          <w:i/>
          <w:iCs/>
          <w:lang w:val="fr-FR"/>
        </w:rPr>
        <w:t>SGH</w:t>
      </w:r>
      <w:r w:rsidRPr="00076651">
        <w:rPr>
          <w:lang w:val="fr-FR"/>
        </w:rPr>
        <w:t xml:space="preserve"> » par « 2.17.1.2 a) du </w:t>
      </w:r>
      <w:r w:rsidRPr="00076651">
        <w:rPr>
          <w:i/>
          <w:iCs/>
          <w:lang w:val="fr-FR"/>
        </w:rPr>
        <w:t>SGH</w:t>
      </w:r>
      <w:r w:rsidRPr="00076651">
        <w:rPr>
          <w:lang w:val="fr-FR"/>
        </w:rPr>
        <w:t> ».</w:t>
      </w:r>
    </w:p>
    <w:p w14:paraId="433BB94B"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151E9BCB" w14:textId="7B6984BF" w:rsidR="0052182A" w:rsidRPr="00076651" w:rsidRDefault="0052182A" w:rsidP="0052182A">
      <w:pPr>
        <w:pStyle w:val="SingleTxtG"/>
        <w:rPr>
          <w:rStyle w:val="ui-provider"/>
          <w:rFonts w:eastAsiaTheme="minorHAnsi"/>
          <w:i/>
          <w:iCs/>
          <w:lang w:val="fr-FR"/>
        </w:rPr>
      </w:pPr>
      <w:r w:rsidRPr="00B45AC8">
        <w:rPr>
          <w:rStyle w:val="ui-provider"/>
          <w:rFonts w:eastAsiaTheme="minorHAnsi"/>
          <w:b/>
          <w:bCs/>
          <w:i/>
          <w:iCs/>
          <w:lang w:val="fr-FR"/>
        </w:rPr>
        <w:t>Note du secrétariat :</w:t>
      </w:r>
      <w:r w:rsidRPr="00076651">
        <w:rPr>
          <w:rStyle w:val="ui-provider"/>
          <w:rFonts w:eastAsiaTheme="minorHAnsi"/>
          <w:i/>
          <w:iCs/>
          <w:lang w:val="fr-FR"/>
        </w:rPr>
        <w:t xml:space="preserve"> À sa quarante-sixième session, le Sous-Comité SGH a examiné les propositions figurant dans le document de l'AEISG et les recommandations du Sous-Comité. Après discussion, le Sous-Comité SGH a proposé la variante d'amendement suivante pour </w:t>
      </w:r>
      <w:r w:rsidRPr="00076651">
        <w:rPr>
          <w:rStyle w:val="ui-provider"/>
          <w:rFonts w:eastAsiaTheme="minorHAnsi"/>
          <w:i/>
          <w:iCs/>
          <w:lang w:val="fr-FR"/>
        </w:rPr>
        <w:lastRenderedPageBreak/>
        <w:t>examen par le Sous-Comité à sa soixante-cinquième session (pour plus de détails, voir le rapport du Sous-Comité SGH, ST/SG/AC.10/C.4/92, paragraphe 12, et annexe II) :</w:t>
      </w:r>
    </w:p>
    <w:p w14:paraId="6FCF9219" w14:textId="3D13D647" w:rsidR="0052182A" w:rsidRPr="00076651" w:rsidRDefault="00142957" w:rsidP="00142957">
      <w:pPr>
        <w:pStyle w:val="SingleTxtG"/>
        <w:tabs>
          <w:tab w:val="clear" w:pos="1701"/>
          <w:tab w:val="clear" w:pos="2268"/>
          <w:tab w:val="clear" w:pos="2835"/>
          <w:tab w:val="left" w:pos="3119"/>
        </w:tabs>
        <w:ind w:left="2268" w:hanging="1134"/>
        <w:rPr>
          <w:rStyle w:val="ui-provider"/>
          <w:lang w:val="fr-FR"/>
        </w:rPr>
      </w:pPr>
      <w:r w:rsidRPr="00076651">
        <w:rPr>
          <w:lang w:val="fr-FR"/>
        </w:rPr>
        <w:t>33.3.1</w:t>
      </w:r>
      <w:r w:rsidRPr="00076651">
        <w:rPr>
          <w:lang w:val="fr-FR"/>
        </w:rPr>
        <w:tab/>
        <w:t xml:space="preserve">Modifier la première phrase pour lire comme suit : « Cette sous-section présente le système du Règlement type pour le classement des matières explosibles désensibilisées en tant que matières solides inflammables de la division 4.1 (voir la sous-section 2.4.2.4 du Règlement type ; pour le </w:t>
      </w:r>
      <w:r w:rsidRPr="00076651">
        <w:rPr>
          <w:i/>
          <w:iCs/>
          <w:lang w:val="fr-FR"/>
        </w:rPr>
        <w:t>SGH</w:t>
      </w:r>
      <w:r w:rsidRPr="00076651">
        <w:rPr>
          <w:lang w:val="fr-FR"/>
        </w:rPr>
        <w:t xml:space="preserve">, voir l’alinéa 2.17.1.2 a) du </w:t>
      </w:r>
      <w:r w:rsidRPr="00076651">
        <w:rPr>
          <w:i/>
          <w:iCs/>
          <w:lang w:val="fr-FR"/>
        </w:rPr>
        <w:t>SGH</w:t>
      </w:r>
      <w:r w:rsidRPr="00076651">
        <w:rPr>
          <w:lang w:val="fr-FR"/>
        </w:rPr>
        <w:t>). ».</w:t>
      </w:r>
    </w:p>
    <w:p w14:paraId="6455D84E" w14:textId="77777777" w:rsidR="0086726B" w:rsidRPr="00076651" w:rsidRDefault="0086726B" w:rsidP="007B33A9">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Section 38</w:t>
      </w:r>
    </w:p>
    <w:p w14:paraId="4C581F8C" w14:textId="77777777" w:rsidR="0086726B" w:rsidRPr="00076651" w:rsidRDefault="0086726B" w:rsidP="0086726B">
      <w:pPr>
        <w:pStyle w:val="SingleTxtG"/>
        <w:tabs>
          <w:tab w:val="clear" w:pos="1701"/>
        </w:tabs>
        <w:ind w:left="2268" w:hanging="1134"/>
        <w:rPr>
          <w:lang w:val="fr-FR"/>
        </w:rPr>
      </w:pPr>
      <w:r w:rsidRPr="00076651">
        <w:rPr>
          <w:lang w:val="fr-FR"/>
        </w:rPr>
        <w:t>38.3.4.5.2</w:t>
      </w:r>
      <w:r w:rsidRPr="00076651">
        <w:rPr>
          <w:lang w:val="fr-FR"/>
        </w:rPr>
        <w:tab/>
        <w:t>Dans le premier paragraphe, à la fin de la première phrase, remplacer « dans son enveloppe externe » par « sur l’enveloppe externe ou sur une pile interne ». Dans le deuxième paragraphe, remplacer « température de l’enveloppe extérieure » par « température mesurée ».</w:t>
      </w:r>
    </w:p>
    <w:p w14:paraId="173C5050"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1CEEA059" w14:textId="77777777" w:rsidR="0086726B" w:rsidRPr="00076651" w:rsidRDefault="0086726B" w:rsidP="007B33A9">
      <w:pPr>
        <w:pStyle w:val="SingleTxtG"/>
        <w:tabs>
          <w:tab w:val="clear" w:pos="1701"/>
        </w:tabs>
        <w:ind w:left="2268" w:hanging="1134"/>
        <w:rPr>
          <w:lang w:val="fr-FR"/>
        </w:rPr>
      </w:pPr>
      <w:r w:rsidRPr="00076651">
        <w:rPr>
          <w:lang w:val="fr-FR"/>
        </w:rPr>
        <w:t>38.3.4.5.3</w:t>
      </w:r>
      <w:r w:rsidRPr="00076651">
        <w:rPr>
          <w:lang w:val="fr-FR"/>
        </w:rPr>
        <w:tab/>
        <w:t>Remplacer « température externe » par « température mesurée ».</w:t>
      </w:r>
    </w:p>
    <w:p w14:paraId="6BD6D841"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177AD8F5" w14:textId="77777777" w:rsidR="0086726B" w:rsidRPr="00076651" w:rsidRDefault="0086726B" w:rsidP="007B33A9">
      <w:pPr>
        <w:pStyle w:val="SingleTxtG"/>
        <w:tabs>
          <w:tab w:val="clear" w:pos="1701"/>
        </w:tabs>
        <w:ind w:left="2268" w:hanging="1134"/>
        <w:rPr>
          <w:rStyle w:val="ui-provider"/>
          <w:rFonts w:eastAsiaTheme="minorHAnsi"/>
          <w:lang w:val="fr-FR"/>
        </w:rPr>
      </w:pPr>
      <w:r w:rsidRPr="00076651">
        <w:rPr>
          <w:lang w:val="fr-FR"/>
        </w:rPr>
        <w:t>38.3.4.6.3</w:t>
      </w:r>
      <w:r w:rsidRPr="00076651">
        <w:rPr>
          <w:lang w:val="fr-FR"/>
        </w:rPr>
        <w:tab/>
        <w:t>Dans le paragraphe après le nota, à la fin de la première phrase, ajouter « , chacune ayant une surface suffisante pour que la force d'écrasement soit appliquée uniformément sur toute la surface de la pile ».</w:t>
      </w:r>
    </w:p>
    <w:p w14:paraId="2C781936"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30F71C2C" w14:textId="77777777" w:rsidR="008F7F8D" w:rsidRPr="00076651" w:rsidRDefault="008F7F8D" w:rsidP="007B33A9">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Section 40</w:t>
      </w:r>
    </w:p>
    <w:p w14:paraId="130083FA" w14:textId="77777777" w:rsidR="008F7F8D" w:rsidRPr="00076651" w:rsidRDefault="008F7F8D" w:rsidP="008F7F8D">
      <w:pPr>
        <w:pStyle w:val="SingleTxtG"/>
        <w:tabs>
          <w:tab w:val="clear" w:pos="1701"/>
        </w:tabs>
        <w:ind w:left="2268" w:hanging="1134"/>
      </w:pPr>
      <w:r w:rsidRPr="00076651">
        <w:t>[40.1.1</w:t>
      </w:r>
      <w:r w:rsidRPr="00076651">
        <w:tab/>
        <w:t>Après « le système ONU », ajouter « : », transférer le reste du texte dans un alinéa a) et, à la fin, remplacer le point par « ; et ». Ajouter le nouvel alinéa b) suivant :</w:t>
      </w:r>
    </w:p>
    <w:p w14:paraId="15D3C5F2" w14:textId="77777777" w:rsidR="008F7F8D" w:rsidRPr="00076651" w:rsidRDefault="008F7F8D" w:rsidP="008F7F8D">
      <w:pPr>
        <w:pStyle w:val="SingleTxtG"/>
        <w:tabs>
          <w:tab w:val="clear" w:pos="1701"/>
        </w:tabs>
        <w:ind w:left="2268" w:hanging="1134"/>
      </w:pPr>
      <w:r w:rsidRPr="00076651">
        <w:t>« b)</w:t>
      </w:r>
      <w:r w:rsidRPr="00076651">
        <w:tab/>
      </w:r>
      <w:r w:rsidRPr="00076651">
        <w:rPr>
          <w:lang w:val="fr-FR"/>
        </w:rPr>
        <w:t xml:space="preserve">Les prescriptions relatives à l’épreuve de résistance au feu applicable aux équipements de service en plastique renforcé de fibres (PRF) pour citernes mobiles (voir section 42 du présent </w:t>
      </w:r>
      <w:r w:rsidRPr="00076651">
        <w:rPr>
          <w:i/>
          <w:iCs/>
          <w:lang w:val="fr-FR"/>
        </w:rPr>
        <w:t>Manuel</w:t>
      </w:r>
      <w:r w:rsidRPr="00076651">
        <w:rPr>
          <w:lang w:val="fr-FR"/>
        </w:rPr>
        <w:t xml:space="preserve"> et 6.9.2.7.1.5 et 6.9.3.5.2 d) du </w:t>
      </w:r>
      <w:r w:rsidRPr="00076651">
        <w:rPr>
          <w:i/>
          <w:iCs/>
          <w:lang w:val="fr-FR"/>
        </w:rPr>
        <w:t>Règlement type</w:t>
      </w:r>
      <w:r w:rsidRPr="00076651">
        <w:rPr>
          <w:lang w:val="fr-FR"/>
        </w:rPr>
        <w:t>). »]</w:t>
      </w:r>
    </w:p>
    <w:p w14:paraId="76BD7D54" w14:textId="77777777" w:rsidR="008F7F8D" w:rsidRPr="00076651" w:rsidRDefault="008F7F8D" w:rsidP="008F7F8D">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IV</w:t>
      </w:r>
      <w:r w:rsidRPr="00076651">
        <w:rPr>
          <w:rStyle w:val="ui-provider"/>
          <w:rFonts w:eastAsiaTheme="minorHAnsi"/>
          <w:i/>
          <w:iCs/>
          <w:lang w:val="fr-FR"/>
        </w:rPr>
        <w:t>)</w:t>
      </w:r>
    </w:p>
    <w:p w14:paraId="378E12C5" w14:textId="77777777" w:rsidR="008F7F8D" w:rsidRPr="00076651" w:rsidRDefault="008F7F8D" w:rsidP="008F7F8D">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Section 42</w:t>
      </w:r>
    </w:p>
    <w:p w14:paraId="6072CEBB" w14:textId="77777777" w:rsidR="008F7F8D" w:rsidRPr="00076651" w:rsidRDefault="008F7F8D" w:rsidP="008F7F8D">
      <w:pPr>
        <w:pStyle w:val="SingleTxtG"/>
      </w:pPr>
      <w:r w:rsidRPr="00076651">
        <w:t>[Ajouter la nouvelle section 42 suivante :</w:t>
      </w:r>
    </w:p>
    <w:p w14:paraId="2F71BA7F" w14:textId="77777777" w:rsidR="008F7F8D" w:rsidRPr="00076651" w:rsidRDefault="008F7F8D" w:rsidP="008F7F8D">
      <w:pPr>
        <w:pStyle w:val="SingleTxtG"/>
        <w:jc w:val="center"/>
        <w:rPr>
          <w:b/>
          <w:bCs/>
          <w:lang w:val="fr-FR" w:eastAsia="fr-FR"/>
        </w:rPr>
      </w:pPr>
      <w:r w:rsidRPr="00076651">
        <w:rPr>
          <w:b/>
          <w:bCs/>
        </w:rPr>
        <w:t>« </w:t>
      </w:r>
      <w:r w:rsidRPr="00076651">
        <w:rPr>
          <w:b/>
          <w:bCs/>
          <w:lang w:val="fr-FR" w:eastAsia="fr-FR"/>
        </w:rPr>
        <w:t>SECTION 42</w:t>
      </w:r>
    </w:p>
    <w:p w14:paraId="390C5674" w14:textId="77777777" w:rsidR="008F7F8D" w:rsidRPr="00076651" w:rsidRDefault="008F7F8D" w:rsidP="008F7F8D">
      <w:pPr>
        <w:pStyle w:val="SingleTxtG"/>
        <w:jc w:val="center"/>
        <w:rPr>
          <w:b/>
          <w:bCs/>
          <w:lang w:val="fr-FR" w:eastAsia="fr-FR"/>
        </w:rPr>
      </w:pPr>
      <w:r w:rsidRPr="00076651">
        <w:rPr>
          <w:b/>
          <w:bCs/>
          <w:lang w:val="fr-FR" w:eastAsia="fr-FR"/>
        </w:rPr>
        <w:t xml:space="preserve">ÉPREUVE DE RÉSISTANCE AU FEU APPLICABLE AUX ÉQUIPEMENTS </w:t>
      </w:r>
      <w:r w:rsidRPr="00076651">
        <w:rPr>
          <w:b/>
          <w:bCs/>
          <w:lang w:val="fr-FR" w:eastAsia="fr-FR"/>
        </w:rPr>
        <w:br/>
        <w:t>DE SERVICE EN MATIÈRE PLASTIQUE RENFORCÉE DE FIBRES (PRF) POUR CITERNES MOBILES</w:t>
      </w:r>
    </w:p>
    <w:p w14:paraId="295D8273"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2268" w:right="1134" w:hanging="1134"/>
        <w:jc w:val="both"/>
        <w:rPr>
          <w:rFonts w:asciiTheme="majorBidi" w:eastAsiaTheme="minorHAnsi" w:hAnsiTheme="majorBidi" w:cstheme="majorBidi"/>
          <w:b/>
          <w:lang w:eastAsia="en-US"/>
        </w:rPr>
      </w:pPr>
      <w:r w:rsidRPr="00076651">
        <w:rPr>
          <w:rFonts w:eastAsiaTheme="minorHAnsi"/>
          <w:b/>
          <w:lang w:val="fr-FR" w:eastAsia="en-US"/>
        </w:rPr>
        <w:t>42.1</w:t>
      </w:r>
      <w:r w:rsidRPr="00076651">
        <w:rPr>
          <w:rFonts w:eastAsiaTheme="minorHAnsi"/>
          <w:b/>
          <w:lang w:val="fr-FR" w:eastAsia="en-US"/>
        </w:rPr>
        <w:tab/>
        <w:t>Généralités</w:t>
      </w:r>
    </w:p>
    <w:p w14:paraId="0362353F"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42.1.1</w:t>
      </w:r>
      <w:r w:rsidRPr="00076651">
        <w:rPr>
          <w:rFonts w:eastAsiaTheme="minorHAnsi"/>
          <w:lang w:val="fr-FR" w:eastAsia="en-US"/>
        </w:rPr>
        <w:tab/>
        <w:t xml:space="preserve">La présente méthode d’épreuve vise à établir la résistance au feu des équipements de service en PRF pour citernes mobiles satisfaisant aux prescriptions de la section 6.7.2 ou 6.9.2 du </w:t>
      </w:r>
      <w:r w:rsidRPr="00076651">
        <w:rPr>
          <w:rFonts w:eastAsiaTheme="minorHAnsi"/>
          <w:i/>
          <w:iCs/>
          <w:lang w:val="fr-FR" w:eastAsia="en-US"/>
        </w:rPr>
        <w:t>Règlement type</w:t>
      </w:r>
      <w:r w:rsidRPr="00076651">
        <w:rPr>
          <w:rFonts w:eastAsiaTheme="minorHAnsi"/>
          <w:lang w:val="fr-FR" w:eastAsia="en-US"/>
        </w:rPr>
        <w:t>.</w:t>
      </w:r>
    </w:p>
    <w:p w14:paraId="69A15F97"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42.1.2</w:t>
      </w:r>
      <w:r w:rsidRPr="00076651">
        <w:rPr>
          <w:rFonts w:eastAsiaTheme="minorHAnsi"/>
          <w:lang w:val="fr-FR" w:eastAsia="en-US"/>
        </w:rPr>
        <w:tab/>
        <w:t xml:space="preserve">Le prototype représentatif de l’équipement de service en PRF tel que défini au 6.9.3.1 du </w:t>
      </w:r>
      <w:r w:rsidRPr="00076651">
        <w:rPr>
          <w:rFonts w:eastAsiaTheme="minorHAnsi"/>
          <w:i/>
          <w:iCs/>
          <w:lang w:val="fr-FR" w:eastAsia="en-US"/>
        </w:rPr>
        <w:t>Règlement type</w:t>
      </w:r>
      <w:r w:rsidRPr="00076651">
        <w:rPr>
          <w:rFonts w:eastAsiaTheme="minorHAnsi"/>
          <w:lang w:val="fr-FR" w:eastAsia="en-US"/>
        </w:rPr>
        <w:t xml:space="preserve"> doit être soumis à l’épreuve de résistance au feu et satisfaire aux prescriptions y relatives. L’épreuve de résistance au feu doit être conduite par des laboratoires d’épreuve agréés par les autorités compétentes.</w:t>
      </w:r>
    </w:p>
    <w:p w14:paraId="6EDD1C6A"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2268" w:right="1134" w:hanging="1134"/>
        <w:jc w:val="both"/>
        <w:rPr>
          <w:rFonts w:asciiTheme="majorBidi" w:eastAsiaTheme="minorHAnsi" w:hAnsiTheme="majorBidi" w:cstheme="majorBidi"/>
          <w:b/>
          <w:lang w:eastAsia="en-US"/>
        </w:rPr>
      </w:pPr>
      <w:r w:rsidRPr="00076651">
        <w:rPr>
          <w:rFonts w:eastAsiaTheme="minorHAnsi"/>
          <w:b/>
          <w:lang w:val="fr-FR" w:eastAsia="en-US"/>
        </w:rPr>
        <w:t>42.2</w:t>
      </w:r>
      <w:r w:rsidRPr="00076651">
        <w:rPr>
          <w:rFonts w:eastAsiaTheme="minorHAnsi"/>
          <w:b/>
          <w:lang w:val="fr-FR" w:eastAsia="en-US"/>
        </w:rPr>
        <w:tab/>
        <w:t>Définitions</w:t>
      </w:r>
    </w:p>
    <w:p w14:paraId="3397F250"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lastRenderedPageBreak/>
        <w:t xml:space="preserve">Par </w:t>
      </w:r>
      <w:r w:rsidRPr="00076651">
        <w:rPr>
          <w:rFonts w:eastAsiaTheme="minorHAnsi"/>
          <w:i/>
          <w:iCs/>
          <w:lang w:val="fr-FR" w:eastAsia="en-US"/>
        </w:rPr>
        <w:t>éprouvette</w:t>
      </w:r>
      <w:r w:rsidRPr="00076651">
        <w:rPr>
          <w:rFonts w:eastAsiaTheme="minorHAnsi"/>
          <w:lang w:val="fr-FR" w:eastAsia="en-US"/>
        </w:rPr>
        <w:t>, on entend un exemplaire de l’équipement de service en PRF, y compris les systèmes d’obturation et d’étanchéité, soumis à l’épreuve de résistance au feu.</w:t>
      </w:r>
    </w:p>
    <w:p w14:paraId="6737BECD"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 xml:space="preserve">Les définitions figurant dans la norme ISO 21843:2018 et les sections 6.7.2, 6.9.2 et 6.9.3 du </w:t>
      </w:r>
      <w:r w:rsidRPr="00076651">
        <w:rPr>
          <w:rFonts w:eastAsiaTheme="minorHAnsi"/>
          <w:i/>
          <w:iCs/>
          <w:lang w:val="fr-FR" w:eastAsia="en-US"/>
        </w:rPr>
        <w:t>Règlement type</w:t>
      </w:r>
      <w:r w:rsidRPr="00076651">
        <w:rPr>
          <w:rFonts w:eastAsiaTheme="minorHAnsi"/>
          <w:lang w:val="fr-FR" w:eastAsia="en-US"/>
        </w:rPr>
        <w:t xml:space="preserve"> s’appliquent à la présente section, le cas échéant.</w:t>
      </w:r>
    </w:p>
    <w:p w14:paraId="609FB336"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2268" w:right="1134" w:hanging="1134"/>
        <w:jc w:val="both"/>
        <w:rPr>
          <w:rFonts w:asciiTheme="majorBidi" w:eastAsiaTheme="minorHAnsi" w:hAnsiTheme="majorBidi" w:cstheme="majorBidi"/>
          <w:b/>
          <w:lang w:eastAsia="en-US"/>
        </w:rPr>
      </w:pPr>
      <w:r w:rsidRPr="00076651">
        <w:rPr>
          <w:rFonts w:eastAsiaTheme="minorHAnsi"/>
          <w:b/>
          <w:lang w:val="fr-FR" w:eastAsia="en-US"/>
        </w:rPr>
        <w:t>42.3</w:t>
      </w:r>
      <w:r w:rsidRPr="00076651">
        <w:rPr>
          <w:rFonts w:eastAsiaTheme="minorHAnsi"/>
          <w:b/>
          <w:lang w:val="fr-FR" w:eastAsia="en-US"/>
        </w:rPr>
        <w:tab/>
        <w:t>Méthode d’épreuve</w:t>
      </w:r>
    </w:p>
    <w:p w14:paraId="69AAF84E"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42.3.1</w:t>
      </w:r>
      <w:r w:rsidRPr="00076651">
        <w:rPr>
          <w:rFonts w:eastAsiaTheme="minorHAnsi"/>
          <w:lang w:val="fr-FR" w:eastAsia="en-US"/>
        </w:rPr>
        <w:tab/>
        <w:t xml:space="preserve">On procède à l’épreuve de résistance au feu sur l’éprouvette en position fermée, rempli d’eau à une température initiale de 20 </w:t>
      </w:r>
      <w:r w:rsidRPr="00076651">
        <w:rPr>
          <w:rFonts w:eastAsiaTheme="minorHAnsi"/>
          <w:lang w:val="fr-FR" w:eastAsia="en-US"/>
        </w:rPr>
        <w:sym w:font="Symbol" w:char="F0B1"/>
      </w:r>
      <w:r w:rsidRPr="00076651">
        <w:rPr>
          <w:rFonts w:eastAsiaTheme="minorHAnsi"/>
          <w:lang w:val="fr-FR" w:eastAsia="en-US"/>
        </w:rPr>
        <w:t xml:space="preserve"> 5 °C, soumis à la pression de service maximale autorisée (PSMA, voir définition au 6.7.2.1 du </w:t>
      </w:r>
      <w:r w:rsidRPr="00076651">
        <w:rPr>
          <w:rFonts w:eastAsiaTheme="minorHAnsi"/>
          <w:i/>
          <w:iCs/>
          <w:lang w:val="fr-FR" w:eastAsia="en-US"/>
        </w:rPr>
        <w:t>Règlement type</w:t>
      </w:r>
      <w:r w:rsidRPr="00076651">
        <w:rPr>
          <w:rFonts w:eastAsiaTheme="minorHAnsi"/>
          <w:lang w:val="fr-FR" w:eastAsia="en-US"/>
        </w:rPr>
        <w:t>), et exposé à la flamme pendant au moins 30 min. Les dispositifs de décompression sont soumis à une pression inférieure de 10 % à la pression nominale fixée pour la décharge (6.7.2.9.2 du Règlement type) . La flamme doit entièrement recouvrir l’éprouvette, y compris les systèmes d’obturation et d’étanchéité. La figure 42.3.1 donne un aperçu général de la configuration d’essai. Si l’éprouvette n’est pas censée être un élément du dispositif de fermeture le plus à l’extérieur d’un système à fermetures multiples (comme une vanne), il peut être muni d’une bride pleine à son interface la plus à l’extérieur, qui autrement serait exposée à la flamme pendant l’épreuve.</w:t>
      </w:r>
    </w:p>
    <w:p w14:paraId="5F04B26F"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42.3.2</w:t>
      </w:r>
      <w:r w:rsidRPr="00076651">
        <w:rPr>
          <w:rFonts w:eastAsiaTheme="minorHAnsi"/>
          <w:lang w:val="fr-FR" w:eastAsia="en-US"/>
        </w:rPr>
        <w:tab/>
        <w:t xml:space="preserve">L’exposition à la flamme doit avoir lieu dans les conditions énoncées au 6.9.2.7.1.5.1 du </w:t>
      </w:r>
      <w:r w:rsidRPr="00076651">
        <w:rPr>
          <w:rFonts w:eastAsiaTheme="minorHAnsi"/>
          <w:i/>
          <w:iCs/>
          <w:lang w:val="fr-FR" w:eastAsia="en-US"/>
        </w:rPr>
        <w:t>Règlement type</w:t>
      </w:r>
      <w:r w:rsidRPr="00076651">
        <w:rPr>
          <w:rFonts w:eastAsiaTheme="minorHAnsi"/>
          <w:lang w:val="fr-FR" w:eastAsia="en-US"/>
        </w:rPr>
        <w:t>. Le feu doit être équivalent à un feu théorique avec une température de flamme de 800 °C, une émissivité de 0,9 et un flux thermique minimal net de 75 kW/m² étalonné conformément à la norme ISO 21843:2018.</w:t>
      </w:r>
    </w:p>
    <w:p w14:paraId="523E2DF4"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42.3.3</w:t>
      </w:r>
      <w:r w:rsidRPr="00076651">
        <w:rPr>
          <w:rFonts w:eastAsiaTheme="minorHAnsi"/>
          <w:lang w:val="fr-FR" w:eastAsia="en-US"/>
        </w:rPr>
        <w:tab/>
        <w:t>L’intensité de l’exposition à la chaleur doit être mesurée à l’aide de capteurs de température et de flux thermique conformément aux prescriptions de la norme ISO 21843:2018.</w:t>
      </w:r>
    </w:p>
    <w:p w14:paraId="3675DD7B"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42.3.4</w:t>
      </w:r>
      <w:r w:rsidRPr="00076651">
        <w:rPr>
          <w:rFonts w:eastAsiaTheme="minorHAnsi"/>
          <w:lang w:val="fr-FR" w:eastAsia="en-US"/>
        </w:rPr>
        <w:tab/>
        <w:t>Après avoir exposé l’éprouvette à la flamme puis l’avoir refroidi, on procède à une épreuve d’étanchéité à la PSMA.</w:t>
      </w:r>
    </w:p>
    <w:p w14:paraId="62BE8A7A" w14:textId="77777777" w:rsidR="008F7F8D" w:rsidRPr="00076651" w:rsidRDefault="008F7F8D" w:rsidP="008F7F8D">
      <w:pPr>
        <w:suppressAutoHyphens/>
        <w:kinsoku w:val="0"/>
        <w:overflowPunct w:val="0"/>
        <w:autoSpaceDE w:val="0"/>
        <w:autoSpaceDN w:val="0"/>
        <w:adjustRightInd w:val="0"/>
        <w:snapToGrid w:val="0"/>
        <w:spacing w:after="200" w:line="276" w:lineRule="auto"/>
        <w:rPr>
          <w:rFonts w:asciiTheme="majorBidi" w:eastAsiaTheme="minorHAnsi" w:hAnsiTheme="majorBidi" w:cstheme="majorBidi"/>
          <w:b/>
          <w:bCs/>
          <w:sz w:val="22"/>
          <w:szCs w:val="22"/>
          <w:lang w:eastAsia="fr-FR"/>
        </w:rPr>
      </w:pPr>
      <w:r w:rsidRPr="00076651">
        <w:rPr>
          <w:rFonts w:asciiTheme="majorBidi" w:eastAsiaTheme="minorHAnsi" w:hAnsiTheme="majorBidi" w:cstheme="majorBidi"/>
          <w:lang w:eastAsia="en-US"/>
        </w:rPr>
        <w:br w:type="page"/>
      </w:r>
    </w:p>
    <w:p w14:paraId="42D35F82" w14:textId="77777777" w:rsidR="008F7F8D" w:rsidRPr="00076651" w:rsidRDefault="008F7F8D" w:rsidP="008F7F8D">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jc w:val="center"/>
        <w:outlineLvl w:val="3"/>
        <w:rPr>
          <w:rFonts w:asciiTheme="majorBidi" w:eastAsiaTheme="minorHAnsi" w:hAnsiTheme="majorBidi" w:cstheme="majorBidi"/>
          <w:b/>
          <w:lang w:eastAsia="en-US"/>
        </w:rPr>
      </w:pPr>
      <w:r w:rsidRPr="00076651">
        <w:rPr>
          <w:rFonts w:eastAsiaTheme="minorHAnsi"/>
          <w:b/>
          <w:lang w:val="fr-FR" w:eastAsia="en-US"/>
        </w:rPr>
        <w:lastRenderedPageBreak/>
        <w:t>Figure 42.3.1 : Configuration de l’épreuve de résistance au feu</w:t>
      </w:r>
    </w:p>
    <w:p w14:paraId="4203DB5D" w14:textId="77777777" w:rsidR="008F7F8D" w:rsidRPr="00076651" w:rsidRDefault="008F7F8D" w:rsidP="008F7F8D">
      <w:pPr>
        <w:numPr>
          <w:ilvl w:val="12"/>
          <w:numId w:val="0"/>
        </w:numPr>
        <w:tabs>
          <w:tab w:val="left" w:pos="1418"/>
        </w:tabs>
        <w:autoSpaceDE w:val="0"/>
        <w:autoSpaceDN w:val="0"/>
        <w:adjustRightInd w:val="0"/>
        <w:spacing w:after="240" w:line="240" w:lineRule="auto"/>
        <w:jc w:val="center"/>
        <w:rPr>
          <w:sz w:val="22"/>
          <w:szCs w:val="22"/>
          <w:lang w:val="en-GB" w:eastAsia="fr-FR"/>
        </w:rPr>
      </w:pPr>
      <w:r w:rsidRPr="00076651">
        <w:rPr>
          <w:noProof/>
          <w:sz w:val="22"/>
          <w:szCs w:val="22"/>
          <w:lang w:val="ru-RU" w:eastAsia="ru-RU"/>
        </w:rPr>
        <w:drawing>
          <wp:inline distT="0" distB="0" distL="0" distR="0" wp14:anchorId="721A678C" wp14:editId="7A036755">
            <wp:extent cx="3564255" cy="2483485"/>
            <wp:effectExtent l="0" t="0" r="0" b="0"/>
            <wp:docPr id="5" name="Picture 5" descr="WhatsApp Image 2023-03-28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3-03-28 at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4255" cy="2483485"/>
                    </a:xfrm>
                    <a:prstGeom prst="rect">
                      <a:avLst/>
                    </a:prstGeom>
                    <a:noFill/>
                    <a:ln>
                      <a:noFill/>
                    </a:ln>
                  </pic:spPr>
                </pic:pic>
              </a:graphicData>
            </a:graphic>
          </wp:inline>
        </w:drawing>
      </w:r>
    </w:p>
    <w:p w14:paraId="29035029" w14:textId="77777777" w:rsidR="008F7F8D" w:rsidRPr="00076651" w:rsidRDefault="008F7F8D" w:rsidP="008F7F8D">
      <w:pPr>
        <w:numPr>
          <w:ilvl w:val="12"/>
          <w:numId w:val="0"/>
        </w:numPr>
        <w:tabs>
          <w:tab w:val="left" w:pos="1418"/>
        </w:tabs>
        <w:autoSpaceDE w:val="0"/>
        <w:autoSpaceDN w:val="0"/>
        <w:adjustRightInd w:val="0"/>
        <w:spacing w:after="240" w:line="240" w:lineRule="auto"/>
        <w:jc w:val="center"/>
        <w:rPr>
          <w:sz w:val="22"/>
          <w:szCs w:val="22"/>
          <w:lang w:val="en-GB" w:eastAsia="fr-FR"/>
        </w:rPr>
      </w:pPr>
      <w:r w:rsidRPr="00076651">
        <w:rPr>
          <w:sz w:val="22"/>
          <w:szCs w:val="22"/>
          <w:lang w:val="fr-FR" w:eastAsia="fr-FR"/>
        </w:rPr>
        <w:t>A</w:t>
      </w:r>
    </w:p>
    <w:p w14:paraId="7F26F268" w14:textId="77777777" w:rsidR="008F7F8D" w:rsidRPr="00076651" w:rsidRDefault="008F7F8D" w:rsidP="008F7F8D">
      <w:pPr>
        <w:numPr>
          <w:ilvl w:val="12"/>
          <w:numId w:val="0"/>
        </w:numPr>
        <w:tabs>
          <w:tab w:val="left" w:pos="1418"/>
        </w:tabs>
        <w:autoSpaceDE w:val="0"/>
        <w:autoSpaceDN w:val="0"/>
        <w:adjustRightInd w:val="0"/>
        <w:spacing w:after="240" w:line="240" w:lineRule="auto"/>
        <w:jc w:val="center"/>
        <w:rPr>
          <w:sz w:val="22"/>
          <w:szCs w:val="22"/>
          <w:lang w:val="en-GB" w:eastAsia="fr-FR"/>
        </w:rPr>
      </w:pPr>
      <w:r w:rsidRPr="00076651">
        <w:rPr>
          <w:noProof/>
          <w:sz w:val="22"/>
          <w:szCs w:val="22"/>
          <w:lang w:val="ru-RU" w:eastAsia="ru-RU"/>
        </w:rPr>
        <w:drawing>
          <wp:inline distT="0" distB="0" distL="0" distR="0" wp14:anchorId="6FA02349" wp14:editId="6D7687A6">
            <wp:extent cx="2275840" cy="2296160"/>
            <wp:effectExtent l="0" t="0" r="0" b="8890"/>
            <wp:docPr id="6" name="Picture 6" descr="WhatsApp Image 2023-03-28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03-28 at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5840" cy="2296160"/>
                    </a:xfrm>
                    <a:prstGeom prst="rect">
                      <a:avLst/>
                    </a:prstGeom>
                    <a:noFill/>
                    <a:ln>
                      <a:noFill/>
                    </a:ln>
                  </pic:spPr>
                </pic:pic>
              </a:graphicData>
            </a:graphic>
          </wp:inline>
        </w:drawing>
      </w:r>
    </w:p>
    <w:p w14:paraId="142E84DB" w14:textId="77777777" w:rsidR="008F7F8D" w:rsidRPr="00076651" w:rsidRDefault="008F7F8D" w:rsidP="008F7F8D">
      <w:pPr>
        <w:numPr>
          <w:ilvl w:val="12"/>
          <w:numId w:val="0"/>
        </w:numPr>
        <w:tabs>
          <w:tab w:val="left" w:pos="1418"/>
        </w:tabs>
        <w:autoSpaceDE w:val="0"/>
        <w:autoSpaceDN w:val="0"/>
        <w:adjustRightInd w:val="0"/>
        <w:spacing w:after="240" w:line="240" w:lineRule="auto"/>
        <w:jc w:val="center"/>
        <w:rPr>
          <w:sz w:val="22"/>
          <w:szCs w:val="22"/>
          <w:lang w:val="en-GB" w:eastAsia="fr-FR"/>
        </w:rPr>
      </w:pPr>
      <w:r w:rsidRPr="00076651">
        <w:rPr>
          <w:sz w:val="22"/>
          <w:szCs w:val="22"/>
          <w:lang w:val="fr-FR" w:eastAsia="fr-FR"/>
        </w:rPr>
        <w:t>B</w:t>
      </w:r>
    </w:p>
    <w:tbl>
      <w:tblPr>
        <w:tblStyle w:val="Grilledutableau"/>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
        <w:gridCol w:w="4164"/>
        <w:gridCol w:w="424"/>
        <w:gridCol w:w="4536"/>
      </w:tblGrid>
      <w:tr w:rsidR="008F7F8D" w:rsidRPr="00076651" w14:paraId="0DA75E18" w14:textId="77777777" w:rsidTr="00076651">
        <w:tc>
          <w:tcPr>
            <w:tcW w:w="267" w:type="pct"/>
            <w:tcBorders>
              <w:top w:val="single" w:sz="12" w:space="0" w:color="auto"/>
              <w:left w:val="nil"/>
              <w:bottom w:val="nil"/>
              <w:right w:val="nil"/>
            </w:tcBorders>
            <w:hideMark/>
          </w:tcPr>
          <w:p w14:paraId="57AB8FD0"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(A)</w:t>
            </w:r>
          </w:p>
        </w:tc>
        <w:tc>
          <w:tcPr>
            <w:tcW w:w="2160" w:type="pct"/>
            <w:tcBorders>
              <w:top w:val="single" w:sz="12" w:space="0" w:color="auto"/>
              <w:left w:val="nil"/>
              <w:bottom w:val="nil"/>
              <w:right w:val="nil"/>
            </w:tcBorders>
            <w:hideMark/>
          </w:tcPr>
          <w:p w14:paraId="6BB8F8A0"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Vue latérale</w:t>
            </w:r>
          </w:p>
        </w:tc>
        <w:tc>
          <w:tcPr>
            <w:tcW w:w="220" w:type="pct"/>
            <w:tcBorders>
              <w:top w:val="single" w:sz="12" w:space="0" w:color="auto"/>
              <w:left w:val="nil"/>
              <w:bottom w:val="nil"/>
              <w:right w:val="nil"/>
            </w:tcBorders>
            <w:hideMark/>
          </w:tcPr>
          <w:p w14:paraId="3226F8B4"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(B)</w:t>
            </w:r>
          </w:p>
        </w:tc>
        <w:tc>
          <w:tcPr>
            <w:tcW w:w="2353" w:type="pct"/>
            <w:tcBorders>
              <w:top w:val="single" w:sz="12" w:space="0" w:color="auto"/>
              <w:left w:val="nil"/>
              <w:bottom w:val="nil"/>
              <w:right w:val="nil"/>
            </w:tcBorders>
            <w:hideMark/>
          </w:tcPr>
          <w:p w14:paraId="1C1FDE7F"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Vue de la face arrière</w:t>
            </w:r>
          </w:p>
        </w:tc>
      </w:tr>
      <w:tr w:rsidR="008F7F8D" w:rsidRPr="00076651" w14:paraId="57F056C0" w14:textId="77777777" w:rsidTr="00076651">
        <w:tc>
          <w:tcPr>
            <w:tcW w:w="267" w:type="pct"/>
            <w:tcBorders>
              <w:top w:val="nil"/>
              <w:left w:val="nil"/>
              <w:bottom w:val="nil"/>
              <w:right w:val="nil"/>
            </w:tcBorders>
            <w:hideMark/>
          </w:tcPr>
          <w:p w14:paraId="68D17BC8"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(1)</w:t>
            </w:r>
          </w:p>
        </w:tc>
        <w:tc>
          <w:tcPr>
            <w:tcW w:w="2160" w:type="pct"/>
            <w:tcBorders>
              <w:top w:val="nil"/>
              <w:left w:val="nil"/>
              <w:bottom w:val="nil"/>
              <w:right w:val="nil"/>
            </w:tcBorders>
            <w:hideMark/>
          </w:tcPr>
          <w:p w14:paraId="4786A948"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Système de pression par alimentation en eau</w:t>
            </w:r>
          </w:p>
        </w:tc>
        <w:tc>
          <w:tcPr>
            <w:tcW w:w="220" w:type="pct"/>
            <w:tcBorders>
              <w:top w:val="nil"/>
              <w:left w:val="nil"/>
              <w:bottom w:val="nil"/>
              <w:right w:val="nil"/>
            </w:tcBorders>
            <w:hideMark/>
          </w:tcPr>
          <w:p w14:paraId="14191224"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(2)</w:t>
            </w:r>
          </w:p>
        </w:tc>
        <w:tc>
          <w:tcPr>
            <w:tcW w:w="2353" w:type="pct"/>
            <w:tcBorders>
              <w:top w:val="nil"/>
              <w:left w:val="nil"/>
              <w:bottom w:val="nil"/>
              <w:right w:val="nil"/>
            </w:tcBorders>
            <w:hideMark/>
          </w:tcPr>
          <w:p w14:paraId="20D9A088"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Dispositif reliant l’éprouvette au système de pression</w:t>
            </w:r>
          </w:p>
        </w:tc>
      </w:tr>
      <w:tr w:rsidR="008F7F8D" w:rsidRPr="00076651" w14:paraId="55BD03F1" w14:textId="77777777" w:rsidTr="00076651">
        <w:tc>
          <w:tcPr>
            <w:tcW w:w="267" w:type="pct"/>
            <w:tcBorders>
              <w:top w:val="nil"/>
              <w:left w:val="nil"/>
              <w:bottom w:val="nil"/>
              <w:right w:val="nil"/>
            </w:tcBorders>
            <w:hideMark/>
          </w:tcPr>
          <w:p w14:paraId="3A3CD952"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(3)</w:t>
            </w:r>
          </w:p>
        </w:tc>
        <w:tc>
          <w:tcPr>
            <w:tcW w:w="2160" w:type="pct"/>
            <w:tcBorders>
              <w:top w:val="nil"/>
              <w:left w:val="nil"/>
              <w:bottom w:val="nil"/>
              <w:right w:val="nil"/>
            </w:tcBorders>
            <w:hideMark/>
          </w:tcPr>
          <w:p w14:paraId="4B69E2E6"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Bride de l’éprouvette</w:t>
            </w:r>
          </w:p>
        </w:tc>
        <w:tc>
          <w:tcPr>
            <w:tcW w:w="220" w:type="pct"/>
            <w:tcBorders>
              <w:top w:val="nil"/>
              <w:left w:val="nil"/>
              <w:bottom w:val="nil"/>
              <w:right w:val="nil"/>
            </w:tcBorders>
            <w:hideMark/>
          </w:tcPr>
          <w:p w14:paraId="38326FAA"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(4)</w:t>
            </w:r>
          </w:p>
        </w:tc>
        <w:tc>
          <w:tcPr>
            <w:tcW w:w="2353" w:type="pct"/>
            <w:tcBorders>
              <w:top w:val="nil"/>
              <w:left w:val="nil"/>
              <w:bottom w:val="nil"/>
              <w:right w:val="nil"/>
            </w:tcBorders>
            <w:hideMark/>
          </w:tcPr>
          <w:p w14:paraId="01F2ABFF"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Éprouvette</w:t>
            </w:r>
          </w:p>
        </w:tc>
      </w:tr>
      <w:tr w:rsidR="008F7F8D" w:rsidRPr="00076651" w14:paraId="0FB8D68F" w14:textId="77777777" w:rsidTr="00076651">
        <w:tc>
          <w:tcPr>
            <w:tcW w:w="267" w:type="pct"/>
            <w:tcBorders>
              <w:top w:val="nil"/>
              <w:left w:val="nil"/>
              <w:bottom w:val="single" w:sz="12" w:space="0" w:color="auto"/>
              <w:right w:val="nil"/>
            </w:tcBorders>
            <w:hideMark/>
          </w:tcPr>
          <w:p w14:paraId="4F4D1822"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(5)</w:t>
            </w:r>
          </w:p>
        </w:tc>
        <w:tc>
          <w:tcPr>
            <w:tcW w:w="2160" w:type="pct"/>
            <w:tcBorders>
              <w:top w:val="nil"/>
              <w:left w:val="nil"/>
              <w:bottom w:val="single" w:sz="12" w:space="0" w:color="auto"/>
              <w:right w:val="nil"/>
            </w:tcBorders>
            <w:hideMark/>
          </w:tcPr>
          <w:p w14:paraId="5BA3AA30"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Système de mesure de la température et du flux thermique</w:t>
            </w:r>
          </w:p>
        </w:tc>
        <w:tc>
          <w:tcPr>
            <w:tcW w:w="220" w:type="pct"/>
            <w:tcBorders>
              <w:top w:val="nil"/>
              <w:left w:val="nil"/>
              <w:bottom w:val="single" w:sz="12" w:space="0" w:color="auto"/>
              <w:right w:val="nil"/>
            </w:tcBorders>
          </w:tcPr>
          <w:p w14:paraId="30C4EB79"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(6)</w:t>
            </w:r>
          </w:p>
        </w:tc>
        <w:tc>
          <w:tcPr>
            <w:tcW w:w="2353" w:type="pct"/>
            <w:tcBorders>
              <w:top w:val="nil"/>
              <w:left w:val="nil"/>
              <w:bottom w:val="single" w:sz="12" w:space="0" w:color="auto"/>
              <w:right w:val="nil"/>
            </w:tcBorders>
          </w:tcPr>
          <w:p w14:paraId="0D8A5A5A" w14:textId="77777777" w:rsidR="008F7F8D" w:rsidRPr="00076651" w:rsidRDefault="008F7F8D" w:rsidP="00076651">
            <w:pPr>
              <w:numPr>
                <w:ilvl w:val="12"/>
                <w:numId w:val="0"/>
              </w:numPr>
              <w:kinsoku w:val="0"/>
              <w:overflowPunct w:val="0"/>
              <w:autoSpaceDE w:val="0"/>
              <w:autoSpaceDN w:val="0"/>
              <w:adjustRightInd w:val="0"/>
              <w:snapToGrid w:val="0"/>
              <w:spacing w:before="40" w:line="220" w:lineRule="exact"/>
              <w:ind w:left="-4"/>
              <w:rPr>
                <w:rFonts w:asciiTheme="majorBidi" w:eastAsia="SimSun" w:hAnsiTheme="majorBidi" w:cstheme="majorBidi"/>
              </w:rPr>
            </w:pPr>
            <w:r w:rsidRPr="00076651">
              <w:rPr>
                <w:lang w:val="fr-FR"/>
              </w:rPr>
              <w:t>Flamme</w:t>
            </w:r>
          </w:p>
        </w:tc>
      </w:tr>
    </w:tbl>
    <w:p w14:paraId="410BF7B4" w14:textId="77777777" w:rsidR="008F7F8D" w:rsidRPr="00076651" w:rsidRDefault="008F7F8D" w:rsidP="008F7F8D">
      <w:pPr>
        <w:suppressAutoHyphens/>
        <w:kinsoku w:val="0"/>
        <w:overflowPunct w:val="0"/>
        <w:autoSpaceDE w:val="0"/>
        <w:autoSpaceDN w:val="0"/>
        <w:adjustRightInd w:val="0"/>
        <w:snapToGrid w:val="0"/>
        <w:spacing w:after="200" w:line="276" w:lineRule="auto"/>
        <w:rPr>
          <w:rFonts w:eastAsiaTheme="minorHAnsi"/>
          <w:lang w:eastAsia="en-US"/>
        </w:rPr>
      </w:pPr>
      <w:r w:rsidRPr="00076651">
        <w:rPr>
          <w:rFonts w:eastAsiaTheme="minorHAnsi"/>
          <w:lang w:eastAsia="en-US"/>
        </w:rPr>
        <w:br w:type="page"/>
      </w:r>
    </w:p>
    <w:p w14:paraId="032A805F"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2268" w:right="1134" w:hanging="1134"/>
        <w:jc w:val="both"/>
        <w:rPr>
          <w:rFonts w:asciiTheme="majorBidi" w:eastAsiaTheme="minorHAnsi" w:hAnsiTheme="majorBidi" w:cstheme="majorBidi"/>
          <w:b/>
          <w:lang w:eastAsia="en-US"/>
        </w:rPr>
      </w:pPr>
      <w:r w:rsidRPr="00076651">
        <w:rPr>
          <w:rFonts w:eastAsiaTheme="minorHAnsi"/>
          <w:b/>
          <w:lang w:val="fr-FR" w:eastAsia="en-US"/>
        </w:rPr>
        <w:lastRenderedPageBreak/>
        <w:t>42.4</w:t>
      </w:r>
      <w:r w:rsidRPr="00076651">
        <w:rPr>
          <w:rFonts w:eastAsiaTheme="minorHAnsi"/>
          <w:b/>
          <w:lang w:val="fr-FR" w:eastAsia="en-US"/>
        </w:rPr>
        <w:tab/>
        <w:t>Appareillage d’épreuve</w:t>
      </w:r>
    </w:p>
    <w:p w14:paraId="108B7709"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2268" w:right="1134" w:hanging="1134"/>
        <w:jc w:val="both"/>
        <w:rPr>
          <w:rFonts w:asciiTheme="majorBidi" w:eastAsiaTheme="minorHAnsi" w:hAnsiTheme="majorBidi" w:cstheme="majorBidi"/>
          <w:b/>
          <w:i/>
          <w:iCs/>
          <w:lang w:eastAsia="en-US"/>
        </w:rPr>
      </w:pPr>
      <w:r w:rsidRPr="00076651">
        <w:rPr>
          <w:rFonts w:eastAsiaTheme="minorHAnsi"/>
          <w:b/>
          <w:lang w:val="fr-FR" w:eastAsia="en-US"/>
        </w:rPr>
        <w:t>42.4.1</w:t>
      </w:r>
      <w:r w:rsidRPr="00076651">
        <w:rPr>
          <w:rFonts w:eastAsiaTheme="minorHAnsi"/>
          <w:lang w:val="fr-FR" w:eastAsia="en-US"/>
        </w:rPr>
        <w:tab/>
      </w:r>
      <w:r w:rsidRPr="00076651">
        <w:rPr>
          <w:rFonts w:eastAsiaTheme="minorHAnsi"/>
          <w:b/>
          <w:i/>
          <w:iCs/>
          <w:lang w:val="fr-FR" w:eastAsia="en-US"/>
        </w:rPr>
        <w:t>Prescriptions générales</w:t>
      </w:r>
    </w:p>
    <w:p w14:paraId="5162426D"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42.4.1.1</w:t>
      </w:r>
      <w:r w:rsidRPr="00076651">
        <w:rPr>
          <w:rFonts w:eastAsiaTheme="minorHAnsi"/>
          <w:lang w:val="fr-FR" w:eastAsia="en-US"/>
        </w:rPr>
        <w:tab/>
        <w:t>Le banc d’essai utilisé pour l’épreuve de résistance au feu doit comprendre :</w:t>
      </w:r>
    </w:p>
    <w:p w14:paraId="419B3C3E"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835" w:right="1134" w:hanging="567"/>
        <w:jc w:val="both"/>
        <w:rPr>
          <w:rFonts w:asciiTheme="majorBidi" w:eastAsiaTheme="minorHAnsi" w:hAnsiTheme="majorBidi" w:cstheme="majorBidi"/>
          <w:lang w:eastAsia="en-US"/>
        </w:rPr>
      </w:pPr>
      <w:r w:rsidRPr="00076651">
        <w:rPr>
          <w:rFonts w:eastAsiaTheme="minorHAnsi"/>
          <w:lang w:val="fr-FR" w:eastAsia="en-US"/>
        </w:rPr>
        <w:t>a)</w:t>
      </w:r>
      <w:r w:rsidRPr="00076651">
        <w:rPr>
          <w:rFonts w:eastAsiaTheme="minorHAnsi"/>
          <w:lang w:val="fr-FR" w:eastAsia="en-US"/>
        </w:rPr>
        <w:tab/>
        <w:t xml:space="preserve">Une chambre à feu suffisamment grande pour contenir l’éprouvette ainsi que le système de mesure de la température et du flux thermique ; </w:t>
      </w:r>
    </w:p>
    <w:p w14:paraId="7B62FEE5"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asciiTheme="majorBidi" w:eastAsiaTheme="minorHAnsi" w:hAnsiTheme="majorBidi" w:cstheme="majorBidi"/>
          <w:lang w:eastAsia="en-US"/>
        </w:rPr>
      </w:pPr>
      <w:r w:rsidRPr="00076651">
        <w:rPr>
          <w:rFonts w:eastAsiaTheme="minorHAnsi"/>
          <w:lang w:val="fr-FR" w:eastAsia="en-US"/>
        </w:rPr>
        <w:t>b)</w:t>
      </w:r>
      <w:r w:rsidRPr="00076651">
        <w:rPr>
          <w:rFonts w:eastAsiaTheme="minorHAnsi"/>
          <w:lang w:val="fr-FR" w:eastAsia="en-US"/>
        </w:rPr>
        <w:tab/>
        <w:t>Un système d’alimentation en carburant et de combustion ;</w:t>
      </w:r>
    </w:p>
    <w:p w14:paraId="1FD9985F" w14:textId="17A2755D"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835" w:right="1134" w:hanging="567"/>
        <w:jc w:val="both"/>
        <w:rPr>
          <w:rFonts w:asciiTheme="majorBidi" w:eastAsiaTheme="minorHAnsi" w:hAnsiTheme="majorBidi" w:cstheme="majorBidi"/>
          <w:lang w:eastAsia="en-US"/>
        </w:rPr>
      </w:pPr>
      <w:r w:rsidRPr="00076651">
        <w:rPr>
          <w:rFonts w:eastAsiaTheme="minorHAnsi"/>
          <w:lang w:val="fr-FR" w:eastAsia="en-US"/>
        </w:rPr>
        <w:t>c)</w:t>
      </w:r>
      <w:r w:rsidRPr="00076651">
        <w:rPr>
          <w:rFonts w:eastAsiaTheme="minorHAnsi"/>
          <w:lang w:val="fr-FR" w:eastAsia="en-US"/>
        </w:rPr>
        <w:tab/>
        <w:t xml:space="preserve">Un système de pression par alimentation en eau (élément </w:t>
      </w:r>
      <w:r w:rsidR="00843675">
        <w:rPr>
          <w:rFonts w:eastAsiaTheme="minorHAnsi"/>
          <w:lang w:val="fr-FR" w:eastAsia="en-US"/>
        </w:rPr>
        <w:t>(</w:t>
      </w:r>
      <w:r w:rsidRPr="00076651">
        <w:rPr>
          <w:rFonts w:eastAsiaTheme="minorHAnsi"/>
          <w:lang w:val="fr-FR" w:eastAsia="en-US"/>
        </w:rPr>
        <w:t>1</w:t>
      </w:r>
      <w:r w:rsidR="00843675">
        <w:rPr>
          <w:rFonts w:eastAsiaTheme="minorHAnsi"/>
          <w:lang w:val="fr-FR" w:eastAsia="en-US"/>
        </w:rPr>
        <w:t>)</w:t>
      </w:r>
      <w:r w:rsidRPr="00076651">
        <w:rPr>
          <w:rFonts w:eastAsiaTheme="minorHAnsi"/>
          <w:lang w:val="fr-FR" w:eastAsia="en-US"/>
        </w:rPr>
        <w:t xml:space="preserve"> de la figure 42.3.1</w:t>
      </w:r>
      <w:r w:rsidR="00843675" w:rsidRPr="00076651">
        <w:rPr>
          <w:rFonts w:eastAsiaTheme="minorHAnsi"/>
          <w:lang w:val="fr-FR" w:eastAsia="en-US"/>
        </w:rPr>
        <w:t>)</w:t>
      </w:r>
      <w:r w:rsidRPr="00076651">
        <w:rPr>
          <w:rFonts w:eastAsiaTheme="minorHAnsi"/>
          <w:lang w:val="fr-FR" w:eastAsia="en-US"/>
        </w:rPr>
        <w:t> ;</w:t>
      </w:r>
    </w:p>
    <w:p w14:paraId="79B72DAE" w14:textId="3603E08D"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835" w:right="1134" w:hanging="567"/>
        <w:jc w:val="both"/>
        <w:rPr>
          <w:rFonts w:asciiTheme="majorBidi" w:eastAsiaTheme="minorHAnsi" w:hAnsiTheme="majorBidi" w:cstheme="majorBidi"/>
          <w:lang w:eastAsia="en-US"/>
        </w:rPr>
      </w:pPr>
      <w:r w:rsidRPr="00076651">
        <w:rPr>
          <w:rFonts w:eastAsiaTheme="minorHAnsi"/>
          <w:lang w:val="fr-FR" w:eastAsia="en-US"/>
        </w:rPr>
        <w:t>d)</w:t>
      </w:r>
      <w:r w:rsidRPr="00076651">
        <w:rPr>
          <w:rFonts w:eastAsiaTheme="minorHAnsi"/>
          <w:lang w:val="fr-FR" w:eastAsia="en-US"/>
        </w:rPr>
        <w:tab/>
        <w:t>Un dispositif reliant l’éprouvette au banc d’essai (élément </w:t>
      </w:r>
      <w:r w:rsidR="00843675">
        <w:rPr>
          <w:rFonts w:eastAsiaTheme="minorHAnsi"/>
          <w:lang w:val="fr-FR" w:eastAsia="en-US"/>
        </w:rPr>
        <w:t>(</w:t>
      </w:r>
      <w:r w:rsidRPr="00076651">
        <w:rPr>
          <w:rFonts w:eastAsiaTheme="minorHAnsi"/>
          <w:lang w:val="fr-FR" w:eastAsia="en-US"/>
        </w:rPr>
        <w:t>2) de la figure 42.3.1</w:t>
      </w:r>
      <w:r w:rsidR="00843675">
        <w:rPr>
          <w:rFonts w:eastAsiaTheme="minorHAnsi"/>
          <w:lang w:val="fr-FR" w:eastAsia="en-US"/>
        </w:rPr>
        <w:t>)</w:t>
      </w:r>
      <w:r w:rsidRPr="00076651">
        <w:rPr>
          <w:rFonts w:eastAsiaTheme="minorHAnsi"/>
          <w:lang w:val="fr-FR" w:eastAsia="en-US"/>
        </w:rPr>
        <w:t xml:space="preserve"> ; </w:t>
      </w:r>
    </w:p>
    <w:p w14:paraId="03605CC2" w14:textId="64934352"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835" w:right="1134" w:hanging="567"/>
        <w:jc w:val="both"/>
        <w:rPr>
          <w:rFonts w:asciiTheme="majorBidi" w:eastAsiaTheme="minorHAnsi" w:hAnsiTheme="majorBidi" w:cstheme="majorBidi"/>
          <w:lang w:eastAsia="en-US"/>
        </w:rPr>
      </w:pPr>
      <w:r w:rsidRPr="00076651">
        <w:rPr>
          <w:rFonts w:eastAsiaTheme="minorHAnsi"/>
          <w:lang w:val="fr-FR" w:eastAsia="en-US"/>
        </w:rPr>
        <w:t>e)</w:t>
      </w:r>
      <w:r w:rsidRPr="00076651">
        <w:rPr>
          <w:rFonts w:eastAsiaTheme="minorHAnsi"/>
          <w:lang w:val="fr-FR" w:eastAsia="en-US"/>
        </w:rPr>
        <w:tab/>
        <w:t>Un système de mesure de la température et du flux thermique (élément </w:t>
      </w:r>
      <w:r w:rsidR="00843675">
        <w:rPr>
          <w:rFonts w:eastAsiaTheme="minorHAnsi"/>
          <w:lang w:val="fr-FR" w:eastAsia="en-US"/>
        </w:rPr>
        <w:t>(</w:t>
      </w:r>
      <w:r w:rsidRPr="00076651">
        <w:rPr>
          <w:rFonts w:eastAsiaTheme="minorHAnsi"/>
          <w:lang w:val="fr-FR" w:eastAsia="en-US"/>
        </w:rPr>
        <w:t>5) de la figure 42.3.1</w:t>
      </w:r>
      <w:r w:rsidR="00843675">
        <w:rPr>
          <w:rFonts w:eastAsiaTheme="minorHAnsi"/>
          <w:lang w:val="fr-FR" w:eastAsia="en-US"/>
        </w:rPr>
        <w:t>)</w:t>
      </w:r>
      <w:r w:rsidRPr="00076651">
        <w:rPr>
          <w:rFonts w:eastAsiaTheme="minorHAnsi"/>
          <w:lang w:val="fr-FR" w:eastAsia="en-US"/>
        </w:rPr>
        <w:t xml:space="preserve"> conforme à la norme ISO 21843:2018.</w:t>
      </w:r>
    </w:p>
    <w:p w14:paraId="22D32B5C"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42.4.1.2</w:t>
      </w:r>
      <w:r w:rsidRPr="00076651">
        <w:rPr>
          <w:rFonts w:eastAsiaTheme="minorHAnsi"/>
          <w:lang w:val="fr-FR" w:eastAsia="en-US"/>
        </w:rPr>
        <w:tab/>
        <w:t>L’appareillage d’épreuve peut être modifié et complété en fonction des exigences du laboratoire d’épreuve.</w:t>
      </w:r>
    </w:p>
    <w:p w14:paraId="1A333AB2"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42.4.1.3</w:t>
      </w:r>
      <w:r w:rsidRPr="00076651">
        <w:rPr>
          <w:rFonts w:eastAsiaTheme="minorHAnsi"/>
          <w:lang w:val="fr-FR" w:eastAsia="en-US"/>
        </w:rPr>
        <w:tab/>
        <w:t>Le site où est installé le banc d’essai ne doit pas exposer l’éprouvette à des influences extérieures susceptibles de modifier les résultats de l’épreuve.</w:t>
      </w:r>
    </w:p>
    <w:p w14:paraId="3A5F8313"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42.4.1.4</w:t>
      </w:r>
      <w:r w:rsidRPr="00076651">
        <w:rPr>
          <w:rFonts w:eastAsiaTheme="minorHAnsi"/>
          <w:lang w:val="fr-FR" w:eastAsia="en-US"/>
        </w:rPr>
        <w:tab/>
        <w:t>Le régime thermique est assuré par la combustion d’un carburant liquide ou d’un gaz.</w:t>
      </w:r>
    </w:p>
    <w:p w14:paraId="7D344385"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asciiTheme="majorBidi" w:eastAsiaTheme="minorHAnsi" w:hAnsiTheme="majorBidi" w:cstheme="majorBidi"/>
          <w:lang w:eastAsia="en-US"/>
        </w:rPr>
      </w:pPr>
      <w:r w:rsidRPr="00076651">
        <w:rPr>
          <w:rFonts w:eastAsiaTheme="minorHAnsi"/>
          <w:lang w:val="fr-FR" w:eastAsia="en-US"/>
        </w:rPr>
        <w:t>42.4.1.5</w:t>
      </w:r>
      <w:r w:rsidRPr="00076651">
        <w:rPr>
          <w:rFonts w:eastAsiaTheme="minorHAnsi"/>
          <w:lang w:val="fr-FR" w:eastAsia="en-US"/>
        </w:rPr>
        <w:tab/>
        <w:t>Le banc d’essai doit assurer une couverture uniforme de l’éprouvette par la flamme.</w:t>
      </w:r>
    </w:p>
    <w:p w14:paraId="590F3A6E"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42.4.1.6</w:t>
      </w:r>
      <w:r w:rsidRPr="00076651">
        <w:rPr>
          <w:rFonts w:eastAsiaTheme="minorHAnsi"/>
          <w:lang w:val="fr-FR" w:eastAsia="en-US"/>
        </w:rPr>
        <w:tab/>
        <w:t>Il doit exister un espace horizontal d’au moins 150 mm entre tout point de l’éprouvette et la paroi de la chambre à feu.</w:t>
      </w:r>
    </w:p>
    <w:p w14:paraId="38416434"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42.4.1.7</w:t>
      </w:r>
      <w:r w:rsidRPr="00076651">
        <w:rPr>
          <w:rFonts w:eastAsiaTheme="minorHAnsi"/>
          <w:lang w:val="fr-FR" w:eastAsia="en-US"/>
        </w:rPr>
        <w:tab/>
        <w:t>La source de la flamme (buses) doit être éloignée d’au moins 150 mm de l’éprouvette et des capteurs de température, et elle doit être suffisamment puissante pour que la flamme recouvre entièrement l’éprouvette.</w:t>
      </w:r>
    </w:p>
    <w:p w14:paraId="3FADFB5A"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42.4.1.8</w:t>
      </w:r>
      <w:r w:rsidRPr="00076651">
        <w:rPr>
          <w:rFonts w:eastAsiaTheme="minorHAnsi"/>
          <w:lang w:val="fr-FR" w:eastAsia="en-US"/>
        </w:rPr>
        <w:tab/>
        <w:t>Le système d’alimentation en carburant et de combustion doit être contrôlé.</w:t>
      </w:r>
    </w:p>
    <w:p w14:paraId="10908B15"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2268" w:right="1134" w:hanging="1134"/>
        <w:jc w:val="both"/>
        <w:rPr>
          <w:rFonts w:asciiTheme="majorBidi" w:eastAsiaTheme="minorHAnsi" w:hAnsiTheme="majorBidi" w:cstheme="majorBidi"/>
          <w:i/>
          <w:iCs/>
          <w:lang w:eastAsia="en-US"/>
        </w:rPr>
      </w:pPr>
      <w:r w:rsidRPr="00076651">
        <w:rPr>
          <w:rFonts w:eastAsiaTheme="minorHAnsi"/>
          <w:b/>
          <w:lang w:val="fr-FR" w:eastAsia="en-US"/>
        </w:rPr>
        <w:t>42.4.2</w:t>
      </w:r>
      <w:r w:rsidRPr="00076651">
        <w:rPr>
          <w:rFonts w:eastAsiaTheme="minorHAnsi"/>
          <w:lang w:val="fr-FR" w:eastAsia="en-US"/>
        </w:rPr>
        <w:tab/>
      </w:r>
      <w:r w:rsidRPr="00076651">
        <w:rPr>
          <w:rFonts w:eastAsiaTheme="minorHAnsi"/>
          <w:b/>
          <w:i/>
          <w:iCs/>
          <w:lang w:val="fr-FR" w:eastAsia="en-US"/>
        </w:rPr>
        <w:t>Prescriptions relatives au système de mesure</w:t>
      </w:r>
    </w:p>
    <w:p w14:paraId="143460E0"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42.4.2.1</w:t>
      </w:r>
      <w:r w:rsidRPr="00076651">
        <w:rPr>
          <w:rFonts w:eastAsiaTheme="minorHAnsi"/>
          <w:lang w:val="fr-FR" w:eastAsia="en-US"/>
        </w:rPr>
        <w:tab/>
        <w:t>Au cours de l’épreuve, les paramètres suivants doivent être mesurés :</w:t>
      </w:r>
    </w:p>
    <w:p w14:paraId="3875265A"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eastAsiaTheme="minorHAnsi"/>
          <w:lang w:eastAsia="en-US"/>
        </w:rPr>
      </w:pPr>
      <w:r w:rsidRPr="00076651">
        <w:rPr>
          <w:rFonts w:eastAsiaTheme="minorHAnsi"/>
          <w:lang w:val="fr-FR" w:eastAsia="en-US"/>
        </w:rPr>
        <w:t>a)</w:t>
      </w:r>
      <w:r w:rsidRPr="00076651">
        <w:rPr>
          <w:rFonts w:eastAsiaTheme="minorHAnsi"/>
          <w:lang w:val="fr-FR" w:eastAsia="en-US"/>
        </w:rPr>
        <w:tab/>
        <w:t>Température et flux thermique à la surface de l’éprouvette ;</w:t>
      </w:r>
    </w:p>
    <w:p w14:paraId="014D0E49"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835" w:right="1134" w:hanging="567"/>
        <w:jc w:val="both"/>
        <w:rPr>
          <w:rFonts w:eastAsiaTheme="minorHAnsi"/>
          <w:lang w:eastAsia="en-US"/>
        </w:rPr>
      </w:pPr>
      <w:r w:rsidRPr="00076651">
        <w:rPr>
          <w:rFonts w:eastAsiaTheme="minorHAnsi"/>
          <w:lang w:val="fr-FR" w:eastAsia="en-US"/>
        </w:rPr>
        <w:t>b)</w:t>
      </w:r>
      <w:r w:rsidRPr="00076651">
        <w:rPr>
          <w:rFonts w:eastAsiaTheme="minorHAnsi"/>
          <w:lang w:val="fr-FR" w:eastAsia="en-US"/>
        </w:rPr>
        <w:tab/>
        <w:t>Pression interne pendant l’exposition à la flamme et la période de refroidissement (mesurée à l’aide d’un manomètre) ;</w:t>
      </w:r>
    </w:p>
    <w:p w14:paraId="0429B3DB"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eastAsiaTheme="minorHAnsi"/>
          <w:lang w:eastAsia="en-US"/>
        </w:rPr>
      </w:pPr>
      <w:r w:rsidRPr="00076651">
        <w:rPr>
          <w:rFonts w:eastAsiaTheme="minorHAnsi"/>
          <w:lang w:val="fr-FR" w:eastAsia="en-US"/>
        </w:rPr>
        <w:t>c)</w:t>
      </w:r>
      <w:r w:rsidRPr="00076651">
        <w:rPr>
          <w:rFonts w:eastAsiaTheme="minorHAnsi"/>
          <w:lang w:val="fr-FR" w:eastAsia="en-US"/>
        </w:rPr>
        <w:tab/>
        <w:t>Étanchéité de l’éprouvette.</w:t>
      </w:r>
    </w:p>
    <w:p w14:paraId="4EE587EA"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42.4.2.2</w:t>
      </w:r>
      <w:r w:rsidRPr="00076651">
        <w:rPr>
          <w:rFonts w:eastAsiaTheme="minorHAnsi"/>
          <w:lang w:val="fr-FR" w:eastAsia="en-US"/>
        </w:rPr>
        <w:tab/>
        <w:t>L’installation de l’éprouvette et des capteurs de température et de flux thermique est représentée de façon schématique à la figure 42.3.1. L’erreur de mesure ne doit pas être supérieure à :</w:t>
      </w:r>
    </w:p>
    <w:p w14:paraId="569BF98D"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eastAsiaTheme="minorHAnsi"/>
          <w:lang w:eastAsia="en-US"/>
        </w:rPr>
      </w:pPr>
      <w:r w:rsidRPr="00076651">
        <w:rPr>
          <w:rFonts w:eastAsiaTheme="minorHAnsi"/>
          <w:lang w:val="fr-FR" w:eastAsia="en-US"/>
        </w:rPr>
        <w:sym w:font="Symbol" w:char="F0B1"/>
      </w:r>
      <w:r w:rsidRPr="00076651">
        <w:rPr>
          <w:rFonts w:eastAsiaTheme="minorHAnsi"/>
          <w:lang w:val="fr-FR" w:eastAsia="en-US"/>
        </w:rPr>
        <w:t>3 % pour la pression ;</w:t>
      </w:r>
    </w:p>
    <w:p w14:paraId="38C17322"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eastAsiaTheme="minorHAnsi"/>
          <w:lang w:eastAsia="en-US"/>
        </w:rPr>
      </w:pPr>
      <w:r w:rsidRPr="00076651">
        <w:rPr>
          <w:rFonts w:eastAsiaTheme="minorHAnsi"/>
          <w:lang w:val="fr-FR" w:eastAsia="en-US"/>
        </w:rPr>
        <w:sym w:font="Symbol" w:char="F0B1"/>
      </w:r>
      <w:r w:rsidRPr="00076651">
        <w:rPr>
          <w:rFonts w:eastAsiaTheme="minorHAnsi"/>
          <w:lang w:val="fr-FR" w:eastAsia="en-US"/>
        </w:rPr>
        <w:t>5 % pour la température et le flux thermique ;</w:t>
      </w:r>
    </w:p>
    <w:p w14:paraId="706AC22E"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eastAsiaTheme="minorHAnsi"/>
          <w:lang w:eastAsia="en-US"/>
        </w:rPr>
      </w:pPr>
      <w:r w:rsidRPr="00076651">
        <w:rPr>
          <w:rFonts w:eastAsiaTheme="minorHAnsi"/>
          <w:lang w:val="fr-FR" w:eastAsia="en-US"/>
        </w:rPr>
        <w:sym w:font="Symbol" w:char="F0B1"/>
      </w:r>
      <w:r w:rsidRPr="00076651">
        <w:rPr>
          <w:rFonts w:eastAsiaTheme="minorHAnsi"/>
          <w:lang w:val="fr-FR" w:eastAsia="en-US"/>
        </w:rPr>
        <w:t>2 % pour le temps.</w:t>
      </w:r>
    </w:p>
    <w:p w14:paraId="4AA84EF4"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2268" w:right="1134" w:hanging="1134"/>
        <w:jc w:val="both"/>
        <w:rPr>
          <w:rFonts w:asciiTheme="majorBidi" w:eastAsiaTheme="minorHAnsi" w:hAnsiTheme="majorBidi" w:cstheme="majorBidi"/>
          <w:b/>
          <w:lang w:eastAsia="en-US"/>
        </w:rPr>
      </w:pPr>
      <w:r w:rsidRPr="00076651">
        <w:rPr>
          <w:rFonts w:eastAsiaTheme="minorHAnsi"/>
          <w:b/>
          <w:lang w:val="fr-FR" w:eastAsia="en-US"/>
        </w:rPr>
        <w:t>42.5</w:t>
      </w:r>
      <w:r w:rsidRPr="00076651">
        <w:rPr>
          <w:rFonts w:eastAsiaTheme="minorHAnsi"/>
          <w:b/>
          <w:lang w:val="fr-FR" w:eastAsia="en-US"/>
        </w:rPr>
        <w:tab/>
        <w:t>Procédure d’épreuve</w:t>
      </w:r>
    </w:p>
    <w:p w14:paraId="35E9C460"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strike/>
          <w:lang w:eastAsia="en-US"/>
        </w:rPr>
      </w:pPr>
      <w:r w:rsidRPr="00076651">
        <w:rPr>
          <w:rFonts w:eastAsiaTheme="minorHAnsi"/>
          <w:lang w:val="fr-FR" w:eastAsia="en-US"/>
        </w:rPr>
        <w:t>42.5.1</w:t>
      </w:r>
      <w:r w:rsidRPr="00076651">
        <w:rPr>
          <w:rFonts w:eastAsiaTheme="minorHAnsi"/>
          <w:lang w:val="fr-FR" w:eastAsia="en-US"/>
        </w:rPr>
        <w:tab/>
        <w:t xml:space="preserve">Les capteurs de température et de flux thermique doivent être installés et étalonnés conformément à la norme ISO 21843:2018. </w:t>
      </w:r>
    </w:p>
    <w:p w14:paraId="641F79A1"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42.5.2</w:t>
      </w:r>
      <w:r w:rsidRPr="00076651">
        <w:rPr>
          <w:rFonts w:eastAsiaTheme="minorHAnsi"/>
          <w:lang w:val="fr-FR" w:eastAsia="en-US"/>
        </w:rPr>
        <w:tab/>
        <w:t>Avant l’épreuve, l’éprouvette et les raccordements doivent être complètement remplis d’eau.</w:t>
      </w:r>
    </w:p>
    <w:p w14:paraId="2689FEC4"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lastRenderedPageBreak/>
        <w:t>42.5.3</w:t>
      </w:r>
      <w:r w:rsidRPr="00076651">
        <w:rPr>
          <w:rFonts w:eastAsiaTheme="minorHAnsi"/>
          <w:lang w:val="fr-FR" w:eastAsia="en-US"/>
        </w:rPr>
        <w:tab/>
        <w:t xml:space="preserve">Une fois le système complètement rempli d’eau, il doit être soumis à la pression de service maximale autorisée (PSMA) à une température de 20 °C. L’étanchéité de l’éprouvette et des tubulures doit ensuite être vérifiée. </w:t>
      </w:r>
    </w:p>
    <w:p w14:paraId="16FF608D"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42.5.4</w:t>
      </w:r>
      <w:r w:rsidRPr="00076651">
        <w:rPr>
          <w:rFonts w:eastAsiaTheme="minorHAnsi"/>
          <w:lang w:val="fr-FR" w:eastAsia="en-US"/>
        </w:rPr>
        <w:tab/>
        <w:t>L’alimentation en carburant des brûleurs doit être ouverte, les brûleurs allumés et la flamme réglée à l’aide d’une vanne de réglage du débit. Les paramètres de l’exposition à la flamme doivent être maintenus conformément au 42.3.2 pendant au moins 30 min. La température et le flux thermique sont enregistrés toutes les 30 s et font l’objet d’enregistrements séparés pour chaque capteur pendant l’épreuve.</w:t>
      </w:r>
    </w:p>
    <w:p w14:paraId="5E27AF4D"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strike/>
          <w:lang w:eastAsia="en-US"/>
        </w:rPr>
      </w:pPr>
      <w:r w:rsidRPr="00076651">
        <w:rPr>
          <w:rFonts w:eastAsiaTheme="minorHAnsi"/>
          <w:lang w:val="fr-FR" w:eastAsia="en-US"/>
        </w:rPr>
        <w:t>42.5.5</w:t>
      </w:r>
      <w:r w:rsidRPr="00076651">
        <w:rPr>
          <w:rFonts w:eastAsiaTheme="minorHAnsi"/>
          <w:lang w:val="fr-FR" w:eastAsia="en-US"/>
        </w:rPr>
        <w:tab/>
        <w:t xml:space="preserve">L’alimentation en carburant doit être coupée après l’épreuve (au moins 30 min). </w:t>
      </w:r>
    </w:p>
    <w:p w14:paraId="337D1203"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42.5.6</w:t>
      </w:r>
      <w:r w:rsidRPr="00076651">
        <w:rPr>
          <w:rFonts w:eastAsiaTheme="minorHAnsi"/>
          <w:lang w:val="fr-FR" w:eastAsia="en-US"/>
        </w:rPr>
        <w:tab/>
        <w:t>L’éprouvette doit être retirée après la fin du refroidissement (température de la paroi inférieure à 50 °C). L’éprouvette doit ensuite être soumise à une épreuve d’étanchéité à la pression de service maximale autorisée (PSMA).</w:t>
      </w:r>
    </w:p>
    <w:p w14:paraId="6028CC4A"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42.5.7</w:t>
      </w:r>
      <w:r w:rsidRPr="00076651">
        <w:rPr>
          <w:rFonts w:eastAsiaTheme="minorHAnsi"/>
          <w:lang w:val="fr-FR" w:eastAsia="en-US"/>
        </w:rPr>
        <w:tab/>
        <w:t>Pour les dispositifs de décompression, au moins trois cycles « ouvert-fermé » (le cas échéant) doivent être effectués.</w:t>
      </w:r>
    </w:p>
    <w:p w14:paraId="18320C80"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2268" w:right="1134" w:hanging="1134"/>
        <w:jc w:val="both"/>
        <w:rPr>
          <w:rFonts w:asciiTheme="majorBidi" w:eastAsiaTheme="minorHAnsi" w:hAnsiTheme="majorBidi" w:cstheme="majorBidi"/>
          <w:b/>
          <w:lang w:eastAsia="en-US"/>
        </w:rPr>
      </w:pPr>
      <w:r w:rsidRPr="00076651">
        <w:rPr>
          <w:rFonts w:eastAsiaTheme="minorHAnsi"/>
          <w:b/>
          <w:lang w:val="fr-FR" w:eastAsia="en-US"/>
        </w:rPr>
        <w:t>42.6</w:t>
      </w:r>
      <w:r w:rsidRPr="00076651">
        <w:rPr>
          <w:rFonts w:eastAsiaTheme="minorHAnsi"/>
          <w:b/>
          <w:lang w:val="fr-FR" w:eastAsia="en-US"/>
        </w:rPr>
        <w:tab/>
        <w:t>Critères de réussite</w:t>
      </w:r>
    </w:p>
    <w:p w14:paraId="53164744"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asciiTheme="majorBidi" w:eastAsiaTheme="minorHAnsi" w:hAnsiTheme="majorBidi" w:cstheme="majorBidi"/>
          <w:lang w:eastAsia="en-US"/>
        </w:rPr>
      </w:pPr>
      <w:r w:rsidRPr="00076651">
        <w:rPr>
          <w:rFonts w:eastAsiaTheme="minorHAnsi"/>
          <w:lang w:val="fr-FR" w:eastAsia="en-US"/>
        </w:rPr>
        <w:t>42.6.1</w:t>
      </w:r>
      <w:r w:rsidRPr="00076651">
        <w:rPr>
          <w:rFonts w:eastAsiaTheme="minorHAnsi"/>
          <w:lang w:val="fr-FR" w:eastAsia="en-US"/>
        </w:rPr>
        <w:tab/>
        <w:t>L’éprouvette doit rester étanche à la pression de service maximale autorisée (PSMA) après exposition à la flamme. Pour les dispositifs de décompression, au moins trois cycles « ouvert-fermé » (le cas échéant) doivent être effectués. Si ces conditions sont remplies, on considère que l’éprouvette a satisfait à l’épreuve de résistance au feu.</w:t>
      </w:r>
    </w:p>
    <w:p w14:paraId="18B8E175"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2268" w:right="1134" w:hanging="1134"/>
        <w:jc w:val="both"/>
        <w:rPr>
          <w:rFonts w:asciiTheme="majorBidi" w:eastAsiaTheme="minorHAnsi" w:hAnsiTheme="majorBidi" w:cstheme="majorBidi"/>
          <w:b/>
          <w:lang w:eastAsia="en-US"/>
        </w:rPr>
      </w:pPr>
      <w:r w:rsidRPr="00076651">
        <w:rPr>
          <w:rFonts w:eastAsiaTheme="minorHAnsi"/>
          <w:b/>
          <w:lang w:val="fr-FR" w:eastAsia="en-US"/>
        </w:rPr>
        <w:t>42.7</w:t>
      </w:r>
      <w:r w:rsidRPr="00076651">
        <w:rPr>
          <w:rFonts w:eastAsiaTheme="minorHAnsi"/>
          <w:b/>
          <w:lang w:val="fr-FR" w:eastAsia="en-US"/>
        </w:rPr>
        <w:tab/>
        <w:t>Procès-verbal d’épreuve</w:t>
      </w:r>
    </w:p>
    <w:p w14:paraId="07AE129C"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lang w:eastAsia="en-US"/>
        </w:rPr>
      </w:pPr>
      <w:r w:rsidRPr="00076651">
        <w:rPr>
          <w:rFonts w:eastAsiaTheme="minorHAnsi"/>
          <w:lang w:val="fr-FR" w:eastAsia="en-US"/>
        </w:rPr>
        <w:tab/>
        <w:t>Le procès-verbal d’épreuve doit comporter les indications suivantes :</w:t>
      </w:r>
    </w:p>
    <w:p w14:paraId="3C0C9AA0"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eastAsiaTheme="minorHAnsi"/>
          <w:lang w:eastAsia="en-US"/>
        </w:rPr>
      </w:pPr>
      <w:r w:rsidRPr="00076651">
        <w:rPr>
          <w:rFonts w:eastAsiaTheme="minorHAnsi"/>
          <w:lang w:val="fr-FR" w:eastAsia="en-US"/>
        </w:rPr>
        <w:t>a)</w:t>
      </w:r>
      <w:r w:rsidRPr="00076651">
        <w:rPr>
          <w:rFonts w:eastAsiaTheme="minorHAnsi"/>
          <w:lang w:val="fr-FR" w:eastAsia="en-US"/>
        </w:rPr>
        <w:tab/>
        <w:t>Nom de l’organisation qui exécute les épreuves ;</w:t>
      </w:r>
    </w:p>
    <w:p w14:paraId="4A94CF8E"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eastAsiaTheme="minorHAnsi"/>
          <w:lang w:eastAsia="en-US"/>
        </w:rPr>
      </w:pPr>
      <w:r w:rsidRPr="00076651">
        <w:rPr>
          <w:rFonts w:eastAsiaTheme="minorHAnsi"/>
          <w:lang w:val="fr-FR" w:eastAsia="en-US"/>
        </w:rPr>
        <w:t>b)</w:t>
      </w:r>
      <w:r w:rsidRPr="00076651">
        <w:rPr>
          <w:rFonts w:eastAsiaTheme="minorHAnsi"/>
          <w:lang w:val="fr-FR" w:eastAsia="en-US"/>
        </w:rPr>
        <w:tab/>
        <w:t>Nom du fabricant de l’équipement de service en PRF ;</w:t>
      </w:r>
    </w:p>
    <w:p w14:paraId="49EB55D9"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eastAsiaTheme="minorHAnsi"/>
          <w:lang w:eastAsia="en-US"/>
        </w:rPr>
      </w:pPr>
      <w:r w:rsidRPr="00076651">
        <w:rPr>
          <w:rFonts w:eastAsiaTheme="minorHAnsi"/>
          <w:lang w:val="fr-FR" w:eastAsia="en-US"/>
        </w:rPr>
        <w:t>c)</w:t>
      </w:r>
      <w:r w:rsidRPr="00076651">
        <w:rPr>
          <w:rFonts w:eastAsiaTheme="minorHAnsi"/>
          <w:lang w:val="fr-FR" w:eastAsia="en-US"/>
        </w:rPr>
        <w:tab/>
        <w:t>Date d’exécution des épreuves de résistance au feu ;</w:t>
      </w:r>
    </w:p>
    <w:p w14:paraId="644948CF"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835" w:right="1134" w:hanging="567"/>
        <w:jc w:val="both"/>
        <w:rPr>
          <w:rFonts w:eastAsiaTheme="minorHAnsi"/>
          <w:lang w:eastAsia="en-US"/>
        </w:rPr>
      </w:pPr>
      <w:r w:rsidRPr="00076651">
        <w:rPr>
          <w:rFonts w:eastAsiaTheme="minorHAnsi"/>
          <w:lang w:val="fr-FR" w:eastAsia="en-US"/>
        </w:rPr>
        <w:t>d)</w:t>
      </w:r>
      <w:r w:rsidRPr="00076651">
        <w:rPr>
          <w:rFonts w:eastAsiaTheme="minorHAnsi"/>
          <w:lang w:val="fr-FR" w:eastAsia="en-US"/>
        </w:rPr>
        <w:tab/>
        <w:t>Description de l’équipement de service en PRF, y compris les dimensions, le poids, le diamètre de la section d’obturation, les matériaux du corps et du couvercle, le matériau des joints et le marquage ;</w:t>
      </w:r>
    </w:p>
    <w:p w14:paraId="6A7B2B60"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835" w:right="1134" w:hanging="567"/>
        <w:jc w:val="both"/>
        <w:rPr>
          <w:rFonts w:eastAsiaTheme="minorHAnsi"/>
          <w:lang w:eastAsia="en-US"/>
        </w:rPr>
      </w:pPr>
      <w:r w:rsidRPr="00076651">
        <w:rPr>
          <w:rFonts w:eastAsiaTheme="minorHAnsi"/>
          <w:lang w:val="fr-FR" w:eastAsia="en-US"/>
        </w:rPr>
        <w:t>e)</w:t>
      </w:r>
      <w:r w:rsidRPr="00076651">
        <w:rPr>
          <w:rFonts w:eastAsiaTheme="minorHAnsi"/>
          <w:lang w:val="fr-FR" w:eastAsia="en-US"/>
        </w:rPr>
        <w:tab/>
        <w:t>Enregistrement des paramètres contrôlés conformément au 42.4.2.1 et résultats de leur traitement et de leur analyse ;</w:t>
      </w:r>
    </w:p>
    <w:p w14:paraId="123BFD96"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eastAsiaTheme="minorHAnsi"/>
          <w:lang w:eastAsia="en-US"/>
        </w:rPr>
      </w:pPr>
      <w:r w:rsidRPr="00076651">
        <w:rPr>
          <w:rFonts w:eastAsiaTheme="minorHAnsi"/>
          <w:lang w:val="fr-FR" w:eastAsia="en-US"/>
        </w:rPr>
        <w:t>f)</w:t>
      </w:r>
      <w:r w:rsidRPr="00076651">
        <w:rPr>
          <w:rFonts w:eastAsiaTheme="minorHAnsi"/>
          <w:lang w:val="fr-FR" w:eastAsia="en-US"/>
        </w:rPr>
        <w:tab/>
        <w:t>Résultats des observations visuelles ;</w:t>
      </w:r>
    </w:p>
    <w:p w14:paraId="227C12B3"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eastAsiaTheme="minorHAnsi"/>
          <w:lang w:eastAsia="en-US"/>
        </w:rPr>
      </w:pPr>
      <w:r w:rsidRPr="00076651">
        <w:rPr>
          <w:rFonts w:eastAsiaTheme="minorHAnsi"/>
          <w:lang w:val="fr-FR" w:eastAsia="en-US"/>
        </w:rPr>
        <w:t>g)</w:t>
      </w:r>
      <w:r w:rsidRPr="00076651">
        <w:rPr>
          <w:rFonts w:eastAsiaTheme="minorHAnsi"/>
          <w:lang w:val="fr-FR" w:eastAsia="en-US"/>
        </w:rPr>
        <w:tab/>
        <w:t>Description du dommage ou de la défaillance (le cas échéant) ;</w:t>
      </w:r>
    </w:p>
    <w:p w14:paraId="0CE62124"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268" w:right="1134"/>
        <w:jc w:val="both"/>
        <w:rPr>
          <w:rFonts w:eastAsiaTheme="minorHAnsi"/>
          <w:lang w:eastAsia="en-US"/>
        </w:rPr>
      </w:pPr>
      <w:r w:rsidRPr="00076651">
        <w:rPr>
          <w:rFonts w:eastAsiaTheme="minorHAnsi"/>
          <w:lang w:val="fr-FR" w:eastAsia="en-US"/>
        </w:rPr>
        <w:t>h)</w:t>
      </w:r>
      <w:r w:rsidRPr="00076651">
        <w:rPr>
          <w:rFonts w:eastAsiaTheme="minorHAnsi"/>
          <w:lang w:val="fr-FR" w:eastAsia="en-US"/>
        </w:rPr>
        <w:tab/>
        <w:t>Heure de début de l’épreuve (allumage des brûleurs) ;</w:t>
      </w:r>
    </w:p>
    <w:p w14:paraId="739219D2" w14:textId="77777777" w:rsidR="008F7F8D" w:rsidRPr="00076651" w:rsidRDefault="008F7F8D" w:rsidP="008F7F8D">
      <w:pPr>
        <w:tabs>
          <w:tab w:val="left" w:pos="1701"/>
          <w:tab w:val="left" w:pos="2268"/>
          <w:tab w:val="left" w:pos="2835"/>
        </w:tabs>
        <w:suppressAutoHyphens/>
        <w:kinsoku w:val="0"/>
        <w:overflowPunct w:val="0"/>
        <w:autoSpaceDE w:val="0"/>
        <w:autoSpaceDN w:val="0"/>
        <w:adjustRightInd w:val="0"/>
        <w:snapToGrid w:val="0"/>
        <w:spacing w:after="120"/>
        <w:ind w:left="2835" w:right="1134" w:hanging="567"/>
        <w:jc w:val="both"/>
        <w:rPr>
          <w:rFonts w:eastAsiaTheme="minorHAnsi"/>
          <w:lang w:eastAsia="en-US"/>
        </w:rPr>
      </w:pPr>
      <w:r w:rsidRPr="00076651">
        <w:rPr>
          <w:rFonts w:eastAsiaTheme="minorHAnsi"/>
          <w:lang w:val="fr-FR" w:eastAsia="en-US"/>
        </w:rPr>
        <w:t>i)</w:t>
      </w:r>
      <w:r w:rsidRPr="00076651">
        <w:rPr>
          <w:rFonts w:eastAsiaTheme="minorHAnsi"/>
          <w:lang w:val="fr-FR" w:eastAsia="en-US"/>
        </w:rPr>
        <w:tab/>
        <w:t>Conclusion concernant la conformité ou la non-conformité de l’équipement de service en PRF avec les prescriptions du 42.6.</w:t>
      </w:r>
    </w:p>
    <w:p w14:paraId="46F592E3"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2268" w:right="1134" w:hanging="1134"/>
        <w:jc w:val="both"/>
        <w:rPr>
          <w:rFonts w:asciiTheme="majorBidi" w:eastAsiaTheme="minorHAnsi" w:hAnsiTheme="majorBidi" w:cstheme="majorBidi"/>
          <w:b/>
          <w:lang w:eastAsia="en-US"/>
        </w:rPr>
      </w:pPr>
      <w:r w:rsidRPr="00076651">
        <w:rPr>
          <w:rFonts w:eastAsiaTheme="minorHAnsi"/>
          <w:b/>
          <w:lang w:val="fr-FR" w:eastAsia="en-US"/>
        </w:rPr>
        <w:t>42.8</w:t>
      </w:r>
      <w:r w:rsidRPr="00076651">
        <w:rPr>
          <w:rFonts w:eastAsiaTheme="minorHAnsi"/>
          <w:b/>
          <w:lang w:val="fr-FR" w:eastAsia="en-US"/>
        </w:rPr>
        <w:tab/>
        <w:t>Prescriptions de sécurité</w:t>
      </w:r>
    </w:p>
    <w:p w14:paraId="5610E335" w14:textId="77777777" w:rsidR="008F7F8D" w:rsidRPr="00076651" w:rsidRDefault="008F7F8D" w:rsidP="008F7F8D">
      <w:pPr>
        <w:tabs>
          <w:tab w:val="left" w:pos="2268"/>
          <w:tab w:val="left" w:pos="2835"/>
        </w:tabs>
        <w:suppressAutoHyphens/>
        <w:kinsoku w:val="0"/>
        <w:overflowPunct w:val="0"/>
        <w:autoSpaceDE w:val="0"/>
        <w:autoSpaceDN w:val="0"/>
        <w:adjustRightInd w:val="0"/>
        <w:snapToGrid w:val="0"/>
        <w:spacing w:after="120"/>
        <w:ind w:left="1134" w:right="1134"/>
        <w:jc w:val="both"/>
        <w:rPr>
          <w:rFonts w:eastAsiaTheme="minorHAnsi"/>
          <w:u w:val="single"/>
          <w:lang w:eastAsia="en-US"/>
        </w:rPr>
      </w:pPr>
      <w:r w:rsidRPr="00076651">
        <w:rPr>
          <w:rFonts w:eastAsiaTheme="minorHAnsi"/>
          <w:b/>
          <w:bCs/>
          <w:i/>
          <w:iCs/>
          <w:lang w:val="fr-FR" w:eastAsia="en-US"/>
        </w:rPr>
        <w:tab/>
        <w:t xml:space="preserve">Étant donné que l’épreuve de résistance au feu applicable à l’équipement de service en PRF peut être dangereuse, la sécurité du personnel doit être garantie. Il est possible que des dommages surviennent ou que l’équipement ne satisfasse pas à l’épreuve, des écrans de protection ou d’autres moyens suffisants doivent donc être utilisés pour protéger le personnel. » </w:t>
      </w:r>
      <w:r w:rsidRPr="00076651">
        <w:rPr>
          <w:rFonts w:eastAsiaTheme="minorHAnsi"/>
          <w:lang w:val="fr-FR" w:eastAsia="en-US"/>
        </w:rPr>
        <w:t>]</w:t>
      </w:r>
    </w:p>
    <w:p w14:paraId="6870E87A" w14:textId="77777777" w:rsidR="008F7F8D" w:rsidRPr="00076651" w:rsidRDefault="008F7F8D" w:rsidP="008F7F8D">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IV</w:t>
      </w:r>
      <w:r w:rsidRPr="00076651">
        <w:rPr>
          <w:rStyle w:val="ui-provider"/>
          <w:rFonts w:eastAsiaTheme="minorHAnsi"/>
          <w:i/>
          <w:iCs/>
          <w:lang w:val="fr-FR"/>
        </w:rPr>
        <w:t>)</w:t>
      </w:r>
    </w:p>
    <w:p w14:paraId="1D71EC88" w14:textId="77777777" w:rsidR="00A36353" w:rsidRPr="00076651" w:rsidRDefault="00A36353" w:rsidP="00A36353">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Section 51</w:t>
      </w:r>
    </w:p>
    <w:p w14:paraId="368BE8C9" w14:textId="1D6F6BE2" w:rsidR="00A36353" w:rsidRPr="00076651" w:rsidRDefault="00A36353" w:rsidP="00A36353">
      <w:pPr>
        <w:pStyle w:val="SingleTxtG"/>
        <w:rPr>
          <w:lang w:val="fr-FR" w:eastAsia="en-US"/>
        </w:rPr>
      </w:pPr>
      <w:r w:rsidRPr="00076651">
        <w:rPr>
          <w:lang w:val="fr-FR" w:eastAsia="en-US"/>
        </w:rPr>
        <w:t>51.4.1.2</w:t>
      </w:r>
      <w:r w:rsidR="00173430">
        <w:rPr>
          <w:lang w:val="fr-FR" w:eastAsia="en-US"/>
        </w:rPr>
        <w:tab/>
      </w:r>
      <w:r w:rsidR="00C01A0B">
        <w:rPr>
          <w:lang w:val="fr-FR" w:eastAsia="en-US"/>
        </w:rPr>
        <w:t>À l’alinéa</w:t>
      </w:r>
      <w:r w:rsidRPr="00076651">
        <w:rPr>
          <w:lang w:val="fr-FR" w:eastAsia="en-US"/>
        </w:rPr>
        <w:t xml:space="preserve"> b)</w:t>
      </w:r>
      <w:r w:rsidR="00C01A0B">
        <w:rPr>
          <w:lang w:val="fr-FR" w:eastAsia="en-US"/>
        </w:rPr>
        <w:t>,</w:t>
      </w:r>
      <w:r w:rsidRPr="00076651">
        <w:rPr>
          <w:lang w:val="fr-FR" w:eastAsia="en-US"/>
        </w:rPr>
        <w:tab/>
      </w:r>
      <w:r w:rsidR="00C01A0B" w:rsidRPr="00076651">
        <w:rPr>
          <w:lang w:val="fr-FR" w:eastAsia="en-US"/>
        </w:rPr>
        <w:t>à</w:t>
      </w:r>
      <w:r w:rsidRPr="00076651">
        <w:rPr>
          <w:lang w:val="fr-FR" w:eastAsia="en-US"/>
        </w:rPr>
        <w:t xml:space="preserve"> la fin, supprimer « (Division 1.1) ».</w:t>
      </w:r>
    </w:p>
    <w:p w14:paraId="1F952877" w14:textId="353D6000" w:rsidR="00B14684" w:rsidRPr="00076651" w:rsidRDefault="00B14684" w:rsidP="00B1468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w:t>
      </w:r>
      <w:r w:rsidR="00E97972" w:rsidRPr="00076651">
        <w:rPr>
          <w:i/>
          <w:iCs/>
        </w:rPr>
        <w:t>I</w:t>
      </w:r>
      <w:r w:rsidRPr="00076651">
        <w:rPr>
          <w:i/>
          <w:iCs/>
          <w:lang w:val="fr-FR" w:eastAsia="en-US"/>
        </w:rPr>
        <w:t>)</w:t>
      </w:r>
    </w:p>
    <w:p w14:paraId="0F2E5B72" w14:textId="77777777" w:rsidR="00A36353" w:rsidRPr="00076651" w:rsidRDefault="00A36353" w:rsidP="00A36353">
      <w:pPr>
        <w:pStyle w:val="SingleTxtG"/>
        <w:rPr>
          <w:lang w:val="fr-FR" w:eastAsia="en-US"/>
        </w:rPr>
      </w:pPr>
      <w:r w:rsidRPr="00076651">
        <w:rPr>
          <w:lang w:val="fr-FR" w:eastAsia="en-US"/>
        </w:rPr>
        <w:lastRenderedPageBreak/>
        <w:t>[51.4.4.2</w:t>
      </w:r>
      <w:r w:rsidRPr="00076651">
        <w:rPr>
          <w:lang w:val="fr-FR" w:eastAsia="en-US"/>
        </w:rPr>
        <w:tab/>
        <w:t>Modifier l’alinéa e) pour lire comme suit :</w:t>
      </w:r>
    </w:p>
    <w:p w14:paraId="0076D0B3" w14:textId="77777777" w:rsidR="00A36353" w:rsidRPr="00076651" w:rsidRDefault="00A36353" w:rsidP="00B17B45">
      <w:pPr>
        <w:pStyle w:val="SingleTxtG"/>
        <w:tabs>
          <w:tab w:val="clear" w:pos="1701"/>
          <w:tab w:val="clear" w:pos="2268"/>
          <w:tab w:val="clear" w:pos="2835"/>
        </w:tabs>
        <w:ind w:left="2268" w:hanging="1134"/>
        <w:rPr>
          <w:szCs w:val="22"/>
        </w:rPr>
      </w:pPr>
      <w:r w:rsidRPr="00076651">
        <w:rPr>
          <w:iCs/>
          <w:szCs w:val="22"/>
        </w:rPr>
        <w:t>« e)</w:t>
      </w:r>
      <w:r w:rsidRPr="00076651">
        <w:rPr>
          <w:iCs/>
          <w:szCs w:val="22"/>
        </w:rPr>
        <w:tab/>
      </w:r>
      <w:proofErr w:type="spellStart"/>
      <w:r w:rsidRPr="00076651">
        <w:rPr>
          <w:i/>
          <w:szCs w:val="22"/>
        </w:rPr>
        <w:t>I</w:t>
      </w:r>
      <w:r w:rsidRPr="00076651">
        <w:rPr>
          <w:i/>
          <w:szCs w:val="22"/>
          <w:vertAlign w:val="subscript"/>
        </w:rPr>
        <w:t>pertinente</w:t>
      </w:r>
      <w:proofErr w:type="spellEnd"/>
      <w:r w:rsidRPr="00076651">
        <w:rPr>
          <w:szCs w:val="22"/>
        </w:rPr>
        <w:t xml:space="preserve"> est obtenu à partir de l’intensité </w:t>
      </w:r>
      <w:r w:rsidRPr="00076651">
        <w:rPr>
          <w:lang w:val="fr-FR"/>
        </w:rPr>
        <w:t xml:space="preserve">maximale </w:t>
      </w:r>
      <w:r w:rsidRPr="00076651">
        <w:rPr>
          <w:szCs w:val="22"/>
        </w:rPr>
        <w:t xml:space="preserve">de la courbe lissée et corrigée du rayonnement de chaleur mesuré. </w:t>
      </w:r>
      <w:proofErr w:type="spellStart"/>
      <w:r w:rsidRPr="00076651">
        <w:rPr>
          <w:i/>
          <w:szCs w:val="22"/>
        </w:rPr>
        <w:t>I</w:t>
      </w:r>
      <w:r w:rsidRPr="00076651">
        <w:rPr>
          <w:i/>
          <w:szCs w:val="22"/>
          <w:vertAlign w:val="subscript"/>
        </w:rPr>
        <w:t>calculée</w:t>
      </w:r>
      <w:proofErr w:type="spellEnd"/>
      <w:r w:rsidRPr="00076651">
        <w:rPr>
          <w:szCs w:val="22"/>
        </w:rPr>
        <w:t xml:space="preserve"> est la valeur moyenne du rayonnement obtenue en transformant la zone intégrée en un rectangle d’aire égale </w:t>
      </w:r>
      <w:r w:rsidRPr="00B17B45">
        <w:rPr>
          <w:lang w:val="fr-FR"/>
        </w:rPr>
        <w:t>pendant</w:t>
      </w:r>
      <w:r w:rsidRPr="00076651">
        <w:rPr>
          <w:szCs w:val="22"/>
        </w:rPr>
        <w:t xml:space="preserve"> le même temps de combustion total (voir Figure 51.4.1) ; »]</w:t>
      </w:r>
    </w:p>
    <w:p w14:paraId="5BAE030F" w14:textId="77777777" w:rsidR="00C10774" w:rsidRPr="00076651" w:rsidRDefault="00C10774" w:rsidP="00C10774">
      <w:pPr>
        <w:spacing w:after="120"/>
        <w:ind w:left="1134" w:right="1134"/>
        <w:jc w:val="both"/>
        <w:rPr>
          <w:i/>
          <w:iCs/>
          <w:lang w:val="fr-FR" w:eastAsia="en-US"/>
        </w:rPr>
      </w:pPr>
      <w:r w:rsidRPr="00076651">
        <w:rPr>
          <w:i/>
          <w:iCs/>
          <w:lang w:val="fr-FR" w:eastAsia="en-US"/>
        </w:rPr>
        <w:t xml:space="preserve">(Document de référence : </w:t>
      </w:r>
      <w:r w:rsidRPr="00076651">
        <w:rPr>
          <w:i/>
          <w:iCs/>
        </w:rPr>
        <w:t>ST/SG/AC.10/C.3/124, annexe II</w:t>
      </w:r>
      <w:r w:rsidRPr="00076651">
        <w:rPr>
          <w:i/>
          <w:iCs/>
          <w:lang w:val="fr-FR" w:eastAsia="en-US"/>
        </w:rPr>
        <w:t>)</w:t>
      </w:r>
    </w:p>
    <w:p w14:paraId="422D76A5" w14:textId="77777777" w:rsidR="002531D4" w:rsidRPr="00076651" w:rsidRDefault="002531D4" w:rsidP="002531D4">
      <w:pPr>
        <w:pStyle w:val="SingleTxtG"/>
        <w:tabs>
          <w:tab w:val="clear" w:pos="1701"/>
          <w:tab w:val="clear" w:pos="2268"/>
          <w:tab w:val="clear" w:pos="2835"/>
        </w:tabs>
        <w:ind w:left="2268" w:hanging="1134"/>
        <w:rPr>
          <w:lang w:val="fr-FR"/>
        </w:rPr>
      </w:pPr>
      <w:r w:rsidRPr="00076651">
        <w:rPr>
          <w:lang w:val="fr-FR"/>
        </w:rPr>
        <w:t>51.4.4.3</w:t>
      </w:r>
      <w:r w:rsidRPr="00076651">
        <w:rPr>
          <w:lang w:val="fr-FR"/>
        </w:rPr>
        <w:tab/>
        <w:t xml:space="preserve">Remplacer « est classée comme matière explosible » par « n’est pas classée comme matière explosible désensibilisée et doit être classée comme matière explosible conformément au chapitre 2.1 du </w:t>
      </w:r>
      <w:r w:rsidRPr="00076651">
        <w:rPr>
          <w:i/>
          <w:iCs/>
          <w:lang w:val="fr-FR"/>
        </w:rPr>
        <w:t>SGH</w:t>
      </w:r>
      <w:r w:rsidRPr="00076651">
        <w:rPr>
          <w:lang w:val="fr-FR"/>
        </w:rPr>
        <w:t> ».</w:t>
      </w:r>
    </w:p>
    <w:p w14:paraId="2D14F3B0"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1A19E6DA" w14:textId="77777777" w:rsidR="002531D4" w:rsidRPr="00076651" w:rsidRDefault="002531D4" w:rsidP="007B33A9">
      <w:pPr>
        <w:pStyle w:val="SingleTxtG"/>
        <w:ind w:left="2268" w:hanging="1134"/>
        <w:rPr>
          <w:lang w:val="fr-FR"/>
        </w:rPr>
      </w:pPr>
      <w:r w:rsidRPr="00076651">
        <w:rPr>
          <w:lang w:val="fr-FR"/>
        </w:rPr>
        <w:t>51.4.4.5</w:t>
      </w:r>
      <w:r w:rsidRPr="00076651">
        <w:rPr>
          <w:lang w:val="fr-FR"/>
        </w:rPr>
        <w:tab/>
        <w:t xml:space="preserve">Dans la dernière phrase, remplacer « est classée comme matière explosible (voir le chapitre 2.1 du </w:t>
      </w:r>
      <w:r w:rsidRPr="00076651">
        <w:rPr>
          <w:i/>
          <w:iCs/>
          <w:lang w:val="fr-FR"/>
        </w:rPr>
        <w:t>SGH</w:t>
      </w:r>
      <w:r w:rsidRPr="00076651">
        <w:rPr>
          <w:lang w:val="fr-FR"/>
        </w:rPr>
        <w:t xml:space="preserve">) » par « n’est pas classée comme matière explosible désensibilisée et doit être classée comme matière explosible conformément au chapitre 2.1 du </w:t>
      </w:r>
      <w:r w:rsidRPr="00076651">
        <w:rPr>
          <w:i/>
          <w:iCs/>
          <w:lang w:val="fr-FR"/>
        </w:rPr>
        <w:t>SGH</w:t>
      </w:r>
      <w:r w:rsidRPr="00076651">
        <w:rPr>
          <w:lang w:val="fr-FR"/>
        </w:rPr>
        <w:t> ».</w:t>
      </w:r>
    </w:p>
    <w:p w14:paraId="694D40D2"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4DDEB23C" w14:textId="77777777" w:rsidR="00A4502D" w:rsidRPr="00076651" w:rsidRDefault="00A4502D" w:rsidP="007B33A9">
      <w:pPr>
        <w:pStyle w:val="H1G"/>
        <w:rPr>
          <w:lang w:val="fr-FR"/>
        </w:rPr>
      </w:pPr>
      <w:r w:rsidRPr="00076651">
        <w:rPr>
          <w:lang w:val="fr-FR"/>
        </w:rPr>
        <w:tab/>
      </w:r>
      <w:r w:rsidRPr="00076651">
        <w:rPr>
          <w:lang w:val="fr-FR"/>
        </w:rPr>
        <w:tab/>
        <w:t>Appendice 6</w:t>
      </w:r>
    </w:p>
    <w:p w14:paraId="736881A2" w14:textId="77777777" w:rsidR="00A4502D" w:rsidRPr="00076651" w:rsidRDefault="00A4502D" w:rsidP="00A4502D">
      <w:pPr>
        <w:pStyle w:val="SingleTxtG"/>
        <w:tabs>
          <w:tab w:val="clear" w:pos="1701"/>
          <w:tab w:val="clear" w:pos="2268"/>
          <w:tab w:val="clear" w:pos="2835"/>
        </w:tabs>
        <w:ind w:left="2268" w:hanging="1134"/>
        <w:rPr>
          <w:lang w:val="fr-FR"/>
        </w:rPr>
      </w:pPr>
      <w:r w:rsidRPr="00076651">
        <w:rPr>
          <w:lang w:val="fr-FR"/>
        </w:rPr>
        <w:t>A6.5.1</w:t>
      </w:r>
      <w:r w:rsidRPr="00076651">
        <w:rPr>
          <w:lang w:val="fr-FR"/>
        </w:rPr>
        <w:tab/>
        <w:t>Modifier b) pour lire comme suit :</w:t>
      </w:r>
    </w:p>
    <w:p w14:paraId="0B421BE4" w14:textId="77777777" w:rsidR="00A4502D" w:rsidRPr="00076651" w:rsidRDefault="00A4502D" w:rsidP="00A4502D">
      <w:pPr>
        <w:pStyle w:val="SingleTxtG"/>
        <w:tabs>
          <w:tab w:val="clear" w:pos="1701"/>
          <w:tab w:val="clear" w:pos="2268"/>
          <w:tab w:val="clear" w:pos="2835"/>
        </w:tabs>
        <w:ind w:left="2268" w:hanging="1134"/>
        <w:rPr>
          <w:lang w:val="fr-FR"/>
        </w:rPr>
      </w:pPr>
      <w:r w:rsidRPr="00076651">
        <w:rPr>
          <w:lang w:val="fr-FR"/>
        </w:rPr>
        <w:t>« b)</w:t>
      </w:r>
      <w:r w:rsidRPr="00076651">
        <w:rPr>
          <w:lang w:val="fr-FR"/>
        </w:rPr>
        <w:tab/>
        <w:t>Pour une matière organique unique ou un mélange homogène de matières organiques, la TDAA estimée pour un colis de 50 kg est supérieure à 75 °C ou l'énergie de décomposition exothermique est inférieure à 300 J/g. Une méthode appropriée pour estimer si la TDAA pour un colis de 50 kg est supérieure à 75 °C est la suivante :</w:t>
      </w:r>
    </w:p>
    <w:p w14:paraId="0234AD02" w14:textId="77777777" w:rsidR="00A4502D" w:rsidRPr="00076651" w:rsidRDefault="00A4502D" w:rsidP="00A4502D">
      <w:pPr>
        <w:pStyle w:val="SingleTxtG"/>
        <w:tabs>
          <w:tab w:val="clear" w:pos="1701"/>
          <w:tab w:val="clear" w:pos="2268"/>
          <w:tab w:val="clear" w:pos="2835"/>
        </w:tabs>
        <w:ind w:left="2835" w:hanging="567"/>
        <w:rPr>
          <w:lang w:val="fr-FR"/>
        </w:rPr>
      </w:pPr>
      <w:r w:rsidRPr="00076651">
        <w:rPr>
          <w:lang w:val="fr-FR"/>
        </w:rPr>
        <w:t>i)</w:t>
      </w:r>
      <w:r w:rsidRPr="00076651">
        <w:rPr>
          <w:lang w:val="fr-FR"/>
        </w:rPr>
        <w:tab/>
        <w:t>La première réaction exothermique observée (température initiale, seuil de détection maximal à 20 W·kg</w:t>
      </w:r>
      <w:r w:rsidRPr="00076651">
        <w:rPr>
          <w:vertAlign w:val="superscript"/>
          <w:lang w:val="fr-FR"/>
        </w:rPr>
        <w:t>-1</w:t>
      </w:r>
      <w:r w:rsidRPr="00076651">
        <w:rPr>
          <w:lang w:val="fr-FR"/>
        </w:rPr>
        <w:t>) dans le cadre d’une ACD est égale ou supérieure à 175 °C pour les liquides ou à 200 °C pour les solides ; ou</w:t>
      </w:r>
    </w:p>
    <w:p w14:paraId="39DDDB87" w14:textId="77777777" w:rsidR="00A4502D" w:rsidRPr="00076651" w:rsidRDefault="00A4502D" w:rsidP="00A4502D">
      <w:pPr>
        <w:pStyle w:val="SingleTxtG"/>
        <w:tabs>
          <w:tab w:val="clear" w:pos="1701"/>
          <w:tab w:val="clear" w:pos="2268"/>
          <w:tab w:val="clear" w:pos="2835"/>
        </w:tabs>
        <w:ind w:left="2835" w:hanging="567"/>
        <w:rPr>
          <w:lang w:val="fr-FR"/>
        </w:rPr>
      </w:pPr>
      <w:r w:rsidRPr="00076651">
        <w:rPr>
          <w:lang w:val="fr-FR"/>
        </w:rPr>
        <w:t>ii)</w:t>
      </w:r>
      <w:r w:rsidRPr="00076651">
        <w:rPr>
          <w:lang w:val="fr-FR"/>
        </w:rPr>
        <w:tab/>
        <w:t>Le flux de chaleur isotherme maximal mesuré à 75 °C est inférieur ou égal 100 mW·kg</w:t>
      </w:r>
      <w:r w:rsidRPr="00076651">
        <w:rPr>
          <w:vertAlign w:val="superscript"/>
          <w:lang w:val="fr-FR"/>
        </w:rPr>
        <w:t>-1</w:t>
      </w:r>
      <w:r w:rsidRPr="00076651">
        <w:rPr>
          <w:lang w:val="fr-FR"/>
        </w:rPr>
        <w:t xml:space="preserve"> pour les liquides ou à 50 mW·kg</w:t>
      </w:r>
      <w:r w:rsidRPr="00076651">
        <w:rPr>
          <w:vertAlign w:val="superscript"/>
          <w:lang w:val="fr-FR"/>
        </w:rPr>
        <w:t>-1</w:t>
      </w:r>
      <w:r w:rsidRPr="00076651">
        <w:rPr>
          <w:lang w:val="fr-FR"/>
        </w:rPr>
        <w:t xml:space="preserve"> pour les solides.</w:t>
      </w:r>
    </w:p>
    <w:p w14:paraId="0F3B8D8F" w14:textId="77777777" w:rsidR="00A4502D" w:rsidRPr="00076651" w:rsidRDefault="00A4502D" w:rsidP="00A4502D">
      <w:pPr>
        <w:pStyle w:val="SingleTxtG"/>
        <w:tabs>
          <w:tab w:val="clear" w:pos="1701"/>
          <w:tab w:val="clear" w:pos="2268"/>
          <w:tab w:val="clear" w:pos="2835"/>
        </w:tabs>
        <w:ind w:left="2268" w:hanging="1134"/>
        <w:rPr>
          <w:lang w:val="fr-FR"/>
        </w:rPr>
      </w:pPr>
      <w:r w:rsidRPr="00076651">
        <w:rPr>
          <w:lang w:val="fr-FR"/>
        </w:rPr>
        <w:tab/>
        <w:t xml:space="preserve">Les données calorimétriques doivent être obtenues suivant les indications énoncées au 20.3.3.3. </w:t>
      </w:r>
    </w:p>
    <w:p w14:paraId="7AB26450" w14:textId="77777777" w:rsidR="00A4502D" w:rsidRPr="00076651" w:rsidRDefault="00A4502D" w:rsidP="00A4502D">
      <w:pPr>
        <w:pStyle w:val="SingleTxtG"/>
        <w:tabs>
          <w:tab w:val="clear" w:pos="1701"/>
          <w:tab w:val="clear" w:pos="2268"/>
          <w:tab w:val="clear" w:pos="2835"/>
        </w:tabs>
        <w:ind w:left="2268" w:hanging="1134"/>
        <w:rPr>
          <w:i/>
          <w:iCs/>
          <w:lang w:val="fr-FR"/>
        </w:rPr>
      </w:pPr>
      <w:r w:rsidRPr="00076651">
        <w:rPr>
          <w:b/>
          <w:bCs/>
          <w:lang w:val="fr-FR"/>
        </w:rPr>
        <w:tab/>
      </w:r>
      <w:r w:rsidRPr="00076651">
        <w:rPr>
          <w:b/>
          <w:bCs/>
          <w:i/>
          <w:iCs/>
          <w:lang w:val="fr-FR"/>
        </w:rPr>
        <w:t>NOTA :</w:t>
      </w:r>
      <w:r w:rsidRPr="00076651">
        <w:rPr>
          <w:i/>
          <w:iCs/>
          <w:lang w:val="fr-FR"/>
        </w:rPr>
        <w:t xml:space="preserve"> Ces règles de sélection peuvent ne pas fonctionner pour les matières présentant un comportement autocatalytique marqué pendant la décomposition. Pour ces matières, des informations supplémentaires sont nécessaires pour déterminer si ces règles de sélection simples s'appliquent à la matière en question (en tenant compte, par exemple, de l’effet du vieillissement des échantillons sur la décomposition). On peut obtenir des informations sur le comportement autocatalytique potentiel à partir de nouvelles mesures calorimétriques (comparaison de l’ACD d’échantillons après contrainte thermique par rapport à de nouveaux échantillons ou ACD à différentes vitesses de balayage, par exemple). Les critères relatifs à la température initiale ou au flux de chaleur doivent toujours être respectés pour les nouveaux échantillons et les échantillons vieillis pour une durée correspondant à la durée prévue du transport. »</w:t>
      </w:r>
    </w:p>
    <w:p w14:paraId="4414DD2C"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18FC0568" w14:textId="77777777" w:rsidR="00233428" w:rsidRPr="00076651" w:rsidRDefault="00233428" w:rsidP="00233428">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lastRenderedPageBreak/>
        <w:tab/>
      </w:r>
      <w:r w:rsidRPr="00076651">
        <w:rPr>
          <w:rFonts w:eastAsiaTheme="minorHAnsi"/>
          <w:b/>
          <w:sz w:val="24"/>
          <w:lang w:val="fr-FR" w:eastAsia="en-US"/>
        </w:rPr>
        <w:tab/>
        <w:t>Appendice 7</w:t>
      </w:r>
    </w:p>
    <w:p w14:paraId="1768158A" w14:textId="77777777" w:rsidR="00233428" w:rsidRPr="00076651" w:rsidRDefault="00233428" w:rsidP="00B17B45">
      <w:pPr>
        <w:pStyle w:val="SingleTxtG"/>
        <w:keepNext/>
        <w:tabs>
          <w:tab w:val="clear" w:pos="1701"/>
        </w:tabs>
        <w:ind w:left="2268" w:hanging="1134"/>
        <w:rPr>
          <w:rStyle w:val="ui-provider"/>
          <w:rFonts w:eastAsiaTheme="minorHAnsi"/>
          <w:lang w:val="fr-FR"/>
        </w:rPr>
      </w:pPr>
      <w:r w:rsidRPr="00076651">
        <w:rPr>
          <w:lang w:val="fr-FR"/>
        </w:rPr>
        <w:t>A7.2.2</w:t>
      </w:r>
      <w:r w:rsidRPr="00076651">
        <w:rPr>
          <w:lang w:val="fr-FR"/>
        </w:rPr>
        <w:tab/>
        <w:t>Après la phrase d’introduction (« </w:t>
      </w:r>
      <w:r w:rsidRPr="00076651">
        <w:t>Le dispositif d’essai se compose des éléments suivants : »</w:t>
      </w:r>
      <w:r w:rsidRPr="00076651">
        <w:rPr>
          <w:lang w:val="fr-FR"/>
        </w:rPr>
        <w:t>), les paragraphes deviennent les alinéas a) à f). À l’alinéa d), au début, remplacer « pesant environ » par « d’une masse d’environ ».</w:t>
      </w:r>
    </w:p>
    <w:p w14:paraId="6D8BB0B5" w14:textId="77777777" w:rsidR="00233428" w:rsidRPr="00076651" w:rsidRDefault="00233428" w:rsidP="00233428">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IV</w:t>
      </w:r>
      <w:r w:rsidRPr="00076651">
        <w:rPr>
          <w:rStyle w:val="ui-provider"/>
          <w:rFonts w:eastAsiaTheme="minorHAnsi"/>
          <w:i/>
          <w:iCs/>
          <w:lang w:val="fr-FR"/>
        </w:rPr>
        <w:t>)</w:t>
      </w:r>
    </w:p>
    <w:p w14:paraId="4FDDD595" w14:textId="77777777" w:rsidR="00233428" w:rsidRPr="00076651" w:rsidRDefault="00233428" w:rsidP="00233428">
      <w:pPr>
        <w:keepNext/>
        <w:keepLines/>
        <w:tabs>
          <w:tab w:val="right" w:pos="851"/>
        </w:tabs>
        <w:spacing w:before="360" w:after="240" w:line="270" w:lineRule="exact"/>
        <w:ind w:left="1134" w:right="1134" w:hanging="1134"/>
        <w:outlineLvl w:val="2"/>
        <w:rPr>
          <w:rFonts w:eastAsiaTheme="minorHAnsi"/>
          <w:b/>
          <w:sz w:val="24"/>
          <w:lang w:val="fr-FR" w:eastAsia="en-US"/>
        </w:rPr>
      </w:pPr>
      <w:r w:rsidRPr="00076651">
        <w:rPr>
          <w:rFonts w:eastAsiaTheme="minorHAnsi"/>
          <w:b/>
          <w:sz w:val="24"/>
          <w:lang w:val="fr-FR" w:eastAsia="en-US"/>
        </w:rPr>
        <w:tab/>
      </w:r>
      <w:r w:rsidRPr="00076651">
        <w:rPr>
          <w:rFonts w:eastAsiaTheme="minorHAnsi"/>
          <w:b/>
          <w:sz w:val="24"/>
          <w:lang w:val="fr-FR" w:eastAsia="en-US"/>
        </w:rPr>
        <w:tab/>
        <w:t>Appendice 10</w:t>
      </w:r>
    </w:p>
    <w:p w14:paraId="0C57921E" w14:textId="77777777" w:rsidR="00233428" w:rsidRPr="00076651" w:rsidRDefault="00233428" w:rsidP="00233428">
      <w:pPr>
        <w:pStyle w:val="SingleTxtG"/>
        <w:tabs>
          <w:tab w:val="clear" w:pos="1701"/>
        </w:tabs>
        <w:ind w:left="2268" w:hanging="1134"/>
        <w:rPr>
          <w:rStyle w:val="ui-provider"/>
          <w:rFonts w:eastAsiaTheme="minorHAnsi"/>
          <w:lang w:val="fr-FR"/>
        </w:rPr>
      </w:pPr>
      <w:r w:rsidRPr="00076651">
        <w:rPr>
          <w:lang w:val="fr-FR"/>
        </w:rPr>
        <w:t>A10.3.2.2.1</w:t>
      </w:r>
      <w:r w:rsidRPr="00076651">
        <w:rPr>
          <w:lang w:val="fr-FR"/>
        </w:rPr>
        <w:tab/>
        <w:t>Dans la première phrase, après « </w:t>
      </w:r>
      <w:r w:rsidRPr="00076651">
        <w:t>nitrocellulose sèche » ajouter « d’une masse ».</w:t>
      </w:r>
    </w:p>
    <w:p w14:paraId="26DD7308" w14:textId="77777777" w:rsidR="00233428" w:rsidRPr="00076651" w:rsidRDefault="00233428" w:rsidP="00233428">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ST/SG/AC.10/C.3/126, annexe IV</w:t>
      </w:r>
      <w:r w:rsidRPr="00076651">
        <w:rPr>
          <w:rStyle w:val="ui-provider"/>
          <w:rFonts w:eastAsiaTheme="minorHAnsi"/>
          <w:i/>
          <w:iCs/>
          <w:lang w:val="fr-FR"/>
        </w:rPr>
        <w:t>)</w:t>
      </w:r>
    </w:p>
    <w:p w14:paraId="28873F92" w14:textId="77777777" w:rsidR="00790876" w:rsidRPr="00076651" w:rsidRDefault="00790876" w:rsidP="00790876">
      <w:pPr>
        <w:pStyle w:val="SingleTxtG"/>
        <w:tabs>
          <w:tab w:val="clear" w:pos="1701"/>
          <w:tab w:val="clear" w:pos="2268"/>
          <w:tab w:val="clear" w:pos="2835"/>
        </w:tabs>
        <w:ind w:left="2268" w:hanging="1134"/>
        <w:rPr>
          <w:lang w:val="fr-FR"/>
        </w:rPr>
      </w:pPr>
      <w:r w:rsidRPr="00076651">
        <w:rPr>
          <w:lang w:val="fr-FR"/>
        </w:rPr>
        <w:t>A10.3.4.4</w:t>
      </w:r>
      <w:r w:rsidRPr="00076651">
        <w:rPr>
          <w:lang w:val="fr-FR"/>
        </w:rPr>
        <w:tab/>
        <w:t>Dans la première phrase, remplacer « moins de 30 min » par « 30 min ou moins ».</w:t>
      </w:r>
    </w:p>
    <w:p w14:paraId="0901A74E" w14:textId="77777777" w:rsidR="007B33A9" w:rsidRPr="00076651" w:rsidRDefault="007B33A9" w:rsidP="007B33A9">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4869B173" w14:textId="77777777" w:rsidR="00790876" w:rsidRPr="00076651" w:rsidRDefault="00790876" w:rsidP="007B33A9">
      <w:pPr>
        <w:pStyle w:val="SingleTxtG"/>
        <w:tabs>
          <w:tab w:val="clear" w:pos="1701"/>
          <w:tab w:val="clear" w:pos="2268"/>
          <w:tab w:val="clear" w:pos="2835"/>
        </w:tabs>
        <w:ind w:left="2268" w:hanging="1134"/>
        <w:rPr>
          <w:lang w:val="fr-FR"/>
        </w:rPr>
      </w:pPr>
      <w:r w:rsidRPr="00076651">
        <w:rPr>
          <w:lang w:val="fr-FR"/>
        </w:rPr>
        <w:t>A10.3.5</w:t>
      </w:r>
      <w:r w:rsidRPr="00076651">
        <w:rPr>
          <w:lang w:val="fr-FR"/>
        </w:rPr>
        <w:tab/>
        <w:t>Modifier le tableau pour lire comme suit :</w:t>
      </w:r>
    </w:p>
    <w:tbl>
      <w:tblPr>
        <w:tblStyle w:val="Grilledutableau"/>
        <w:tblW w:w="0" w:type="auto"/>
        <w:jc w:val="center"/>
        <w:tblLook w:val="04A0" w:firstRow="1" w:lastRow="0" w:firstColumn="1" w:lastColumn="0" w:noHBand="0" w:noVBand="1"/>
      </w:tblPr>
      <w:tblGrid>
        <w:gridCol w:w="3587"/>
        <w:gridCol w:w="2792"/>
      </w:tblGrid>
      <w:tr w:rsidR="00790876" w:rsidRPr="00076651" w14:paraId="182ED1D5" w14:textId="77777777" w:rsidTr="00076651">
        <w:trPr>
          <w:jc w:val="center"/>
        </w:trPr>
        <w:tc>
          <w:tcPr>
            <w:tcW w:w="3587" w:type="dxa"/>
            <w:tcBorders>
              <w:top w:val="single" w:sz="4" w:space="0" w:color="auto"/>
              <w:left w:val="nil"/>
              <w:bottom w:val="single" w:sz="4" w:space="0" w:color="auto"/>
              <w:right w:val="nil"/>
            </w:tcBorders>
          </w:tcPr>
          <w:p w14:paraId="19C959C7" w14:textId="77777777" w:rsidR="00790876" w:rsidRPr="00076651" w:rsidRDefault="00790876" w:rsidP="00076651">
            <w:pPr>
              <w:pStyle w:val="MTabTxt"/>
              <w:jc w:val="center"/>
              <w:rPr>
                <w:rFonts w:asciiTheme="majorBidi" w:hAnsiTheme="majorBidi" w:cstheme="majorBidi"/>
                <w:b/>
                <w:bCs/>
                <w:lang w:val="fr-FR"/>
              </w:rPr>
            </w:pPr>
            <w:r w:rsidRPr="00076651">
              <w:rPr>
                <w:rFonts w:asciiTheme="majorBidi" w:hAnsiTheme="majorBidi" w:cstheme="majorBidi"/>
                <w:b/>
                <w:bCs/>
                <w:lang w:val="fr-FR"/>
              </w:rPr>
              <w:t>Durée de l’épreuve (min)</w:t>
            </w:r>
          </w:p>
        </w:tc>
        <w:tc>
          <w:tcPr>
            <w:tcW w:w="2792" w:type="dxa"/>
            <w:tcBorders>
              <w:top w:val="single" w:sz="4" w:space="0" w:color="auto"/>
              <w:left w:val="nil"/>
              <w:bottom w:val="single" w:sz="4" w:space="0" w:color="auto"/>
              <w:right w:val="nil"/>
            </w:tcBorders>
          </w:tcPr>
          <w:p w14:paraId="5C85E854" w14:textId="77777777" w:rsidR="00790876" w:rsidRPr="00076651" w:rsidRDefault="00790876" w:rsidP="00076651">
            <w:pPr>
              <w:pStyle w:val="MTabTxt"/>
              <w:jc w:val="center"/>
              <w:rPr>
                <w:rFonts w:asciiTheme="majorBidi" w:hAnsiTheme="majorBidi" w:cstheme="majorBidi"/>
                <w:b/>
                <w:bCs/>
                <w:lang w:val="fr-FR"/>
              </w:rPr>
            </w:pPr>
            <w:r w:rsidRPr="00076651">
              <w:rPr>
                <w:rFonts w:asciiTheme="majorBidi" w:hAnsiTheme="majorBidi" w:cstheme="majorBidi"/>
                <w:b/>
                <w:bCs/>
                <w:lang w:val="fr-FR"/>
              </w:rPr>
              <w:t>Résultat</w:t>
            </w:r>
          </w:p>
        </w:tc>
      </w:tr>
      <w:tr w:rsidR="00790876" w:rsidRPr="00076651" w14:paraId="67797251" w14:textId="77777777" w:rsidTr="00076651">
        <w:trPr>
          <w:jc w:val="center"/>
        </w:trPr>
        <w:tc>
          <w:tcPr>
            <w:tcW w:w="3587" w:type="dxa"/>
            <w:tcBorders>
              <w:top w:val="single" w:sz="4" w:space="0" w:color="auto"/>
              <w:left w:val="nil"/>
              <w:bottom w:val="nil"/>
              <w:right w:val="nil"/>
            </w:tcBorders>
          </w:tcPr>
          <w:p w14:paraId="5734A0C2" w14:textId="77777777" w:rsidR="00790876" w:rsidRPr="00076651" w:rsidRDefault="00790876" w:rsidP="00076651">
            <w:pPr>
              <w:pStyle w:val="MTabTxt"/>
              <w:jc w:val="center"/>
              <w:rPr>
                <w:rFonts w:asciiTheme="majorBidi" w:hAnsiTheme="majorBidi" w:cstheme="majorBidi"/>
                <w:lang w:val="fr-FR"/>
              </w:rPr>
            </w:pPr>
            <w:r w:rsidRPr="00076651">
              <w:rPr>
                <w:rFonts w:asciiTheme="majorBidi" w:hAnsiTheme="majorBidi" w:cstheme="majorBidi"/>
                <w:lang w:val="fr-FR"/>
              </w:rPr>
              <w:t>25</w:t>
            </w:r>
          </w:p>
        </w:tc>
        <w:tc>
          <w:tcPr>
            <w:tcW w:w="2792" w:type="dxa"/>
            <w:tcBorders>
              <w:top w:val="single" w:sz="4" w:space="0" w:color="auto"/>
              <w:left w:val="nil"/>
              <w:bottom w:val="nil"/>
              <w:right w:val="nil"/>
            </w:tcBorders>
          </w:tcPr>
          <w:p w14:paraId="19081E27" w14:textId="77777777" w:rsidR="00790876" w:rsidRPr="00076651" w:rsidRDefault="00790876" w:rsidP="00076651">
            <w:pPr>
              <w:pStyle w:val="MTabTxt"/>
              <w:jc w:val="center"/>
              <w:rPr>
                <w:rFonts w:asciiTheme="majorBidi" w:hAnsiTheme="majorBidi" w:cstheme="majorBidi"/>
                <w:lang w:val="fr-FR"/>
              </w:rPr>
            </w:pPr>
            <w:r w:rsidRPr="00076651">
              <w:rPr>
                <w:rFonts w:asciiTheme="majorBidi" w:hAnsiTheme="majorBidi" w:cstheme="majorBidi"/>
                <w:lang w:val="fr-FR"/>
              </w:rPr>
              <w:t>+</w:t>
            </w:r>
          </w:p>
        </w:tc>
      </w:tr>
      <w:tr w:rsidR="00790876" w:rsidRPr="00076651" w14:paraId="41032DA6" w14:textId="77777777" w:rsidTr="00076651">
        <w:trPr>
          <w:jc w:val="center"/>
        </w:trPr>
        <w:tc>
          <w:tcPr>
            <w:tcW w:w="3587" w:type="dxa"/>
            <w:tcBorders>
              <w:top w:val="nil"/>
              <w:left w:val="nil"/>
              <w:bottom w:val="nil"/>
              <w:right w:val="nil"/>
            </w:tcBorders>
          </w:tcPr>
          <w:p w14:paraId="39237773" w14:textId="77777777" w:rsidR="00790876" w:rsidRPr="00076651" w:rsidRDefault="00790876" w:rsidP="00076651">
            <w:pPr>
              <w:pStyle w:val="MTabTxt"/>
              <w:jc w:val="center"/>
              <w:rPr>
                <w:rFonts w:asciiTheme="majorBidi" w:hAnsiTheme="majorBidi" w:cstheme="majorBidi"/>
                <w:lang w:val="fr-FR"/>
              </w:rPr>
            </w:pPr>
            <w:r w:rsidRPr="00076651">
              <w:rPr>
                <w:rFonts w:asciiTheme="majorBidi" w:hAnsiTheme="majorBidi" w:cstheme="majorBidi"/>
                <w:lang w:val="fr-FR"/>
              </w:rPr>
              <w:t>30</w:t>
            </w:r>
          </w:p>
        </w:tc>
        <w:tc>
          <w:tcPr>
            <w:tcW w:w="2792" w:type="dxa"/>
            <w:tcBorders>
              <w:top w:val="nil"/>
              <w:left w:val="nil"/>
              <w:bottom w:val="nil"/>
              <w:right w:val="nil"/>
            </w:tcBorders>
          </w:tcPr>
          <w:p w14:paraId="20AA5171" w14:textId="77777777" w:rsidR="00790876" w:rsidRPr="00076651" w:rsidRDefault="00790876" w:rsidP="00076651">
            <w:pPr>
              <w:pStyle w:val="MTabTxt"/>
              <w:jc w:val="center"/>
              <w:rPr>
                <w:rFonts w:asciiTheme="majorBidi" w:hAnsiTheme="majorBidi" w:cstheme="majorBidi"/>
                <w:lang w:val="fr-FR"/>
              </w:rPr>
            </w:pPr>
            <w:r w:rsidRPr="00076651">
              <w:rPr>
                <w:rFonts w:asciiTheme="majorBidi" w:hAnsiTheme="majorBidi" w:cstheme="majorBidi"/>
                <w:lang w:val="fr-FR"/>
              </w:rPr>
              <w:t>+</w:t>
            </w:r>
          </w:p>
        </w:tc>
      </w:tr>
      <w:tr w:rsidR="00790876" w:rsidRPr="00076651" w14:paraId="4D78F2C0" w14:textId="77777777" w:rsidTr="00076651">
        <w:trPr>
          <w:jc w:val="center"/>
        </w:trPr>
        <w:tc>
          <w:tcPr>
            <w:tcW w:w="3587" w:type="dxa"/>
            <w:tcBorders>
              <w:top w:val="nil"/>
              <w:left w:val="nil"/>
              <w:bottom w:val="single" w:sz="4" w:space="0" w:color="auto"/>
              <w:right w:val="nil"/>
            </w:tcBorders>
          </w:tcPr>
          <w:p w14:paraId="31FB0BBA" w14:textId="77777777" w:rsidR="00790876" w:rsidRPr="00076651" w:rsidRDefault="00790876" w:rsidP="00076651">
            <w:pPr>
              <w:pStyle w:val="MTabTxt"/>
              <w:jc w:val="center"/>
              <w:rPr>
                <w:rFonts w:asciiTheme="majorBidi" w:hAnsiTheme="majorBidi" w:cstheme="majorBidi"/>
                <w:lang w:val="fr-FR"/>
              </w:rPr>
            </w:pPr>
            <w:r w:rsidRPr="00076651">
              <w:rPr>
                <w:rFonts w:asciiTheme="majorBidi" w:hAnsiTheme="majorBidi" w:cstheme="majorBidi"/>
                <w:lang w:val="fr-FR"/>
              </w:rPr>
              <w:t>35</w:t>
            </w:r>
          </w:p>
        </w:tc>
        <w:tc>
          <w:tcPr>
            <w:tcW w:w="2792" w:type="dxa"/>
            <w:tcBorders>
              <w:top w:val="nil"/>
              <w:left w:val="nil"/>
              <w:bottom w:val="single" w:sz="4" w:space="0" w:color="auto"/>
              <w:right w:val="nil"/>
            </w:tcBorders>
          </w:tcPr>
          <w:p w14:paraId="06FDB0EC" w14:textId="77777777" w:rsidR="00790876" w:rsidRPr="00076651" w:rsidRDefault="00790876" w:rsidP="00076651">
            <w:pPr>
              <w:pStyle w:val="MTabTxt"/>
              <w:jc w:val="center"/>
              <w:rPr>
                <w:rFonts w:asciiTheme="majorBidi" w:hAnsiTheme="majorBidi" w:cstheme="majorBidi"/>
                <w:lang w:val="fr-FR"/>
              </w:rPr>
            </w:pPr>
            <w:r w:rsidRPr="00076651">
              <w:rPr>
                <w:rFonts w:asciiTheme="majorBidi" w:hAnsiTheme="majorBidi" w:cstheme="majorBidi"/>
                <w:lang w:val="fr-FR"/>
              </w:rPr>
              <w:t>–</w:t>
            </w:r>
          </w:p>
        </w:tc>
      </w:tr>
    </w:tbl>
    <w:p w14:paraId="0F872D24" w14:textId="77777777" w:rsidR="007B33A9" w:rsidRPr="00076651" w:rsidRDefault="007B33A9" w:rsidP="00DD63C0">
      <w:pPr>
        <w:pStyle w:val="SingleTxtG"/>
        <w:tabs>
          <w:tab w:val="clear" w:pos="1701"/>
        </w:tabs>
        <w:spacing w:before="120"/>
        <w:rPr>
          <w:rStyle w:val="ui-provider"/>
          <w:rFonts w:eastAsiaTheme="minorHAnsi"/>
          <w:i/>
          <w:iCs/>
          <w:lang w:val="fr-FR"/>
        </w:rPr>
      </w:pPr>
      <w:r w:rsidRPr="00076651">
        <w:rPr>
          <w:rStyle w:val="ui-provider"/>
          <w:rFonts w:eastAsiaTheme="minorHAnsi"/>
          <w:i/>
          <w:iCs/>
          <w:lang w:val="fr-FR"/>
        </w:rPr>
        <w:t xml:space="preserve">(Document de référence : </w:t>
      </w:r>
      <w:r w:rsidRPr="00076651">
        <w:rPr>
          <w:i/>
          <w:iCs/>
        </w:rPr>
        <w:t>ST/SG/AC.10/C.3/128, annexe I</w:t>
      </w:r>
      <w:r w:rsidRPr="00076651">
        <w:rPr>
          <w:rStyle w:val="ui-provider"/>
          <w:rFonts w:eastAsiaTheme="minorHAnsi"/>
          <w:i/>
          <w:iCs/>
          <w:lang w:val="fr-FR"/>
        </w:rPr>
        <w:t>)</w:t>
      </w:r>
    </w:p>
    <w:p w14:paraId="0A353B0F" w14:textId="1EE378EE" w:rsidR="00EA2B11" w:rsidRDefault="00EA2B11" w:rsidP="00EA2B11">
      <w:pPr>
        <w:pStyle w:val="H23G"/>
        <w:rPr>
          <w:rFonts w:eastAsiaTheme="minorHAnsi"/>
          <w:lang w:val="fr-FR"/>
        </w:rPr>
      </w:pPr>
      <w:r w:rsidRPr="00076651">
        <w:rPr>
          <w:lang w:val="fr-FR" w:eastAsia="en-US"/>
        </w:rPr>
        <w:tab/>
      </w:r>
      <w:r w:rsidRPr="00076651">
        <w:rPr>
          <w:lang w:val="fr-FR" w:eastAsia="en-US"/>
        </w:rPr>
        <w:tab/>
      </w:r>
      <w:r w:rsidRPr="00076651">
        <w:rPr>
          <w:lang w:val="fr-FR"/>
        </w:rPr>
        <w:t xml:space="preserve">Le </w:t>
      </w:r>
      <w:r w:rsidRPr="00076651">
        <w:rPr>
          <w:lang w:val="fr-FR" w:eastAsia="en-US"/>
        </w:rPr>
        <w:t xml:space="preserve">document ST/SG/AC.10/C.3/2023/44 et le document informel INF.7 de la soixante-deuxième session </w:t>
      </w:r>
      <w:r w:rsidRPr="00076651">
        <w:rPr>
          <w:rFonts w:eastAsiaTheme="minorHAnsi"/>
          <w:lang w:val="fr-FR"/>
        </w:rPr>
        <w:t>avec des amendements applicables à la version espagnole ont été adoptés.</w:t>
      </w:r>
      <w:r w:rsidRPr="003C30D9">
        <w:rPr>
          <w:rFonts w:eastAsiaTheme="minorHAnsi"/>
          <w:lang w:val="fr-FR"/>
        </w:rPr>
        <w:t xml:space="preserve"> </w:t>
      </w:r>
    </w:p>
    <w:p w14:paraId="46E1E1F7" w14:textId="47800A98" w:rsidR="006E76E8" w:rsidRPr="00076651" w:rsidRDefault="006E76E8" w:rsidP="006E76E8">
      <w:pPr>
        <w:pStyle w:val="SingleTxtG"/>
        <w:tabs>
          <w:tab w:val="clear" w:pos="1701"/>
        </w:tabs>
        <w:rPr>
          <w:rStyle w:val="ui-provider"/>
          <w:rFonts w:eastAsiaTheme="minorHAnsi"/>
          <w:i/>
          <w:iCs/>
          <w:lang w:val="fr-FR"/>
        </w:rPr>
      </w:pPr>
      <w:r w:rsidRPr="00076651">
        <w:rPr>
          <w:rStyle w:val="ui-provider"/>
          <w:rFonts w:eastAsiaTheme="minorHAnsi"/>
          <w:i/>
          <w:iCs/>
          <w:lang w:val="fr-FR"/>
        </w:rPr>
        <w:t xml:space="preserve">(Documents de référence : </w:t>
      </w:r>
      <w:r w:rsidRPr="00076651">
        <w:rPr>
          <w:i/>
          <w:iCs/>
        </w:rPr>
        <w:t xml:space="preserve">ST/SG/AC.10/C.3/124, annexe </w:t>
      </w:r>
      <w:r w:rsidR="006975D8">
        <w:rPr>
          <w:i/>
          <w:iCs/>
        </w:rPr>
        <w:t>I</w:t>
      </w:r>
      <w:r w:rsidRPr="00076651">
        <w:rPr>
          <w:i/>
          <w:iCs/>
        </w:rPr>
        <w:t>I et ST/SG/AC.10/C.3/12</w:t>
      </w:r>
      <w:r w:rsidR="006975D8">
        <w:rPr>
          <w:i/>
          <w:iCs/>
        </w:rPr>
        <w:t>6</w:t>
      </w:r>
      <w:r w:rsidRPr="00076651">
        <w:rPr>
          <w:i/>
          <w:iCs/>
        </w:rPr>
        <w:t>, annexe I</w:t>
      </w:r>
      <w:r w:rsidR="006975D8">
        <w:rPr>
          <w:i/>
          <w:iCs/>
        </w:rPr>
        <w:t>V</w:t>
      </w:r>
      <w:r w:rsidRPr="00076651">
        <w:rPr>
          <w:rStyle w:val="ui-provider"/>
          <w:rFonts w:eastAsiaTheme="minorHAnsi"/>
          <w:i/>
          <w:iCs/>
          <w:lang w:val="fr-FR"/>
        </w:rPr>
        <w:t>)</w:t>
      </w:r>
    </w:p>
    <w:p w14:paraId="7578614E" w14:textId="6B9590A7" w:rsidR="00550F4E" w:rsidRPr="00550F4E" w:rsidRDefault="00550F4E" w:rsidP="00550F4E">
      <w:pPr>
        <w:spacing w:before="240"/>
        <w:jc w:val="center"/>
        <w:rPr>
          <w:rFonts w:eastAsiaTheme="minorHAnsi"/>
          <w:u w:val="single"/>
          <w:lang w:val="fr-FR"/>
        </w:rPr>
      </w:pPr>
      <w:r>
        <w:rPr>
          <w:rFonts w:eastAsiaTheme="minorHAnsi"/>
          <w:u w:val="single"/>
          <w:lang w:val="fr-FR"/>
        </w:rPr>
        <w:tab/>
      </w:r>
      <w:r>
        <w:rPr>
          <w:rFonts w:eastAsiaTheme="minorHAnsi"/>
          <w:u w:val="single"/>
          <w:lang w:val="fr-FR"/>
        </w:rPr>
        <w:tab/>
      </w:r>
      <w:r>
        <w:rPr>
          <w:rFonts w:eastAsiaTheme="minorHAnsi"/>
          <w:u w:val="single"/>
          <w:lang w:val="fr-FR"/>
        </w:rPr>
        <w:tab/>
      </w:r>
    </w:p>
    <w:sectPr w:rsidR="00550F4E" w:rsidRPr="00550F4E" w:rsidSect="00701BD7">
      <w:headerReference w:type="even" r:id="rId18"/>
      <w:headerReference w:type="default" r:id="rId19"/>
      <w:footerReference w:type="even" r:id="rId20"/>
      <w:footerReference w:type="default" r:id="rId21"/>
      <w:footerReference w:type="first" r:id="rId2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11B00" w14:textId="77777777" w:rsidR="00D56563" w:rsidRDefault="00D56563" w:rsidP="00F95C08">
      <w:pPr>
        <w:spacing w:line="240" w:lineRule="auto"/>
      </w:pPr>
    </w:p>
  </w:endnote>
  <w:endnote w:type="continuationSeparator" w:id="0">
    <w:p w14:paraId="35597588" w14:textId="77777777" w:rsidR="00D56563" w:rsidRPr="00AC3823" w:rsidRDefault="00D56563" w:rsidP="00AC3823">
      <w:pPr>
        <w:pStyle w:val="Pieddepage"/>
      </w:pPr>
    </w:p>
  </w:endnote>
  <w:endnote w:type="continuationNotice" w:id="1">
    <w:p w14:paraId="1F99A246" w14:textId="77777777" w:rsidR="00D56563" w:rsidRDefault="00D565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C450F" w14:textId="77777777" w:rsidR="00701BD7" w:rsidRPr="00701BD7" w:rsidRDefault="00701BD7" w:rsidP="00701BD7">
    <w:pPr>
      <w:pStyle w:val="Pieddepage"/>
      <w:tabs>
        <w:tab w:val="right" w:pos="9638"/>
      </w:tabs>
      <w:rPr>
        <w:sz w:val="18"/>
      </w:rPr>
    </w:pPr>
    <w:r w:rsidRPr="00701BD7">
      <w:rPr>
        <w:b/>
        <w:sz w:val="18"/>
      </w:rPr>
      <w:fldChar w:fldCharType="begin"/>
    </w:r>
    <w:r w:rsidRPr="00701BD7">
      <w:rPr>
        <w:b/>
        <w:sz w:val="18"/>
      </w:rPr>
      <w:instrText xml:space="preserve"> PAGE  \* MERGEFORMAT </w:instrText>
    </w:r>
    <w:r w:rsidRPr="00701BD7">
      <w:rPr>
        <w:b/>
        <w:sz w:val="18"/>
      </w:rPr>
      <w:fldChar w:fldCharType="separate"/>
    </w:r>
    <w:r w:rsidRPr="00701BD7">
      <w:rPr>
        <w:b/>
        <w:noProof/>
        <w:sz w:val="18"/>
      </w:rPr>
      <w:t>2</w:t>
    </w:r>
    <w:r w:rsidRPr="00701BD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85A7" w14:textId="77777777" w:rsidR="00701BD7" w:rsidRPr="00701BD7" w:rsidRDefault="00701BD7" w:rsidP="00701BD7">
    <w:pPr>
      <w:pStyle w:val="Pieddepage"/>
      <w:tabs>
        <w:tab w:val="right" w:pos="9638"/>
      </w:tabs>
      <w:rPr>
        <w:b/>
        <w:sz w:val="18"/>
      </w:rPr>
    </w:pPr>
    <w:r>
      <w:tab/>
    </w:r>
    <w:r w:rsidRPr="00701BD7">
      <w:rPr>
        <w:b/>
        <w:sz w:val="18"/>
      </w:rPr>
      <w:fldChar w:fldCharType="begin"/>
    </w:r>
    <w:r w:rsidRPr="00701BD7">
      <w:rPr>
        <w:b/>
        <w:sz w:val="18"/>
      </w:rPr>
      <w:instrText xml:space="preserve"> PAGE  \* MERGEFORMAT </w:instrText>
    </w:r>
    <w:r w:rsidRPr="00701BD7">
      <w:rPr>
        <w:b/>
        <w:sz w:val="18"/>
      </w:rPr>
      <w:fldChar w:fldCharType="separate"/>
    </w:r>
    <w:r w:rsidRPr="00701BD7">
      <w:rPr>
        <w:b/>
        <w:noProof/>
        <w:sz w:val="18"/>
      </w:rPr>
      <w:t>3</w:t>
    </w:r>
    <w:r w:rsidRPr="00701BD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9254" w14:textId="69878DA3" w:rsidR="0068456F" w:rsidRPr="00E652E3" w:rsidRDefault="00E652E3" w:rsidP="00E652E3">
    <w:pPr>
      <w:pStyle w:val="Pieddepage"/>
      <w:tabs>
        <w:tab w:val="left" w:pos="6520"/>
        <w:tab w:val="right" w:pos="9638"/>
      </w:tabs>
      <w:spacing w:before="120"/>
      <w:rPr>
        <w:sz w:val="20"/>
      </w:rPr>
    </w:pPr>
    <w:r>
      <w:rPr>
        <w:sz w:val="20"/>
      </w:rPr>
      <w:t>GE.24-16463  (F)</w:t>
    </w:r>
    <w:bookmarkStart w:id="9" w:name="_GoBack"/>
    <w:bookmarkEnd w:id="9"/>
    <w:r>
      <w:rPr>
        <w:sz w:val="20"/>
      </w:rPr>
      <w:tab/>
    </w:r>
    <w:r w:rsidRPr="00E652E3">
      <w:rPr>
        <w:noProof/>
        <w:sz w:val="20"/>
        <w:lang w:eastAsia="fr-CH"/>
      </w:rPr>
      <w:drawing>
        <wp:inline distT="0" distB="0" distL="0" distR="0" wp14:anchorId="0AB5AEA6" wp14:editId="76F9BA91">
          <wp:extent cx="1105200" cy="234000"/>
          <wp:effectExtent l="0" t="0" r="0" b="0"/>
          <wp:docPr id="1635733315"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6109B337" wp14:editId="60AA9667">
          <wp:extent cx="627380" cy="627380"/>
          <wp:effectExtent l="0" t="0" r="1270" b="1270"/>
          <wp:docPr id="5691824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88807" w14:textId="77777777" w:rsidR="00D56563" w:rsidRPr="00AC3823" w:rsidRDefault="00D56563" w:rsidP="00AC3823">
      <w:pPr>
        <w:pStyle w:val="Pieddepage"/>
        <w:tabs>
          <w:tab w:val="right" w:pos="2155"/>
        </w:tabs>
        <w:spacing w:after="80" w:line="240" w:lineRule="atLeast"/>
        <w:ind w:left="680"/>
        <w:rPr>
          <w:u w:val="single"/>
        </w:rPr>
      </w:pPr>
      <w:r>
        <w:rPr>
          <w:u w:val="single"/>
        </w:rPr>
        <w:tab/>
      </w:r>
    </w:p>
  </w:footnote>
  <w:footnote w:type="continuationSeparator" w:id="0">
    <w:p w14:paraId="2BD702C9" w14:textId="77777777" w:rsidR="00D56563" w:rsidRPr="00AC3823" w:rsidRDefault="00D56563" w:rsidP="00AC3823">
      <w:pPr>
        <w:pStyle w:val="Pieddepage"/>
        <w:tabs>
          <w:tab w:val="right" w:pos="2155"/>
        </w:tabs>
        <w:spacing w:after="80" w:line="240" w:lineRule="atLeast"/>
        <w:ind w:left="680"/>
        <w:rPr>
          <w:u w:val="single"/>
        </w:rPr>
      </w:pPr>
      <w:r>
        <w:rPr>
          <w:u w:val="single"/>
        </w:rPr>
        <w:tab/>
      </w:r>
    </w:p>
  </w:footnote>
  <w:footnote w:type="continuationNotice" w:id="1">
    <w:p w14:paraId="7E4C7177" w14:textId="77777777" w:rsidR="00D56563" w:rsidRPr="00AC3823" w:rsidRDefault="00D56563">
      <w:pPr>
        <w:spacing w:line="240" w:lineRule="auto"/>
        <w:rPr>
          <w:sz w:val="2"/>
          <w:szCs w:val="2"/>
        </w:rPr>
      </w:pPr>
    </w:p>
  </w:footnote>
  <w:footnote w:id="2">
    <w:p w14:paraId="4A3D03CA" w14:textId="2A3EB5C6" w:rsidR="00D71986" w:rsidRPr="004F3670" w:rsidRDefault="00D71986" w:rsidP="00D71986">
      <w:pPr>
        <w:pStyle w:val="Notedebasdepage"/>
        <w:rPr>
          <w:lang w:val="en-US"/>
        </w:rPr>
      </w:pPr>
      <w:r>
        <w:rPr>
          <w:rStyle w:val="Appelnotedebasdep"/>
        </w:rPr>
        <w:tab/>
      </w:r>
      <w:r w:rsidRPr="00971A2B">
        <w:rPr>
          <w:rStyle w:val="Appelnotedebasdep"/>
          <w:sz w:val="20"/>
          <w:vertAlign w:val="baseline"/>
        </w:rPr>
        <w:t>*</w:t>
      </w:r>
      <w:r w:rsidRPr="00971A2B">
        <w:rPr>
          <w:rStyle w:val="Appelnotedebasdep"/>
          <w:sz w:val="20"/>
          <w:vertAlign w:val="baseline"/>
        </w:rPr>
        <w:tab/>
      </w:r>
      <w:r w:rsidRPr="00971A2B">
        <w:rPr>
          <w:lang w:val="en-US"/>
        </w:rPr>
        <w:t>A/7</w:t>
      </w:r>
      <w:r w:rsidR="00272E47" w:rsidRPr="00971A2B">
        <w:rPr>
          <w:lang w:val="en-US"/>
        </w:rPr>
        <w:t>8</w:t>
      </w:r>
      <w:r w:rsidRPr="00971A2B">
        <w:rPr>
          <w:lang w:val="en-US"/>
        </w:rPr>
        <w:t>/6 (Sect.20),</w:t>
      </w:r>
      <w:r w:rsidR="00272E47" w:rsidRPr="00971A2B">
        <w:rPr>
          <w:lang w:val="en-US"/>
        </w:rPr>
        <w:t xml:space="preserve"> table</w:t>
      </w:r>
      <w:r w:rsidR="009D5759">
        <w:rPr>
          <w:lang w:val="en-US"/>
        </w:rPr>
        <w:t>au</w:t>
      </w:r>
      <w:r w:rsidRPr="00971A2B">
        <w:rPr>
          <w:lang w:val="en-US"/>
        </w:rPr>
        <w:t xml:space="preserv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807A" w14:textId="77777777" w:rsidR="00701BD7" w:rsidRPr="00701BD7" w:rsidRDefault="00E43AE4">
    <w:pPr>
      <w:pStyle w:val="En-tte"/>
    </w:pPr>
    <w:fldSimple w:instr=" TITLE  \* MERGEFORMAT ">
      <w:r w:rsidR="00701BD7">
        <w:t>ST/SG/AC.10/C.3/2024/58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80BB" w14:textId="77777777" w:rsidR="00701BD7" w:rsidRPr="00701BD7" w:rsidRDefault="00E43AE4" w:rsidP="00701BD7">
    <w:pPr>
      <w:pStyle w:val="En-tte"/>
      <w:jc w:val="right"/>
    </w:pPr>
    <w:fldSimple w:instr=" TITLE  \* MERGEFORMAT ">
      <w:r w:rsidR="00701BD7">
        <w:t>ST/SG/AC.10/C.3/2024/58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726178850">
    <w:abstractNumId w:val="12"/>
  </w:num>
  <w:num w:numId="2" w16cid:durableId="69931840">
    <w:abstractNumId w:val="11"/>
  </w:num>
  <w:num w:numId="3" w16cid:durableId="272713744">
    <w:abstractNumId w:val="10"/>
  </w:num>
  <w:num w:numId="4" w16cid:durableId="2082363907">
    <w:abstractNumId w:val="8"/>
  </w:num>
  <w:num w:numId="5" w16cid:durableId="476919659">
    <w:abstractNumId w:val="3"/>
  </w:num>
  <w:num w:numId="6" w16cid:durableId="1449472509">
    <w:abstractNumId w:val="2"/>
  </w:num>
  <w:num w:numId="7" w16cid:durableId="435176575">
    <w:abstractNumId w:val="1"/>
  </w:num>
  <w:num w:numId="8" w16cid:durableId="1383865930">
    <w:abstractNumId w:val="0"/>
  </w:num>
  <w:num w:numId="9" w16cid:durableId="1729300396">
    <w:abstractNumId w:val="9"/>
  </w:num>
  <w:num w:numId="10" w16cid:durableId="932518664">
    <w:abstractNumId w:val="7"/>
  </w:num>
  <w:num w:numId="11" w16cid:durableId="1203320209">
    <w:abstractNumId w:val="6"/>
  </w:num>
  <w:num w:numId="12" w16cid:durableId="1394505563">
    <w:abstractNumId w:val="5"/>
  </w:num>
  <w:num w:numId="13" w16cid:durableId="240214213">
    <w:abstractNumId w:val="4"/>
  </w:num>
  <w:num w:numId="14" w16cid:durableId="789053805">
    <w:abstractNumId w:val="12"/>
  </w:num>
  <w:num w:numId="15" w16cid:durableId="815420130">
    <w:abstractNumId w:val="11"/>
  </w:num>
  <w:num w:numId="16" w16cid:durableId="1425881118">
    <w:abstractNumId w:val="10"/>
  </w:num>
  <w:num w:numId="17" w16cid:durableId="20959284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attachedTemplate r:id="rId1"/>
  <w:defaultTabStop w:val="567"/>
  <w:hyphenationZone w:val="425"/>
  <w:evenAndOddHeaders/>
  <w:characterSpacingControl w:val="doNotCompress"/>
  <w:hdrShapeDefaults>
    <o:shapedefaults v:ext="edit" spidmax="205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D7"/>
    <w:rsid w:val="0000711F"/>
    <w:rsid w:val="00011BF5"/>
    <w:rsid w:val="00017F94"/>
    <w:rsid w:val="000226FB"/>
    <w:rsid w:val="00023842"/>
    <w:rsid w:val="0002535F"/>
    <w:rsid w:val="000276FB"/>
    <w:rsid w:val="00030375"/>
    <w:rsid w:val="000305D3"/>
    <w:rsid w:val="000334F9"/>
    <w:rsid w:val="0003455F"/>
    <w:rsid w:val="0004228F"/>
    <w:rsid w:val="00053B3F"/>
    <w:rsid w:val="00061ABA"/>
    <w:rsid w:val="000724ED"/>
    <w:rsid w:val="00076651"/>
    <w:rsid w:val="00076B2C"/>
    <w:rsid w:val="0007796D"/>
    <w:rsid w:val="00087A98"/>
    <w:rsid w:val="000B7790"/>
    <w:rsid w:val="000E0BB1"/>
    <w:rsid w:val="000E508A"/>
    <w:rsid w:val="000F15FB"/>
    <w:rsid w:val="00111F2F"/>
    <w:rsid w:val="00125609"/>
    <w:rsid w:val="0012712C"/>
    <w:rsid w:val="00130E17"/>
    <w:rsid w:val="00132EA9"/>
    <w:rsid w:val="00134F65"/>
    <w:rsid w:val="00142957"/>
    <w:rsid w:val="001435CB"/>
    <w:rsid w:val="0014365E"/>
    <w:rsid w:val="00144095"/>
    <w:rsid w:val="00151B3C"/>
    <w:rsid w:val="0016379B"/>
    <w:rsid w:val="0016416F"/>
    <w:rsid w:val="0016447A"/>
    <w:rsid w:val="001664E9"/>
    <w:rsid w:val="001668E4"/>
    <w:rsid w:val="00167865"/>
    <w:rsid w:val="00173430"/>
    <w:rsid w:val="00176178"/>
    <w:rsid w:val="00177958"/>
    <w:rsid w:val="00183230"/>
    <w:rsid w:val="001854AD"/>
    <w:rsid w:val="00194E88"/>
    <w:rsid w:val="0019561B"/>
    <w:rsid w:val="001A5B7B"/>
    <w:rsid w:val="001B0F14"/>
    <w:rsid w:val="001B1668"/>
    <w:rsid w:val="001B3CDC"/>
    <w:rsid w:val="001D0B69"/>
    <w:rsid w:val="001D2A54"/>
    <w:rsid w:val="001D496E"/>
    <w:rsid w:val="001E45E1"/>
    <w:rsid w:val="001E54E7"/>
    <w:rsid w:val="001E7603"/>
    <w:rsid w:val="001F525A"/>
    <w:rsid w:val="002023CD"/>
    <w:rsid w:val="00221748"/>
    <w:rsid w:val="00223272"/>
    <w:rsid w:val="00224126"/>
    <w:rsid w:val="002245D1"/>
    <w:rsid w:val="00224CCA"/>
    <w:rsid w:val="00224E1D"/>
    <w:rsid w:val="00232F40"/>
    <w:rsid w:val="00232FB2"/>
    <w:rsid w:val="00233428"/>
    <w:rsid w:val="00237A84"/>
    <w:rsid w:val="00241732"/>
    <w:rsid w:val="00243FBE"/>
    <w:rsid w:val="0024779E"/>
    <w:rsid w:val="002515A3"/>
    <w:rsid w:val="002531D4"/>
    <w:rsid w:val="002610EB"/>
    <w:rsid w:val="00272D6C"/>
    <w:rsid w:val="00272E47"/>
    <w:rsid w:val="002803DE"/>
    <w:rsid w:val="00283190"/>
    <w:rsid w:val="002832AC"/>
    <w:rsid w:val="00283F8C"/>
    <w:rsid w:val="00286677"/>
    <w:rsid w:val="00294F7B"/>
    <w:rsid w:val="002A333E"/>
    <w:rsid w:val="002A4B18"/>
    <w:rsid w:val="002A7EFD"/>
    <w:rsid w:val="002C4422"/>
    <w:rsid w:val="002C49AC"/>
    <w:rsid w:val="002C71A8"/>
    <w:rsid w:val="002D7C93"/>
    <w:rsid w:val="002F6A18"/>
    <w:rsid w:val="0032272E"/>
    <w:rsid w:val="00336A32"/>
    <w:rsid w:val="003511E4"/>
    <w:rsid w:val="003540E7"/>
    <w:rsid w:val="00361F8E"/>
    <w:rsid w:val="003732E5"/>
    <w:rsid w:val="00375C98"/>
    <w:rsid w:val="00386A9D"/>
    <w:rsid w:val="0039739F"/>
    <w:rsid w:val="003A0A67"/>
    <w:rsid w:val="003B0F87"/>
    <w:rsid w:val="003B107D"/>
    <w:rsid w:val="003B3979"/>
    <w:rsid w:val="003B7A99"/>
    <w:rsid w:val="003E51ED"/>
    <w:rsid w:val="003F134A"/>
    <w:rsid w:val="003F43BF"/>
    <w:rsid w:val="00402783"/>
    <w:rsid w:val="004049E1"/>
    <w:rsid w:val="00413177"/>
    <w:rsid w:val="00441C3B"/>
    <w:rsid w:val="00446FE5"/>
    <w:rsid w:val="004500C1"/>
    <w:rsid w:val="00452396"/>
    <w:rsid w:val="00455A2D"/>
    <w:rsid w:val="00455ADB"/>
    <w:rsid w:val="00456FF3"/>
    <w:rsid w:val="004616FB"/>
    <w:rsid w:val="00461C27"/>
    <w:rsid w:val="0046708B"/>
    <w:rsid w:val="004674BC"/>
    <w:rsid w:val="00470B9F"/>
    <w:rsid w:val="00474905"/>
    <w:rsid w:val="00497F47"/>
    <w:rsid w:val="004A0201"/>
    <w:rsid w:val="004C39C1"/>
    <w:rsid w:val="004C3D24"/>
    <w:rsid w:val="004D1866"/>
    <w:rsid w:val="004E2B91"/>
    <w:rsid w:val="004E468C"/>
    <w:rsid w:val="004E7B2B"/>
    <w:rsid w:val="00502578"/>
    <w:rsid w:val="00502B2E"/>
    <w:rsid w:val="00503921"/>
    <w:rsid w:val="00513539"/>
    <w:rsid w:val="005149A5"/>
    <w:rsid w:val="00514F22"/>
    <w:rsid w:val="0051699B"/>
    <w:rsid w:val="0052182A"/>
    <w:rsid w:val="00527897"/>
    <w:rsid w:val="00532234"/>
    <w:rsid w:val="005352B5"/>
    <w:rsid w:val="00537C21"/>
    <w:rsid w:val="005505B7"/>
    <w:rsid w:val="00550F4E"/>
    <w:rsid w:val="00554918"/>
    <w:rsid w:val="00560065"/>
    <w:rsid w:val="00573BE5"/>
    <w:rsid w:val="0058457C"/>
    <w:rsid w:val="00584DC4"/>
    <w:rsid w:val="00586ED3"/>
    <w:rsid w:val="00595123"/>
    <w:rsid w:val="00596AA9"/>
    <w:rsid w:val="005A40F4"/>
    <w:rsid w:val="005B1C27"/>
    <w:rsid w:val="005B5497"/>
    <w:rsid w:val="005B7197"/>
    <w:rsid w:val="005B72D9"/>
    <w:rsid w:val="005E6C2E"/>
    <w:rsid w:val="005F0B96"/>
    <w:rsid w:val="00615F4A"/>
    <w:rsid w:val="0063569E"/>
    <w:rsid w:val="00640355"/>
    <w:rsid w:val="0064356F"/>
    <w:rsid w:val="006477EF"/>
    <w:rsid w:val="0065297B"/>
    <w:rsid w:val="00652E1D"/>
    <w:rsid w:val="00653E12"/>
    <w:rsid w:val="0066111A"/>
    <w:rsid w:val="0066351F"/>
    <w:rsid w:val="00665209"/>
    <w:rsid w:val="00665EC2"/>
    <w:rsid w:val="0068456F"/>
    <w:rsid w:val="00684BA6"/>
    <w:rsid w:val="00686177"/>
    <w:rsid w:val="006915A0"/>
    <w:rsid w:val="00692B25"/>
    <w:rsid w:val="00695FB6"/>
    <w:rsid w:val="006975D8"/>
    <w:rsid w:val="006A3677"/>
    <w:rsid w:val="006C4687"/>
    <w:rsid w:val="006C64E8"/>
    <w:rsid w:val="006D1EC3"/>
    <w:rsid w:val="006D74EB"/>
    <w:rsid w:val="006E00C2"/>
    <w:rsid w:val="006E1A3C"/>
    <w:rsid w:val="006E76E8"/>
    <w:rsid w:val="006E7DE1"/>
    <w:rsid w:val="00701BD7"/>
    <w:rsid w:val="0071601D"/>
    <w:rsid w:val="00720072"/>
    <w:rsid w:val="00722854"/>
    <w:rsid w:val="00723681"/>
    <w:rsid w:val="00743398"/>
    <w:rsid w:val="00746C90"/>
    <w:rsid w:val="00747593"/>
    <w:rsid w:val="007513FE"/>
    <w:rsid w:val="00755D57"/>
    <w:rsid w:val="00761DFE"/>
    <w:rsid w:val="007635A3"/>
    <w:rsid w:val="00765CC4"/>
    <w:rsid w:val="007700D1"/>
    <w:rsid w:val="007902BC"/>
    <w:rsid w:val="00790876"/>
    <w:rsid w:val="00797DFC"/>
    <w:rsid w:val="007A62E6"/>
    <w:rsid w:val="007B33A9"/>
    <w:rsid w:val="007B3440"/>
    <w:rsid w:val="007C1ACA"/>
    <w:rsid w:val="007C7AE8"/>
    <w:rsid w:val="007D2B25"/>
    <w:rsid w:val="007D6E66"/>
    <w:rsid w:val="007F6ADB"/>
    <w:rsid w:val="008045CC"/>
    <w:rsid w:val="0080684C"/>
    <w:rsid w:val="008144FC"/>
    <w:rsid w:val="00814C44"/>
    <w:rsid w:val="00815E32"/>
    <w:rsid w:val="00822589"/>
    <w:rsid w:val="008244B6"/>
    <w:rsid w:val="008268DF"/>
    <w:rsid w:val="00837B70"/>
    <w:rsid w:val="00843675"/>
    <w:rsid w:val="00851D3A"/>
    <w:rsid w:val="00865424"/>
    <w:rsid w:val="00865461"/>
    <w:rsid w:val="0086726B"/>
    <w:rsid w:val="00870D05"/>
    <w:rsid w:val="00871C75"/>
    <w:rsid w:val="00872ED9"/>
    <w:rsid w:val="008776DC"/>
    <w:rsid w:val="00881F57"/>
    <w:rsid w:val="008923EE"/>
    <w:rsid w:val="00895E50"/>
    <w:rsid w:val="008B206F"/>
    <w:rsid w:val="008B40CD"/>
    <w:rsid w:val="008C5761"/>
    <w:rsid w:val="008D1004"/>
    <w:rsid w:val="008E5C2C"/>
    <w:rsid w:val="008E712B"/>
    <w:rsid w:val="008F0665"/>
    <w:rsid w:val="008F7F8D"/>
    <w:rsid w:val="00907FF1"/>
    <w:rsid w:val="00922006"/>
    <w:rsid w:val="00932D6A"/>
    <w:rsid w:val="00942A75"/>
    <w:rsid w:val="00961EFD"/>
    <w:rsid w:val="009705C8"/>
    <w:rsid w:val="00971A2B"/>
    <w:rsid w:val="00971DE3"/>
    <w:rsid w:val="00971E32"/>
    <w:rsid w:val="009744DF"/>
    <w:rsid w:val="009764BE"/>
    <w:rsid w:val="00985029"/>
    <w:rsid w:val="00987223"/>
    <w:rsid w:val="00990FC0"/>
    <w:rsid w:val="00991915"/>
    <w:rsid w:val="009A10ED"/>
    <w:rsid w:val="009A29AC"/>
    <w:rsid w:val="009A3979"/>
    <w:rsid w:val="009A755F"/>
    <w:rsid w:val="009B4E16"/>
    <w:rsid w:val="009C1CF4"/>
    <w:rsid w:val="009D1807"/>
    <w:rsid w:val="009D5759"/>
    <w:rsid w:val="009F2075"/>
    <w:rsid w:val="009F68E0"/>
    <w:rsid w:val="00A30353"/>
    <w:rsid w:val="00A3490B"/>
    <w:rsid w:val="00A36353"/>
    <w:rsid w:val="00A37221"/>
    <w:rsid w:val="00A37F9A"/>
    <w:rsid w:val="00A42AEE"/>
    <w:rsid w:val="00A4502D"/>
    <w:rsid w:val="00A46071"/>
    <w:rsid w:val="00A523E7"/>
    <w:rsid w:val="00A527A5"/>
    <w:rsid w:val="00A53BF2"/>
    <w:rsid w:val="00A54C6C"/>
    <w:rsid w:val="00A562CB"/>
    <w:rsid w:val="00A709BE"/>
    <w:rsid w:val="00A76645"/>
    <w:rsid w:val="00A778FF"/>
    <w:rsid w:val="00A860CD"/>
    <w:rsid w:val="00A878BF"/>
    <w:rsid w:val="00A94BC4"/>
    <w:rsid w:val="00A95621"/>
    <w:rsid w:val="00A96E61"/>
    <w:rsid w:val="00AA3DA0"/>
    <w:rsid w:val="00AB4D12"/>
    <w:rsid w:val="00AC0E18"/>
    <w:rsid w:val="00AC3823"/>
    <w:rsid w:val="00AD1394"/>
    <w:rsid w:val="00AE323C"/>
    <w:rsid w:val="00AE3A85"/>
    <w:rsid w:val="00B00181"/>
    <w:rsid w:val="00B00B0D"/>
    <w:rsid w:val="00B05A94"/>
    <w:rsid w:val="00B06CE9"/>
    <w:rsid w:val="00B1459A"/>
    <w:rsid w:val="00B14684"/>
    <w:rsid w:val="00B17B45"/>
    <w:rsid w:val="00B17C6F"/>
    <w:rsid w:val="00B219F2"/>
    <w:rsid w:val="00B234CE"/>
    <w:rsid w:val="00B2401F"/>
    <w:rsid w:val="00B24960"/>
    <w:rsid w:val="00B26934"/>
    <w:rsid w:val="00B4012C"/>
    <w:rsid w:val="00B41B28"/>
    <w:rsid w:val="00B45AC8"/>
    <w:rsid w:val="00B47C46"/>
    <w:rsid w:val="00B54A76"/>
    <w:rsid w:val="00B57942"/>
    <w:rsid w:val="00B643C3"/>
    <w:rsid w:val="00B643CC"/>
    <w:rsid w:val="00B650EF"/>
    <w:rsid w:val="00B70E95"/>
    <w:rsid w:val="00B765F7"/>
    <w:rsid w:val="00B83437"/>
    <w:rsid w:val="00BA0CA9"/>
    <w:rsid w:val="00BA3BB3"/>
    <w:rsid w:val="00BA546B"/>
    <w:rsid w:val="00BB490F"/>
    <w:rsid w:val="00BC0E36"/>
    <w:rsid w:val="00BD28BD"/>
    <w:rsid w:val="00BD2E88"/>
    <w:rsid w:val="00BD615D"/>
    <w:rsid w:val="00BE5C74"/>
    <w:rsid w:val="00BF4056"/>
    <w:rsid w:val="00C01A0B"/>
    <w:rsid w:val="00C02897"/>
    <w:rsid w:val="00C07D4D"/>
    <w:rsid w:val="00C07E2A"/>
    <w:rsid w:val="00C10774"/>
    <w:rsid w:val="00C108A5"/>
    <w:rsid w:val="00C13CC3"/>
    <w:rsid w:val="00C17788"/>
    <w:rsid w:val="00C2338D"/>
    <w:rsid w:val="00C33DF6"/>
    <w:rsid w:val="00C414F3"/>
    <w:rsid w:val="00C503D6"/>
    <w:rsid w:val="00C66282"/>
    <w:rsid w:val="00C72C8B"/>
    <w:rsid w:val="00C81140"/>
    <w:rsid w:val="00C822DB"/>
    <w:rsid w:val="00C96CEE"/>
    <w:rsid w:val="00C9736F"/>
    <w:rsid w:val="00C978F6"/>
    <w:rsid w:val="00CA3E08"/>
    <w:rsid w:val="00CA3E22"/>
    <w:rsid w:val="00CB1734"/>
    <w:rsid w:val="00CB1981"/>
    <w:rsid w:val="00CB4596"/>
    <w:rsid w:val="00CC5E7F"/>
    <w:rsid w:val="00CD13D9"/>
    <w:rsid w:val="00CE1E34"/>
    <w:rsid w:val="00CE5E22"/>
    <w:rsid w:val="00CF0E1A"/>
    <w:rsid w:val="00D07A84"/>
    <w:rsid w:val="00D11768"/>
    <w:rsid w:val="00D16BCA"/>
    <w:rsid w:val="00D27484"/>
    <w:rsid w:val="00D314D6"/>
    <w:rsid w:val="00D3439C"/>
    <w:rsid w:val="00D37397"/>
    <w:rsid w:val="00D4128F"/>
    <w:rsid w:val="00D42026"/>
    <w:rsid w:val="00D4494F"/>
    <w:rsid w:val="00D45689"/>
    <w:rsid w:val="00D46CA0"/>
    <w:rsid w:val="00D50CC9"/>
    <w:rsid w:val="00D56563"/>
    <w:rsid w:val="00D64125"/>
    <w:rsid w:val="00D705E7"/>
    <w:rsid w:val="00D71986"/>
    <w:rsid w:val="00D763BF"/>
    <w:rsid w:val="00D771C7"/>
    <w:rsid w:val="00D81982"/>
    <w:rsid w:val="00D86EB8"/>
    <w:rsid w:val="00D95B51"/>
    <w:rsid w:val="00DA5758"/>
    <w:rsid w:val="00DA76B6"/>
    <w:rsid w:val="00DB0E43"/>
    <w:rsid w:val="00DB1831"/>
    <w:rsid w:val="00DB194A"/>
    <w:rsid w:val="00DD280C"/>
    <w:rsid w:val="00DD3554"/>
    <w:rsid w:val="00DD3BFD"/>
    <w:rsid w:val="00DD63C0"/>
    <w:rsid w:val="00DE39C7"/>
    <w:rsid w:val="00DF26C0"/>
    <w:rsid w:val="00DF6678"/>
    <w:rsid w:val="00E02232"/>
    <w:rsid w:val="00E217AA"/>
    <w:rsid w:val="00E34998"/>
    <w:rsid w:val="00E43AE4"/>
    <w:rsid w:val="00E51818"/>
    <w:rsid w:val="00E652E3"/>
    <w:rsid w:val="00E65483"/>
    <w:rsid w:val="00E7145B"/>
    <w:rsid w:val="00E71C75"/>
    <w:rsid w:val="00E74E2D"/>
    <w:rsid w:val="00E84E42"/>
    <w:rsid w:val="00E8793B"/>
    <w:rsid w:val="00E90E07"/>
    <w:rsid w:val="00E91847"/>
    <w:rsid w:val="00E93268"/>
    <w:rsid w:val="00E97972"/>
    <w:rsid w:val="00EA2B11"/>
    <w:rsid w:val="00EA2B94"/>
    <w:rsid w:val="00EB005B"/>
    <w:rsid w:val="00ED440E"/>
    <w:rsid w:val="00EE0E2F"/>
    <w:rsid w:val="00EE54A7"/>
    <w:rsid w:val="00EE67D8"/>
    <w:rsid w:val="00EF2E22"/>
    <w:rsid w:val="00EF2F18"/>
    <w:rsid w:val="00EF414B"/>
    <w:rsid w:val="00F01738"/>
    <w:rsid w:val="00F023A9"/>
    <w:rsid w:val="00F139CF"/>
    <w:rsid w:val="00F16BEA"/>
    <w:rsid w:val="00F239DC"/>
    <w:rsid w:val="00F43DA3"/>
    <w:rsid w:val="00F5333E"/>
    <w:rsid w:val="00F642EC"/>
    <w:rsid w:val="00F6441C"/>
    <w:rsid w:val="00F660DF"/>
    <w:rsid w:val="00F71072"/>
    <w:rsid w:val="00F730C8"/>
    <w:rsid w:val="00F90AFF"/>
    <w:rsid w:val="00F925BD"/>
    <w:rsid w:val="00F92DBC"/>
    <w:rsid w:val="00F9379E"/>
    <w:rsid w:val="00F95C08"/>
    <w:rsid w:val="00FA00D9"/>
    <w:rsid w:val="00FA5C34"/>
    <w:rsid w:val="00FA7700"/>
    <w:rsid w:val="00FB3BF9"/>
    <w:rsid w:val="00FB5E21"/>
    <w:rsid w:val="00FD5E47"/>
    <w:rsid w:val="00FF5BE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66C1754"/>
  <w15:docId w15:val="{2AA4EE29-A85F-4BDE-A9C9-9F97150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84"/>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uiPriority w:val="99"/>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uiPriority w:val="59"/>
    <w:rsid w:val="00584DC4"/>
    <w:pPr>
      <w:suppressAutoHyphens/>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uiPriority w:val="99"/>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uiPriority w:val="99"/>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rsid w:val="00A36353"/>
    <w:rPr>
      <w:b/>
      <w:sz w:val="28"/>
    </w:rPr>
  </w:style>
  <w:style w:type="character" w:customStyle="1" w:styleId="SingleTxtGChar">
    <w:name w:val="_ Single Txt_G Char"/>
    <w:link w:val="SingleTxtG"/>
    <w:qFormat/>
    <w:locked/>
    <w:rsid w:val="00A36353"/>
  </w:style>
  <w:style w:type="paragraph" w:styleId="Rvision">
    <w:name w:val="Revision"/>
    <w:hidden/>
    <w:uiPriority w:val="99"/>
    <w:semiHidden/>
    <w:rsid w:val="00CB1981"/>
    <w:pPr>
      <w:spacing w:line="240" w:lineRule="auto"/>
    </w:pPr>
  </w:style>
  <w:style w:type="character" w:customStyle="1" w:styleId="ui-provider">
    <w:name w:val="ui-provider"/>
    <w:basedOn w:val="Policepardfaut"/>
    <w:rsid w:val="00A37F9A"/>
  </w:style>
  <w:style w:type="table" w:customStyle="1" w:styleId="TableGrid1">
    <w:name w:val="Table Grid1"/>
    <w:basedOn w:val="TableauNormal"/>
    <w:next w:val="Grilledutableau"/>
    <w:uiPriority w:val="39"/>
    <w:rsid w:val="00EF414B"/>
    <w:pPr>
      <w:suppressAutoHyphens/>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11"/>
    <w:basedOn w:val="TableauNormal"/>
    <w:uiPriority w:val="39"/>
    <w:rsid w:val="002A7EFD"/>
    <w:pPr>
      <w:suppressAutoHyphens/>
    </w:pPr>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23GChar">
    <w:name w:val="_ H_2/3_G Char"/>
    <w:link w:val="H23G"/>
    <w:rsid w:val="00233428"/>
    <w:rPr>
      <w:b/>
    </w:rPr>
  </w:style>
  <w:style w:type="paragraph" w:customStyle="1" w:styleId="MTabTxt">
    <w:name w:val="MTabTxt"/>
    <w:basedOn w:val="Normal"/>
    <w:link w:val="MTabTxtChar"/>
    <w:qFormat/>
    <w:rsid w:val="00790876"/>
    <w:pPr>
      <w:numPr>
        <w:ilvl w:val="12"/>
      </w:numPr>
      <w:suppressAutoHyphens/>
      <w:autoSpaceDE w:val="0"/>
      <w:autoSpaceDN w:val="0"/>
      <w:adjustRightInd w:val="0"/>
      <w:spacing w:before="40" w:after="40" w:line="240" w:lineRule="auto"/>
    </w:pPr>
    <w:rPr>
      <w:rFonts w:eastAsia="SimSun"/>
      <w:lang w:val="en-GB" w:eastAsia="fr-FR"/>
    </w:rPr>
  </w:style>
  <w:style w:type="character" w:customStyle="1" w:styleId="MTabTxtChar">
    <w:name w:val="MTabTxt Char"/>
    <w:basedOn w:val="Policepardfaut"/>
    <w:link w:val="MTabTxt"/>
    <w:rsid w:val="00790876"/>
    <w:rPr>
      <w:rFonts w:eastAsia="SimSun"/>
      <w:lang w:val="en-GB" w:eastAsia="fr-FR"/>
    </w:rPr>
  </w:style>
  <w:style w:type="character" w:customStyle="1" w:styleId="jlqj4b">
    <w:name w:val="jlqj4b"/>
    <w:basedOn w:val="Policepardfaut"/>
    <w:rsid w:val="00243FBE"/>
  </w:style>
  <w:style w:type="character" w:styleId="Marquedecommentaire">
    <w:name w:val="annotation reference"/>
    <w:basedOn w:val="Policepardfaut"/>
    <w:uiPriority w:val="99"/>
    <w:semiHidden/>
    <w:unhideWhenUsed/>
    <w:rsid w:val="006E1A3C"/>
    <w:rPr>
      <w:sz w:val="16"/>
      <w:szCs w:val="16"/>
    </w:rPr>
  </w:style>
  <w:style w:type="paragraph" w:styleId="Commentaire">
    <w:name w:val="annotation text"/>
    <w:basedOn w:val="Normal"/>
    <w:link w:val="CommentaireCar"/>
    <w:uiPriority w:val="99"/>
    <w:unhideWhenUsed/>
    <w:rsid w:val="006E1A3C"/>
    <w:pPr>
      <w:spacing w:line="240" w:lineRule="auto"/>
    </w:pPr>
  </w:style>
  <w:style w:type="character" w:customStyle="1" w:styleId="CommentaireCar">
    <w:name w:val="Commentaire Car"/>
    <w:basedOn w:val="Policepardfaut"/>
    <w:link w:val="Commentaire"/>
    <w:uiPriority w:val="99"/>
    <w:rsid w:val="006E1A3C"/>
  </w:style>
  <w:style w:type="paragraph" w:styleId="Objetducommentaire">
    <w:name w:val="annotation subject"/>
    <w:basedOn w:val="Commentaire"/>
    <w:next w:val="Commentaire"/>
    <w:link w:val="ObjetducommentaireCar"/>
    <w:uiPriority w:val="99"/>
    <w:semiHidden/>
    <w:unhideWhenUsed/>
    <w:rsid w:val="006E1A3C"/>
    <w:rPr>
      <w:b/>
      <w:bCs/>
    </w:rPr>
  </w:style>
  <w:style w:type="character" w:customStyle="1" w:styleId="ObjetducommentaireCar">
    <w:name w:val="Objet du commentaire Car"/>
    <w:basedOn w:val="CommentaireCar"/>
    <w:link w:val="Objetducommentaire"/>
    <w:uiPriority w:val="99"/>
    <w:semiHidden/>
    <w:rsid w:val="006E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sion\United%20Nations\UNOG_DCM-Macros%20-%20UNECE\Templates\ST\SGAC10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97CFC0A-AD73-4249-8BA2-6563CF96A8BC}">
  <ds:schemaRefs>
    <ds:schemaRef ds:uri="http://schemas.microsoft.com/sharepoint/v3/contenttype/forms"/>
  </ds:schemaRefs>
</ds:datastoreItem>
</file>

<file path=customXml/itemProps2.xml><?xml version="1.0" encoding="utf-8"?>
<ds:datastoreItem xmlns:ds="http://schemas.openxmlformats.org/officeDocument/2006/customXml" ds:itemID="{DCFFADE9-2AEC-4624-85DE-CAAFC6EAAC12}">
  <ds:schemaRefs>
    <ds:schemaRef ds:uri="http://schemas.openxmlformats.org/officeDocument/2006/bibliography"/>
  </ds:schemaRefs>
</ds:datastoreItem>
</file>

<file path=customXml/itemProps3.xml><?xml version="1.0" encoding="utf-8"?>
<ds:datastoreItem xmlns:ds="http://schemas.openxmlformats.org/officeDocument/2006/customXml" ds:itemID="{2AF039A1-2399-45B6-B1A1-2B586E48C9D7}"/>
</file>

<file path=customXml/itemProps4.xml><?xml version="1.0" encoding="utf-8"?>
<ds:datastoreItem xmlns:ds="http://schemas.openxmlformats.org/officeDocument/2006/customXml" ds:itemID="{B4094D0C-BAE8-409B-8569-1E606FE5DF4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SGAC10_F.dotm</Template>
  <TotalTime>0</TotalTime>
  <Pages>39</Pages>
  <Words>15392</Words>
  <Characters>81116</Characters>
  <Application>Microsoft Office Word</Application>
  <DocSecurity>0</DocSecurity>
  <Lines>1725</Lines>
  <Paragraphs>1037</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95471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ST/SG/AC.10/C.3/2024/58</dc:title>
  <dc:subject/>
  <dc:creator>Editorial</dc:creator>
  <cp:keywords/>
  <cp:lastModifiedBy>Sandrine CLERE</cp:lastModifiedBy>
  <cp:revision>2</cp:revision>
  <cp:lastPrinted>2014-05-14T19:59:00Z</cp:lastPrinted>
  <dcterms:created xsi:type="dcterms:W3CDTF">2024-09-18T09:10:00Z</dcterms:created>
  <dcterms:modified xsi:type="dcterms:W3CDTF">2024-09-18T09:10:00Z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