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5345D4D" w14:textId="77777777" w:rsidTr="006476E1">
        <w:trPr>
          <w:trHeight w:val="851"/>
        </w:trPr>
        <w:tc>
          <w:tcPr>
            <w:tcW w:w="1259" w:type="dxa"/>
            <w:tcBorders>
              <w:top w:val="nil"/>
              <w:left w:val="nil"/>
              <w:bottom w:val="single" w:sz="4" w:space="0" w:color="auto"/>
              <w:right w:val="nil"/>
            </w:tcBorders>
          </w:tcPr>
          <w:p w14:paraId="12BC0C88" w14:textId="77777777" w:rsidR="00E52109" w:rsidRPr="002A32CB" w:rsidRDefault="00E52109" w:rsidP="004858F5"/>
        </w:tc>
        <w:tc>
          <w:tcPr>
            <w:tcW w:w="2236" w:type="dxa"/>
            <w:tcBorders>
              <w:top w:val="nil"/>
              <w:left w:val="nil"/>
              <w:bottom w:val="single" w:sz="4" w:space="0" w:color="auto"/>
              <w:right w:val="nil"/>
            </w:tcBorders>
            <w:vAlign w:val="bottom"/>
          </w:tcPr>
          <w:p w14:paraId="5339669E"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5C22917D" w14:textId="325FEE12" w:rsidR="00E52109" w:rsidRDefault="00FC77B2" w:rsidP="00FC77B2">
            <w:pPr>
              <w:jc w:val="right"/>
            </w:pPr>
            <w:r w:rsidRPr="00FC77B2">
              <w:rPr>
                <w:sz w:val="40"/>
              </w:rPr>
              <w:t>ST</w:t>
            </w:r>
            <w:r>
              <w:t>/SG/AC.10/C.3/2024/58</w:t>
            </w:r>
          </w:p>
        </w:tc>
      </w:tr>
      <w:tr w:rsidR="00E52109" w14:paraId="5775D927" w14:textId="77777777" w:rsidTr="006476E1">
        <w:trPr>
          <w:trHeight w:val="2835"/>
        </w:trPr>
        <w:tc>
          <w:tcPr>
            <w:tcW w:w="1259" w:type="dxa"/>
            <w:tcBorders>
              <w:top w:val="single" w:sz="4" w:space="0" w:color="auto"/>
              <w:left w:val="nil"/>
              <w:bottom w:val="single" w:sz="12" w:space="0" w:color="auto"/>
              <w:right w:val="nil"/>
            </w:tcBorders>
          </w:tcPr>
          <w:p w14:paraId="34EC143C" w14:textId="77777777" w:rsidR="00E52109" w:rsidRDefault="00E52109" w:rsidP="006476E1">
            <w:pPr>
              <w:spacing w:before="120"/>
              <w:jc w:val="center"/>
            </w:pPr>
            <w:r>
              <w:rPr>
                <w:noProof/>
                <w:lang w:val="fr-CH" w:eastAsia="fr-CH"/>
              </w:rPr>
              <w:drawing>
                <wp:inline distT="0" distB="0" distL="0" distR="0" wp14:anchorId="4F447841" wp14:editId="10C635E6">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FD123A7"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037B8425" w14:textId="77777777" w:rsidR="00D94B05" w:rsidRDefault="00FC77B2" w:rsidP="00FC77B2">
            <w:pPr>
              <w:spacing w:before="240" w:line="240" w:lineRule="exact"/>
            </w:pPr>
            <w:r>
              <w:t>Distr.: General</w:t>
            </w:r>
          </w:p>
          <w:p w14:paraId="7C920B11" w14:textId="686386DC" w:rsidR="00FC77B2" w:rsidRDefault="000B6499" w:rsidP="00FC77B2">
            <w:pPr>
              <w:spacing w:line="240" w:lineRule="exact"/>
            </w:pPr>
            <w:r>
              <w:t>12</w:t>
            </w:r>
            <w:r w:rsidR="00FC77B2">
              <w:t xml:space="preserve"> September 2024</w:t>
            </w:r>
          </w:p>
          <w:p w14:paraId="11D1D6C1" w14:textId="68679162" w:rsidR="00FC77B2" w:rsidRDefault="00FC77B2" w:rsidP="00FC77B2">
            <w:pPr>
              <w:spacing w:line="240" w:lineRule="exact"/>
            </w:pPr>
            <w:r>
              <w:t>English</w:t>
            </w:r>
          </w:p>
          <w:p w14:paraId="7551A00C" w14:textId="2BFE34B9" w:rsidR="00FC77B2" w:rsidRDefault="00FC77B2" w:rsidP="00FC77B2">
            <w:pPr>
              <w:spacing w:line="240" w:lineRule="exact"/>
            </w:pPr>
            <w:r>
              <w:t>Original: English and French</w:t>
            </w:r>
          </w:p>
        </w:tc>
      </w:tr>
    </w:tbl>
    <w:p w14:paraId="798442BE" w14:textId="77777777" w:rsidR="00FC77B2" w:rsidRPr="006500BA" w:rsidRDefault="00FC77B2" w:rsidP="00FC77B2">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62016BBB" w14:textId="77777777" w:rsidR="00FC77B2" w:rsidRPr="006500BA" w:rsidRDefault="00FC77B2" w:rsidP="00FC77B2">
      <w:pPr>
        <w:spacing w:before="120"/>
        <w:rPr>
          <w:rFonts w:ascii="Helv" w:hAnsi="Helv" w:cs="Helv"/>
          <w:b/>
          <w:color w:val="000000"/>
        </w:rPr>
      </w:pPr>
      <w:r w:rsidRPr="006500BA">
        <w:rPr>
          <w:b/>
        </w:rPr>
        <w:t xml:space="preserve">Sub-Committee of Experts on the </w:t>
      </w:r>
      <w:r>
        <w:rPr>
          <w:b/>
        </w:rPr>
        <w:t>Transport of Dangerous Goods</w:t>
      </w:r>
    </w:p>
    <w:p w14:paraId="6B8ED6BF" w14:textId="77777777" w:rsidR="00FC77B2" w:rsidRPr="006500BA" w:rsidRDefault="00FC77B2" w:rsidP="00FC77B2">
      <w:pPr>
        <w:spacing w:before="120"/>
        <w:rPr>
          <w:b/>
        </w:rPr>
      </w:pPr>
      <w:r>
        <w:rPr>
          <w:b/>
        </w:rPr>
        <w:t xml:space="preserve">Sixty-fifth </w:t>
      </w:r>
      <w:r w:rsidRPr="006500BA">
        <w:rPr>
          <w:b/>
        </w:rPr>
        <w:t>session</w:t>
      </w:r>
    </w:p>
    <w:p w14:paraId="61D15A37" w14:textId="77777777" w:rsidR="00FC77B2" w:rsidRPr="006500BA" w:rsidRDefault="00FC77B2" w:rsidP="00FC77B2">
      <w:r w:rsidRPr="006500BA">
        <w:t xml:space="preserve">Geneva, </w:t>
      </w:r>
      <w:r>
        <w:t>25 November-3 December 2024</w:t>
      </w:r>
    </w:p>
    <w:p w14:paraId="377EE17F" w14:textId="5ABC1A96" w:rsidR="00FC77B2" w:rsidRPr="006500BA" w:rsidRDefault="00FC77B2" w:rsidP="00FC77B2">
      <w:r w:rsidRPr="00FC77B2">
        <w:t>Item 2 (a) of the provisional agenda</w:t>
      </w:r>
    </w:p>
    <w:p w14:paraId="6A4F1A46" w14:textId="77777777" w:rsidR="00FC77B2" w:rsidRDefault="00FC77B2" w:rsidP="004858F5">
      <w:pPr>
        <w:rPr>
          <w:b/>
          <w:bCs/>
        </w:rPr>
      </w:pPr>
      <w:r w:rsidRPr="00FC77B2">
        <w:rPr>
          <w:b/>
          <w:bCs/>
        </w:rPr>
        <w:t>Recommendations made by the Sub-Committee at its sixty-second,</w:t>
      </w:r>
    </w:p>
    <w:p w14:paraId="652A4A13" w14:textId="77AFEC7B" w:rsidR="00AF5DE1" w:rsidRDefault="00FC77B2" w:rsidP="004858F5">
      <w:pPr>
        <w:rPr>
          <w:b/>
          <w:bCs/>
        </w:rPr>
      </w:pPr>
      <w:r w:rsidRPr="00FC77B2">
        <w:rPr>
          <w:b/>
          <w:bCs/>
        </w:rPr>
        <w:t>sixty-third and sixty-fourth sessions and pending issues</w:t>
      </w:r>
      <w:r>
        <w:rPr>
          <w:b/>
          <w:bCs/>
        </w:rPr>
        <w:t>:</w:t>
      </w:r>
    </w:p>
    <w:p w14:paraId="0F32EDAA" w14:textId="0DE6DA6B" w:rsidR="00FC77B2" w:rsidRPr="00FC77B2" w:rsidRDefault="00FC77B2" w:rsidP="004858F5">
      <w:pPr>
        <w:rPr>
          <w:b/>
          <w:bCs/>
        </w:rPr>
      </w:pPr>
      <w:r w:rsidRPr="00FC77B2">
        <w:rPr>
          <w:b/>
          <w:bCs/>
        </w:rPr>
        <w:t>Review of draft amendments already adopted during the biennium</w:t>
      </w:r>
    </w:p>
    <w:p w14:paraId="229C3ECA" w14:textId="77777777" w:rsidR="00FC77B2" w:rsidRDefault="00FC77B2" w:rsidP="00FC77B2">
      <w:pPr>
        <w:pStyle w:val="HChG"/>
      </w:pPr>
      <w:r>
        <w:tab/>
      </w:r>
      <w:r>
        <w:tab/>
        <w:t>Consolidated list of draft amendments</w:t>
      </w:r>
    </w:p>
    <w:p w14:paraId="5F219243" w14:textId="77777777" w:rsidR="00FC77B2" w:rsidRDefault="00FC77B2" w:rsidP="00FC77B2">
      <w:pPr>
        <w:pStyle w:val="H1G"/>
      </w:pPr>
      <w:r>
        <w:tab/>
      </w:r>
      <w:r>
        <w:tab/>
        <w:t>Note by the secretariat</w:t>
      </w:r>
      <w:r w:rsidRPr="00653AAE">
        <w:rPr>
          <w:rStyle w:val="FootnoteReference"/>
          <w:sz w:val="20"/>
          <w:vertAlign w:val="baseline"/>
        </w:rPr>
        <w:footnoteReference w:customMarkFollows="1" w:id="2"/>
        <w:t>*</w:t>
      </w:r>
    </w:p>
    <w:p w14:paraId="25F50E1A" w14:textId="155D70B3" w:rsidR="00FC77B2" w:rsidRDefault="00FC77B2" w:rsidP="00FC77B2">
      <w:pPr>
        <w:pStyle w:val="SingleTxtG"/>
      </w:pPr>
      <w:r>
        <w:t>This document contains a consolidated list of draft amendments adopted by the Sub-Committee of Experts at its sixty-second, sixty-third and sixty-fourth sessions, as follows:</w:t>
      </w:r>
    </w:p>
    <w:p w14:paraId="452AB54A" w14:textId="43274324" w:rsidR="00FC77B2" w:rsidRDefault="00FC77B2" w:rsidP="00FC77B2">
      <w:pPr>
        <w:pStyle w:val="SingleTxtG"/>
        <w:tabs>
          <w:tab w:val="clear" w:pos="1701"/>
        </w:tabs>
        <w:ind w:left="1985" w:hanging="851"/>
        <w:jc w:val="left"/>
      </w:pPr>
      <w:r>
        <w:t>Part I</w:t>
      </w:r>
      <w:r>
        <w:tab/>
        <w:t>Draft amendments to the twenty-third revised edition of the Recommendations on the Transport of Dangerous Goods, Model Regulations (ST/SG/AC.10/1/Rev.23)</w:t>
      </w:r>
    </w:p>
    <w:p w14:paraId="1279BA6B" w14:textId="53149924" w:rsidR="00FC77B2" w:rsidRDefault="00FC77B2" w:rsidP="00FC77B2">
      <w:pPr>
        <w:pStyle w:val="SingleTxtG"/>
        <w:tabs>
          <w:tab w:val="clear" w:pos="1701"/>
        </w:tabs>
        <w:ind w:left="1985" w:hanging="851"/>
        <w:jc w:val="left"/>
      </w:pPr>
      <w:r>
        <w:t>Part II</w:t>
      </w:r>
      <w:r>
        <w:tab/>
        <w:t>Draft amendments to the eighth revised edition of the Manual of Tests and Criteria (ST/SG/AC.10/11/Rev.8)</w:t>
      </w:r>
    </w:p>
    <w:p w14:paraId="1E0726F0" w14:textId="77777777" w:rsidR="00FB5C94" w:rsidRPr="001C5029" w:rsidRDefault="00FB5C94" w:rsidP="00FB5C94">
      <w:pPr>
        <w:pStyle w:val="HChG"/>
        <w:tabs>
          <w:tab w:val="left" w:pos="567"/>
        </w:tabs>
        <w:rPr>
          <w:i/>
          <w:iCs/>
        </w:rPr>
      </w:pPr>
      <w:r>
        <w:tab/>
      </w:r>
      <w:r>
        <w:tab/>
      </w:r>
      <w:r w:rsidRPr="001C5029">
        <w:t>I.</w:t>
      </w:r>
      <w:r w:rsidRPr="001C5029">
        <w:tab/>
        <w:t>Draft amendments to the twenty-</w:t>
      </w:r>
      <w:r>
        <w:t>third</w:t>
      </w:r>
      <w:r w:rsidRPr="001C5029">
        <w:t xml:space="preserve"> revised edition of the Recommendations on the Transport of Dangerous Goods, Model Regulations (ST/SG/AC.10/1/Rev.2</w:t>
      </w:r>
      <w:r>
        <w:t>3</w:t>
      </w:r>
      <w:r w:rsidRPr="001C5029">
        <w:t>)</w:t>
      </w:r>
    </w:p>
    <w:p w14:paraId="136D8BD9" w14:textId="77777777" w:rsidR="00FB5C94" w:rsidRPr="00FF3E52" w:rsidRDefault="00FB5C94" w:rsidP="00FB5C94">
      <w:pPr>
        <w:pStyle w:val="H1G"/>
      </w:pPr>
      <w:r>
        <w:tab/>
      </w:r>
      <w:r>
        <w:tab/>
        <w:t>Chapter 1.2</w:t>
      </w:r>
    </w:p>
    <w:p w14:paraId="6C9AC252" w14:textId="77777777" w:rsidR="00FB5C94" w:rsidRPr="004E1EC6" w:rsidRDefault="00FB5C94" w:rsidP="00FB5C94">
      <w:pPr>
        <w:spacing w:after="120"/>
        <w:ind w:left="2268" w:right="1134" w:hanging="1134"/>
        <w:jc w:val="both"/>
        <w:rPr>
          <w:rFonts w:asciiTheme="majorBidi" w:hAnsiTheme="majorBidi" w:cstheme="majorBidi"/>
        </w:rPr>
      </w:pPr>
      <w:r>
        <w:t>1.2.1</w:t>
      </w:r>
      <w:r>
        <w:tab/>
      </w:r>
      <w:r>
        <w:rPr>
          <w:rFonts w:asciiTheme="majorBidi" w:hAnsiTheme="majorBidi" w:cstheme="majorBidi"/>
        </w:rPr>
        <w:t>The amendment to the definition of “</w:t>
      </w:r>
      <w:r>
        <w:rPr>
          <w:rFonts w:asciiTheme="majorBidi" w:hAnsiTheme="majorBidi" w:cstheme="majorBidi"/>
          <w:i/>
          <w:iCs/>
        </w:rPr>
        <w:t>Bulk</w:t>
      </w:r>
      <w:r w:rsidRPr="00B07452">
        <w:rPr>
          <w:rFonts w:asciiTheme="majorBidi" w:hAnsiTheme="majorBidi" w:cstheme="majorBidi"/>
          <w:i/>
          <w:iCs/>
        </w:rPr>
        <w:t xml:space="preserve"> container</w:t>
      </w:r>
      <w:r>
        <w:rPr>
          <w:rFonts w:asciiTheme="majorBidi" w:hAnsiTheme="majorBidi" w:cstheme="majorBidi"/>
        </w:rPr>
        <w:t xml:space="preserve">” </w:t>
      </w:r>
      <w:r w:rsidRPr="00B07452">
        <w:rPr>
          <w:rFonts w:asciiTheme="majorBidi" w:hAnsiTheme="majorBidi" w:cstheme="majorBidi"/>
        </w:rPr>
        <w:t>does</w:t>
      </w:r>
      <w:r>
        <w:rPr>
          <w:rFonts w:asciiTheme="majorBidi" w:hAnsiTheme="majorBidi" w:cstheme="majorBidi"/>
        </w:rPr>
        <w:t xml:space="preserve"> not apply to the English version.</w:t>
      </w:r>
    </w:p>
    <w:p w14:paraId="081DB05D" w14:textId="77777777" w:rsidR="00FB5C94" w:rsidRDefault="00FB5C94" w:rsidP="00FB5C94">
      <w:pPr>
        <w:spacing w:after="120"/>
        <w:ind w:left="2268" w:right="1134" w:hanging="1134"/>
        <w:jc w:val="both"/>
      </w:pPr>
      <w:r>
        <w:tab/>
      </w:r>
      <w:r w:rsidRPr="001A4B3D">
        <w:rPr>
          <w:rFonts w:asciiTheme="majorBidi" w:hAnsiTheme="majorBidi" w:cstheme="majorBidi"/>
        </w:rPr>
        <w:t>In</w:t>
      </w:r>
      <w:r>
        <w:t xml:space="preserve"> the </w:t>
      </w:r>
      <w:r w:rsidRPr="0032754C">
        <w:rPr>
          <w:rFonts w:asciiTheme="majorBidi" w:hAnsiTheme="majorBidi" w:cstheme="majorBidi"/>
        </w:rPr>
        <w:t>definition</w:t>
      </w:r>
      <w:r>
        <w:t xml:space="preserve"> of “</w:t>
      </w:r>
      <w:r>
        <w:rPr>
          <w:i/>
          <w:iCs/>
        </w:rPr>
        <w:t>Cylinder</w:t>
      </w:r>
      <w:r>
        <w:t>”, at the end, add “</w:t>
      </w:r>
      <w:r w:rsidRPr="009B5B4A">
        <w:t>with a test pressure volume product not exceeding 1.5 million bar litres</w:t>
      </w:r>
      <w:r>
        <w:t>”.</w:t>
      </w:r>
    </w:p>
    <w:p w14:paraId="76039AE7" w14:textId="77777777" w:rsidR="00FB5C94" w:rsidRDefault="00FB5C94" w:rsidP="00FB5C94">
      <w:pPr>
        <w:spacing w:after="120"/>
        <w:ind w:left="2268" w:right="1134" w:hanging="1134"/>
        <w:jc w:val="both"/>
      </w:pPr>
      <w:r>
        <w:tab/>
      </w:r>
      <w:r w:rsidRPr="001A4B3D">
        <w:rPr>
          <w:rFonts w:asciiTheme="majorBidi" w:hAnsiTheme="majorBidi" w:cstheme="majorBidi"/>
        </w:rPr>
        <w:t>In</w:t>
      </w:r>
      <w:r>
        <w:t xml:space="preserve"> the definition of “</w:t>
      </w:r>
      <w:r>
        <w:rPr>
          <w:i/>
          <w:iCs/>
        </w:rPr>
        <w:t>Bundle of cylinders</w:t>
      </w:r>
      <w:r>
        <w:t xml:space="preserve">”, at the end, add “. </w:t>
      </w:r>
      <w:r w:rsidRPr="002C04C2">
        <w:t>The test pressure volume product taking into account the total water capacity of all pressure receptacles in the bundle shall not exceed 1.5 million bar litres</w:t>
      </w:r>
      <w:r>
        <w:t>”.</w:t>
      </w:r>
    </w:p>
    <w:p w14:paraId="035A75D3" w14:textId="77777777" w:rsidR="00FB5C94" w:rsidRDefault="00FB5C94" w:rsidP="00FB5C94">
      <w:pPr>
        <w:spacing w:after="120"/>
        <w:ind w:left="2268" w:right="1134" w:hanging="1134"/>
        <w:jc w:val="both"/>
      </w:pPr>
      <w:r>
        <w:tab/>
        <w:t xml:space="preserve">In the </w:t>
      </w:r>
      <w:r w:rsidRPr="0032754C">
        <w:rPr>
          <w:rFonts w:asciiTheme="majorBidi" w:hAnsiTheme="majorBidi" w:cstheme="majorBidi"/>
        </w:rPr>
        <w:t>definition</w:t>
      </w:r>
      <w:r>
        <w:t xml:space="preserve"> of “</w:t>
      </w:r>
      <w:r w:rsidRPr="00B134A0">
        <w:rPr>
          <w:i/>
          <w:iCs/>
        </w:rPr>
        <w:t>Net explosive mass (NEM)</w:t>
      </w:r>
      <w:r>
        <w:t>”, after “</w:t>
      </w:r>
      <w:r w:rsidRPr="00795054">
        <w:rPr>
          <w:i/>
          <w:iCs/>
        </w:rPr>
        <w:t>(NEQ)</w:t>
      </w:r>
      <w:r>
        <w:t>”, replace the comma by “</w:t>
      </w:r>
      <w:r w:rsidRPr="00795054">
        <w:rPr>
          <w:i/>
          <w:iCs/>
        </w:rPr>
        <w:t>or</w:t>
      </w:r>
      <w:r>
        <w:t>” and after “</w:t>
      </w:r>
      <w:r>
        <w:rPr>
          <w:i/>
          <w:iCs/>
        </w:rPr>
        <w:t>(NEQ)</w:t>
      </w:r>
      <w:r>
        <w:t>”, delete “</w:t>
      </w:r>
      <w:r w:rsidRPr="00795054">
        <w:rPr>
          <w:i/>
          <w:iCs/>
        </w:rPr>
        <w:t>, or net explosive weight (NEW)</w:t>
      </w:r>
      <w:r>
        <w:t>”.</w:t>
      </w:r>
    </w:p>
    <w:p w14:paraId="4066D454" w14:textId="77777777" w:rsidR="00FB5C94" w:rsidRDefault="00FB5C94" w:rsidP="00FB5C94">
      <w:pPr>
        <w:spacing w:after="120"/>
        <w:ind w:left="2268" w:right="1134" w:hanging="1134"/>
        <w:jc w:val="both"/>
      </w:pPr>
      <w:r>
        <w:lastRenderedPageBreak/>
        <w:tab/>
        <w:t>In the definition of “</w:t>
      </w:r>
      <w:r w:rsidRPr="00391820">
        <w:rPr>
          <w:i/>
          <w:iCs/>
        </w:rPr>
        <w:t>Salvage pressure receptacle</w:t>
      </w:r>
      <w:r>
        <w:t>”, delete “</w:t>
      </w:r>
      <w:r w:rsidRPr="00EE5987">
        <w:t xml:space="preserve">with a water </w:t>
      </w:r>
      <w:r w:rsidRPr="001A4B3D">
        <w:rPr>
          <w:rFonts w:asciiTheme="majorBidi" w:hAnsiTheme="majorBidi" w:cstheme="majorBidi"/>
        </w:rPr>
        <w:t>capacity</w:t>
      </w:r>
      <w:r w:rsidRPr="00EE5987">
        <w:t xml:space="preserve"> not exceeding 3 000 litres</w:t>
      </w:r>
      <w:r>
        <w:t>” and, after “pressure receptacle(s)”, add “</w:t>
      </w:r>
      <w:r w:rsidRPr="00062CC8">
        <w:t>having a total test pressure volume product not exceeding 1.5 million bar litres</w:t>
      </w:r>
      <w:r>
        <w:t>”.</w:t>
      </w:r>
    </w:p>
    <w:p w14:paraId="43EC6897" w14:textId="77777777" w:rsidR="00FB5C94" w:rsidRDefault="00FB5C94" w:rsidP="00FB5C94">
      <w:pPr>
        <w:spacing w:after="120"/>
        <w:ind w:left="2268" w:right="1134" w:hanging="1134"/>
        <w:jc w:val="both"/>
      </w:pPr>
      <w:r>
        <w:tab/>
        <w:t xml:space="preserve">In </w:t>
      </w:r>
      <w:r w:rsidRPr="0032754C">
        <w:rPr>
          <w:rFonts w:asciiTheme="majorBidi" w:hAnsiTheme="majorBidi" w:cstheme="majorBidi"/>
        </w:rPr>
        <w:t>the</w:t>
      </w:r>
      <w:r>
        <w:t xml:space="preserve"> definition of “</w:t>
      </w:r>
      <w:r>
        <w:rPr>
          <w:i/>
          <w:iCs/>
        </w:rPr>
        <w:t>Tube</w:t>
      </w:r>
      <w:r>
        <w:t>”, at the end, add “</w:t>
      </w:r>
      <w:r w:rsidRPr="009B5B4A">
        <w:t>with a test pressure volume product not exceeding 1.5 million bar litres</w:t>
      </w:r>
      <w:r>
        <w:t>”.</w:t>
      </w:r>
    </w:p>
    <w:p w14:paraId="5F754D08" w14:textId="77777777" w:rsidR="00FB5C94" w:rsidRPr="00FF673A" w:rsidRDefault="00FB5C94" w:rsidP="00FB5C94">
      <w:pPr>
        <w:spacing w:after="120"/>
        <w:ind w:left="2268" w:right="1134" w:hanging="1134"/>
        <w:jc w:val="both"/>
      </w:pPr>
      <w:r w:rsidRPr="000934D7">
        <w:tab/>
      </w:r>
      <w:r w:rsidRPr="00FF673A">
        <w:t xml:space="preserve">In the definition </w:t>
      </w:r>
      <w:r>
        <w:t>for</w:t>
      </w:r>
      <w:r w:rsidRPr="00FF673A">
        <w:t xml:space="preserve"> </w:t>
      </w:r>
      <w:r w:rsidRPr="00EC4A5F">
        <w:rPr>
          <w:i/>
          <w:iCs/>
        </w:rPr>
        <w:t>Filling ratio</w:t>
      </w:r>
      <w:r w:rsidRPr="00FF673A">
        <w:t xml:space="preserve">, replace “a pressure receptacle” by “the </w:t>
      </w:r>
      <w:r w:rsidRPr="001A4B3D">
        <w:rPr>
          <w:rFonts w:asciiTheme="majorBidi" w:hAnsiTheme="majorBidi" w:cstheme="majorBidi"/>
        </w:rPr>
        <w:t>means</w:t>
      </w:r>
      <w:r w:rsidRPr="00FF673A">
        <w:t xml:space="preserve"> of containment”.</w:t>
      </w:r>
    </w:p>
    <w:p w14:paraId="3219267D" w14:textId="77777777" w:rsidR="00FB5C94" w:rsidRDefault="00FB5C94" w:rsidP="00FB5C94">
      <w:pPr>
        <w:spacing w:after="120"/>
        <w:ind w:left="2268" w:right="1134" w:hanging="1134"/>
        <w:jc w:val="both"/>
      </w:pPr>
      <w:r>
        <w:tab/>
        <w:t>Insert the following new definitions in alphabetical order:</w:t>
      </w:r>
    </w:p>
    <w:p w14:paraId="09E6698C" w14:textId="77777777" w:rsidR="00FB5C94" w:rsidRDefault="00FB5C94" w:rsidP="00FB5C94">
      <w:pPr>
        <w:pStyle w:val="SingleTxtG"/>
      </w:pPr>
      <w:r>
        <w:t>“</w:t>
      </w:r>
      <w:r w:rsidRPr="00F70EBD">
        <w:rPr>
          <w:i/>
          <w:iCs/>
        </w:rPr>
        <w:t>Pressure volume product (pV-product</w:t>
      </w:r>
      <w:r w:rsidRPr="003505CB">
        <w:t xml:space="preserve">) means the value resulting from multiplying the </w:t>
      </w:r>
      <w:r>
        <w:t>(</w:t>
      </w:r>
      <w:r w:rsidRPr="003505CB">
        <w:t>usable</w:t>
      </w:r>
      <w:r>
        <w:t>)</w:t>
      </w:r>
      <w:r w:rsidRPr="003505CB">
        <w:t xml:space="preserve"> water capacity of a containment with its relevant maximum pressure during filling and usage (e.g. test pressure or charging pressure) as referenced for the relevant kind of containment. </w:t>
      </w:r>
      <w:r>
        <w:t>It is e</w:t>
      </w:r>
      <w:r w:rsidRPr="003505CB">
        <w:t>xpressed in bar litres.</w:t>
      </w:r>
      <w:r>
        <w:t>”</w:t>
      </w:r>
    </w:p>
    <w:p w14:paraId="676BD50E" w14:textId="77777777" w:rsidR="00FB5C94" w:rsidRPr="00335B6A" w:rsidRDefault="00FB5C94" w:rsidP="00FB5C94">
      <w:pPr>
        <w:pStyle w:val="SingleTxtG"/>
        <w:rPr>
          <w:i/>
          <w:iCs/>
          <w:lang w:val="en-US"/>
        </w:rPr>
      </w:pPr>
      <w:r>
        <w:rPr>
          <w:lang w:val="en-US"/>
        </w:rPr>
        <w:t>“</w:t>
      </w:r>
      <w:r w:rsidRPr="00335B6A">
        <w:rPr>
          <w:i/>
          <w:iCs/>
          <w:lang w:val="en-US"/>
        </w:rPr>
        <w:t xml:space="preserve">Usable water capacity </w:t>
      </w:r>
      <w:r w:rsidRPr="003505CB">
        <w:rPr>
          <w:lang w:val="en-US"/>
        </w:rPr>
        <w:t xml:space="preserve">means the water capacity of salvage pressure receptacles remaining after the installation of equipment into a salvage pressure receptacle, which is necessary for e.g., opening or drilling a stored pressure receptacle inside a closed salvage pressure receptacle. The usable water capacity may be lower than the water capacity originally approved and marked. </w:t>
      </w:r>
      <w:r>
        <w:rPr>
          <w:lang w:val="en-US"/>
        </w:rPr>
        <w:t>It is e</w:t>
      </w:r>
      <w:r w:rsidRPr="003505CB">
        <w:rPr>
          <w:lang w:val="en-US"/>
        </w:rPr>
        <w:t>xpressed in litres</w:t>
      </w:r>
      <w:r w:rsidRPr="00335B6A">
        <w:rPr>
          <w:i/>
          <w:iCs/>
          <w:lang w:val="en-US"/>
        </w:rPr>
        <w:t>.</w:t>
      </w:r>
      <w:r>
        <w:rPr>
          <w:lang w:val="en-US"/>
        </w:rPr>
        <w:t>”</w:t>
      </w:r>
    </w:p>
    <w:p w14:paraId="2ED978F1"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68017CE1" w14:textId="77777777" w:rsidR="00FB5C94" w:rsidRPr="001C22A9" w:rsidRDefault="00FB5C94" w:rsidP="00FB5C94">
      <w:pPr>
        <w:pStyle w:val="SingleTxtG"/>
        <w:tabs>
          <w:tab w:val="clear" w:pos="1701"/>
          <w:tab w:val="clear" w:pos="2268"/>
          <w:tab w:val="clear" w:pos="2835"/>
        </w:tabs>
        <w:ind w:left="2268" w:hanging="1134"/>
      </w:pPr>
      <w:r w:rsidRPr="001C22A9">
        <w:t>1.2.2.1</w:t>
      </w:r>
      <w:r w:rsidRPr="001C22A9">
        <w:tab/>
        <w:t>In the table, in the second row for “Mass”, in column “Acceptable alternative unit”, replace “(ton)” by “(tonne (metric ton))”.</w:t>
      </w:r>
    </w:p>
    <w:p w14:paraId="1C20C0F2" w14:textId="77777777" w:rsidR="00FB5C94" w:rsidRDefault="00FB5C94" w:rsidP="00FB5C94">
      <w:pPr>
        <w:spacing w:after="120"/>
        <w:ind w:left="2268" w:right="1134" w:hanging="1134"/>
        <w:jc w:val="both"/>
      </w:pPr>
      <w:r>
        <w:tab/>
        <w:t xml:space="preserve">In </w:t>
      </w:r>
      <w:r w:rsidRPr="0032754C">
        <w:rPr>
          <w:rFonts w:asciiTheme="majorBidi" w:hAnsiTheme="majorBidi" w:cstheme="majorBidi"/>
        </w:rPr>
        <w:t>note</w:t>
      </w:r>
      <w:r>
        <w:t xml:space="preserve"> </w:t>
      </w:r>
      <w:r>
        <w:rPr>
          <w:vertAlign w:val="superscript"/>
        </w:rPr>
        <w:t>a</w:t>
      </w:r>
      <w:r>
        <w:t xml:space="preserve"> to 1.2.2.1:</w:t>
      </w:r>
    </w:p>
    <w:p w14:paraId="2F96CB66" w14:textId="77777777" w:rsidR="00FB5C94" w:rsidRDefault="00FB5C94" w:rsidP="00FB5C94">
      <w:pPr>
        <w:spacing w:after="120"/>
        <w:ind w:left="2268" w:right="1134" w:hanging="1134"/>
        <w:jc w:val="both"/>
      </w:pPr>
      <w:r>
        <w:tab/>
        <w:t>- Delete the sections for “</w:t>
      </w:r>
      <w:r w:rsidRPr="000F33E2">
        <w:rPr>
          <w:i/>
          <w:iCs/>
          <w:u w:val="single"/>
        </w:rPr>
        <w:t>Force</w:t>
      </w:r>
      <w:r>
        <w:t>” and “</w:t>
      </w:r>
      <w:r w:rsidRPr="000F33E2">
        <w:rPr>
          <w:i/>
          <w:iCs/>
          <w:u w:val="single"/>
        </w:rPr>
        <w:t>Stress</w:t>
      </w:r>
      <w:r>
        <w:t>”;</w:t>
      </w:r>
    </w:p>
    <w:p w14:paraId="4705C678" w14:textId="77777777" w:rsidR="00FB5C94" w:rsidRDefault="00FB5C94" w:rsidP="00FB5C94">
      <w:pPr>
        <w:spacing w:after="120"/>
        <w:ind w:left="2268" w:right="1134" w:hanging="1134"/>
        <w:jc w:val="both"/>
      </w:pPr>
      <w:r>
        <w:tab/>
        <w:t xml:space="preserve">- In </w:t>
      </w:r>
      <w:r w:rsidRPr="001C1C21">
        <w:t>the</w:t>
      </w:r>
      <w:r>
        <w:t xml:space="preserve"> section for “</w:t>
      </w:r>
      <w:r w:rsidRPr="000F33E2">
        <w:rPr>
          <w:i/>
          <w:iCs/>
          <w:u w:val="single"/>
        </w:rPr>
        <w:t>Pressure</w:t>
      </w:r>
      <w:r>
        <w:t>”:</w:t>
      </w:r>
    </w:p>
    <w:p w14:paraId="439BCF32" w14:textId="707A1993" w:rsidR="00FB5C94" w:rsidRDefault="00FB5C94" w:rsidP="00FB5C94">
      <w:pPr>
        <w:pStyle w:val="SingleTxtG"/>
        <w:ind w:left="2835"/>
      </w:pPr>
      <w:r>
        <w:t>- For “</w:t>
      </w:r>
      <w:r w:rsidRPr="00BF7312">
        <w:rPr>
          <w:i/>
          <w:iCs/>
        </w:rPr>
        <w:t>1 Pa</w:t>
      </w:r>
      <w:r>
        <w:t>”, delete “</w:t>
      </w:r>
      <w:r w:rsidRPr="00BF7312">
        <w:rPr>
          <w:i/>
          <w:iCs/>
        </w:rPr>
        <w:t>= 1.02 × 10</w:t>
      </w:r>
      <w:r w:rsidRPr="00005E7D">
        <w:rPr>
          <w:i/>
          <w:iCs/>
          <w:vertAlign w:val="superscript"/>
        </w:rPr>
        <w:t>-5</w:t>
      </w:r>
      <w:r w:rsidRPr="00BF7312">
        <w:rPr>
          <w:i/>
          <w:iCs/>
        </w:rPr>
        <w:t xml:space="preserve"> kg/cm</w:t>
      </w:r>
      <w:r w:rsidRPr="00005E7D">
        <w:rPr>
          <w:i/>
          <w:iCs/>
          <w:vertAlign w:val="superscript"/>
        </w:rPr>
        <w:t>2</w:t>
      </w:r>
      <w:r>
        <w:rPr>
          <w:i/>
          <w:iCs/>
        </w:rPr>
        <w:t xml:space="preserve"> = 0.75 </w:t>
      </w:r>
      <w:r w:rsidRPr="00BF7312">
        <w:rPr>
          <w:i/>
          <w:iCs/>
        </w:rPr>
        <w:t>× 10</w:t>
      </w:r>
      <w:r w:rsidRPr="00005E7D">
        <w:rPr>
          <w:i/>
          <w:iCs/>
          <w:vertAlign w:val="superscript"/>
        </w:rPr>
        <w:t>-</w:t>
      </w:r>
      <w:r w:rsidR="00A6117F">
        <w:rPr>
          <w:i/>
          <w:iCs/>
          <w:vertAlign w:val="superscript"/>
        </w:rPr>
        <w:t>2</w:t>
      </w:r>
      <w:r w:rsidR="00A6117F" w:rsidRPr="00BF7312">
        <w:rPr>
          <w:i/>
          <w:iCs/>
        </w:rPr>
        <w:t xml:space="preserve"> </w:t>
      </w:r>
      <w:r>
        <w:rPr>
          <w:i/>
          <w:iCs/>
        </w:rPr>
        <w:t>torr</w:t>
      </w:r>
      <w:r>
        <w:t>”;</w:t>
      </w:r>
    </w:p>
    <w:p w14:paraId="4B6896B1" w14:textId="77777777" w:rsidR="00FB5C94" w:rsidRDefault="00FB5C94" w:rsidP="00FB5C94">
      <w:pPr>
        <w:pStyle w:val="SingleTxtG"/>
        <w:ind w:left="2835"/>
      </w:pPr>
      <w:r>
        <w:t>- For “</w:t>
      </w:r>
      <w:r w:rsidRPr="00BF7312">
        <w:rPr>
          <w:i/>
          <w:iCs/>
        </w:rPr>
        <w:t xml:space="preserve">1 </w:t>
      </w:r>
      <w:r>
        <w:rPr>
          <w:i/>
          <w:iCs/>
        </w:rPr>
        <w:t>bar</w:t>
      </w:r>
      <w:r>
        <w:t>”, delete “</w:t>
      </w:r>
      <w:r w:rsidRPr="00BF7312">
        <w:rPr>
          <w:i/>
          <w:iCs/>
        </w:rPr>
        <w:t>= 1.02 kg/cm</w:t>
      </w:r>
      <w:r w:rsidRPr="00005E7D">
        <w:rPr>
          <w:i/>
          <w:iCs/>
          <w:vertAlign w:val="superscript"/>
        </w:rPr>
        <w:t>2</w:t>
      </w:r>
      <w:r>
        <w:rPr>
          <w:i/>
          <w:iCs/>
        </w:rPr>
        <w:t xml:space="preserve"> = 750 torr</w:t>
      </w:r>
      <w:r>
        <w:t>”;</w:t>
      </w:r>
    </w:p>
    <w:p w14:paraId="0669E2DD" w14:textId="77777777" w:rsidR="00FB5C94" w:rsidRDefault="00FB5C94" w:rsidP="00FB5C94">
      <w:pPr>
        <w:pStyle w:val="SingleTxtG"/>
        <w:ind w:left="2835"/>
      </w:pPr>
      <w:r>
        <w:t>- Delete the lines for “</w:t>
      </w:r>
      <w:r w:rsidRPr="00BF7312">
        <w:rPr>
          <w:i/>
          <w:iCs/>
        </w:rPr>
        <w:t>1 kg/cm</w:t>
      </w:r>
      <w:r w:rsidRPr="00005E7D">
        <w:rPr>
          <w:i/>
          <w:iCs/>
          <w:vertAlign w:val="superscript"/>
        </w:rPr>
        <w:t>2</w:t>
      </w:r>
      <w:r>
        <w:t>” and “</w:t>
      </w:r>
      <w:r w:rsidRPr="00A265BE">
        <w:rPr>
          <w:i/>
          <w:iCs/>
        </w:rPr>
        <w:t>1 torr</w:t>
      </w:r>
      <w:r>
        <w:t>”;</w:t>
      </w:r>
    </w:p>
    <w:p w14:paraId="2730F49B" w14:textId="77777777" w:rsidR="00FB5C94" w:rsidRDefault="00FB5C94" w:rsidP="00FB5C94">
      <w:pPr>
        <w:spacing w:after="120"/>
        <w:ind w:left="2268" w:right="1134" w:hanging="1134"/>
        <w:jc w:val="both"/>
      </w:pPr>
      <w:r>
        <w:tab/>
        <w:t xml:space="preserve">- In the </w:t>
      </w:r>
      <w:r w:rsidRPr="0032754C">
        <w:rPr>
          <w:rFonts w:asciiTheme="majorBidi" w:hAnsiTheme="majorBidi" w:cstheme="majorBidi"/>
        </w:rPr>
        <w:t>section</w:t>
      </w:r>
      <w:r>
        <w:t xml:space="preserve"> for “</w:t>
      </w:r>
      <w:r w:rsidRPr="001C3CBA">
        <w:rPr>
          <w:i/>
          <w:iCs/>
          <w:u w:val="single"/>
        </w:rPr>
        <w:t>Energy, Work, Quantity of heat</w:t>
      </w:r>
      <w:r>
        <w:t>”:</w:t>
      </w:r>
    </w:p>
    <w:p w14:paraId="1C249A41" w14:textId="77777777" w:rsidR="00FB5C94" w:rsidRDefault="00FB5C94" w:rsidP="00FB5C94">
      <w:pPr>
        <w:pStyle w:val="SingleTxtG"/>
        <w:ind w:left="2835"/>
      </w:pPr>
      <w:r>
        <w:t>- For “</w:t>
      </w:r>
      <w:r w:rsidRPr="00BF7312">
        <w:rPr>
          <w:i/>
          <w:iCs/>
        </w:rPr>
        <w:t xml:space="preserve">1 </w:t>
      </w:r>
      <w:r>
        <w:rPr>
          <w:i/>
          <w:iCs/>
        </w:rPr>
        <w:t>J</w:t>
      </w:r>
      <w:r>
        <w:t>”, delete “</w:t>
      </w:r>
      <w:r w:rsidRPr="00BF7312">
        <w:rPr>
          <w:i/>
          <w:iCs/>
        </w:rPr>
        <w:t xml:space="preserve">= </w:t>
      </w:r>
      <w:r>
        <w:rPr>
          <w:i/>
          <w:iCs/>
        </w:rPr>
        <w:t>0.102</w:t>
      </w:r>
      <w:r w:rsidRPr="00BF7312">
        <w:rPr>
          <w:i/>
          <w:iCs/>
        </w:rPr>
        <w:t xml:space="preserve"> kgm</w:t>
      </w:r>
      <w:r>
        <w:t>”;</w:t>
      </w:r>
    </w:p>
    <w:p w14:paraId="433E6F14" w14:textId="77777777" w:rsidR="00FB5C94" w:rsidRDefault="00FB5C94" w:rsidP="00FB5C94">
      <w:pPr>
        <w:pStyle w:val="SingleTxtG"/>
        <w:ind w:left="2835"/>
      </w:pPr>
      <w:r>
        <w:t>- For “</w:t>
      </w:r>
      <w:r w:rsidRPr="00BF7312">
        <w:rPr>
          <w:i/>
          <w:iCs/>
        </w:rPr>
        <w:t xml:space="preserve">1 </w:t>
      </w:r>
      <w:r>
        <w:rPr>
          <w:i/>
          <w:iCs/>
        </w:rPr>
        <w:t>kWh</w:t>
      </w:r>
      <w:r>
        <w:t>”, delete “</w:t>
      </w:r>
      <w:r w:rsidRPr="00BF7312">
        <w:rPr>
          <w:i/>
          <w:iCs/>
        </w:rPr>
        <w:t xml:space="preserve">= </w:t>
      </w:r>
      <w:r w:rsidRPr="00C3164C">
        <w:rPr>
          <w:i/>
          <w:iCs/>
        </w:rPr>
        <w:t>367 × 10</w:t>
      </w:r>
      <w:r w:rsidRPr="00C3164C">
        <w:rPr>
          <w:i/>
          <w:iCs/>
          <w:vertAlign w:val="superscript"/>
        </w:rPr>
        <w:t>3</w:t>
      </w:r>
      <w:r w:rsidRPr="00BF7312">
        <w:rPr>
          <w:i/>
          <w:iCs/>
        </w:rPr>
        <w:t xml:space="preserve"> kgm</w:t>
      </w:r>
      <w:r>
        <w:t>”;</w:t>
      </w:r>
    </w:p>
    <w:p w14:paraId="4D382656" w14:textId="77777777" w:rsidR="00FB5C94" w:rsidRDefault="00FB5C94" w:rsidP="00FB5C94">
      <w:pPr>
        <w:pStyle w:val="SingleTxtG"/>
        <w:ind w:left="2835"/>
      </w:pPr>
      <w:r>
        <w:t>- Delete the line for “</w:t>
      </w:r>
      <w:r w:rsidRPr="00BF7312">
        <w:rPr>
          <w:i/>
          <w:iCs/>
        </w:rPr>
        <w:t>1 kg</w:t>
      </w:r>
      <w:r>
        <w:rPr>
          <w:i/>
          <w:iCs/>
        </w:rPr>
        <w:t>m</w:t>
      </w:r>
      <w:r>
        <w:t>”;</w:t>
      </w:r>
    </w:p>
    <w:p w14:paraId="7E23836F" w14:textId="77777777" w:rsidR="00FB5C94" w:rsidRDefault="00FB5C94" w:rsidP="00FB5C94">
      <w:pPr>
        <w:pStyle w:val="SingleTxtG"/>
        <w:ind w:left="2835"/>
      </w:pPr>
      <w:r>
        <w:t>- For “</w:t>
      </w:r>
      <w:r w:rsidRPr="00BF7312">
        <w:rPr>
          <w:i/>
          <w:iCs/>
        </w:rPr>
        <w:t xml:space="preserve">1 </w:t>
      </w:r>
      <w:r>
        <w:rPr>
          <w:i/>
          <w:iCs/>
        </w:rPr>
        <w:t>kcal</w:t>
      </w:r>
      <w:r>
        <w:t>”, delete “</w:t>
      </w:r>
      <w:r w:rsidRPr="00BF7312">
        <w:rPr>
          <w:i/>
          <w:iCs/>
        </w:rPr>
        <w:t xml:space="preserve">= </w:t>
      </w:r>
      <w:r>
        <w:rPr>
          <w:i/>
          <w:iCs/>
        </w:rPr>
        <w:t>427</w:t>
      </w:r>
      <w:r w:rsidRPr="00BF7312">
        <w:rPr>
          <w:i/>
          <w:iCs/>
        </w:rPr>
        <w:t xml:space="preserve"> kgm</w:t>
      </w:r>
      <w:r>
        <w:t>”;</w:t>
      </w:r>
    </w:p>
    <w:p w14:paraId="3376437E" w14:textId="77777777" w:rsidR="00FB5C94" w:rsidRDefault="00FB5C94" w:rsidP="00FB5C94">
      <w:pPr>
        <w:spacing w:after="120"/>
        <w:ind w:left="2268" w:right="1134" w:hanging="1134"/>
        <w:jc w:val="both"/>
      </w:pPr>
      <w:r>
        <w:tab/>
        <w:t>- In the section for “</w:t>
      </w:r>
      <w:r w:rsidRPr="001C3CBA">
        <w:rPr>
          <w:i/>
          <w:iCs/>
          <w:u w:val="single"/>
        </w:rPr>
        <w:t>Power</w:t>
      </w:r>
      <w:r>
        <w:t>”:</w:t>
      </w:r>
    </w:p>
    <w:p w14:paraId="5B081083" w14:textId="77777777" w:rsidR="00FB5C94" w:rsidRDefault="00FB5C94" w:rsidP="00FB5C94">
      <w:pPr>
        <w:pStyle w:val="SingleTxtG"/>
        <w:ind w:left="2835"/>
      </w:pPr>
      <w:r>
        <w:t>- For “</w:t>
      </w:r>
      <w:r w:rsidRPr="00BF7312">
        <w:rPr>
          <w:i/>
          <w:iCs/>
        </w:rPr>
        <w:t xml:space="preserve">1 </w:t>
      </w:r>
      <w:r>
        <w:rPr>
          <w:i/>
          <w:iCs/>
        </w:rPr>
        <w:t>W</w:t>
      </w:r>
      <w:r>
        <w:t>”, delete “</w:t>
      </w:r>
      <w:r w:rsidRPr="00BF7312">
        <w:rPr>
          <w:i/>
          <w:iCs/>
        </w:rPr>
        <w:t xml:space="preserve">= </w:t>
      </w:r>
      <w:r>
        <w:rPr>
          <w:i/>
          <w:iCs/>
        </w:rPr>
        <w:t>0.102</w:t>
      </w:r>
      <w:r w:rsidRPr="00BF7312">
        <w:rPr>
          <w:i/>
          <w:iCs/>
        </w:rPr>
        <w:t xml:space="preserve"> kgm</w:t>
      </w:r>
      <w:r>
        <w:rPr>
          <w:i/>
          <w:iCs/>
        </w:rPr>
        <w:t>/s</w:t>
      </w:r>
      <w:r>
        <w:t>”;</w:t>
      </w:r>
    </w:p>
    <w:p w14:paraId="5F6E6654" w14:textId="77777777" w:rsidR="00FB5C94" w:rsidRDefault="00FB5C94" w:rsidP="00FB5C94">
      <w:pPr>
        <w:pStyle w:val="SingleTxtG"/>
        <w:ind w:left="2835"/>
      </w:pPr>
      <w:r>
        <w:t>- Delete the line for “</w:t>
      </w:r>
      <w:r w:rsidRPr="00BF7312">
        <w:rPr>
          <w:i/>
          <w:iCs/>
        </w:rPr>
        <w:t>1 kg</w:t>
      </w:r>
      <w:r>
        <w:rPr>
          <w:i/>
          <w:iCs/>
        </w:rPr>
        <w:t>m/s</w:t>
      </w:r>
      <w:r>
        <w:t>”;</w:t>
      </w:r>
    </w:p>
    <w:p w14:paraId="29587E35" w14:textId="77777777" w:rsidR="00FB5C94" w:rsidRDefault="00FB5C94" w:rsidP="00FB5C94">
      <w:pPr>
        <w:pStyle w:val="SingleTxtG"/>
        <w:ind w:left="2835"/>
      </w:pPr>
      <w:r>
        <w:t>- For “</w:t>
      </w:r>
      <w:r w:rsidRPr="00BF7312">
        <w:rPr>
          <w:i/>
          <w:iCs/>
        </w:rPr>
        <w:t xml:space="preserve">1 </w:t>
      </w:r>
      <w:r>
        <w:rPr>
          <w:i/>
          <w:iCs/>
        </w:rPr>
        <w:t>kcal/h</w:t>
      </w:r>
      <w:r>
        <w:t>”, delete “</w:t>
      </w:r>
      <w:r w:rsidRPr="00BF7312">
        <w:rPr>
          <w:i/>
          <w:iCs/>
        </w:rPr>
        <w:t xml:space="preserve">= </w:t>
      </w:r>
      <w:r>
        <w:rPr>
          <w:i/>
          <w:iCs/>
        </w:rPr>
        <w:t>0.119</w:t>
      </w:r>
      <w:r w:rsidRPr="00BF7312">
        <w:rPr>
          <w:i/>
          <w:iCs/>
        </w:rPr>
        <w:t xml:space="preserve"> kgm</w:t>
      </w:r>
      <w:r>
        <w:rPr>
          <w:i/>
          <w:iCs/>
        </w:rPr>
        <w:t>/s</w:t>
      </w:r>
      <w:r>
        <w:t>”;</w:t>
      </w:r>
    </w:p>
    <w:p w14:paraId="42EE7AFD" w14:textId="77777777" w:rsidR="00FB5C94" w:rsidRDefault="00FB5C94" w:rsidP="00FB5C94">
      <w:pPr>
        <w:spacing w:after="120"/>
        <w:ind w:left="2268" w:right="1134" w:hanging="1134"/>
        <w:jc w:val="both"/>
      </w:pPr>
      <w:r>
        <w:tab/>
        <w:t xml:space="preserve">- In the </w:t>
      </w:r>
      <w:r w:rsidRPr="0032754C">
        <w:rPr>
          <w:rFonts w:asciiTheme="majorBidi" w:hAnsiTheme="majorBidi" w:cstheme="majorBidi"/>
        </w:rPr>
        <w:t>section</w:t>
      </w:r>
      <w:r>
        <w:t xml:space="preserve"> for “</w:t>
      </w:r>
      <w:r w:rsidRPr="001C3CBA">
        <w:rPr>
          <w:i/>
          <w:iCs/>
          <w:u w:val="single"/>
        </w:rPr>
        <w:t>Dynamic viscosity</w:t>
      </w:r>
      <w:r>
        <w:t>”:</w:t>
      </w:r>
    </w:p>
    <w:p w14:paraId="51F11D8A" w14:textId="77777777" w:rsidR="00FB5C94" w:rsidRDefault="00FB5C94" w:rsidP="00FB5C94">
      <w:pPr>
        <w:pStyle w:val="SingleTxtG"/>
        <w:ind w:left="2835"/>
      </w:pPr>
      <w:r>
        <w:t>- For “</w:t>
      </w:r>
      <w:r w:rsidRPr="00BF7312">
        <w:rPr>
          <w:i/>
          <w:iCs/>
        </w:rPr>
        <w:t xml:space="preserve">1 </w:t>
      </w:r>
      <w:r>
        <w:rPr>
          <w:i/>
          <w:iCs/>
        </w:rPr>
        <w:t>Pa · s</w:t>
      </w:r>
      <w:r>
        <w:t>”, delete “</w:t>
      </w:r>
      <w:r w:rsidRPr="00BF7312">
        <w:rPr>
          <w:i/>
          <w:iCs/>
        </w:rPr>
        <w:t xml:space="preserve">= </w:t>
      </w:r>
      <w:r>
        <w:rPr>
          <w:i/>
          <w:iCs/>
        </w:rPr>
        <w:t>0.102</w:t>
      </w:r>
      <w:r w:rsidRPr="00BF7312">
        <w:rPr>
          <w:i/>
          <w:iCs/>
        </w:rPr>
        <w:t xml:space="preserve"> kg</w:t>
      </w:r>
      <w:r>
        <w:rPr>
          <w:i/>
          <w:iCs/>
        </w:rPr>
        <w:t>s/m</w:t>
      </w:r>
      <w:r>
        <w:rPr>
          <w:i/>
          <w:iCs/>
          <w:vertAlign w:val="superscript"/>
        </w:rPr>
        <w:t>2</w:t>
      </w:r>
      <w:r>
        <w:t>”;</w:t>
      </w:r>
    </w:p>
    <w:p w14:paraId="2A072AF9" w14:textId="77777777" w:rsidR="00FB5C94" w:rsidRDefault="00FB5C94" w:rsidP="00FB5C94">
      <w:pPr>
        <w:pStyle w:val="SingleTxtG"/>
        <w:ind w:left="2835"/>
      </w:pPr>
      <w:r>
        <w:t>- For “</w:t>
      </w:r>
      <w:r w:rsidRPr="00BF7312">
        <w:rPr>
          <w:i/>
          <w:iCs/>
        </w:rPr>
        <w:t xml:space="preserve">1 </w:t>
      </w:r>
      <w:r>
        <w:rPr>
          <w:i/>
          <w:iCs/>
        </w:rPr>
        <w:t>P</w:t>
      </w:r>
      <w:r>
        <w:t>”, delete “</w:t>
      </w:r>
      <w:r w:rsidRPr="00BF7312">
        <w:rPr>
          <w:i/>
          <w:iCs/>
        </w:rPr>
        <w:t xml:space="preserve">= </w:t>
      </w:r>
      <w:r>
        <w:rPr>
          <w:i/>
          <w:iCs/>
        </w:rPr>
        <w:t xml:space="preserve">1.02 </w:t>
      </w:r>
      <w:r w:rsidRPr="00C3164C">
        <w:rPr>
          <w:i/>
          <w:iCs/>
        </w:rPr>
        <w:t>× 10</w:t>
      </w:r>
      <w:r>
        <w:rPr>
          <w:i/>
          <w:iCs/>
          <w:vertAlign w:val="superscript"/>
        </w:rPr>
        <w:t>-2</w:t>
      </w:r>
      <w:r w:rsidRPr="00BF7312">
        <w:rPr>
          <w:i/>
          <w:iCs/>
        </w:rPr>
        <w:t xml:space="preserve"> kg</w:t>
      </w:r>
      <w:r>
        <w:rPr>
          <w:i/>
          <w:iCs/>
        </w:rPr>
        <w:t>s/m</w:t>
      </w:r>
      <w:r>
        <w:rPr>
          <w:i/>
          <w:iCs/>
          <w:vertAlign w:val="superscript"/>
        </w:rPr>
        <w:t>2</w:t>
      </w:r>
      <w:r>
        <w:t>”;</w:t>
      </w:r>
    </w:p>
    <w:p w14:paraId="70086540" w14:textId="77777777" w:rsidR="00FB5C94" w:rsidRDefault="00FB5C94" w:rsidP="00FB5C94">
      <w:pPr>
        <w:pStyle w:val="SingleTxtG"/>
        <w:ind w:left="2835"/>
      </w:pPr>
      <w:r>
        <w:t>- Delete the line for “</w:t>
      </w:r>
      <w:r w:rsidRPr="00BF7312">
        <w:rPr>
          <w:i/>
          <w:iCs/>
        </w:rPr>
        <w:t xml:space="preserve">1 </w:t>
      </w:r>
      <w:r>
        <w:rPr>
          <w:i/>
          <w:iCs/>
        </w:rPr>
        <w:t>kgs/m</w:t>
      </w:r>
      <w:r>
        <w:rPr>
          <w:i/>
          <w:iCs/>
          <w:vertAlign w:val="superscript"/>
        </w:rPr>
        <w:t>2</w:t>
      </w:r>
      <w:r>
        <w:t>”;</w:t>
      </w:r>
    </w:p>
    <w:p w14:paraId="0D213D71"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ST/SG/AC.10/C.3/128, Annex II</w:t>
      </w:r>
      <w:r w:rsidRPr="00804977">
        <w:rPr>
          <w:i/>
          <w:iCs/>
        </w:rPr>
        <w:t>)</w:t>
      </w:r>
    </w:p>
    <w:p w14:paraId="4F3ECED3" w14:textId="77777777" w:rsidR="00FB5C94" w:rsidRPr="00FF3E52" w:rsidRDefault="00FB5C94" w:rsidP="00FB5C94">
      <w:pPr>
        <w:pStyle w:val="H1G"/>
      </w:pPr>
      <w:r>
        <w:lastRenderedPageBreak/>
        <w:tab/>
      </w:r>
      <w:r>
        <w:tab/>
        <w:t>Chapter 2.0</w:t>
      </w:r>
    </w:p>
    <w:p w14:paraId="37914606" w14:textId="77777777" w:rsidR="00FB5C94" w:rsidRPr="000934D7" w:rsidRDefault="00FB5C94" w:rsidP="00FB5C94">
      <w:pPr>
        <w:spacing w:after="120"/>
        <w:ind w:left="2268" w:right="1134" w:hanging="1134"/>
        <w:jc w:val="both"/>
      </w:pPr>
      <w:r>
        <w:t>2.0.3.1</w:t>
      </w:r>
      <w:r>
        <w:tab/>
        <w:t>In footnote 3, replace “</w:t>
      </w:r>
      <w:r w:rsidRPr="007630B3">
        <w:rPr>
          <w:i/>
          <w:iCs/>
        </w:rPr>
        <w:t>preparations</w:t>
      </w:r>
      <w:r>
        <w:t>” by “</w:t>
      </w:r>
      <w:r w:rsidRPr="007630B3">
        <w:rPr>
          <w:i/>
          <w:iCs/>
        </w:rPr>
        <w:t>mixtures</w:t>
      </w:r>
      <w:r>
        <w:t>”, after “</w:t>
      </w:r>
      <w:r w:rsidRPr="007630B3">
        <w:rPr>
          <w:i/>
          <w:iCs/>
        </w:rPr>
        <w:t>ingestion</w:t>
      </w:r>
      <w:r>
        <w:t>”, replace “</w:t>
      </w:r>
      <w:r w:rsidRPr="007630B3">
        <w:rPr>
          <w:i/>
          <w:iCs/>
        </w:rPr>
        <w:t>or</w:t>
      </w:r>
      <w:r>
        <w:t>”, by “</w:t>
      </w:r>
      <w:r w:rsidRPr="007630B3">
        <w:rPr>
          <w:i/>
          <w:iCs/>
        </w:rPr>
        <w:t>and</w:t>
      </w:r>
      <w:r>
        <w:t>” and, at the end, add “</w:t>
      </w:r>
      <w:r w:rsidRPr="007630B3">
        <w:rPr>
          <w:i/>
          <w:iCs/>
        </w:rPr>
        <w:t>(see note under 2.6.2.2.4.1 and 2.8.2.4)</w:t>
      </w:r>
      <w:r>
        <w:t>”.</w:t>
      </w:r>
    </w:p>
    <w:p w14:paraId="5B38380F"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16CB7629" w14:textId="77777777" w:rsidR="00FB5C94" w:rsidRPr="001C22A9" w:rsidRDefault="00FB5C94" w:rsidP="00FB5C94">
      <w:pPr>
        <w:pStyle w:val="SingleTxtG"/>
        <w:tabs>
          <w:tab w:val="clear" w:pos="1701"/>
          <w:tab w:val="clear" w:pos="2268"/>
          <w:tab w:val="clear" w:pos="2835"/>
        </w:tabs>
        <w:ind w:left="2268" w:hanging="1134"/>
      </w:pPr>
      <w:r w:rsidRPr="001C22A9">
        <w:t>2.0.4.3</w:t>
      </w:r>
      <w:r w:rsidRPr="001C22A9">
        <w:tab/>
        <w:t>Add a new 2.0.4.3.2 and a new 2.0.4.3.3 to read as follows:</w:t>
      </w:r>
    </w:p>
    <w:p w14:paraId="1680CD27" w14:textId="77777777" w:rsidR="00FB5C94" w:rsidRPr="001C22A9" w:rsidRDefault="00FB5C94" w:rsidP="00FB5C94">
      <w:pPr>
        <w:pStyle w:val="SingleTxtG"/>
        <w:tabs>
          <w:tab w:val="clear" w:pos="1701"/>
          <w:tab w:val="clear" w:pos="2268"/>
          <w:tab w:val="clear" w:pos="2835"/>
        </w:tabs>
        <w:ind w:left="2268" w:hanging="1134"/>
      </w:pPr>
      <w:r w:rsidRPr="001C22A9">
        <w:t>“2.0.4.3.2</w:t>
      </w:r>
      <w:r w:rsidRPr="001C22A9">
        <w:tab/>
        <w:t xml:space="preserve">Samples of organic substances carrying functional groups listed in tables A6.1 or A6.3 in appendix 6 of the </w:t>
      </w:r>
      <w:r w:rsidRPr="001C22A9">
        <w:rPr>
          <w:i/>
          <w:iCs/>
        </w:rPr>
        <w:t>Manual of Tests and Criteria</w:t>
      </w:r>
      <w:r w:rsidRPr="001C22A9">
        <w:t xml:space="preserve"> may be assigned to one of the appropriate entries for self-reactive substances type C (UN Nos. 3223, 3224, 3233 or 3234, as applicable) of Division 4.1 and transported under the provisions of 2.4.2.3.2.4 (b) for the transport in amounts of not more than 200 g per outer packag</w:t>
      </w:r>
      <w:r>
        <w:t>ing</w:t>
      </w:r>
      <w:r w:rsidRPr="001C22A9">
        <w:t xml:space="preserve"> provided that:</w:t>
      </w:r>
    </w:p>
    <w:p w14:paraId="664B04DE" w14:textId="77777777" w:rsidR="00FB5C94" w:rsidRDefault="00FB5C94" w:rsidP="00FB5C94">
      <w:pPr>
        <w:pStyle w:val="SingleTxtG"/>
        <w:tabs>
          <w:tab w:val="clear" w:pos="1701"/>
          <w:tab w:val="clear" w:pos="2268"/>
          <w:tab w:val="clear" w:pos="2835"/>
        </w:tabs>
        <w:ind w:left="2835" w:hanging="567"/>
      </w:pPr>
      <w:r w:rsidRPr="001C22A9">
        <w:t>(a)</w:t>
      </w:r>
      <w:r w:rsidRPr="001C22A9">
        <w:tab/>
        <w:t>They fulfil the criteria of 2.0.4.3.1 (a) to (c); and</w:t>
      </w:r>
    </w:p>
    <w:p w14:paraId="67069F39" w14:textId="77777777" w:rsidR="00FB5C94" w:rsidRPr="001C22A9" w:rsidRDefault="00FB5C94" w:rsidP="00FB5C94">
      <w:pPr>
        <w:pStyle w:val="SingleTxtG"/>
        <w:tabs>
          <w:tab w:val="clear" w:pos="1701"/>
          <w:tab w:val="clear" w:pos="2268"/>
          <w:tab w:val="clear" w:pos="2835"/>
        </w:tabs>
        <w:ind w:left="2835" w:hanging="567"/>
      </w:pPr>
      <w:r w:rsidRPr="001C22A9">
        <w:t>(b)</w:t>
      </w:r>
      <w:r w:rsidRPr="001C22A9">
        <w:tab/>
        <w:t>Their decomposition energy is:</w:t>
      </w:r>
    </w:p>
    <w:p w14:paraId="0417411A" w14:textId="77777777" w:rsidR="00FB5C94" w:rsidRPr="001C22A9" w:rsidRDefault="00FB5C94" w:rsidP="00FB5C94">
      <w:pPr>
        <w:pStyle w:val="SingleTxtG"/>
        <w:tabs>
          <w:tab w:val="clear" w:pos="1701"/>
          <w:tab w:val="clear" w:pos="2268"/>
          <w:tab w:val="clear" w:pos="2835"/>
        </w:tabs>
        <w:ind w:left="3402" w:hanging="567"/>
      </w:pPr>
      <w:r w:rsidRPr="001C22A9">
        <w:t>(i)</w:t>
      </w:r>
      <w:r w:rsidRPr="001C22A9">
        <w:tab/>
        <w:t>Less than 1</w:t>
      </w:r>
      <w:r>
        <w:t> </w:t>
      </w:r>
      <w:r w:rsidRPr="001C22A9">
        <w:t>500 J/g for salts or complexes of organic compounds;</w:t>
      </w:r>
    </w:p>
    <w:p w14:paraId="0B292B6F" w14:textId="77777777" w:rsidR="00FB5C94" w:rsidRPr="001C22A9" w:rsidRDefault="00FB5C94" w:rsidP="00FB5C94">
      <w:pPr>
        <w:pStyle w:val="SingleTxtG"/>
        <w:tabs>
          <w:tab w:val="clear" w:pos="1701"/>
          <w:tab w:val="clear" w:pos="2268"/>
          <w:tab w:val="clear" w:pos="2835"/>
        </w:tabs>
        <w:ind w:left="3402" w:hanging="567"/>
      </w:pPr>
      <w:r w:rsidRPr="001C22A9">
        <w:t>(ii)</w:t>
      </w:r>
      <w:r w:rsidRPr="001C22A9">
        <w:tab/>
        <w:t>Less than 2</w:t>
      </w:r>
      <w:r>
        <w:t> </w:t>
      </w:r>
      <w:r w:rsidRPr="001C22A9">
        <w:t>000 J/g for other organic substances;</w:t>
      </w:r>
    </w:p>
    <w:p w14:paraId="45740283" w14:textId="77777777" w:rsidR="00FB5C94" w:rsidRPr="001C22A9" w:rsidRDefault="00FB5C94" w:rsidP="00FB5C94">
      <w:pPr>
        <w:pStyle w:val="SingleTxtG"/>
        <w:tabs>
          <w:tab w:val="clear" w:pos="1701"/>
          <w:tab w:val="clear" w:pos="2268"/>
          <w:tab w:val="clear" w:pos="2835"/>
        </w:tabs>
        <w:ind w:left="3402" w:hanging="567"/>
      </w:pPr>
      <w:r w:rsidRPr="001C22A9">
        <w:t>(iii)</w:t>
      </w:r>
      <w:r w:rsidRPr="001C22A9">
        <w:tab/>
        <w:t>1</w:t>
      </w:r>
      <w:r>
        <w:t> </w:t>
      </w:r>
      <w:r w:rsidRPr="001C22A9">
        <w:t xml:space="preserve">500 J/g or more for salts or complexes of organic compounds, and in test C.1 the result is not “yes, rapidly” and in any one of test series F the result is not "not low"; or </w:t>
      </w:r>
    </w:p>
    <w:p w14:paraId="0E91367B" w14:textId="77777777" w:rsidR="00FB5C94" w:rsidRPr="001C22A9" w:rsidRDefault="00FB5C94" w:rsidP="00FB5C94">
      <w:pPr>
        <w:pStyle w:val="SingleTxtG"/>
        <w:tabs>
          <w:tab w:val="clear" w:pos="1701"/>
          <w:tab w:val="clear" w:pos="2268"/>
          <w:tab w:val="clear" w:pos="2835"/>
        </w:tabs>
        <w:ind w:left="3402" w:hanging="567"/>
      </w:pPr>
      <w:r w:rsidRPr="001C22A9">
        <w:t>(iv)</w:t>
      </w:r>
      <w:r w:rsidRPr="001C22A9">
        <w:tab/>
        <w:t>2</w:t>
      </w:r>
      <w:r>
        <w:t> </w:t>
      </w:r>
      <w:r w:rsidRPr="001C22A9">
        <w:t xml:space="preserve">000 J/g or more for other organic substances, and in test C.1 the result is not "yes, rapidly" and in any one of test series F the result is not "not low". </w:t>
      </w:r>
    </w:p>
    <w:p w14:paraId="73E3CCD2" w14:textId="77777777" w:rsidR="00FB5C94" w:rsidRPr="001C22A9" w:rsidRDefault="00FB5C94" w:rsidP="00FB5C94">
      <w:pPr>
        <w:pStyle w:val="SingleTxtG"/>
        <w:tabs>
          <w:tab w:val="clear" w:pos="1701"/>
          <w:tab w:val="clear" w:pos="2268"/>
          <w:tab w:val="clear" w:pos="2835"/>
        </w:tabs>
        <w:ind w:left="2268" w:hanging="1134"/>
      </w:pPr>
      <w:r w:rsidRPr="001C22A9">
        <w:tab/>
        <w:t>The assessment in (b) (iii) and (iv) may be based on a single test C.1 and one single test from test series F. If the criteria in (b) are fulfilled, it can be assumed that the sample is not more dangerous than self-reactive substances type B.</w:t>
      </w:r>
    </w:p>
    <w:p w14:paraId="053580B7" w14:textId="77777777" w:rsidR="00FB5C94" w:rsidRPr="001C22A9" w:rsidRDefault="00FB5C94" w:rsidP="00FB5C94">
      <w:pPr>
        <w:pStyle w:val="SingleTxtG"/>
        <w:tabs>
          <w:tab w:val="clear" w:pos="1701"/>
          <w:tab w:val="clear" w:pos="2268"/>
          <w:tab w:val="clear" w:pos="2835"/>
        </w:tabs>
        <w:ind w:left="2268" w:hanging="1134"/>
      </w:pPr>
      <w:r w:rsidRPr="001C22A9">
        <w:tab/>
        <w:t xml:space="preserve">An appropriate method to determine temperature control requirements is described in section 20.3.4 of the </w:t>
      </w:r>
      <w:r w:rsidRPr="001C22A9">
        <w:rPr>
          <w:i/>
          <w:iCs/>
        </w:rPr>
        <w:t>Manual of Tests and Criteria</w:t>
      </w:r>
      <w:r w:rsidRPr="001C22A9">
        <w:t>.</w:t>
      </w:r>
    </w:p>
    <w:p w14:paraId="709799A9" w14:textId="77777777" w:rsidR="00FB5C94" w:rsidRPr="001C22A9" w:rsidRDefault="00FB5C94" w:rsidP="00FB5C94">
      <w:pPr>
        <w:pStyle w:val="SingleTxtG"/>
        <w:tabs>
          <w:tab w:val="clear" w:pos="1701"/>
          <w:tab w:val="clear" w:pos="2268"/>
          <w:tab w:val="clear" w:pos="2835"/>
        </w:tabs>
        <w:ind w:left="2268" w:hanging="1134"/>
      </w:pPr>
      <w:r w:rsidRPr="001C22A9">
        <w:tab/>
        <w:t>Samples not passing the criteria in (b) (iii) or (iv) may be transported by an approval issued by the competent authority of the country of origin. The statement of approval shall be based on the available information and contain the classification and the relevant transport conditions. Alternatively, the sample may be dissolved or diluted with an inert compound to form a homogenous mixture in agreement with the criteria in (b) (i) or (ii), as applicable.</w:t>
      </w:r>
    </w:p>
    <w:p w14:paraId="02EED68B" w14:textId="77777777" w:rsidR="00FB5C94" w:rsidRDefault="00FB5C94" w:rsidP="00FB5C94">
      <w:pPr>
        <w:pStyle w:val="SingleTxtG"/>
        <w:tabs>
          <w:tab w:val="clear" w:pos="1701"/>
          <w:tab w:val="clear" w:pos="2268"/>
          <w:tab w:val="clear" w:pos="2835"/>
        </w:tabs>
        <w:ind w:left="2268" w:hanging="1134"/>
      </w:pPr>
      <w:r w:rsidRPr="001C22A9">
        <w:t>2.0.4.3.3</w:t>
      </w:r>
      <w:r w:rsidRPr="001C22A9">
        <w:tab/>
        <w:t>A flow chart describing the classification of energetic samples is shown in figure 2.</w:t>
      </w:r>
      <w:r>
        <w:t>0</w:t>
      </w:r>
      <w:r w:rsidRPr="001C22A9">
        <w:t>.1.</w:t>
      </w:r>
    </w:p>
    <w:p w14:paraId="1FA94693" w14:textId="524EFFC9" w:rsidR="00FB5C94" w:rsidRPr="00223B8A" w:rsidRDefault="00FB5C94" w:rsidP="00FB5C94">
      <w:pPr>
        <w:pStyle w:val="SingleTxtG"/>
        <w:rPr>
          <w:i/>
          <w:iCs/>
        </w:rPr>
      </w:pPr>
      <w:r w:rsidRPr="004A0D50">
        <w:rPr>
          <w:b/>
          <w:bCs/>
          <w:i/>
          <w:iCs/>
        </w:rPr>
        <w:t>Note from the secretariat:</w:t>
      </w:r>
      <w:r w:rsidRPr="004A0D50">
        <w:rPr>
          <w:i/>
          <w:iCs/>
        </w:rPr>
        <w:t xml:space="preserve"> Figure 2.0.1 has been edited by the secretariat after the sixty-fourth session of the Sub-Committee, in consultation with the authors of the original proposal.</w:t>
      </w:r>
    </w:p>
    <w:p w14:paraId="3C053219" w14:textId="77777777" w:rsidR="00FB5C94" w:rsidRPr="001C22A9" w:rsidRDefault="00FB5C94" w:rsidP="00FB5C94">
      <w:pPr>
        <w:pStyle w:val="SingleTxtG"/>
        <w:keepNext/>
        <w:tabs>
          <w:tab w:val="clear" w:pos="1701"/>
          <w:tab w:val="clear" w:pos="2268"/>
          <w:tab w:val="clear" w:pos="2835"/>
        </w:tabs>
        <w:jc w:val="center"/>
        <w:rPr>
          <w:b/>
          <w:bCs/>
        </w:rPr>
      </w:pPr>
      <w:r w:rsidRPr="001C22A9">
        <w:rPr>
          <w:b/>
          <w:bCs/>
        </w:rPr>
        <w:lastRenderedPageBreak/>
        <w:t>Figure 2.</w:t>
      </w:r>
      <w:r>
        <w:rPr>
          <w:b/>
          <w:bCs/>
        </w:rPr>
        <w:t>0</w:t>
      </w:r>
      <w:r w:rsidRPr="001C22A9">
        <w:rPr>
          <w:b/>
          <w:bCs/>
        </w:rPr>
        <w:t>.1: Classification of energetic samples</w:t>
      </w:r>
    </w:p>
    <w:p w14:paraId="2E5FB882" w14:textId="77777777" w:rsidR="00FB5C94" w:rsidRPr="001C22A9" w:rsidRDefault="00FB5C94" w:rsidP="00FB5C94">
      <w:pPr>
        <w:pStyle w:val="SingleTxtG"/>
        <w:tabs>
          <w:tab w:val="clear" w:pos="1701"/>
          <w:tab w:val="clear" w:pos="2268"/>
          <w:tab w:val="clear" w:pos="2835"/>
        </w:tabs>
        <w:jc w:val="center"/>
      </w:pPr>
      <w:r w:rsidRPr="001C22A9">
        <w:object w:dxaOrig="9511" w:dyaOrig="12381" w14:anchorId="3C4AC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15pt;height:453.8pt" o:ole="">
            <v:imagedata r:id="rId12" o:title=""/>
          </v:shape>
          <o:OLEObject Type="Embed" ProgID="Visio.Drawing.15" ShapeID="_x0000_i1025" DrawAspect="Content" ObjectID="_1788166634" r:id="rId13"/>
        </w:object>
      </w:r>
    </w:p>
    <w:p w14:paraId="29361B62" w14:textId="77777777" w:rsidR="00FB5C94" w:rsidRPr="001C22A9" w:rsidRDefault="00FB5C94" w:rsidP="00FB5C94">
      <w:pPr>
        <w:pStyle w:val="SingleTxtG"/>
        <w:keepNext/>
        <w:tabs>
          <w:tab w:val="clear" w:pos="1701"/>
          <w:tab w:val="clear" w:pos="2268"/>
          <w:tab w:val="clear" w:pos="2835"/>
        </w:tabs>
        <w:ind w:left="2268" w:hanging="1134"/>
        <w:jc w:val="center"/>
        <w:rPr>
          <w:b/>
          <w:bCs/>
        </w:rPr>
      </w:pPr>
      <w:r w:rsidRPr="001C22A9">
        <w:rPr>
          <w:b/>
          <w:bCs/>
        </w:rPr>
        <w:lastRenderedPageBreak/>
        <w:t>Figure 2.</w:t>
      </w:r>
      <w:r>
        <w:rPr>
          <w:b/>
          <w:bCs/>
        </w:rPr>
        <w:t>0</w:t>
      </w:r>
      <w:r w:rsidRPr="001C22A9">
        <w:rPr>
          <w:b/>
          <w:bCs/>
        </w:rPr>
        <w:t>.1: Classification of energetic samples</w:t>
      </w:r>
      <w:r w:rsidRPr="001C22A9">
        <w:rPr>
          <w:b/>
          <w:bCs/>
          <w:i/>
          <w:iCs/>
        </w:rPr>
        <w:t xml:space="preserve"> (cont’d)</w:t>
      </w:r>
    </w:p>
    <w:p w14:paraId="1BC5555F" w14:textId="77777777" w:rsidR="00FB5C94" w:rsidRPr="001C22A9" w:rsidRDefault="00FB5C94" w:rsidP="00FB5C94">
      <w:pPr>
        <w:pStyle w:val="SingleTxtG"/>
        <w:tabs>
          <w:tab w:val="clear" w:pos="1701"/>
          <w:tab w:val="clear" w:pos="2268"/>
          <w:tab w:val="clear" w:pos="2835"/>
        </w:tabs>
        <w:ind w:left="0" w:right="0"/>
      </w:pPr>
      <w:r w:rsidRPr="001C22A9">
        <w:rPr>
          <w:rFonts w:ascii="Arial" w:hAnsi="Arial"/>
          <w:sz w:val="22"/>
          <w:szCs w:val="22"/>
          <w:lang w:eastAsia="de-DE"/>
        </w:rPr>
        <w:object w:dxaOrig="13251" w:dyaOrig="17781" w14:anchorId="1AFE04B4">
          <v:shape id="_x0000_i1026" type="#_x0000_t75" style="width:482.2pt;height:640.75pt" o:ole="">
            <v:imagedata r:id="rId14" o:title=""/>
          </v:shape>
          <o:OLEObject Type="Embed" ProgID="Visio.Drawing.15" ShapeID="_x0000_i1026" DrawAspect="Content" ObjectID="_1788166635" r:id="rId15"/>
        </w:object>
      </w:r>
    </w:p>
    <w:p w14:paraId="7C68DE06"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7F07AF86" w14:textId="77777777" w:rsidR="00383E07" w:rsidRDefault="00383E07">
      <w:r>
        <w:br w:type="page"/>
      </w:r>
    </w:p>
    <w:p w14:paraId="5E1A7514" w14:textId="529D7E6B" w:rsidR="00FB5C94" w:rsidRPr="004E1EC6" w:rsidRDefault="00FB5C94" w:rsidP="00FB5C94">
      <w:pPr>
        <w:spacing w:after="120"/>
        <w:ind w:left="2268" w:right="1134" w:hanging="1134"/>
        <w:jc w:val="both"/>
      </w:pPr>
      <w:r w:rsidRPr="004E1EC6">
        <w:lastRenderedPageBreak/>
        <w:t>2.0.5.2</w:t>
      </w:r>
      <w:r>
        <w:tab/>
      </w:r>
      <w:r w:rsidRPr="004E1EC6">
        <w:t>In the second sentence, replace “Lithium cells and batteries” by “Lithium metal, lithium ion and sodium ion cells and batteries”. In the third sentence, replace “Lithium cells or batteries” by “Lithium metal, lithium ion or sodium ion cells or batteries” (twice).</w:t>
      </w:r>
    </w:p>
    <w:p w14:paraId="380A657F"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01E47BD4" w14:textId="77777777" w:rsidR="00FB5C94" w:rsidRPr="00FF3E52" w:rsidRDefault="00FB5C94" w:rsidP="00FB5C94">
      <w:pPr>
        <w:pStyle w:val="H1G"/>
      </w:pPr>
      <w:r>
        <w:tab/>
      </w:r>
      <w:r>
        <w:tab/>
        <w:t>Chapter 2.1</w:t>
      </w:r>
    </w:p>
    <w:p w14:paraId="356F1A74" w14:textId="77777777" w:rsidR="00FB5C94" w:rsidRPr="000934D7" w:rsidRDefault="00FB5C94" w:rsidP="00FB5C94">
      <w:pPr>
        <w:spacing w:after="120"/>
        <w:ind w:left="2268" w:right="1134" w:hanging="1134"/>
        <w:jc w:val="both"/>
        <w:rPr>
          <w:rFonts w:asciiTheme="majorBidi" w:hAnsiTheme="majorBidi" w:cstheme="majorBidi"/>
        </w:rPr>
      </w:pPr>
      <w:r>
        <w:rPr>
          <w:rFonts w:asciiTheme="majorBidi" w:hAnsiTheme="majorBidi" w:cstheme="majorBidi"/>
        </w:rPr>
        <w:t>[2.1.1.1</w:t>
      </w:r>
      <w:r w:rsidRPr="000934D7">
        <w:rPr>
          <w:rFonts w:asciiTheme="majorBidi" w:hAnsiTheme="majorBidi" w:cstheme="majorBidi"/>
        </w:rPr>
        <w:tab/>
      </w:r>
      <w:r>
        <w:rPr>
          <w:rFonts w:asciiTheme="majorBidi" w:hAnsiTheme="majorBidi" w:cstheme="majorBidi"/>
        </w:rPr>
        <w:t>In (b), after “except”, add “</w:t>
      </w:r>
      <w:r w:rsidRPr="00BF36A7">
        <w:rPr>
          <w:rFonts w:asciiTheme="majorBidi" w:hAnsiTheme="majorBidi" w:cstheme="majorBidi"/>
        </w:rPr>
        <w:t>those that are too dangerous to transport or</w:t>
      </w:r>
      <w:r>
        <w:rPr>
          <w:rFonts w:asciiTheme="majorBidi" w:hAnsiTheme="majorBidi" w:cstheme="majorBidi"/>
        </w:rPr>
        <w:t>”.]</w:t>
      </w:r>
    </w:p>
    <w:p w14:paraId="0256B4F4"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5368B2D5" w14:textId="77777777" w:rsidR="00FB5C94" w:rsidRPr="000934D7" w:rsidRDefault="00FB5C94" w:rsidP="00FB5C94">
      <w:pPr>
        <w:spacing w:after="120"/>
        <w:ind w:left="2268" w:right="1134" w:hanging="1134"/>
        <w:jc w:val="both"/>
        <w:rPr>
          <w:rFonts w:asciiTheme="majorBidi" w:hAnsiTheme="majorBidi" w:cstheme="majorBidi"/>
        </w:rPr>
      </w:pPr>
      <w:r>
        <w:rPr>
          <w:rFonts w:asciiTheme="majorBidi" w:hAnsiTheme="majorBidi" w:cstheme="majorBidi"/>
        </w:rPr>
        <w:t>[2.1.1.3</w:t>
      </w:r>
      <w:r w:rsidRPr="000934D7">
        <w:rPr>
          <w:rFonts w:asciiTheme="majorBidi" w:hAnsiTheme="majorBidi" w:cstheme="majorBidi"/>
        </w:rPr>
        <w:tab/>
      </w:r>
      <w:r>
        <w:rPr>
          <w:rFonts w:asciiTheme="majorBidi" w:hAnsiTheme="majorBidi" w:cstheme="majorBidi"/>
        </w:rPr>
        <w:t xml:space="preserve">In (e), delete “, </w:t>
      </w:r>
      <w:r w:rsidRPr="004E62B6">
        <w:rPr>
          <w:rFonts w:asciiTheme="majorBidi" w:hAnsiTheme="majorBidi" w:cstheme="majorBidi"/>
        </w:rPr>
        <w:t>in the context of 2.1.1.1 (c),</w:t>
      </w:r>
      <w:r>
        <w:rPr>
          <w:rFonts w:asciiTheme="majorBidi" w:hAnsiTheme="majorBidi" w:cstheme="majorBidi"/>
        </w:rPr>
        <w:t>”.]</w:t>
      </w:r>
    </w:p>
    <w:p w14:paraId="72A16614"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34D5EFCC" w14:textId="77777777" w:rsidR="00FB5C94" w:rsidRPr="001C22A9" w:rsidRDefault="00FB5C94" w:rsidP="00FB5C94">
      <w:pPr>
        <w:pStyle w:val="SingleTxtG"/>
        <w:tabs>
          <w:tab w:val="clear" w:pos="1701"/>
          <w:tab w:val="clear" w:pos="2268"/>
          <w:tab w:val="clear" w:pos="2835"/>
        </w:tabs>
        <w:ind w:left="2268" w:hanging="1134"/>
      </w:pPr>
      <w:r w:rsidRPr="001C22A9">
        <w:t>2.1.3.2.2</w:t>
      </w:r>
      <w:r w:rsidRPr="001C22A9">
        <w:tab/>
        <w:t>In the first sentence, replace “seven” by “eight”.</w:t>
      </w:r>
    </w:p>
    <w:p w14:paraId="0E5D398F"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2975CB43" w14:textId="77777777" w:rsidR="00FB5C94" w:rsidRPr="00FF3E52" w:rsidRDefault="00FB5C94" w:rsidP="00FB5C94">
      <w:pPr>
        <w:pStyle w:val="H1G"/>
      </w:pPr>
      <w:r>
        <w:tab/>
      </w:r>
      <w:r>
        <w:tab/>
        <w:t>Chapter 2.5</w:t>
      </w:r>
    </w:p>
    <w:p w14:paraId="2703988A" w14:textId="77777777" w:rsidR="00FB5C94" w:rsidRPr="00CE5EDB" w:rsidRDefault="00FB5C94" w:rsidP="00FB5C94">
      <w:pPr>
        <w:pStyle w:val="SingleTxtG"/>
        <w:ind w:left="2268" w:hanging="1134"/>
      </w:pPr>
      <w:r w:rsidRPr="00882DFA">
        <w:t>2.5.3.2.4</w:t>
      </w:r>
      <w:r>
        <w:tab/>
        <w:t>I</w:t>
      </w:r>
      <w:r w:rsidRPr="00CE5EDB">
        <w:t>n the table, add the following new entries:</w:t>
      </w:r>
    </w:p>
    <w:tbl>
      <w:tblPr>
        <w:tblW w:w="0" w:type="auto"/>
        <w:tblLayout w:type="fixed"/>
        <w:tblLook w:val="04A0" w:firstRow="1" w:lastRow="0" w:firstColumn="1" w:lastColumn="0" w:noHBand="0" w:noVBand="1"/>
      </w:tblPr>
      <w:tblGrid>
        <w:gridCol w:w="2547"/>
        <w:gridCol w:w="708"/>
        <w:gridCol w:w="708"/>
        <w:gridCol w:w="427"/>
        <w:gridCol w:w="425"/>
        <w:gridCol w:w="425"/>
        <w:gridCol w:w="877"/>
        <w:gridCol w:w="878"/>
        <w:gridCol w:w="877"/>
        <w:gridCol w:w="878"/>
        <w:gridCol w:w="878"/>
      </w:tblGrid>
      <w:tr w:rsidR="00FB5C94" w:rsidRPr="00CE5EDB" w14:paraId="2C871997" w14:textId="77777777" w:rsidTr="00C11390">
        <w:trPr>
          <w:trHeight w:val="567"/>
        </w:trPr>
        <w:tc>
          <w:tcPr>
            <w:tcW w:w="2547" w:type="dxa"/>
            <w:tcBorders>
              <w:top w:val="single" w:sz="4" w:space="0" w:color="auto"/>
              <w:left w:val="single" w:sz="4" w:space="0" w:color="auto"/>
              <w:bottom w:val="single" w:sz="4" w:space="0" w:color="auto"/>
              <w:right w:val="single" w:sz="4" w:space="0" w:color="auto"/>
            </w:tcBorders>
            <w:hideMark/>
          </w:tcPr>
          <w:p w14:paraId="4FFFBFBF" w14:textId="77777777" w:rsidR="00FB5C94" w:rsidRPr="00CE5EDB" w:rsidRDefault="00FB5C94" w:rsidP="00C11390">
            <w:pPr>
              <w:rPr>
                <w:rFonts w:eastAsiaTheme="minorHAnsi"/>
                <w:sz w:val="18"/>
                <w:szCs w:val="18"/>
                <w:lang w:eastAsia="en-US"/>
              </w:rPr>
            </w:pPr>
            <w:r w:rsidRPr="003533B3">
              <w:rPr>
                <w:rFonts w:eastAsiaTheme="minorHAnsi"/>
                <w:sz w:val="18"/>
                <w:szCs w:val="18"/>
                <w:lang w:eastAsia="en-US"/>
              </w:rPr>
              <w:t>tert-AMYL PEROXYPIVALATE</w:t>
            </w:r>
          </w:p>
        </w:tc>
        <w:tc>
          <w:tcPr>
            <w:tcW w:w="708" w:type="dxa"/>
            <w:tcBorders>
              <w:top w:val="single" w:sz="4" w:space="0" w:color="auto"/>
              <w:left w:val="nil"/>
              <w:bottom w:val="single" w:sz="4" w:space="0" w:color="auto"/>
              <w:right w:val="single" w:sz="4" w:space="0" w:color="auto"/>
            </w:tcBorders>
            <w:noWrap/>
          </w:tcPr>
          <w:p w14:paraId="216BE585" w14:textId="77777777" w:rsidR="00FB5C94" w:rsidRPr="00CE5EDB" w:rsidRDefault="00FB5C94" w:rsidP="00C11390">
            <w:pPr>
              <w:jc w:val="center"/>
              <w:rPr>
                <w:rFonts w:eastAsiaTheme="minorHAnsi"/>
                <w:sz w:val="18"/>
                <w:szCs w:val="18"/>
                <w:lang w:eastAsia="en-US"/>
              </w:rPr>
            </w:pPr>
            <w:r w:rsidRPr="00B04C49">
              <w:rPr>
                <w:bCs/>
                <w:color w:val="000000" w:themeColor="text1"/>
                <w:sz w:val="18"/>
                <w:szCs w:val="18"/>
                <w:lang w:val="en-US"/>
              </w:rPr>
              <w:t>≤</w:t>
            </w:r>
            <w:r>
              <w:rPr>
                <w:bCs/>
                <w:color w:val="000000" w:themeColor="text1"/>
                <w:sz w:val="18"/>
                <w:szCs w:val="18"/>
                <w:lang w:val="en-US"/>
              </w:rPr>
              <w:t xml:space="preserve"> 72</w:t>
            </w:r>
          </w:p>
        </w:tc>
        <w:tc>
          <w:tcPr>
            <w:tcW w:w="708" w:type="dxa"/>
            <w:tcBorders>
              <w:top w:val="single" w:sz="4" w:space="0" w:color="auto"/>
              <w:left w:val="nil"/>
              <w:bottom w:val="single" w:sz="4" w:space="0" w:color="auto"/>
              <w:right w:val="single" w:sz="4" w:space="0" w:color="auto"/>
            </w:tcBorders>
            <w:noWrap/>
          </w:tcPr>
          <w:p w14:paraId="4350DEB5" w14:textId="77777777" w:rsidR="00FB5C94" w:rsidRPr="00CE5EDB" w:rsidRDefault="00FB5C94" w:rsidP="00C11390">
            <w:pPr>
              <w:jc w:val="center"/>
              <w:rPr>
                <w:rFonts w:eastAsiaTheme="minorHAnsi"/>
                <w:sz w:val="18"/>
                <w:szCs w:val="18"/>
                <w:lang w:eastAsia="en-US"/>
              </w:rPr>
            </w:pPr>
            <w:r w:rsidRPr="00B04C49">
              <w:rPr>
                <w:color w:val="000000" w:themeColor="text1"/>
                <w:sz w:val="18"/>
                <w:szCs w:val="18"/>
                <w:lang w:val="en-US"/>
              </w:rPr>
              <w:t>≥</w:t>
            </w:r>
            <w:r>
              <w:rPr>
                <w:color w:val="000000" w:themeColor="text1"/>
                <w:sz w:val="18"/>
                <w:szCs w:val="18"/>
                <w:lang w:val="en-US"/>
              </w:rPr>
              <w:t xml:space="preserve"> 28</w:t>
            </w:r>
          </w:p>
        </w:tc>
        <w:tc>
          <w:tcPr>
            <w:tcW w:w="427" w:type="dxa"/>
            <w:tcBorders>
              <w:top w:val="single" w:sz="4" w:space="0" w:color="auto"/>
              <w:left w:val="nil"/>
              <w:bottom w:val="single" w:sz="4" w:space="0" w:color="auto"/>
              <w:right w:val="single" w:sz="4" w:space="0" w:color="auto"/>
            </w:tcBorders>
            <w:noWrap/>
          </w:tcPr>
          <w:p w14:paraId="107C92DC" w14:textId="77777777" w:rsidR="00FB5C94" w:rsidRPr="00CE5EDB" w:rsidRDefault="00FB5C94" w:rsidP="00C11390">
            <w:pPr>
              <w:jc w:val="center"/>
              <w:rPr>
                <w:rFonts w:eastAsiaTheme="minorHAnsi"/>
                <w:sz w:val="18"/>
                <w:szCs w:val="18"/>
                <w:lang w:eastAsia="en-US"/>
              </w:rPr>
            </w:pPr>
          </w:p>
        </w:tc>
        <w:tc>
          <w:tcPr>
            <w:tcW w:w="425" w:type="dxa"/>
            <w:tcBorders>
              <w:top w:val="single" w:sz="4" w:space="0" w:color="auto"/>
              <w:left w:val="nil"/>
              <w:bottom w:val="single" w:sz="4" w:space="0" w:color="auto"/>
              <w:right w:val="single" w:sz="4" w:space="0" w:color="auto"/>
            </w:tcBorders>
            <w:noWrap/>
          </w:tcPr>
          <w:p w14:paraId="161AB1E1" w14:textId="77777777" w:rsidR="00FB5C94" w:rsidRPr="00CE5EDB" w:rsidRDefault="00FB5C94" w:rsidP="00C11390">
            <w:pPr>
              <w:jc w:val="center"/>
              <w:rPr>
                <w:rFonts w:eastAsiaTheme="minorHAnsi"/>
                <w:sz w:val="18"/>
                <w:szCs w:val="18"/>
                <w:lang w:eastAsia="en-US"/>
              </w:rPr>
            </w:pPr>
          </w:p>
        </w:tc>
        <w:tc>
          <w:tcPr>
            <w:tcW w:w="425" w:type="dxa"/>
            <w:tcBorders>
              <w:top w:val="single" w:sz="4" w:space="0" w:color="auto"/>
              <w:left w:val="nil"/>
              <w:bottom w:val="single" w:sz="4" w:space="0" w:color="auto"/>
              <w:right w:val="single" w:sz="4" w:space="0" w:color="auto"/>
            </w:tcBorders>
            <w:noWrap/>
          </w:tcPr>
          <w:p w14:paraId="1926C1CF" w14:textId="77777777" w:rsidR="00FB5C94" w:rsidRPr="00CE5EDB" w:rsidRDefault="00FB5C94" w:rsidP="00C11390">
            <w:pPr>
              <w:jc w:val="center"/>
              <w:rPr>
                <w:rFonts w:eastAsiaTheme="minorHAnsi"/>
                <w:sz w:val="18"/>
                <w:szCs w:val="18"/>
                <w:lang w:eastAsia="en-US"/>
              </w:rPr>
            </w:pPr>
          </w:p>
        </w:tc>
        <w:tc>
          <w:tcPr>
            <w:tcW w:w="877" w:type="dxa"/>
            <w:tcBorders>
              <w:top w:val="single" w:sz="4" w:space="0" w:color="auto"/>
              <w:left w:val="nil"/>
              <w:bottom w:val="single" w:sz="4" w:space="0" w:color="auto"/>
              <w:right w:val="single" w:sz="4" w:space="0" w:color="auto"/>
            </w:tcBorders>
            <w:noWrap/>
          </w:tcPr>
          <w:p w14:paraId="7EE5D718" w14:textId="77777777" w:rsidR="00FB5C94" w:rsidRPr="00CE5EDB" w:rsidRDefault="00FB5C94" w:rsidP="00C11390">
            <w:pPr>
              <w:jc w:val="center"/>
              <w:rPr>
                <w:rFonts w:eastAsiaTheme="minorHAnsi"/>
                <w:sz w:val="18"/>
                <w:szCs w:val="18"/>
                <w:lang w:eastAsia="en-US"/>
              </w:rPr>
            </w:pPr>
            <w:r w:rsidRPr="00B04C49">
              <w:rPr>
                <w:bCs/>
                <w:color w:val="000000" w:themeColor="text1"/>
                <w:sz w:val="18"/>
                <w:szCs w:val="18"/>
                <w:lang w:val="en-US"/>
              </w:rPr>
              <w:t>OP</w:t>
            </w:r>
            <w:r>
              <w:rPr>
                <w:bCs/>
                <w:color w:val="000000" w:themeColor="text1"/>
                <w:sz w:val="18"/>
                <w:szCs w:val="18"/>
                <w:lang w:val="en-US"/>
              </w:rPr>
              <w:t>7</w:t>
            </w:r>
          </w:p>
        </w:tc>
        <w:tc>
          <w:tcPr>
            <w:tcW w:w="878" w:type="dxa"/>
            <w:tcBorders>
              <w:top w:val="single" w:sz="4" w:space="0" w:color="auto"/>
              <w:left w:val="nil"/>
              <w:bottom w:val="single" w:sz="4" w:space="0" w:color="auto"/>
              <w:right w:val="single" w:sz="4" w:space="0" w:color="auto"/>
            </w:tcBorders>
            <w:noWrap/>
          </w:tcPr>
          <w:p w14:paraId="5279BD10" w14:textId="77777777" w:rsidR="00FB5C94" w:rsidRPr="00CE5EDB" w:rsidRDefault="00FB5C94" w:rsidP="00C11390">
            <w:pPr>
              <w:jc w:val="center"/>
              <w:rPr>
                <w:rFonts w:eastAsiaTheme="minorHAnsi"/>
                <w:sz w:val="18"/>
                <w:szCs w:val="18"/>
                <w:lang w:eastAsia="en-US"/>
              </w:rPr>
            </w:pPr>
            <w:r>
              <w:rPr>
                <w:bCs/>
                <w:color w:val="000000" w:themeColor="text1"/>
                <w:sz w:val="18"/>
                <w:szCs w:val="18"/>
                <w:lang w:val="en-US"/>
              </w:rPr>
              <w:t>+10 °C</w:t>
            </w:r>
          </w:p>
        </w:tc>
        <w:tc>
          <w:tcPr>
            <w:tcW w:w="877" w:type="dxa"/>
            <w:tcBorders>
              <w:top w:val="single" w:sz="4" w:space="0" w:color="auto"/>
              <w:left w:val="nil"/>
              <w:bottom w:val="single" w:sz="4" w:space="0" w:color="auto"/>
              <w:right w:val="single" w:sz="4" w:space="0" w:color="auto"/>
            </w:tcBorders>
            <w:noWrap/>
          </w:tcPr>
          <w:p w14:paraId="2356E6B5" w14:textId="77777777" w:rsidR="00FB5C94" w:rsidRPr="00CE5EDB" w:rsidRDefault="00FB5C94" w:rsidP="00C11390">
            <w:pPr>
              <w:jc w:val="center"/>
              <w:rPr>
                <w:rFonts w:eastAsiaTheme="minorHAnsi"/>
                <w:sz w:val="18"/>
                <w:szCs w:val="18"/>
                <w:lang w:eastAsia="en-US"/>
              </w:rPr>
            </w:pPr>
            <w:r>
              <w:rPr>
                <w:bCs/>
                <w:color w:val="000000" w:themeColor="text1"/>
                <w:sz w:val="18"/>
                <w:szCs w:val="18"/>
                <w:lang w:val="en-US"/>
              </w:rPr>
              <w:t>+15 °C</w:t>
            </w:r>
          </w:p>
        </w:tc>
        <w:tc>
          <w:tcPr>
            <w:tcW w:w="878" w:type="dxa"/>
            <w:tcBorders>
              <w:top w:val="single" w:sz="4" w:space="0" w:color="auto"/>
              <w:left w:val="nil"/>
              <w:bottom w:val="single" w:sz="4" w:space="0" w:color="auto"/>
              <w:right w:val="single" w:sz="4" w:space="0" w:color="auto"/>
            </w:tcBorders>
            <w:noWrap/>
          </w:tcPr>
          <w:p w14:paraId="57DD63B3" w14:textId="77777777" w:rsidR="00FB5C94" w:rsidRPr="00CE5EDB" w:rsidRDefault="00FB5C94" w:rsidP="00C11390">
            <w:pPr>
              <w:jc w:val="center"/>
              <w:rPr>
                <w:rFonts w:eastAsiaTheme="minorHAnsi"/>
                <w:sz w:val="18"/>
                <w:szCs w:val="18"/>
                <w:lang w:eastAsia="en-US"/>
              </w:rPr>
            </w:pPr>
            <w:r>
              <w:rPr>
                <w:bCs/>
                <w:color w:val="000000" w:themeColor="text1"/>
                <w:sz w:val="18"/>
                <w:szCs w:val="18"/>
                <w:lang w:val="en-US"/>
              </w:rPr>
              <w:t>3115</w:t>
            </w:r>
          </w:p>
        </w:tc>
        <w:tc>
          <w:tcPr>
            <w:tcW w:w="878" w:type="dxa"/>
            <w:tcBorders>
              <w:top w:val="single" w:sz="4" w:space="0" w:color="auto"/>
              <w:left w:val="nil"/>
              <w:bottom w:val="single" w:sz="4" w:space="0" w:color="auto"/>
              <w:right w:val="single" w:sz="4" w:space="0" w:color="auto"/>
            </w:tcBorders>
            <w:noWrap/>
          </w:tcPr>
          <w:p w14:paraId="6346C1D6" w14:textId="77777777" w:rsidR="00FB5C94" w:rsidRPr="00CE5EDB" w:rsidRDefault="00FB5C94" w:rsidP="00C11390">
            <w:pPr>
              <w:jc w:val="center"/>
              <w:rPr>
                <w:rFonts w:ascii="Arial" w:eastAsiaTheme="minorHAnsi" w:hAnsi="Arial" w:cs="Arial"/>
                <w:sz w:val="18"/>
                <w:szCs w:val="18"/>
                <w:lang w:eastAsia="en-US"/>
              </w:rPr>
            </w:pPr>
          </w:p>
        </w:tc>
      </w:tr>
      <w:tr w:rsidR="00FB5C94" w:rsidRPr="00CE5EDB" w14:paraId="1831C525" w14:textId="77777777" w:rsidTr="00C11390">
        <w:trPr>
          <w:trHeight w:val="567"/>
        </w:trPr>
        <w:tc>
          <w:tcPr>
            <w:tcW w:w="2547" w:type="dxa"/>
            <w:tcBorders>
              <w:top w:val="single" w:sz="4" w:space="0" w:color="auto"/>
              <w:left w:val="single" w:sz="4" w:space="0" w:color="auto"/>
              <w:bottom w:val="single" w:sz="4" w:space="0" w:color="auto"/>
              <w:right w:val="single" w:sz="4" w:space="0" w:color="auto"/>
            </w:tcBorders>
            <w:hideMark/>
          </w:tcPr>
          <w:p w14:paraId="55ED9071" w14:textId="77777777" w:rsidR="00FB5C94" w:rsidRPr="00CE5EDB" w:rsidRDefault="00FB5C94" w:rsidP="00C11390">
            <w:pPr>
              <w:rPr>
                <w:rFonts w:eastAsiaTheme="minorHAnsi"/>
                <w:bCs/>
                <w:sz w:val="18"/>
                <w:szCs w:val="18"/>
                <w:lang w:eastAsia="en-US"/>
              </w:rPr>
            </w:pPr>
            <w:r w:rsidRPr="003533B3">
              <w:rPr>
                <w:rFonts w:eastAsiaTheme="minorHAnsi"/>
                <w:sz w:val="18"/>
                <w:szCs w:val="18"/>
                <w:lang w:eastAsia="en-US"/>
              </w:rPr>
              <w:t>1,2,4,5,7,8-HEXOXONANE, 3,6,9-TRIMETHYL-3,6,9-tris (Ethyl and Propyl) derivatives</w:t>
            </w:r>
          </w:p>
        </w:tc>
        <w:tc>
          <w:tcPr>
            <w:tcW w:w="708" w:type="dxa"/>
            <w:tcBorders>
              <w:top w:val="single" w:sz="4" w:space="0" w:color="auto"/>
              <w:left w:val="nil"/>
              <w:bottom w:val="single" w:sz="4" w:space="0" w:color="auto"/>
              <w:right w:val="single" w:sz="4" w:space="0" w:color="auto"/>
            </w:tcBorders>
            <w:noWrap/>
          </w:tcPr>
          <w:p w14:paraId="15CB300C" w14:textId="77777777" w:rsidR="00FB5C94" w:rsidRPr="00CE5EDB" w:rsidRDefault="00FB5C94" w:rsidP="00C11390">
            <w:pPr>
              <w:jc w:val="center"/>
              <w:rPr>
                <w:rFonts w:eastAsiaTheme="minorHAnsi"/>
                <w:sz w:val="18"/>
                <w:szCs w:val="18"/>
                <w:lang w:eastAsia="en-US"/>
              </w:rPr>
            </w:pPr>
            <w:r w:rsidRPr="00B04C49">
              <w:rPr>
                <w:color w:val="000000" w:themeColor="text1"/>
                <w:sz w:val="18"/>
                <w:szCs w:val="18"/>
                <w:lang w:val="en-US"/>
              </w:rPr>
              <w:t>≤ 41</w:t>
            </w:r>
          </w:p>
        </w:tc>
        <w:tc>
          <w:tcPr>
            <w:tcW w:w="708" w:type="dxa"/>
            <w:tcBorders>
              <w:top w:val="single" w:sz="4" w:space="0" w:color="auto"/>
              <w:left w:val="nil"/>
              <w:bottom w:val="single" w:sz="4" w:space="0" w:color="auto"/>
              <w:right w:val="single" w:sz="4" w:space="0" w:color="auto"/>
            </w:tcBorders>
            <w:noWrap/>
          </w:tcPr>
          <w:p w14:paraId="2EFEEC8A" w14:textId="77777777" w:rsidR="00FB5C94" w:rsidRPr="00CE5EDB" w:rsidRDefault="00FB5C94" w:rsidP="00C11390">
            <w:pPr>
              <w:jc w:val="center"/>
              <w:rPr>
                <w:rFonts w:eastAsiaTheme="minorHAnsi"/>
                <w:sz w:val="18"/>
                <w:szCs w:val="18"/>
                <w:lang w:eastAsia="en-US"/>
              </w:rPr>
            </w:pPr>
            <w:r w:rsidRPr="00B04C49">
              <w:rPr>
                <w:color w:val="000000" w:themeColor="text1"/>
                <w:sz w:val="18"/>
                <w:szCs w:val="18"/>
                <w:lang w:val="en-US"/>
              </w:rPr>
              <w:t xml:space="preserve">≥ </w:t>
            </w:r>
            <w:r>
              <w:rPr>
                <w:color w:val="000000" w:themeColor="text1"/>
                <w:sz w:val="18"/>
                <w:szCs w:val="18"/>
                <w:lang w:val="en-US"/>
              </w:rPr>
              <w:t>5</w:t>
            </w:r>
            <w:r w:rsidRPr="00B04C49">
              <w:rPr>
                <w:color w:val="000000" w:themeColor="text1"/>
                <w:sz w:val="18"/>
                <w:szCs w:val="18"/>
                <w:lang w:val="en-US"/>
              </w:rPr>
              <w:t>9</w:t>
            </w:r>
          </w:p>
        </w:tc>
        <w:tc>
          <w:tcPr>
            <w:tcW w:w="427" w:type="dxa"/>
            <w:tcBorders>
              <w:top w:val="single" w:sz="4" w:space="0" w:color="auto"/>
              <w:left w:val="nil"/>
              <w:bottom w:val="single" w:sz="4" w:space="0" w:color="auto"/>
              <w:right w:val="single" w:sz="4" w:space="0" w:color="auto"/>
            </w:tcBorders>
            <w:noWrap/>
          </w:tcPr>
          <w:p w14:paraId="04C53C1C" w14:textId="77777777" w:rsidR="00FB5C94" w:rsidRPr="00CE5EDB" w:rsidRDefault="00FB5C94" w:rsidP="00C11390">
            <w:pPr>
              <w:jc w:val="center"/>
              <w:rPr>
                <w:rFonts w:eastAsiaTheme="minorHAnsi"/>
                <w:sz w:val="18"/>
                <w:szCs w:val="18"/>
                <w:lang w:eastAsia="en-US"/>
              </w:rPr>
            </w:pPr>
          </w:p>
        </w:tc>
        <w:tc>
          <w:tcPr>
            <w:tcW w:w="425" w:type="dxa"/>
            <w:tcBorders>
              <w:top w:val="single" w:sz="4" w:space="0" w:color="auto"/>
              <w:left w:val="nil"/>
              <w:bottom w:val="single" w:sz="4" w:space="0" w:color="auto"/>
              <w:right w:val="single" w:sz="4" w:space="0" w:color="auto"/>
            </w:tcBorders>
            <w:noWrap/>
          </w:tcPr>
          <w:p w14:paraId="1D9FA6B6" w14:textId="77777777" w:rsidR="00FB5C94" w:rsidRPr="00CE5EDB" w:rsidRDefault="00FB5C94" w:rsidP="00C11390">
            <w:pPr>
              <w:jc w:val="center"/>
              <w:rPr>
                <w:rFonts w:eastAsiaTheme="minorHAnsi"/>
                <w:sz w:val="18"/>
                <w:szCs w:val="18"/>
                <w:lang w:eastAsia="en-US"/>
              </w:rPr>
            </w:pPr>
          </w:p>
        </w:tc>
        <w:tc>
          <w:tcPr>
            <w:tcW w:w="425" w:type="dxa"/>
            <w:tcBorders>
              <w:top w:val="single" w:sz="4" w:space="0" w:color="auto"/>
              <w:left w:val="nil"/>
              <w:bottom w:val="single" w:sz="4" w:space="0" w:color="auto"/>
              <w:right w:val="single" w:sz="4" w:space="0" w:color="auto"/>
            </w:tcBorders>
            <w:noWrap/>
          </w:tcPr>
          <w:p w14:paraId="10CB51DC" w14:textId="77777777" w:rsidR="00FB5C94" w:rsidRPr="00CE5EDB" w:rsidRDefault="00FB5C94" w:rsidP="00C11390">
            <w:pPr>
              <w:jc w:val="center"/>
              <w:rPr>
                <w:rFonts w:eastAsiaTheme="minorHAnsi"/>
                <w:sz w:val="18"/>
                <w:szCs w:val="18"/>
                <w:lang w:eastAsia="en-US"/>
              </w:rPr>
            </w:pPr>
          </w:p>
        </w:tc>
        <w:tc>
          <w:tcPr>
            <w:tcW w:w="877" w:type="dxa"/>
            <w:tcBorders>
              <w:top w:val="single" w:sz="4" w:space="0" w:color="auto"/>
              <w:left w:val="nil"/>
              <w:bottom w:val="single" w:sz="4" w:space="0" w:color="auto"/>
              <w:right w:val="single" w:sz="4" w:space="0" w:color="auto"/>
            </w:tcBorders>
            <w:noWrap/>
          </w:tcPr>
          <w:p w14:paraId="6310322C" w14:textId="77777777" w:rsidR="00FB5C94" w:rsidRPr="00CE5EDB" w:rsidRDefault="00FB5C94" w:rsidP="00C11390">
            <w:pPr>
              <w:jc w:val="center"/>
              <w:rPr>
                <w:rFonts w:eastAsiaTheme="minorHAnsi"/>
                <w:sz w:val="18"/>
                <w:szCs w:val="18"/>
                <w:lang w:eastAsia="en-US"/>
              </w:rPr>
            </w:pPr>
            <w:r w:rsidRPr="00B04C49">
              <w:rPr>
                <w:color w:val="000000" w:themeColor="text1"/>
                <w:sz w:val="18"/>
                <w:szCs w:val="18"/>
                <w:lang w:val="en-US"/>
              </w:rPr>
              <w:t>OP7</w:t>
            </w:r>
          </w:p>
        </w:tc>
        <w:tc>
          <w:tcPr>
            <w:tcW w:w="878" w:type="dxa"/>
            <w:tcBorders>
              <w:top w:val="single" w:sz="4" w:space="0" w:color="auto"/>
              <w:left w:val="nil"/>
              <w:bottom w:val="single" w:sz="4" w:space="0" w:color="auto"/>
              <w:right w:val="single" w:sz="4" w:space="0" w:color="auto"/>
            </w:tcBorders>
            <w:noWrap/>
          </w:tcPr>
          <w:p w14:paraId="7F61A63C" w14:textId="77777777" w:rsidR="00FB5C94" w:rsidRPr="00CE5EDB" w:rsidRDefault="00FB5C94" w:rsidP="00C11390">
            <w:pPr>
              <w:jc w:val="center"/>
              <w:rPr>
                <w:rFonts w:eastAsiaTheme="minorHAnsi"/>
                <w:sz w:val="18"/>
                <w:szCs w:val="18"/>
                <w:lang w:eastAsia="en-US"/>
              </w:rPr>
            </w:pPr>
          </w:p>
        </w:tc>
        <w:tc>
          <w:tcPr>
            <w:tcW w:w="877" w:type="dxa"/>
            <w:tcBorders>
              <w:top w:val="single" w:sz="4" w:space="0" w:color="auto"/>
              <w:left w:val="nil"/>
              <w:bottom w:val="single" w:sz="4" w:space="0" w:color="auto"/>
              <w:right w:val="single" w:sz="4" w:space="0" w:color="auto"/>
            </w:tcBorders>
            <w:noWrap/>
          </w:tcPr>
          <w:p w14:paraId="60334D59" w14:textId="77777777" w:rsidR="00FB5C94" w:rsidRPr="00CE5EDB" w:rsidRDefault="00FB5C94" w:rsidP="00C11390">
            <w:pPr>
              <w:jc w:val="center"/>
              <w:rPr>
                <w:rFonts w:eastAsiaTheme="minorHAnsi"/>
                <w:sz w:val="18"/>
                <w:szCs w:val="18"/>
                <w:lang w:eastAsia="en-US"/>
              </w:rPr>
            </w:pPr>
          </w:p>
        </w:tc>
        <w:tc>
          <w:tcPr>
            <w:tcW w:w="878" w:type="dxa"/>
            <w:tcBorders>
              <w:top w:val="single" w:sz="4" w:space="0" w:color="auto"/>
              <w:left w:val="nil"/>
              <w:bottom w:val="single" w:sz="4" w:space="0" w:color="auto"/>
              <w:right w:val="single" w:sz="4" w:space="0" w:color="auto"/>
            </w:tcBorders>
            <w:noWrap/>
          </w:tcPr>
          <w:p w14:paraId="2B2B2B6C" w14:textId="77777777" w:rsidR="00FB5C94" w:rsidRPr="00CE5EDB" w:rsidRDefault="00FB5C94" w:rsidP="00C11390">
            <w:pPr>
              <w:jc w:val="center"/>
              <w:rPr>
                <w:rFonts w:eastAsiaTheme="minorHAnsi"/>
                <w:sz w:val="18"/>
                <w:szCs w:val="18"/>
                <w:lang w:eastAsia="en-US"/>
              </w:rPr>
            </w:pPr>
            <w:r w:rsidRPr="00B04C49">
              <w:rPr>
                <w:color w:val="000000" w:themeColor="text1"/>
                <w:sz w:val="18"/>
                <w:szCs w:val="18"/>
                <w:lang w:val="en-US"/>
              </w:rPr>
              <w:t>3105</w:t>
            </w:r>
          </w:p>
        </w:tc>
        <w:tc>
          <w:tcPr>
            <w:tcW w:w="878" w:type="dxa"/>
            <w:tcBorders>
              <w:top w:val="single" w:sz="4" w:space="0" w:color="auto"/>
              <w:left w:val="nil"/>
              <w:bottom w:val="single" w:sz="4" w:space="0" w:color="auto"/>
              <w:right w:val="single" w:sz="4" w:space="0" w:color="auto"/>
            </w:tcBorders>
            <w:noWrap/>
          </w:tcPr>
          <w:p w14:paraId="322D8AC7" w14:textId="77777777" w:rsidR="00FB5C94" w:rsidRPr="00CE5EDB" w:rsidRDefault="00FB5C94" w:rsidP="00C11390">
            <w:pPr>
              <w:jc w:val="center"/>
              <w:rPr>
                <w:rFonts w:eastAsiaTheme="minorHAnsi"/>
                <w:sz w:val="18"/>
                <w:szCs w:val="18"/>
                <w:lang w:eastAsia="en-US"/>
              </w:rPr>
            </w:pPr>
            <w:r>
              <w:rPr>
                <w:color w:val="000000" w:themeColor="text1"/>
                <w:sz w:val="18"/>
                <w:szCs w:val="18"/>
                <w:lang w:val="en-US"/>
              </w:rPr>
              <w:t>35)</w:t>
            </w:r>
          </w:p>
        </w:tc>
      </w:tr>
    </w:tbl>
    <w:p w14:paraId="4864CF8B" w14:textId="77777777" w:rsidR="00FB5C94" w:rsidRDefault="00FB5C94" w:rsidP="00FB5C94">
      <w:pPr>
        <w:spacing w:before="120" w:after="120"/>
        <w:ind w:left="2268" w:right="1134" w:hanging="1134"/>
        <w:jc w:val="both"/>
      </w:pPr>
      <w:r>
        <w:tab/>
        <w:t>The amendment to note 34) does not apply to the English version.</w:t>
      </w:r>
    </w:p>
    <w:p w14:paraId="5E7ADCB0" w14:textId="77777777" w:rsidR="00FB5C94" w:rsidRPr="00CE5EDB" w:rsidRDefault="00FB5C94" w:rsidP="00FB5C94">
      <w:pPr>
        <w:spacing w:after="120"/>
        <w:ind w:left="2268" w:right="1134" w:hanging="1134"/>
        <w:jc w:val="both"/>
      </w:pPr>
      <w:r w:rsidRPr="00CE5EDB">
        <w:tab/>
        <w:t xml:space="preserve">After the </w:t>
      </w:r>
      <w:r w:rsidRPr="00AF0FFE">
        <w:rPr>
          <w:rFonts w:asciiTheme="majorBidi" w:hAnsiTheme="majorBidi" w:cstheme="majorBidi"/>
        </w:rPr>
        <w:t>table</w:t>
      </w:r>
      <w:r w:rsidRPr="00CE5EDB">
        <w:t>, add the following new remark:</w:t>
      </w:r>
    </w:p>
    <w:p w14:paraId="2A7139EF" w14:textId="77777777" w:rsidR="00FB5C94" w:rsidRPr="00CE5EDB" w:rsidRDefault="00FB5C94" w:rsidP="00FB5C94">
      <w:pPr>
        <w:pStyle w:val="SingleTxtG"/>
        <w:tabs>
          <w:tab w:val="clear" w:pos="1701"/>
        </w:tabs>
        <w:ind w:left="2268" w:hanging="1134"/>
      </w:pPr>
      <w:r w:rsidRPr="00CE5EDB">
        <w:tab/>
        <w:t>“</w:t>
      </w:r>
      <w:r w:rsidRPr="0032675D">
        <w:rPr>
          <w:rFonts w:hint="eastAsia"/>
          <w:i/>
          <w:iCs/>
        </w:rPr>
        <w:t>35) Available oxygen</w:t>
      </w:r>
      <w:r w:rsidRPr="0032675D">
        <w:rPr>
          <w:i/>
          <w:iCs/>
        </w:rPr>
        <w:t xml:space="preserve"> ≤ </w:t>
      </w:r>
      <w:r w:rsidRPr="0032675D">
        <w:rPr>
          <w:rFonts w:hint="eastAsia"/>
          <w:i/>
          <w:iCs/>
        </w:rPr>
        <w:t>7.3 %</w:t>
      </w:r>
      <w:r w:rsidRPr="0032675D">
        <w:rPr>
          <w:i/>
          <w:iCs/>
        </w:rPr>
        <w:t>.</w:t>
      </w:r>
      <w:r w:rsidRPr="00CE5EDB">
        <w:t>”</w:t>
      </w:r>
    </w:p>
    <w:p w14:paraId="54C8522D"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240565B6" w14:textId="77777777" w:rsidR="00FB5C94" w:rsidRPr="00FF3E52" w:rsidRDefault="00FB5C94" w:rsidP="00FB5C94">
      <w:pPr>
        <w:pStyle w:val="H1G"/>
      </w:pPr>
      <w:r>
        <w:tab/>
      </w:r>
      <w:r>
        <w:tab/>
        <w:t>Chapter 2.6</w:t>
      </w:r>
    </w:p>
    <w:p w14:paraId="7E1BB707" w14:textId="77777777" w:rsidR="00FB5C94" w:rsidRPr="000934D7" w:rsidRDefault="00FB5C94" w:rsidP="00FB5C94">
      <w:pPr>
        <w:spacing w:after="120"/>
        <w:ind w:left="2268" w:right="1134" w:hanging="1134"/>
        <w:jc w:val="both"/>
      </w:pPr>
      <w:r>
        <w:t>2.6.2.2.4.1</w:t>
      </w:r>
      <w:r>
        <w:tab/>
        <w:t xml:space="preserve">In the </w:t>
      </w:r>
      <w:r w:rsidRPr="0032754C">
        <w:rPr>
          <w:rFonts w:asciiTheme="majorBidi" w:hAnsiTheme="majorBidi" w:cstheme="majorBidi"/>
        </w:rPr>
        <w:t>note</w:t>
      </w:r>
      <w:r>
        <w:t>, after “</w:t>
      </w:r>
      <w:r>
        <w:rPr>
          <w:i/>
          <w:iCs/>
        </w:rPr>
        <w:t>Substances</w:t>
      </w:r>
      <w:r>
        <w:t>” add “</w:t>
      </w:r>
      <w:r w:rsidRPr="0078702D">
        <w:rPr>
          <w:i/>
          <w:iCs/>
        </w:rPr>
        <w:t>or</w:t>
      </w:r>
      <w:r>
        <w:t xml:space="preserve"> </w:t>
      </w:r>
      <w:r w:rsidRPr="007630B3">
        <w:rPr>
          <w:i/>
          <w:iCs/>
        </w:rPr>
        <w:t>mixtures</w:t>
      </w:r>
      <w:r>
        <w:t>” and replace “</w:t>
      </w:r>
      <w:r w:rsidRPr="008C3DB8">
        <w:rPr>
          <w:i/>
          <w:iCs/>
        </w:rPr>
        <w:t>(see 2.8.2.4)</w:t>
      </w:r>
      <w:r>
        <w:t>” “</w:t>
      </w:r>
      <w:r w:rsidRPr="007630B3">
        <w:rPr>
          <w:i/>
          <w:iCs/>
        </w:rPr>
        <w:t xml:space="preserve">(see </w:t>
      </w:r>
      <w:r>
        <w:rPr>
          <w:i/>
          <w:iCs/>
        </w:rPr>
        <w:t>foot</w:t>
      </w:r>
      <w:r w:rsidRPr="007630B3">
        <w:rPr>
          <w:i/>
          <w:iCs/>
        </w:rPr>
        <w:t xml:space="preserve">note </w:t>
      </w:r>
      <w:r>
        <w:rPr>
          <w:i/>
          <w:iCs/>
        </w:rPr>
        <w:t>3 in 2.0.3.1</w:t>
      </w:r>
      <w:r w:rsidRPr="007630B3">
        <w:rPr>
          <w:i/>
          <w:iCs/>
        </w:rPr>
        <w:t xml:space="preserve"> and 2.8.2.4)</w:t>
      </w:r>
      <w:r>
        <w:t>”.</w:t>
      </w:r>
    </w:p>
    <w:p w14:paraId="0849856D"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07906012" w14:textId="77777777" w:rsidR="00FB5C94" w:rsidRPr="001C22A9" w:rsidRDefault="00FB5C94" w:rsidP="00FB5C94">
      <w:pPr>
        <w:pStyle w:val="SingleTxtG"/>
        <w:tabs>
          <w:tab w:val="clear" w:pos="1701"/>
          <w:tab w:val="clear" w:pos="2268"/>
          <w:tab w:val="clear" w:pos="2835"/>
        </w:tabs>
        <w:ind w:left="2268" w:hanging="1134"/>
      </w:pPr>
      <w:r w:rsidRPr="001C22A9">
        <w:t>[2.6.3.2.2</w:t>
      </w:r>
      <w:r w:rsidRPr="001C22A9">
        <w:tab/>
        <w:t>Replace “the following categories:” by “categories A and B.”.]</w:t>
      </w:r>
    </w:p>
    <w:p w14:paraId="48C2523A"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61D9640B" w14:textId="77777777" w:rsidR="00FB5C94" w:rsidRPr="001C22A9" w:rsidRDefault="00FB5C94" w:rsidP="00FB5C94">
      <w:pPr>
        <w:pStyle w:val="SingleTxtG"/>
        <w:tabs>
          <w:tab w:val="clear" w:pos="1701"/>
          <w:tab w:val="clear" w:pos="2268"/>
          <w:tab w:val="clear" w:pos="2835"/>
        </w:tabs>
        <w:ind w:left="2268" w:hanging="1134"/>
      </w:pPr>
      <w:r w:rsidRPr="001C22A9">
        <w:t>[2.6.3.2.2.1</w:t>
      </w:r>
      <w:r w:rsidRPr="001C22A9">
        <w:tab/>
        <w:t>Amend the text before the table to read as follows:</w:t>
      </w:r>
    </w:p>
    <w:p w14:paraId="6BDFE631" w14:textId="77777777" w:rsidR="00FB5C94" w:rsidRPr="001C22A9" w:rsidRDefault="00FB5C94" w:rsidP="00FB5C94">
      <w:pPr>
        <w:pStyle w:val="SingleTxtG"/>
        <w:ind w:left="2268" w:hanging="1134"/>
      </w:pPr>
      <w:r w:rsidRPr="001C22A9">
        <w:t>“2.6.3.2.2.1</w:t>
      </w:r>
      <w:r w:rsidRPr="001C22A9">
        <w:tab/>
        <w:t>Category A</w:t>
      </w:r>
    </w:p>
    <w:p w14:paraId="078ECABC" w14:textId="77777777" w:rsidR="00FB5C94" w:rsidRPr="001C22A9" w:rsidRDefault="00FB5C94" w:rsidP="00FB5C94">
      <w:pPr>
        <w:pStyle w:val="SingleTxtG"/>
        <w:tabs>
          <w:tab w:val="clear" w:pos="1701"/>
          <w:tab w:val="clear" w:pos="2268"/>
          <w:tab w:val="clear" w:pos="2835"/>
        </w:tabs>
        <w:ind w:firstLine="1134"/>
      </w:pPr>
      <w:r w:rsidRPr="001C22A9">
        <w:t>An infectious substance which is transported in a form that, when exposure to it occurs, is capable of causing permanent disability, life-threatening or fatal disease in otherwise healthy humans or animals is assigned to Category A. Indicative examples of substances that meet these criteria are given in the table in this paragraph.</w:t>
      </w:r>
    </w:p>
    <w:p w14:paraId="0C043530" w14:textId="77777777" w:rsidR="00FB5C94" w:rsidRPr="001C22A9" w:rsidRDefault="00FB5C94" w:rsidP="00FB5C94">
      <w:pPr>
        <w:pStyle w:val="SingleTxtG"/>
        <w:tabs>
          <w:tab w:val="clear" w:pos="1701"/>
          <w:tab w:val="clear" w:pos="2268"/>
          <w:tab w:val="clear" w:pos="2835"/>
        </w:tabs>
        <w:ind w:firstLine="1134"/>
      </w:pPr>
      <w:r w:rsidRPr="001C22A9">
        <w:t>Infectious substances meeting these criteria which cause disease in humans or both in humans and animals shall be assigned to UN 2814. Infectious substances which cause disease only in animals shall be assigned to UN 2900.</w:t>
      </w:r>
    </w:p>
    <w:p w14:paraId="18793055" w14:textId="77777777" w:rsidR="00FB5C94" w:rsidRPr="001C22A9" w:rsidRDefault="00FB5C94" w:rsidP="00FB5C94">
      <w:pPr>
        <w:pStyle w:val="SingleTxtG"/>
        <w:tabs>
          <w:tab w:val="clear" w:pos="1701"/>
          <w:tab w:val="clear" w:pos="2268"/>
          <w:tab w:val="clear" w:pos="2835"/>
        </w:tabs>
        <w:ind w:firstLine="1134"/>
      </w:pPr>
      <w:r w:rsidRPr="001C22A9">
        <w:t xml:space="preserve">Assignment to UN Nos. 2814 or 2900 shall be based on the known medical history and symptoms of the source human or animal, endemic local conditions, or professional judgement concerning individual circumstances of the source human or animal. </w:t>
      </w:r>
    </w:p>
    <w:p w14:paraId="7C3FE1B3" w14:textId="77777777" w:rsidR="00FB5C94" w:rsidRPr="001C22A9" w:rsidRDefault="00FB5C94" w:rsidP="00FB5C94">
      <w:pPr>
        <w:pStyle w:val="SingleTxtG"/>
        <w:tabs>
          <w:tab w:val="clear" w:pos="1701"/>
          <w:tab w:val="clear" w:pos="2268"/>
          <w:tab w:val="clear" w:pos="2835"/>
        </w:tabs>
        <w:ind w:firstLine="1134"/>
      </w:pPr>
      <w:r w:rsidRPr="001C22A9">
        <w:lastRenderedPageBreak/>
        <w:t>The following table is not exhaustive. Infectious substances, including new or emerging pathogens, which do not appear in the table but which meet the same criteria shall be assigned to Category A. In addition, if there is doubt as to whether or not a substance meets the criteria it shall be included in Category A. To address emerging health situations, more up-to-date information on the applicable categories can be obtained from human and animal health inter-governmental organizations and national authorities.</w:t>
      </w:r>
    </w:p>
    <w:p w14:paraId="39C29267" w14:textId="77777777" w:rsidR="00FB5C94" w:rsidRPr="001C22A9" w:rsidRDefault="00FB5C94" w:rsidP="00FB5C94">
      <w:pPr>
        <w:pStyle w:val="SingleTxtG"/>
        <w:ind w:left="2268" w:hanging="1134"/>
        <w:rPr>
          <w:i/>
          <w:iCs/>
        </w:rPr>
      </w:pPr>
      <w:r w:rsidRPr="001C22A9">
        <w:rPr>
          <w:b/>
          <w:bCs/>
          <w:i/>
          <w:iCs/>
        </w:rPr>
        <w:t>NOTE 1:</w:t>
      </w:r>
      <w:r w:rsidRPr="001C22A9">
        <w:rPr>
          <w:i/>
          <w:iCs/>
        </w:rPr>
        <w:tab/>
        <w:t>An exposure occurs when an infectious substance is released outside of the protective packaging, resulting in physical contact with humans or animals.</w:t>
      </w:r>
    </w:p>
    <w:p w14:paraId="7877555A" w14:textId="77777777" w:rsidR="00FB5C94" w:rsidRPr="001C22A9" w:rsidRDefault="00FB5C94" w:rsidP="00FB5C94">
      <w:pPr>
        <w:pStyle w:val="SingleTxtG"/>
        <w:ind w:left="2268" w:hanging="1134"/>
        <w:rPr>
          <w:i/>
          <w:iCs/>
        </w:rPr>
      </w:pPr>
      <w:r w:rsidRPr="001C22A9">
        <w:rPr>
          <w:b/>
          <w:bCs/>
          <w:i/>
          <w:iCs/>
        </w:rPr>
        <w:t>NOTE 2:</w:t>
      </w:r>
      <w:r w:rsidRPr="001C22A9">
        <w:rPr>
          <w:i/>
          <w:iCs/>
        </w:rPr>
        <w:tab/>
        <w:t>The proper shipping name for UN 2814 is INFECTIOUS SUBSTANCE, AFFECTING HUMANS. The proper shipping name for UN 2900 is INFECTIOUS SUBSTANCE, AFFECTING ANIMALS only.</w:t>
      </w:r>
    </w:p>
    <w:p w14:paraId="15125908" w14:textId="77777777" w:rsidR="00FB5C94" w:rsidRPr="001C22A9" w:rsidRDefault="00FB5C94" w:rsidP="00FB5C94">
      <w:pPr>
        <w:pStyle w:val="SingleTxtG"/>
        <w:tabs>
          <w:tab w:val="clear" w:pos="1701"/>
          <w:tab w:val="clear" w:pos="2268"/>
          <w:tab w:val="clear" w:pos="2835"/>
        </w:tabs>
        <w:ind w:left="2268" w:hanging="1134"/>
        <w:rPr>
          <w:i/>
          <w:iCs/>
        </w:rPr>
      </w:pPr>
      <w:r w:rsidRPr="001C22A9">
        <w:rPr>
          <w:b/>
          <w:bCs/>
          <w:i/>
          <w:iCs/>
        </w:rPr>
        <w:t>NOTE 3:</w:t>
      </w:r>
      <w:r w:rsidRPr="001C22A9">
        <w:rPr>
          <w:i/>
          <w:iCs/>
        </w:rPr>
        <w:tab/>
        <w:t>The microorganisms written in italics in the following table are bacteria or fungi.</w:t>
      </w:r>
      <w:r w:rsidRPr="001C22A9">
        <w:t>”</w:t>
      </w:r>
    </w:p>
    <w:p w14:paraId="7BEE3AC7" w14:textId="77777777" w:rsidR="00FB5C94" w:rsidRPr="001C22A9" w:rsidRDefault="00FB5C94" w:rsidP="00FB5C94">
      <w:pPr>
        <w:pStyle w:val="SingleTxtG"/>
        <w:tabs>
          <w:tab w:val="clear" w:pos="1701"/>
          <w:tab w:val="clear" w:pos="2268"/>
          <w:tab w:val="clear" w:pos="2835"/>
        </w:tabs>
        <w:ind w:left="2268" w:hanging="1134"/>
      </w:pPr>
      <w:r w:rsidRPr="001C22A9">
        <w:tab/>
        <w:t>In the heading of the table, delete “(2.6.3.2.2.1 (a))”.]</w:t>
      </w:r>
    </w:p>
    <w:p w14:paraId="7D51F14E"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4BA337D8" w14:textId="68FB78E0" w:rsidR="00FB5C94" w:rsidRPr="001C22A9" w:rsidRDefault="00FB5C94" w:rsidP="00FB5C94">
      <w:pPr>
        <w:pStyle w:val="SingleTxtG"/>
        <w:rPr>
          <w:i/>
          <w:iCs/>
        </w:rPr>
      </w:pPr>
      <w:r w:rsidRPr="001C22A9">
        <w:rPr>
          <w:b/>
          <w:bCs/>
          <w:i/>
          <w:iCs/>
        </w:rPr>
        <w:t>Note</w:t>
      </w:r>
      <w:r>
        <w:rPr>
          <w:b/>
          <w:bCs/>
          <w:i/>
          <w:iCs/>
        </w:rPr>
        <w:t xml:space="preserve"> from the secretariat</w:t>
      </w:r>
      <w:r w:rsidRPr="001C22A9">
        <w:rPr>
          <w:b/>
          <w:bCs/>
          <w:i/>
          <w:iCs/>
        </w:rPr>
        <w:t>:</w:t>
      </w:r>
      <w:r w:rsidRPr="001C22A9">
        <w:rPr>
          <w:i/>
          <w:iCs/>
        </w:rPr>
        <w:t xml:space="preserve"> the square brackets apply only to the editorial amendments from informal document INF.68/Rev.1</w:t>
      </w:r>
      <w:r>
        <w:rPr>
          <w:i/>
          <w:iCs/>
        </w:rPr>
        <w:t xml:space="preserve"> of the sixty-fourth session</w:t>
      </w:r>
      <w:r w:rsidRPr="001C22A9">
        <w:rPr>
          <w:i/>
          <w:iCs/>
        </w:rPr>
        <w:t>. They do not apply to the amendments from informal document INF.58/Rev.1</w:t>
      </w:r>
      <w:r>
        <w:rPr>
          <w:i/>
          <w:iCs/>
        </w:rPr>
        <w:t xml:space="preserve"> of the sixty-fourth  session</w:t>
      </w:r>
      <w:r w:rsidRPr="001C22A9">
        <w:rPr>
          <w:i/>
          <w:iCs/>
        </w:rPr>
        <w:t>.</w:t>
      </w:r>
    </w:p>
    <w:p w14:paraId="4FA232B5" w14:textId="77777777" w:rsidR="00FB5C94" w:rsidRPr="001C22A9" w:rsidRDefault="00FB5C94" w:rsidP="00FB5C94">
      <w:pPr>
        <w:pStyle w:val="SingleTxtG"/>
        <w:tabs>
          <w:tab w:val="clear" w:pos="1701"/>
          <w:tab w:val="clear" w:pos="2268"/>
          <w:tab w:val="clear" w:pos="2835"/>
        </w:tabs>
        <w:ind w:left="2268" w:hanging="1134"/>
      </w:pPr>
      <w:r w:rsidRPr="001C22A9">
        <w:t>[2.6.3.2.2.</w:t>
      </w:r>
      <w:r>
        <w:t>2</w:t>
      </w:r>
      <w:r w:rsidRPr="001C22A9">
        <w:tab/>
        <w:t>Amend the text before the note to read as follows:</w:t>
      </w:r>
    </w:p>
    <w:p w14:paraId="1C803068" w14:textId="77777777" w:rsidR="00FB5C94" w:rsidRPr="001C22A9" w:rsidRDefault="00FB5C94" w:rsidP="00FB5C94">
      <w:pPr>
        <w:pStyle w:val="SingleTxtG"/>
        <w:ind w:left="2268" w:hanging="1134"/>
      </w:pPr>
      <w:r w:rsidRPr="001C22A9">
        <w:t>“2.6.3.2.2.2</w:t>
      </w:r>
      <w:r w:rsidRPr="001C22A9">
        <w:tab/>
        <w:t>Category B</w:t>
      </w:r>
    </w:p>
    <w:p w14:paraId="7CCDD9C6" w14:textId="77777777" w:rsidR="00FB5C94" w:rsidRPr="001C22A9" w:rsidRDefault="00FB5C94" w:rsidP="00FB5C94">
      <w:pPr>
        <w:pStyle w:val="SingleTxtG"/>
        <w:tabs>
          <w:tab w:val="clear" w:pos="1701"/>
          <w:tab w:val="clear" w:pos="2268"/>
          <w:tab w:val="clear" w:pos="2835"/>
        </w:tabs>
        <w:ind w:firstLine="1134"/>
      </w:pPr>
      <w:r w:rsidRPr="001C22A9">
        <w:t>An infectious substance which does not meet the criteria for inclusion in Category A is assigned to Category B. Infectious substances in Category B shall be assigned to UN 3373.”]</w:t>
      </w:r>
    </w:p>
    <w:p w14:paraId="00287286"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2ABE403E" w14:textId="77777777" w:rsidR="00FB5C94" w:rsidRPr="00FF3E52" w:rsidRDefault="00FB5C94" w:rsidP="00FB5C94">
      <w:pPr>
        <w:pStyle w:val="H1G"/>
      </w:pPr>
      <w:r>
        <w:tab/>
      </w:r>
      <w:r>
        <w:tab/>
        <w:t>Chapter 2.8</w:t>
      </w:r>
    </w:p>
    <w:p w14:paraId="5FB361E4" w14:textId="384FB2C0" w:rsidR="00FB5C94" w:rsidRPr="000934D7" w:rsidRDefault="00FB5C94" w:rsidP="00FB5C94">
      <w:pPr>
        <w:spacing w:after="120"/>
        <w:ind w:left="2268" w:right="1134" w:hanging="1134"/>
        <w:jc w:val="both"/>
      </w:pPr>
      <w:r>
        <w:t>2.8.2.4</w:t>
      </w:r>
      <w:r>
        <w:tab/>
      </w:r>
      <w:r w:rsidRPr="001C1C21">
        <w:t>Replace</w:t>
      </w:r>
      <w:r>
        <w:t xml:space="preserve"> “</w:t>
      </w:r>
      <w:r>
        <w:rPr>
          <w:i/>
          <w:iCs/>
        </w:rPr>
        <w:t>A substance or mixture</w:t>
      </w:r>
      <w:r>
        <w:t>” by “</w:t>
      </w:r>
      <w:r>
        <w:rPr>
          <w:i/>
          <w:iCs/>
        </w:rPr>
        <w:t xml:space="preserve">Substances </w:t>
      </w:r>
      <w:r w:rsidRPr="0078702D">
        <w:rPr>
          <w:i/>
          <w:iCs/>
        </w:rPr>
        <w:t>or</w:t>
      </w:r>
      <w:r>
        <w:t xml:space="preserve"> </w:t>
      </w:r>
      <w:r w:rsidRPr="007630B3">
        <w:rPr>
          <w:i/>
          <w:iCs/>
        </w:rPr>
        <w:t>mixtures</w:t>
      </w:r>
      <w:r>
        <w:t>”. After “</w:t>
      </w:r>
      <w:r w:rsidRPr="007630B3">
        <w:rPr>
          <w:i/>
          <w:iCs/>
        </w:rPr>
        <w:t>ingestion</w:t>
      </w:r>
      <w:r>
        <w:t>”, replace “</w:t>
      </w:r>
      <w:r w:rsidRPr="007630B3">
        <w:rPr>
          <w:i/>
          <w:iCs/>
        </w:rPr>
        <w:t>or</w:t>
      </w:r>
      <w:r>
        <w:t>”, by “</w:t>
      </w:r>
      <w:r w:rsidRPr="007630B3">
        <w:rPr>
          <w:i/>
          <w:iCs/>
        </w:rPr>
        <w:t>and</w:t>
      </w:r>
      <w:r>
        <w:t>”. At the end,  replace “</w:t>
      </w:r>
      <w:r w:rsidRPr="008C3DB8">
        <w:rPr>
          <w:i/>
          <w:iCs/>
        </w:rPr>
        <w:t xml:space="preserve">(see </w:t>
      </w:r>
      <w:r w:rsidRPr="009F0E28">
        <w:rPr>
          <w:i/>
          <w:iCs/>
        </w:rPr>
        <w:t>note under 2.6.2.2.4.1</w:t>
      </w:r>
      <w:r w:rsidRPr="008C3DB8">
        <w:rPr>
          <w:i/>
          <w:iCs/>
        </w:rPr>
        <w:t>)</w:t>
      </w:r>
      <w:r>
        <w:t>” “</w:t>
      </w:r>
      <w:r w:rsidRPr="007630B3">
        <w:rPr>
          <w:i/>
          <w:iCs/>
        </w:rPr>
        <w:t xml:space="preserve">(see </w:t>
      </w:r>
      <w:r>
        <w:rPr>
          <w:i/>
          <w:iCs/>
        </w:rPr>
        <w:t>foot</w:t>
      </w:r>
      <w:r w:rsidRPr="007630B3">
        <w:rPr>
          <w:i/>
          <w:iCs/>
        </w:rPr>
        <w:t xml:space="preserve">note </w:t>
      </w:r>
      <w:r>
        <w:rPr>
          <w:i/>
          <w:iCs/>
        </w:rPr>
        <w:t>3 in 2.0.3.1</w:t>
      </w:r>
      <w:r w:rsidRPr="007630B3">
        <w:rPr>
          <w:i/>
          <w:iCs/>
        </w:rPr>
        <w:t xml:space="preserve"> and </w:t>
      </w:r>
      <w:r w:rsidRPr="00C80F13">
        <w:rPr>
          <w:i/>
          <w:iCs/>
        </w:rPr>
        <w:t>note under 2.6.2.2.4.1</w:t>
      </w:r>
      <w:r w:rsidRPr="007630B3">
        <w:rPr>
          <w:i/>
          <w:iCs/>
        </w:rPr>
        <w:t>)</w:t>
      </w:r>
      <w:r>
        <w:t>”.</w:t>
      </w:r>
    </w:p>
    <w:p w14:paraId="7FBF481B"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683E43AB" w14:textId="77777777" w:rsidR="00FB5C94" w:rsidRDefault="00FB5C94" w:rsidP="00FB5C94">
      <w:pPr>
        <w:pStyle w:val="H1G"/>
      </w:pPr>
      <w:r>
        <w:tab/>
      </w:r>
      <w:r>
        <w:tab/>
        <w:t>Chapter 2.9</w:t>
      </w:r>
    </w:p>
    <w:p w14:paraId="37B6EDBC" w14:textId="77777777" w:rsidR="00FB5C94" w:rsidRPr="001C22A9" w:rsidRDefault="00FB5C94" w:rsidP="00FB5C94">
      <w:pPr>
        <w:pStyle w:val="SingleTxtG"/>
        <w:tabs>
          <w:tab w:val="clear" w:pos="1701"/>
          <w:tab w:val="clear" w:pos="2268"/>
          <w:tab w:val="clear" w:pos="2835"/>
        </w:tabs>
        <w:ind w:left="2268" w:hanging="1134"/>
      </w:pPr>
      <w:r w:rsidRPr="001C22A9">
        <w:t>2.9.2</w:t>
      </w:r>
      <w:r w:rsidRPr="001C22A9">
        <w:tab/>
        <w:t>Under “</w:t>
      </w:r>
      <w:r w:rsidRPr="001C22A9">
        <w:rPr>
          <w:b/>
          <w:bCs/>
          <w:i/>
          <w:iCs/>
        </w:rPr>
        <w:t>Sodium ion batteries</w:t>
      </w:r>
      <w:r w:rsidRPr="001C22A9">
        <w:t>”,</w:t>
      </w:r>
      <w:r>
        <w:t xml:space="preserve"> split the entry of UN 3552 into two lines as follows:</w:t>
      </w:r>
    </w:p>
    <w:p w14:paraId="7FCB0D60" w14:textId="77777777" w:rsidR="00FB5C94" w:rsidRDefault="00FB5C94" w:rsidP="00FB5C94">
      <w:pPr>
        <w:pStyle w:val="SingleTxtG"/>
        <w:tabs>
          <w:tab w:val="clear" w:pos="1701"/>
          <w:tab w:val="clear" w:pos="2268"/>
          <w:tab w:val="clear" w:pos="2835"/>
        </w:tabs>
        <w:ind w:left="2268" w:hanging="1134"/>
      </w:pPr>
      <w:r w:rsidRPr="001C22A9">
        <w:t>“</w:t>
      </w:r>
      <w:r w:rsidRPr="00B321E5">
        <w:t>3552</w:t>
      </w:r>
      <w:r>
        <w:tab/>
      </w:r>
      <w:r w:rsidRPr="00B321E5">
        <w:t>SODIUM ION BATTERIES CONTAINED IN EQUIPMENT or</w:t>
      </w:r>
    </w:p>
    <w:p w14:paraId="2BCD120A" w14:textId="77777777" w:rsidR="00FB5C94" w:rsidRPr="001C22A9" w:rsidRDefault="00FB5C94" w:rsidP="00FB5C94">
      <w:pPr>
        <w:pStyle w:val="SingleTxtG"/>
        <w:tabs>
          <w:tab w:val="clear" w:pos="1701"/>
          <w:tab w:val="clear" w:pos="2268"/>
          <w:tab w:val="clear" w:pos="2835"/>
        </w:tabs>
        <w:ind w:left="2268" w:hanging="1134"/>
      </w:pPr>
      <w:r>
        <w:t>3552</w:t>
      </w:r>
      <w:r>
        <w:tab/>
      </w:r>
      <w:r w:rsidRPr="00B321E5">
        <w:t>SODIUM ION BATTERIES PACKED WITH EQUIPMENT, with organic electrolyte</w:t>
      </w:r>
      <w:r w:rsidRPr="001C22A9">
        <w:t>”</w:t>
      </w:r>
    </w:p>
    <w:p w14:paraId="7539CE57" w14:textId="20F81D05" w:rsidR="00FB5C94" w:rsidRPr="001C22A9" w:rsidRDefault="00FB5C94" w:rsidP="00FB5C94">
      <w:pPr>
        <w:pStyle w:val="SingleTxtG"/>
        <w:tabs>
          <w:tab w:val="clear" w:pos="1701"/>
          <w:tab w:val="clear" w:pos="2268"/>
          <w:tab w:val="clear" w:pos="2835"/>
        </w:tabs>
        <w:ind w:left="2268" w:hanging="1134"/>
      </w:pPr>
      <w:r>
        <w:tab/>
        <w:t>A</w:t>
      </w:r>
      <w:r w:rsidRPr="001C22A9">
        <w:t xml:space="preserve">fter the </w:t>
      </w:r>
      <w:r>
        <w:t>lines</w:t>
      </w:r>
      <w:r w:rsidRPr="001C22A9">
        <w:t xml:space="preserve"> for UN 3552 add a new entry to read as follows:</w:t>
      </w:r>
    </w:p>
    <w:p w14:paraId="45ADCF19" w14:textId="77777777" w:rsidR="00FB5C94" w:rsidRPr="001C22A9" w:rsidRDefault="00FB5C94" w:rsidP="00FB5C94">
      <w:pPr>
        <w:pStyle w:val="SingleTxtG"/>
        <w:tabs>
          <w:tab w:val="clear" w:pos="1701"/>
          <w:tab w:val="clear" w:pos="2268"/>
          <w:tab w:val="clear" w:pos="2835"/>
        </w:tabs>
        <w:ind w:left="2268" w:hanging="1134"/>
      </w:pPr>
      <w:r w:rsidRPr="001C22A9">
        <w:t>“3536</w:t>
      </w:r>
      <w:r w:rsidRPr="001C22A9">
        <w:tab/>
        <w:t>SODIUM ION BATTERIES INSTALLED IN CARGO TRANSPORT UNIT”</w:t>
      </w:r>
    </w:p>
    <w:p w14:paraId="37EED6B6" w14:textId="77777777" w:rsidR="00FB5C94" w:rsidRPr="00843762" w:rsidRDefault="00FB5C94" w:rsidP="00FB5C94">
      <w:pPr>
        <w:pStyle w:val="SingleTxtG"/>
        <w:rPr>
          <w:i/>
          <w:iCs/>
        </w:rPr>
      </w:pPr>
      <w:r w:rsidRPr="00804977">
        <w:rPr>
          <w:i/>
          <w:iCs/>
        </w:rPr>
        <w:t xml:space="preserve">(Reference document: </w:t>
      </w:r>
      <w:r>
        <w:rPr>
          <w:i/>
          <w:iCs/>
        </w:rPr>
        <w:t>ST/SG/AC.10/C.3/128, Annex II and additional editorial modification</w:t>
      </w:r>
      <w:r w:rsidRPr="00804977">
        <w:rPr>
          <w:i/>
          <w:iCs/>
        </w:rPr>
        <w:t>)</w:t>
      </w:r>
    </w:p>
    <w:p w14:paraId="60AFDBC8" w14:textId="77777777" w:rsidR="00FB5C94" w:rsidRDefault="00FB5C94" w:rsidP="00FB5C94">
      <w:pPr>
        <w:pStyle w:val="SingleTxtG"/>
        <w:tabs>
          <w:tab w:val="clear" w:pos="1701"/>
        </w:tabs>
        <w:ind w:left="2268" w:hanging="1134"/>
      </w:pPr>
      <w:r>
        <w:t>2.9.4</w:t>
      </w:r>
      <w:r>
        <w:tab/>
        <w:t xml:space="preserve">In the first paragraph, replace “contained in equipment” by “contained in articles, engines, equipment or vehicles” and amend the end to read “... in any form </w:t>
      </w:r>
      <w:r w:rsidRPr="005E3716">
        <w:t>may be transported under the appropriate entry if they meet the following provisions:</w:t>
      </w:r>
      <w:r>
        <w:t>”.</w:t>
      </w:r>
    </w:p>
    <w:p w14:paraId="558F756D" w14:textId="77777777" w:rsidR="00FB5C94" w:rsidRPr="000934D7" w:rsidRDefault="00FB5C94" w:rsidP="00FB5C94">
      <w:pPr>
        <w:spacing w:after="120"/>
        <w:ind w:left="2268" w:right="1134" w:hanging="1134"/>
        <w:jc w:val="both"/>
      </w:pPr>
      <w:r w:rsidRPr="000934D7">
        <w:tab/>
        <w:t xml:space="preserve">In the note </w:t>
      </w:r>
      <w:r w:rsidRPr="0032754C">
        <w:rPr>
          <w:rFonts w:asciiTheme="majorBidi" w:hAnsiTheme="majorBidi" w:cstheme="majorBidi"/>
        </w:rPr>
        <w:t>in</w:t>
      </w:r>
      <w:r w:rsidRPr="000934D7">
        <w:t xml:space="preserve"> (g), delete “</w:t>
      </w:r>
      <w:r w:rsidRPr="000934D7">
        <w:rPr>
          <w:i/>
          <w:iCs/>
        </w:rPr>
        <w:t>for lithium cells or batteries or equipment with installed lithium cells or batteries</w:t>
      </w:r>
      <w:r w:rsidRPr="000934D7">
        <w:t>”.</w:t>
      </w:r>
    </w:p>
    <w:p w14:paraId="7B98B468" w14:textId="77777777" w:rsidR="00FB5C94" w:rsidRDefault="00FB5C94" w:rsidP="00FB5C94">
      <w:pPr>
        <w:pStyle w:val="SingleTxtG"/>
        <w:tabs>
          <w:tab w:val="clear" w:pos="1701"/>
        </w:tabs>
        <w:ind w:left="2268" w:hanging="1134"/>
      </w:pPr>
      <w:r>
        <w:lastRenderedPageBreak/>
        <w:tab/>
        <w:t>Add a new (h) to read as follows:</w:t>
      </w:r>
    </w:p>
    <w:p w14:paraId="2C4DE382" w14:textId="77777777" w:rsidR="00FB5C94" w:rsidRPr="005B31A8" w:rsidRDefault="00FB5C94" w:rsidP="00FB5C94">
      <w:pPr>
        <w:pStyle w:val="SingleTxtG"/>
        <w:tabs>
          <w:tab w:val="clear" w:pos="1701"/>
        </w:tabs>
        <w:ind w:left="2268" w:hanging="1134"/>
        <w:rPr>
          <w:lang w:val="en-US"/>
        </w:rPr>
      </w:pPr>
      <w:r w:rsidRPr="005B31A8">
        <w:rPr>
          <w:lang w:val="en-US"/>
        </w:rPr>
        <w:t>“(h)</w:t>
      </w:r>
      <w:r w:rsidRPr="005B31A8">
        <w:rPr>
          <w:lang w:val="en-US"/>
        </w:rPr>
        <w:tab/>
        <w:t xml:space="preserve">Hybrid batteries, containing both lithium ion cells and sodium ion cells (see special provision </w:t>
      </w:r>
      <w:r>
        <w:rPr>
          <w:lang w:val="en-US"/>
        </w:rPr>
        <w:t>410</w:t>
      </w:r>
      <w:r w:rsidRPr="005B31A8">
        <w:rPr>
          <w:lang w:val="en-US"/>
        </w:rPr>
        <w:t xml:space="preserve"> of chapter 3.3), shall meet the following conditions:</w:t>
      </w:r>
    </w:p>
    <w:p w14:paraId="431DB117" w14:textId="77777777" w:rsidR="00FB5C94" w:rsidRPr="005B31A8" w:rsidRDefault="00FB5C94" w:rsidP="00FB5C94">
      <w:pPr>
        <w:pStyle w:val="SingleTxtG"/>
        <w:tabs>
          <w:tab w:val="clear" w:pos="1701"/>
        </w:tabs>
        <w:ind w:left="2835" w:hanging="567"/>
        <w:rPr>
          <w:lang w:val="en-US"/>
        </w:rPr>
      </w:pPr>
      <w:r w:rsidRPr="005B31A8">
        <w:rPr>
          <w:lang w:val="en-US"/>
        </w:rPr>
        <w:t>(i)</w:t>
      </w:r>
      <w:r w:rsidRPr="005B31A8">
        <w:rPr>
          <w:lang w:val="en-US"/>
        </w:rPr>
        <w:tab/>
        <w:t>The lithium ion cells and sodium ion cells are electrically connected;</w:t>
      </w:r>
    </w:p>
    <w:p w14:paraId="651FA867" w14:textId="77777777" w:rsidR="00FB5C94" w:rsidRPr="005B31A8" w:rsidRDefault="00FB5C94" w:rsidP="00FB5C94">
      <w:pPr>
        <w:pStyle w:val="SingleTxtG"/>
        <w:tabs>
          <w:tab w:val="clear" w:pos="1701"/>
        </w:tabs>
        <w:ind w:left="2835" w:hanging="567"/>
        <w:rPr>
          <w:lang w:val="en-US"/>
        </w:rPr>
      </w:pPr>
      <w:r w:rsidRPr="005B31A8">
        <w:rPr>
          <w:lang w:val="en-US"/>
        </w:rPr>
        <w:t>(ii)</w:t>
      </w:r>
      <w:r w:rsidRPr="005B31A8">
        <w:rPr>
          <w:lang w:val="en-US"/>
        </w:rPr>
        <w:tab/>
        <w:t>The battery has been tested as a lithium ion battery</w:t>
      </w:r>
      <w:r>
        <w:rPr>
          <w:lang w:val="en-US"/>
        </w:rPr>
        <w:t xml:space="preserve"> in accordance with 2.9.4 (a)</w:t>
      </w:r>
      <w:r w:rsidRPr="005B31A8">
        <w:rPr>
          <w:lang w:val="en-US"/>
        </w:rPr>
        <w:t>;</w:t>
      </w:r>
    </w:p>
    <w:p w14:paraId="0A8C6A96" w14:textId="77777777" w:rsidR="00FB5C94" w:rsidRPr="00B55021" w:rsidRDefault="00FB5C94" w:rsidP="00FB5C94">
      <w:pPr>
        <w:pStyle w:val="SingleTxtG"/>
        <w:tabs>
          <w:tab w:val="clear" w:pos="1701"/>
        </w:tabs>
        <w:ind w:left="2835" w:hanging="567"/>
        <w:rPr>
          <w:lang w:val="en-US"/>
        </w:rPr>
      </w:pPr>
      <w:r w:rsidRPr="005B31A8">
        <w:rPr>
          <w:lang w:val="en-US"/>
        </w:rPr>
        <w:t>(iii)</w:t>
      </w:r>
      <w:r w:rsidRPr="005B31A8">
        <w:rPr>
          <w:lang w:val="en-US"/>
        </w:rPr>
        <w:tab/>
        <w:t xml:space="preserve">Each component lithium ion and sodium ion cell of the battery shall be of a type proved to meet the respective testing requirements of the </w:t>
      </w:r>
      <w:r w:rsidRPr="0056237F">
        <w:rPr>
          <w:i/>
          <w:iCs/>
          <w:lang w:val="en-US"/>
        </w:rPr>
        <w:t>Manual of Tests and Criteria</w:t>
      </w:r>
      <w:r w:rsidRPr="005B31A8">
        <w:rPr>
          <w:lang w:val="en-US"/>
        </w:rPr>
        <w:t>, part III, sub-section 38.3.”</w:t>
      </w:r>
    </w:p>
    <w:p w14:paraId="47E1B6F0"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3933E2BD" w14:textId="77777777" w:rsidR="00FB5C94" w:rsidRDefault="00FB5C94" w:rsidP="00FB5C94">
      <w:pPr>
        <w:pStyle w:val="SingleTxtG"/>
        <w:tabs>
          <w:tab w:val="clear" w:pos="1701"/>
        </w:tabs>
        <w:ind w:left="2268" w:hanging="1134"/>
      </w:pPr>
      <w:r>
        <w:t>2.9.5</w:t>
      </w:r>
      <w:r>
        <w:tab/>
        <w:t xml:space="preserve">In the first paragraph, replace “contained in equipment” by “contained in articles, engines, equipment or vehicles” and amend the end to read “... as electrolyte, </w:t>
      </w:r>
      <w:r w:rsidRPr="005E3716">
        <w:t>may be transported under the appropriate entry if they meet the following provisions:</w:t>
      </w:r>
      <w:r>
        <w:t>”. Delete the introductory sentence before the sub-paragraphs.</w:t>
      </w:r>
    </w:p>
    <w:p w14:paraId="168E466D" w14:textId="77777777" w:rsidR="00FB5C94" w:rsidRPr="000934D7" w:rsidRDefault="00FB5C94" w:rsidP="00FB5C94">
      <w:pPr>
        <w:spacing w:after="120"/>
        <w:ind w:left="2268" w:right="1134" w:hanging="1134"/>
        <w:jc w:val="both"/>
      </w:pPr>
      <w:r w:rsidRPr="000934D7">
        <w:tab/>
        <w:t xml:space="preserve">In (a), at </w:t>
      </w:r>
      <w:r w:rsidRPr="0032754C">
        <w:rPr>
          <w:rFonts w:asciiTheme="majorBidi" w:hAnsiTheme="majorBidi" w:cstheme="majorBidi"/>
        </w:rPr>
        <w:t>the</w:t>
      </w:r>
      <w:r w:rsidRPr="000934D7">
        <w:t xml:space="preserve"> end, add the following new note:</w:t>
      </w:r>
    </w:p>
    <w:p w14:paraId="6B308E4D" w14:textId="77777777" w:rsidR="00FB5C94" w:rsidRPr="002E7F29" w:rsidRDefault="00FB5C94" w:rsidP="00FB5C94">
      <w:pPr>
        <w:spacing w:after="120"/>
        <w:ind w:left="2268" w:right="1134" w:hanging="1134"/>
        <w:jc w:val="both"/>
      </w:pPr>
      <w:r w:rsidRPr="000934D7">
        <w:rPr>
          <w:rFonts w:asciiTheme="majorBidi" w:hAnsiTheme="majorBidi" w:cstheme="majorBidi"/>
        </w:rPr>
        <w:t>“</w:t>
      </w:r>
      <w:r w:rsidRPr="000934D7">
        <w:rPr>
          <w:rFonts w:asciiTheme="majorBidi" w:hAnsiTheme="majorBidi" w:cstheme="majorBidi"/>
          <w:b/>
          <w:bCs/>
          <w:i/>
          <w:iCs/>
        </w:rPr>
        <w:t>NOTE:</w:t>
      </w:r>
      <w:r w:rsidRPr="000934D7">
        <w:rPr>
          <w:rFonts w:asciiTheme="majorBidi" w:hAnsiTheme="majorBidi" w:cstheme="majorBidi"/>
          <w:b/>
          <w:bCs/>
          <w:i/>
          <w:iCs/>
        </w:rPr>
        <w:tab/>
      </w:r>
      <w:r w:rsidRPr="000934D7">
        <w:rPr>
          <w:rFonts w:asciiTheme="majorBidi" w:hAnsiTheme="majorBidi" w:cstheme="majorBidi"/>
          <w:i/>
          <w:iCs/>
        </w:rPr>
        <w:t>Batteries shall be of a type proved to meet the testing requirements of the "Manual of Tests and Criteria", part III, sub-section 38.3, irrespective of whether the cells of which they are composed are of a tested type.</w:t>
      </w:r>
      <w:r w:rsidRPr="000934D7">
        <w:rPr>
          <w:rFonts w:asciiTheme="majorBidi" w:hAnsiTheme="majorBidi" w:cstheme="majorBidi"/>
        </w:rPr>
        <w:t>”</w:t>
      </w:r>
    </w:p>
    <w:p w14:paraId="40CFFD7C" w14:textId="77777777" w:rsidR="00FB5C94" w:rsidRPr="000934D7" w:rsidRDefault="00FB5C94" w:rsidP="00FB5C94">
      <w:pPr>
        <w:spacing w:after="120"/>
        <w:ind w:left="2268" w:right="1134" w:hanging="1134"/>
        <w:jc w:val="both"/>
      </w:pPr>
      <w:r w:rsidRPr="000934D7">
        <w:tab/>
        <w:t>In (f), at the end, add the following new note:</w:t>
      </w:r>
    </w:p>
    <w:p w14:paraId="063C4BE7" w14:textId="77777777" w:rsidR="00FB5C94" w:rsidRPr="000934D7" w:rsidRDefault="00FB5C94" w:rsidP="00FB5C94">
      <w:pPr>
        <w:spacing w:after="120"/>
        <w:ind w:left="2268" w:right="1134" w:hanging="1134"/>
        <w:jc w:val="both"/>
        <w:rPr>
          <w:rFonts w:asciiTheme="majorBidi" w:hAnsiTheme="majorBidi" w:cstheme="majorBidi"/>
        </w:rPr>
      </w:pPr>
      <w:r w:rsidRPr="000934D7">
        <w:rPr>
          <w:rFonts w:asciiTheme="majorBidi" w:hAnsiTheme="majorBidi" w:cstheme="majorBidi"/>
        </w:rPr>
        <w:t>“</w:t>
      </w:r>
      <w:r w:rsidRPr="000934D7">
        <w:rPr>
          <w:rFonts w:asciiTheme="majorBidi" w:hAnsiTheme="majorBidi" w:cstheme="majorBidi"/>
          <w:b/>
          <w:bCs/>
          <w:i/>
          <w:iCs/>
        </w:rPr>
        <w:t>NOTE:</w:t>
      </w:r>
      <w:r w:rsidRPr="000934D7">
        <w:rPr>
          <w:rFonts w:asciiTheme="majorBidi" w:hAnsiTheme="majorBidi" w:cstheme="majorBidi"/>
          <w:b/>
          <w:bCs/>
          <w:i/>
          <w:iCs/>
        </w:rPr>
        <w:tab/>
      </w:r>
      <w:r w:rsidRPr="000934D7">
        <w:rPr>
          <w:rFonts w:asciiTheme="majorBidi" w:hAnsiTheme="majorBidi" w:cstheme="majorBidi"/>
          <w:i/>
          <w:iCs/>
        </w:rPr>
        <w:t>The term "make available" means that manufacturers and subsequent distributors ensure that the test summary is accessible so that the consignor or other persons in the supply chain can confirm compliance.</w:t>
      </w:r>
      <w:r w:rsidRPr="000934D7">
        <w:rPr>
          <w:rFonts w:asciiTheme="majorBidi" w:hAnsiTheme="majorBidi" w:cstheme="majorBidi"/>
        </w:rPr>
        <w:t>”</w:t>
      </w:r>
    </w:p>
    <w:p w14:paraId="523885D4"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5D72F699" w14:textId="77777777" w:rsidR="00FB5C94" w:rsidRDefault="00FB5C94" w:rsidP="00FB5C94">
      <w:pPr>
        <w:pStyle w:val="H1G"/>
      </w:pPr>
      <w:r>
        <w:tab/>
      </w:r>
      <w:r>
        <w:tab/>
        <w:t>Chapter 3.2, dangerous goods list</w:t>
      </w:r>
    </w:p>
    <w:p w14:paraId="1E6B2A98" w14:textId="77777777" w:rsidR="00FB5C94" w:rsidRPr="001C22A9" w:rsidRDefault="00FB5C94" w:rsidP="00FB5C94">
      <w:pPr>
        <w:pStyle w:val="SingleTxtG"/>
      </w:pPr>
      <w:r w:rsidRPr="001C22A9">
        <w:t>For UN Nos. 0012 and 0014, in column (9), add “PP98” against P130.</w:t>
      </w:r>
    </w:p>
    <w:p w14:paraId="104DC8FC"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13243521" w14:textId="77777777" w:rsidR="00FB5C94" w:rsidRDefault="00FB5C94" w:rsidP="00FB5C94">
      <w:pPr>
        <w:pStyle w:val="SingleTxtG"/>
      </w:pPr>
      <w:r>
        <w:t>For UN Nos. 1040, 1041 and 3300, in column (4), add “8”.</w:t>
      </w:r>
    </w:p>
    <w:p w14:paraId="6F16F4B3"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5EB65C54" w14:textId="77777777" w:rsidR="00FB5C94" w:rsidRPr="001C22A9" w:rsidRDefault="00FB5C94" w:rsidP="00FB5C94">
      <w:pPr>
        <w:pStyle w:val="SingleTxtG"/>
      </w:pPr>
      <w:r w:rsidRPr="001C22A9">
        <w:t>For UN Nos. 1075 and 1965, in column (6), add “412”.</w:t>
      </w:r>
    </w:p>
    <w:p w14:paraId="1500F289"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60653A73" w14:textId="77777777" w:rsidR="00FB5C94" w:rsidRDefault="00FB5C94" w:rsidP="00FB5C94">
      <w:pPr>
        <w:pStyle w:val="SingleTxtG"/>
      </w:pPr>
      <w:r>
        <w:t>For UN 1727, in column (4), add “6.1”.</w:t>
      </w:r>
    </w:p>
    <w:p w14:paraId="26802EF6"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1E965D66" w14:textId="77777777" w:rsidR="00FB5C94" w:rsidRDefault="00FB5C94" w:rsidP="00FB5C94">
      <w:pPr>
        <w:pStyle w:val="SingleTxtG"/>
      </w:pPr>
      <w:r>
        <w:t>For UN 2020, amend column (2) to read “CHLOROPHENOLS, TOXIC, SOLID, N.O.S.” [and in column (6), add “274”].</w:t>
      </w:r>
    </w:p>
    <w:p w14:paraId="0989D738"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08122590" w14:textId="77777777" w:rsidR="00FB5C94" w:rsidRDefault="00FB5C94" w:rsidP="00FB5C94">
      <w:pPr>
        <w:pStyle w:val="SingleTxtG"/>
      </w:pPr>
      <w:r>
        <w:t>For UN 2021, amend column (2) to read “CHLOROPHENOLS, TOXIC, LIQUID, N.O.S.” [and in column (6), add “274”].</w:t>
      </w:r>
    </w:p>
    <w:p w14:paraId="3B37AADA"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61A2471C" w14:textId="77777777" w:rsidR="00FB5C94" w:rsidRDefault="00FB5C94" w:rsidP="00FB5C94">
      <w:pPr>
        <w:pStyle w:val="SingleTxtG"/>
      </w:pPr>
      <w:r>
        <w:t>For UN 2029, in column (6), add “132” and in column (9), add “PP5” against “P001”.</w:t>
      </w:r>
    </w:p>
    <w:p w14:paraId="298ED5D0"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67AD61D4" w14:textId="77777777" w:rsidR="00FB5C94" w:rsidRPr="001C22A9" w:rsidRDefault="00FB5C94" w:rsidP="00FB5C94">
      <w:pPr>
        <w:pStyle w:val="SingleTxtG"/>
        <w:tabs>
          <w:tab w:val="clear" w:pos="1701"/>
          <w:tab w:val="clear" w:pos="2268"/>
          <w:tab w:val="clear" w:pos="2835"/>
        </w:tabs>
        <w:ind w:left="2268" w:hanging="1134"/>
      </w:pPr>
      <w:r w:rsidRPr="001C22A9">
        <w:t>For UN 2735, packing group II, in column (11), replace “TP1” by “TP2”.</w:t>
      </w:r>
    </w:p>
    <w:p w14:paraId="018EF6FC"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64A5C36A" w14:textId="77777777" w:rsidR="00FB5C94" w:rsidRPr="001C22A9" w:rsidRDefault="00FB5C94" w:rsidP="00FB5C94">
      <w:pPr>
        <w:pStyle w:val="SingleTxtG"/>
      </w:pPr>
      <w:r w:rsidRPr="001C22A9">
        <w:lastRenderedPageBreak/>
        <w:t>For UN Nos. 2857 and 3358, in column (2), after “REFRIGERATING MACHINES”, add “or HEATING MACHINES”.</w:t>
      </w:r>
    </w:p>
    <w:p w14:paraId="4646973F"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1D2513BF" w14:textId="77777777" w:rsidR="00FB5C94" w:rsidRPr="001C22A9" w:rsidRDefault="00FB5C94" w:rsidP="00FB5C94">
      <w:pPr>
        <w:pStyle w:val="SingleTxtG"/>
      </w:pPr>
      <w:r w:rsidRPr="001C22A9">
        <w:t>For UN 2956, in column (7a), replace “5 kg” by “0”.</w:t>
      </w:r>
    </w:p>
    <w:p w14:paraId="32734148"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0A9C3828" w14:textId="77777777" w:rsidR="00FB5C94" w:rsidRPr="001C22A9" w:rsidRDefault="00FB5C94" w:rsidP="00FB5C94">
      <w:pPr>
        <w:pStyle w:val="SingleTxtG"/>
      </w:pPr>
      <w:r w:rsidRPr="001C22A9">
        <w:t>For UN 3536, in column (2), replace the existing text by “LITHIUM BATTERIES INSTALLED IN CARGO TRANSPORT UNIT or SODIUM ION BATTERIES INSTALLED IN CARGO TRANSPORT UNIT, lithium ion batteries, lithium metal batteries or sodium ion batteries”.</w:t>
      </w:r>
    </w:p>
    <w:p w14:paraId="26231792" w14:textId="77777777" w:rsidR="00FB5C94" w:rsidRPr="00843762" w:rsidRDefault="00FB5C94" w:rsidP="00FB5C94">
      <w:pPr>
        <w:pStyle w:val="SingleTxtG"/>
        <w:rPr>
          <w:i/>
          <w:iCs/>
        </w:rPr>
      </w:pPr>
      <w:r w:rsidRPr="00804977">
        <w:rPr>
          <w:i/>
          <w:iCs/>
        </w:rPr>
        <w:t xml:space="preserve">(Reference document: </w:t>
      </w:r>
      <w:r>
        <w:rPr>
          <w:i/>
          <w:iCs/>
        </w:rPr>
        <w:t>ST/SG/AC.10/C.3/128, Annex II</w:t>
      </w:r>
      <w:r w:rsidRPr="00804977">
        <w:rPr>
          <w:i/>
          <w:iCs/>
        </w:rPr>
        <w:t>)</w:t>
      </w:r>
    </w:p>
    <w:p w14:paraId="2B4C08FE" w14:textId="77777777" w:rsidR="00FB5C94" w:rsidRDefault="00FB5C94" w:rsidP="00FB5C94">
      <w:pPr>
        <w:pStyle w:val="SingleTxtG"/>
        <w:rPr>
          <w:i/>
          <w:iCs/>
        </w:rPr>
      </w:pPr>
      <w:r>
        <w:t>For UN Nos. 3480, 3481, 3551 and 3552, in column (6), add “410”.</w:t>
      </w:r>
    </w:p>
    <w:p w14:paraId="1F01C0A8"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2148B258" w14:textId="77777777" w:rsidR="00FB5C94" w:rsidRPr="001C22A9" w:rsidRDefault="00FB5C94" w:rsidP="00FB5C94">
      <w:pPr>
        <w:pStyle w:val="SingleTxtG"/>
      </w:pPr>
      <w:r w:rsidRPr="001C22A9">
        <w:t>For UN 3538, in column (6), add “411”.</w:t>
      </w:r>
    </w:p>
    <w:p w14:paraId="7CEE8E1E"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66CEFEEC" w14:textId="77777777" w:rsidR="00FB5C94" w:rsidRPr="00CE5EDB" w:rsidRDefault="00FB5C94" w:rsidP="00FB5C94">
      <w:pPr>
        <w:pStyle w:val="SingleTxtG"/>
      </w:pPr>
      <w:r w:rsidRPr="00CE5EDB">
        <w:t>Add the following new entries: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1"/>
        <w:gridCol w:w="3403"/>
        <w:gridCol w:w="566"/>
        <w:gridCol w:w="566"/>
        <w:gridCol w:w="568"/>
        <w:gridCol w:w="566"/>
        <w:gridCol w:w="566"/>
        <w:gridCol w:w="568"/>
        <w:gridCol w:w="711"/>
        <w:gridCol w:w="566"/>
        <w:gridCol w:w="426"/>
        <w:gridCol w:w="412"/>
      </w:tblGrid>
      <w:tr w:rsidR="00FB5C94" w:rsidRPr="00EA521E" w14:paraId="3A464D89" w14:textId="77777777" w:rsidTr="00B923D3">
        <w:trPr>
          <w:trHeight w:val="20"/>
        </w:trPr>
        <w:tc>
          <w:tcPr>
            <w:tcW w:w="369" w:type="pct"/>
            <w:shd w:val="clear" w:color="auto" w:fill="auto"/>
            <w:vAlign w:val="center"/>
          </w:tcPr>
          <w:p w14:paraId="2E167E79" w14:textId="77777777" w:rsidR="00FB5C94" w:rsidRPr="00EA521E" w:rsidRDefault="00FB5C94" w:rsidP="00B923D3">
            <w:pPr>
              <w:pStyle w:val="SingleTxtG"/>
              <w:tabs>
                <w:tab w:val="left" w:pos="1269"/>
              </w:tabs>
              <w:spacing w:before="40" w:after="40" w:line="240" w:lineRule="auto"/>
              <w:ind w:left="0" w:right="0"/>
              <w:jc w:val="center"/>
              <w:rPr>
                <w:rFonts w:asciiTheme="majorBidi" w:hAnsiTheme="majorBidi" w:cstheme="majorBidi"/>
                <w:sz w:val="16"/>
                <w:szCs w:val="16"/>
                <w:lang w:eastAsia="ja-JP"/>
              </w:rPr>
            </w:pPr>
            <w:r w:rsidRPr="00EA521E">
              <w:rPr>
                <w:rFonts w:eastAsia="Times New Roman"/>
                <w:b/>
                <w:bCs/>
                <w:sz w:val="16"/>
                <w:szCs w:val="16"/>
              </w:rPr>
              <w:t>(1)</w:t>
            </w:r>
          </w:p>
        </w:tc>
        <w:tc>
          <w:tcPr>
            <w:tcW w:w="1767" w:type="pct"/>
            <w:shd w:val="clear" w:color="auto" w:fill="auto"/>
            <w:vAlign w:val="center"/>
          </w:tcPr>
          <w:p w14:paraId="2FFEC086" w14:textId="77777777" w:rsidR="00FB5C94" w:rsidRPr="00EA521E" w:rsidRDefault="00FB5C94" w:rsidP="00B923D3">
            <w:pPr>
              <w:pStyle w:val="SingleTxtG"/>
              <w:spacing w:before="40" w:after="40" w:line="240" w:lineRule="auto"/>
              <w:ind w:left="0" w:right="7"/>
              <w:jc w:val="center"/>
              <w:rPr>
                <w:rFonts w:asciiTheme="majorBidi" w:hAnsiTheme="majorBidi" w:cstheme="majorBidi"/>
                <w:sz w:val="16"/>
                <w:szCs w:val="16"/>
              </w:rPr>
            </w:pPr>
            <w:r w:rsidRPr="00EA521E">
              <w:rPr>
                <w:rFonts w:eastAsia="Times New Roman"/>
                <w:b/>
                <w:bCs/>
                <w:sz w:val="16"/>
                <w:szCs w:val="16"/>
              </w:rPr>
              <w:t>(2)</w:t>
            </w:r>
          </w:p>
        </w:tc>
        <w:tc>
          <w:tcPr>
            <w:tcW w:w="294" w:type="pct"/>
            <w:vAlign w:val="center"/>
          </w:tcPr>
          <w:p w14:paraId="5B2CA2FA" w14:textId="77777777" w:rsidR="00FB5C94" w:rsidRPr="00EA521E" w:rsidRDefault="00FB5C94" w:rsidP="00B923D3">
            <w:pPr>
              <w:pStyle w:val="SingleTxtG"/>
              <w:spacing w:before="40" w:after="40" w:line="240" w:lineRule="auto"/>
              <w:ind w:left="0" w:right="7"/>
              <w:jc w:val="center"/>
              <w:rPr>
                <w:rFonts w:asciiTheme="majorBidi" w:hAnsiTheme="majorBidi" w:cstheme="majorBidi"/>
                <w:sz w:val="16"/>
                <w:szCs w:val="16"/>
              </w:rPr>
            </w:pPr>
            <w:r w:rsidRPr="00EA521E">
              <w:rPr>
                <w:rFonts w:eastAsia="Times New Roman"/>
                <w:b/>
                <w:bCs/>
                <w:sz w:val="16"/>
                <w:szCs w:val="16"/>
              </w:rPr>
              <w:t>(3)</w:t>
            </w:r>
          </w:p>
        </w:tc>
        <w:tc>
          <w:tcPr>
            <w:tcW w:w="294" w:type="pct"/>
            <w:shd w:val="clear" w:color="auto" w:fill="auto"/>
            <w:vAlign w:val="center"/>
          </w:tcPr>
          <w:p w14:paraId="5A7549E7" w14:textId="77777777" w:rsidR="00FB5C94" w:rsidRPr="00EA521E" w:rsidRDefault="00FB5C94" w:rsidP="00B923D3">
            <w:pPr>
              <w:pStyle w:val="SingleTxtG"/>
              <w:spacing w:before="40" w:after="40" w:line="240" w:lineRule="auto"/>
              <w:ind w:left="0" w:right="7"/>
              <w:jc w:val="center"/>
              <w:rPr>
                <w:rFonts w:asciiTheme="majorBidi" w:hAnsiTheme="majorBidi" w:cstheme="majorBidi"/>
                <w:sz w:val="16"/>
                <w:szCs w:val="16"/>
              </w:rPr>
            </w:pPr>
            <w:r w:rsidRPr="00EA521E">
              <w:rPr>
                <w:rFonts w:eastAsia="Times New Roman"/>
                <w:b/>
                <w:bCs/>
                <w:sz w:val="16"/>
                <w:szCs w:val="16"/>
              </w:rPr>
              <w:t>(4)</w:t>
            </w:r>
          </w:p>
        </w:tc>
        <w:tc>
          <w:tcPr>
            <w:tcW w:w="295" w:type="pct"/>
            <w:shd w:val="clear" w:color="auto" w:fill="auto"/>
            <w:vAlign w:val="center"/>
          </w:tcPr>
          <w:p w14:paraId="60A11123" w14:textId="77777777" w:rsidR="00FB5C94" w:rsidRPr="00EA521E" w:rsidRDefault="00FB5C94" w:rsidP="00B923D3">
            <w:pPr>
              <w:pStyle w:val="SingleTxtG"/>
              <w:spacing w:before="40" w:after="40" w:line="240" w:lineRule="auto"/>
              <w:ind w:left="0" w:right="7"/>
              <w:jc w:val="center"/>
              <w:rPr>
                <w:rFonts w:asciiTheme="majorBidi" w:hAnsiTheme="majorBidi" w:cstheme="majorBidi"/>
                <w:sz w:val="16"/>
                <w:szCs w:val="16"/>
              </w:rPr>
            </w:pPr>
            <w:r w:rsidRPr="00EA521E">
              <w:rPr>
                <w:rFonts w:eastAsia="Times New Roman"/>
                <w:b/>
                <w:bCs/>
                <w:sz w:val="16"/>
                <w:szCs w:val="16"/>
              </w:rPr>
              <w:t>(5)</w:t>
            </w:r>
          </w:p>
        </w:tc>
        <w:tc>
          <w:tcPr>
            <w:tcW w:w="294" w:type="pct"/>
            <w:shd w:val="clear" w:color="auto" w:fill="auto"/>
            <w:vAlign w:val="center"/>
          </w:tcPr>
          <w:p w14:paraId="1E1B4CF9" w14:textId="77777777" w:rsidR="00FB5C94" w:rsidRPr="00EA521E" w:rsidRDefault="00FB5C94" w:rsidP="00B923D3">
            <w:pPr>
              <w:pStyle w:val="SingleTxtG"/>
              <w:spacing w:before="40" w:after="40" w:line="240" w:lineRule="auto"/>
              <w:ind w:left="0" w:right="7"/>
              <w:jc w:val="center"/>
              <w:rPr>
                <w:rFonts w:asciiTheme="majorBidi" w:hAnsiTheme="majorBidi" w:cstheme="majorBidi"/>
                <w:sz w:val="16"/>
                <w:szCs w:val="16"/>
              </w:rPr>
            </w:pPr>
            <w:r w:rsidRPr="00EA521E">
              <w:rPr>
                <w:rFonts w:eastAsia="Times New Roman"/>
                <w:b/>
                <w:bCs/>
                <w:sz w:val="16"/>
                <w:szCs w:val="16"/>
              </w:rPr>
              <w:t>(6)</w:t>
            </w:r>
          </w:p>
        </w:tc>
        <w:tc>
          <w:tcPr>
            <w:tcW w:w="294" w:type="pct"/>
            <w:shd w:val="clear" w:color="auto" w:fill="auto"/>
            <w:vAlign w:val="center"/>
          </w:tcPr>
          <w:p w14:paraId="1864BD75" w14:textId="77777777" w:rsidR="00FB5C94" w:rsidRPr="00EA521E" w:rsidRDefault="00FB5C94" w:rsidP="00B923D3">
            <w:pPr>
              <w:pStyle w:val="SingleTxtG"/>
              <w:spacing w:before="40" w:after="40" w:line="240" w:lineRule="auto"/>
              <w:ind w:left="0" w:right="7"/>
              <w:jc w:val="center"/>
              <w:rPr>
                <w:rFonts w:asciiTheme="majorBidi" w:hAnsiTheme="majorBidi" w:cstheme="majorBidi"/>
                <w:sz w:val="16"/>
                <w:szCs w:val="16"/>
              </w:rPr>
            </w:pPr>
            <w:r w:rsidRPr="00EA521E">
              <w:rPr>
                <w:rFonts w:eastAsia="Times New Roman"/>
                <w:b/>
                <w:bCs/>
                <w:spacing w:val="-5"/>
                <w:sz w:val="16"/>
                <w:szCs w:val="16"/>
              </w:rPr>
              <w:t>(7a)</w:t>
            </w:r>
          </w:p>
        </w:tc>
        <w:tc>
          <w:tcPr>
            <w:tcW w:w="295" w:type="pct"/>
            <w:vAlign w:val="center"/>
          </w:tcPr>
          <w:p w14:paraId="6BC4F28A" w14:textId="77777777" w:rsidR="00FB5C94" w:rsidRPr="00EA521E" w:rsidRDefault="00FB5C94" w:rsidP="00B923D3">
            <w:pPr>
              <w:pStyle w:val="SingleTxtG"/>
              <w:spacing w:before="40" w:after="40" w:line="240" w:lineRule="auto"/>
              <w:ind w:left="0" w:right="7"/>
              <w:jc w:val="center"/>
              <w:rPr>
                <w:rFonts w:asciiTheme="majorBidi" w:hAnsiTheme="majorBidi" w:cstheme="majorBidi"/>
                <w:sz w:val="16"/>
                <w:szCs w:val="16"/>
              </w:rPr>
            </w:pPr>
            <w:r w:rsidRPr="00EA521E">
              <w:rPr>
                <w:rFonts w:eastAsia="Times New Roman"/>
                <w:b/>
                <w:bCs/>
                <w:sz w:val="16"/>
                <w:szCs w:val="16"/>
              </w:rPr>
              <w:t>(7b)</w:t>
            </w:r>
          </w:p>
        </w:tc>
        <w:tc>
          <w:tcPr>
            <w:tcW w:w="369" w:type="pct"/>
            <w:vAlign w:val="center"/>
          </w:tcPr>
          <w:p w14:paraId="7D998B72" w14:textId="77777777" w:rsidR="00FB5C94" w:rsidRPr="004E4D11" w:rsidRDefault="00FB5C94" w:rsidP="00B923D3">
            <w:pPr>
              <w:pStyle w:val="SingleTxtG"/>
              <w:spacing w:before="40" w:after="40" w:line="240" w:lineRule="auto"/>
              <w:ind w:left="0" w:right="7"/>
              <w:jc w:val="center"/>
              <w:rPr>
                <w:rFonts w:eastAsia="Times New Roman"/>
                <w:b/>
                <w:bCs/>
                <w:sz w:val="16"/>
                <w:szCs w:val="16"/>
              </w:rPr>
            </w:pPr>
            <w:r w:rsidRPr="00EA521E">
              <w:rPr>
                <w:rFonts w:eastAsia="Times New Roman"/>
                <w:b/>
                <w:bCs/>
                <w:sz w:val="16"/>
                <w:szCs w:val="16"/>
              </w:rPr>
              <w:t>(8)</w:t>
            </w:r>
          </w:p>
        </w:tc>
        <w:tc>
          <w:tcPr>
            <w:tcW w:w="294" w:type="pct"/>
            <w:vAlign w:val="center"/>
          </w:tcPr>
          <w:p w14:paraId="0687833D" w14:textId="77777777" w:rsidR="00FB5C94" w:rsidRPr="00EA521E" w:rsidRDefault="00FB5C94" w:rsidP="00B923D3">
            <w:pPr>
              <w:pStyle w:val="SingleTxtG"/>
              <w:spacing w:before="40" w:after="40" w:line="240" w:lineRule="auto"/>
              <w:ind w:left="0" w:right="7"/>
              <w:jc w:val="center"/>
              <w:rPr>
                <w:rFonts w:asciiTheme="majorBidi" w:hAnsiTheme="majorBidi" w:cstheme="majorBidi"/>
                <w:sz w:val="16"/>
                <w:szCs w:val="16"/>
              </w:rPr>
            </w:pPr>
            <w:r w:rsidRPr="00EA521E">
              <w:rPr>
                <w:rFonts w:eastAsia="Times New Roman"/>
                <w:b/>
                <w:bCs/>
                <w:sz w:val="16"/>
                <w:szCs w:val="16"/>
              </w:rPr>
              <w:t>(9)</w:t>
            </w:r>
          </w:p>
        </w:tc>
        <w:tc>
          <w:tcPr>
            <w:tcW w:w="221" w:type="pct"/>
            <w:vAlign w:val="center"/>
          </w:tcPr>
          <w:p w14:paraId="17C26127" w14:textId="77777777" w:rsidR="00FB5C94" w:rsidRPr="00EA521E" w:rsidRDefault="00FB5C94" w:rsidP="00B923D3">
            <w:pPr>
              <w:pStyle w:val="SingleTxtG"/>
              <w:spacing w:before="40" w:after="40" w:line="240" w:lineRule="auto"/>
              <w:ind w:left="0" w:right="7"/>
              <w:jc w:val="center"/>
              <w:rPr>
                <w:rFonts w:asciiTheme="majorBidi" w:hAnsiTheme="majorBidi" w:cstheme="majorBidi"/>
                <w:sz w:val="16"/>
                <w:szCs w:val="16"/>
              </w:rPr>
            </w:pPr>
            <w:r w:rsidRPr="00EA521E">
              <w:rPr>
                <w:rFonts w:eastAsia="Times New Roman"/>
                <w:b/>
                <w:bCs/>
                <w:sz w:val="16"/>
                <w:szCs w:val="16"/>
              </w:rPr>
              <w:t>(10)</w:t>
            </w:r>
          </w:p>
        </w:tc>
        <w:tc>
          <w:tcPr>
            <w:tcW w:w="214" w:type="pct"/>
            <w:shd w:val="clear" w:color="auto" w:fill="auto"/>
            <w:vAlign w:val="center"/>
          </w:tcPr>
          <w:p w14:paraId="1715CC2B" w14:textId="77777777" w:rsidR="00FB5C94" w:rsidRPr="00EA521E" w:rsidRDefault="00FB5C94" w:rsidP="00B923D3">
            <w:pPr>
              <w:pStyle w:val="SingleTxtG"/>
              <w:spacing w:before="40" w:after="40" w:line="240" w:lineRule="auto"/>
              <w:ind w:left="0" w:right="7"/>
              <w:jc w:val="center"/>
              <w:rPr>
                <w:rFonts w:asciiTheme="majorBidi" w:hAnsiTheme="majorBidi" w:cstheme="majorBidi"/>
                <w:sz w:val="16"/>
                <w:szCs w:val="16"/>
              </w:rPr>
            </w:pPr>
            <w:r w:rsidRPr="00EA521E">
              <w:rPr>
                <w:rFonts w:eastAsia="Times New Roman"/>
                <w:b/>
                <w:bCs/>
                <w:sz w:val="16"/>
                <w:szCs w:val="16"/>
              </w:rPr>
              <w:t>(11)</w:t>
            </w:r>
          </w:p>
        </w:tc>
      </w:tr>
      <w:tr w:rsidR="00FB5C94" w:rsidRPr="00EA521E" w14:paraId="70DA6B16" w14:textId="77777777" w:rsidTr="00C11390">
        <w:trPr>
          <w:trHeight w:val="360"/>
        </w:trPr>
        <w:tc>
          <w:tcPr>
            <w:tcW w:w="369" w:type="pct"/>
            <w:shd w:val="clear" w:color="auto" w:fill="auto"/>
          </w:tcPr>
          <w:p w14:paraId="36195849" w14:textId="77777777" w:rsidR="00FB5C94" w:rsidRPr="00EA521E" w:rsidRDefault="00FB5C94" w:rsidP="009B2C8F">
            <w:pPr>
              <w:pStyle w:val="SingleTxtG"/>
              <w:tabs>
                <w:tab w:val="left" w:pos="1269"/>
              </w:tabs>
              <w:spacing w:before="40" w:after="40" w:line="240" w:lineRule="auto"/>
              <w:ind w:left="0" w:right="0"/>
              <w:jc w:val="center"/>
              <w:rPr>
                <w:rFonts w:asciiTheme="majorBidi" w:hAnsiTheme="majorBidi" w:cstheme="majorBidi"/>
                <w:sz w:val="16"/>
                <w:szCs w:val="16"/>
                <w:lang w:eastAsia="ja-JP"/>
              </w:rPr>
            </w:pPr>
            <w:r w:rsidRPr="001C22A9">
              <w:rPr>
                <w:sz w:val="16"/>
                <w:szCs w:val="16"/>
              </w:rPr>
              <w:t>2348</w:t>
            </w:r>
          </w:p>
        </w:tc>
        <w:tc>
          <w:tcPr>
            <w:tcW w:w="1767" w:type="pct"/>
            <w:shd w:val="clear" w:color="auto" w:fill="auto"/>
          </w:tcPr>
          <w:p w14:paraId="055CC85B" w14:textId="77777777" w:rsidR="00FB5C94" w:rsidRPr="00EA521E" w:rsidRDefault="00FB5C94" w:rsidP="009B2C8F">
            <w:pPr>
              <w:pStyle w:val="SingleTxtG"/>
              <w:spacing w:before="40" w:after="40" w:line="240" w:lineRule="auto"/>
              <w:ind w:left="0" w:right="6"/>
              <w:jc w:val="left"/>
              <w:rPr>
                <w:rFonts w:asciiTheme="majorBidi" w:hAnsiTheme="majorBidi" w:cstheme="majorBidi"/>
                <w:sz w:val="16"/>
                <w:szCs w:val="16"/>
              </w:rPr>
            </w:pPr>
            <w:r w:rsidRPr="001C22A9">
              <w:rPr>
                <w:sz w:val="16"/>
                <w:szCs w:val="16"/>
              </w:rPr>
              <w:t>BUTYL ACRYLATES, STABILIZED</w:t>
            </w:r>
          </w:p>
        </w:tc>
        <w:tc>
          <w:tcPr>
            <w:tcW w:w="294" w:type="pct"/>
          </w:tcPr>
          <w:p w14:paraId="537F0ABF"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sidRPr="001C22A9">
              <w:rPr>
                <w:rFonts w:asciiTheme="majorBidi" w:hAnsiTheme="majorBidi" w:cstheme="majorBidi"/>
                <w:sz w:val="16"/>
                <w:szCs w:val="16"/>
              </w:rPr>
              <w:t>3</w:t>
            </w:r>
          </w:p>
        </w:tc>
        <w:tc>
          <w:tcPr>
            <w:tcW w:w="294" w:type="pct"/>
            <w:shd w:val="clear" w:color="auto" w:fill="auto"/>
          </w:tcPr>
          <w:p w14:paraId="4BCC2A5C"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p>
        </w:tc>
        <w:tc>
          <w:tcPr>
            <w:tcW w:w="295" w:type="pct"/>
            <w:shd w:val="clear" w:color="auto" w:fill="auto"/>
          </w:tcPr>
          <w:p w14:paraId="7281F79E"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sidRPr="001C22A9">
              <w:rPr>
                <w:rFonts w:asciiTheme="majorBidi" w:hAnsiTheme="majorBidi" w:cstheme="majorBidi"/>
                <w:sz w:val="16"/>
                <w:szCs w:val="16"/>
              </w:rPr>
              <w:t>II</w:t>
            </w:r>
          </w:p>
        </w:tc>
        <w:tc>
          <w:tcPr>
            <w:tcW w:w="294" w:type="pct"/>
            <w:shd w:val="clear" w:color="auto" w:fill="auto"/>
          </w:tcPr>
          <w:p w14:paraId="7F054D53" w14:textId="77777777" w:rsidR="00FB5C94" w:rsidRPr="00EA521E" w:rsidRDefault="00FB5C94" w:rsidP="009B2C8F">
            <w:pPr>
              <w:keepNext/>
              <w:spacing w:before="40" w:after="40" w:line="240" w:lineRule="auto"/>
              <w:jc w:val="center"/>
              <w:rPr>
                <w:rFonts w:asciiTheme="majorBidi" w:hAnsiTheme="majorBidi" w:cstheme="majorBidi"/>
                <w:sz w:val="16"/>
                <w:szCs w:val="16"/>
              </w:rPr>
            </w:pPr>
            <w:r w:rsidRPr="001C22A9">
              <w:rPr>
                <w:sz w:val="16"/>
                <w:szCs w:val="16"/>
              </w:rPr>
              <w:t>386</w:t>
            </w:r>
          </w:p>
        </w:tc>
        <w:tc>
          <w:tcPr>
            <w:tcW w:w="294" w:type="pct"/>
            <w:shd w:val="clear" w:color="auto" w:fill="auto"/>
          </w:tcPr>
          <w:p w14:paraId="09745CC5"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sidRPr="001C22A9">
              <w:rPr>
                <w:sz w:val="16"/>
                <w:szCs w:val="16"/>
              </w:rPr>
              <w:t>1 L</w:t>
            </w:r>
          </w:p>
        </w:tc>
        <w:tc>
          <w:tcPr>
            <w:tcW w:w="295" w:type="pct"/>
          </w:tcPr>
          <w:p w14:paraId="5017AF88"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sidRPr="001C22A9">
              <w:rPr>
                <w:sz w:val="16"/>
                <w:szCs w:val="16"/>
              </w:rPr>
              <w:t>E2</w:t>
            </w:r>
          </w:p>
        </w:tc>
        <w:tc>
          <w:tcPr>
            <w:tcW w:w="369" w:type="pct"/>
          </w:tcPr>
          <w:p w14:paraId="37B5D690" w14:textId="77777777" w:rsidR="00FB5C94" w:rsidRPr="00EA521E" w:rsidRDefault="00FB5C94" w:rsidP="009B2C8F">
            <w:pPr>
              <w:spacing w:before="40" w:after="40" w:line="240" w:lineRule="auto"/>
              <w:jc w:val="center"/>
              <w:rPr>
                <w:rFonts w:asciiTheme="majorBidi" w:hAnsiTheme="majorBidi" w:cstheme="majorBidi"/>
                <w:sz w:val="16"/>
                <w:szCs w:val="16"/>
              </w:rPr>
            </w:pPr>
            <w:r w:rsidRPr="001C22A9">
              <w:rPr>
                <w:sz w:val="16"/>
                <w:szCs w:val="16"/>
              </w:rPr>
              <w:t>P001</w:t>
            </w:r>
            <w:r w:rsidRPr="001C22A9">
              <w:rPr>
                <w:sz w:val="16"/>
                <w:szCs w:val="16"/>
              </w:rPr>
              <w:br/>
            </w:r>
            <w:r w:rsidRPr="001C22A9">
              <w:rPr>
                <w:rFonts w:asciiTheme="majorBidi" w:hAnsiTheme="majorBidi" w:cstheme="majorBidi"/>
                <w:sz w:val="16"/>
                <w:szCs w:val="16"/>
              </w:rPr>
              <w:t>IBC02</w:t>
            </w:r>
          </w:p>
        </w:tc>
        <w:tc>
          <w:tcPr>
            <w:tcW w:w="294" w:type="pct"/>
          </w:tcPr>
          <w:p w14:paraId="55F52A34"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p>
        </w:tc>
        <w:tc>
          <w:tcPr>
            <w:tcW w:w="221" w:type="pct"/>
          </w:tcPr>
          <w:p w14:paraId="3960E934"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sidRPr="001C22A9">
              <w:rPr>
                <w:rFonts w:asciiTheme="majorBidi" w:hAnsiTheme="majorBidi" w:cstheme="majorBidi"/>
                <w:sz w:val="16"/>
                <w:szCs w:val="16"/>
              </w:rPr>
              <w:t>T4</w:t>
            </w:r>
          </w:p>
        </w:tc>
        <w:tc>
          <w:tcPr>
            <w:tcW w:w="214" w:type="pct"/>
            <w:shd w:val="clear" w:color="auto" w:fill="auto"/>
          </w:tcPr>
          <w:p w14:paraId="55DF4156"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sidRPr="001C22A9">
              <w:rPr>
                <w:rFonts w:asciiTheme="majorBidi" w:hAnsiTheme="majorBidi" w:cstheme="majorBidi"/>
                <w:sz w:val="16"/>
                <w:szCs w:val="16"/>
              </w:rPr>
              <w:t>TP1</w:t>
            </w:r>
          </w:p>
        </w:tc>
      </w:tr>
      <w:tr w:rsidR="00FB5C94" w:rsidRPr="00EA521E" w14:paraId="59C3744F" w14:textId="77777777" w:rsidTr="00C11390">
        <w:trPr>
          <w:trHeight w:val="360"/>
        </w:trPr>
        <w:tc>
          <w:tcPr>
            <w:tcW w:w="369" w:type="pct"/>
            <w:shd w:val="clear" w:color="auto" w:fill="auto"/>
          </w:tcPr>
          <w:p w14:paraId="064B2BF3" w14:textId="77777777" w:rsidR="00FB5C94" w:rsidRDefault="00FB5C94" w:rsidP="009B2C8F">
            <w:pPr>
              <w:pStyle w:val="SingleTxtG"/>
              <w:tabs>
                <w:tab w:val="left" w:pos="1269"/>
              </w:tabs>
              <w:spacing w:before="40" w:after="40" w:line="240" w:lineRule="auto"/>
              <w:ind w:left="0" w:right="0"/>
              <w:jc w:val="center"/>
              <w:rPr>
                <w:sz w:val="16"/>
                <w:szCs w:val="16"/>
              </w:rPr>
            </w:pPr>
            <w:r>
              <w:rPr>
                <w:sz w:val="16"/>
                <w:szCs w:val="16"/>
              </w:rPr>
              <w:t>3561</w:t>
            </w:r>
          </w:p>
        </w:tc>
        <w:tc>
          <w:tcPr>
            <w:tcW w:w="1767" w:type="pct"/>
            <w:shd w:val="clear" w:color="auto" w:fill="auto"/>
          </w:tcPr>
          <w:p w14:paraId="0CE1AD9F" w14:textId="77777777" w:rsidR="00FB5C94" w:rsidRPr="007F2C15" w:rsidRDefault="00FB5C94" w:rsidP="009B2C8F">
            <w:pPr>
              <w:pStyle w:val="SingleTxtG"/>
              <w:spacing w:before="40" w:after="40" w:line="240" w:lineRule="auto"/>
              <w:ind w:left="0" w:right="6"/>
              <w:jc w:val="left"/>
              <w:rPr>
                <w:sz w:val="16"/>
                <w:szCs w:val="16"/>
              </w:rPr>
            </w:pPr>
            <w:r w:rsidRPr="007F2C15">
              <w:rPr>
                <w:sz w:val="16"/>
                <w:szCs w:val="16"/>
              </w:rPr>
              <w:t xml:space="preserve">CHLOROPHENOLS, </w:t>
            </w:r>
            <w:r>
              <w:rPr>
                <w:sz w:val="16"/>
                <w:szCs w:val="16"/>
              </w:rPr>
              <w:t xml:space="preserve">CORROSIVE, </w:t>
            </w:r>
            <w:r w:rsidRPr="007F2C15">
              <w:rPr>
                <w:sz w:val="16"/>
                <w:szCs w:val="16"/>
              </w:rPr>
              <w:t>TOXIC, SOLID, N.O.S.</w:t>
            </w:r>
          </w:p>
        </w:tc>
        <w:tc>
          <w:tcPr>
            <w:tcW w:w="294" w:type="pct"/>
          </w:tcPr>
          <w:p w14:paraId="48CE63E9" w14:textId="77777777" w:rsidR="00FB5C94" w:rsidRDefault="00FB5C94" w:rsidP="009B2C8F">
            <w:pPr>
              <w:pStyle w:val="SingleTxtG"/>
              <w:spacing w:before="40" w:after="40" w:line="240" w:lineRule="auto"/>
              <w:ind w:left="0" w:right="7"/>
              <w:jc w:val="center"/>
              <w:rPr>
                <w:sz w:val="16"/>
                <w:szCs w:val="16"/>
              </w:rPr>
            </w:pPr>
            <w:r>
              <w:rPr>
                <w:sz w:val="16"/>
                <w:szCs w:val="16"/>
              </w:rPr>
              <w:t>8</w:t>
            </w:r>
          </w:p>
        </w:tc>
        <w:tc>
          <w:tcPr>
            <w:tcW w:w="294" w:type="pct"/>
            <w:shd w:val="clear" w:color="auto" w:fill="auto"/>
          </w:tcPr>
          <w:p w14:paraId="30DBAF7F" w14:textId="77777777" w:rsidR="00FB5C94" w:rsidRDefault="00FB5C94" w:rsidP="009B2C8F">
            <w:pPr>
              <w:pStyle w:val="SingleTxtG"/>
              <w:spacing w:before="40" w:after="40" w:line="240" w:lineRule="auto"/>
              <w:ind w:left="0" w:right="7"/>
              <w:jc w:val="center"/>
              <w:rPr>
                <w:rFonts w:asciiTheme="majorBidi" w:hAnsiTheme="majorBidi" w:cstheme="majorBidi"/>
                <w:sz w:val="16"/>
                <w:szCs w:val="16"/>
              </w:rPr>
            </w:pPr>
            <w:r>
              <w:rPr>
                <w:rFonts w:asciiTheme="majorBidi" w:hAnsiTheme="majorBidi" w:cstheme="majorBidi"/>
                <w:sz w:val="16"/>
                <w:szCs w:val="16"/>
              </w:rPr>
              <w:t>6.1</w:t>
            </w:r>
          </w:p>
        </w:tc>
        <w:tc>
          <w:tcPr>
            <w:tcW w:w="295" w:type="pct"/>
            <w:shd w:val="clear" w:color="auto" w:fill="auto"/>
          </w:tcPr>
          <w:p w14:paraId="76E86A68" w14:textId="77777777" w:rsidR="00FB5C94" w:rsidRDefault="00FB5C94" w:rsidP="009B2C8F">
            <w:pPr>
              <w:pStyle w:val="SingleTxtG"/>
              <w:spacing w:before="40" w:after="40" w:line="240" w:lineRule="auto"/>
              <w:ind w:left="0" w:right="7"/>
              <w:jc w:val="center"/>
              <w:rPr>
                <w:rFonts w:asciiTheme="majorBidi" w:hAnsiTheme="majorBidi" w:cstheme="majorBidi"/>
                <w:sz w:val="16"/>
                <w:szCs w:val="16"/>
              </w:rPr>
            </w:pPr>
            <w:r>
              <w:rPr>
                <w:rFonts w:asciiTheme="majorBidi" w:hAnsiTheme="majorBidi" w:cstheme="majorBidi"/>
                <w:sz w:val="16"/>
                <w:szCs w:val="16"/>
              </w:rPr>
              <w:t>II</w:t>
            </w:r>
          </w:p>
        </w:tc>
        <w:tc>
          <w:tcPr>
            <w:tcW w:w="294" w:type="pct"/>
            <w:shd w:val="clear" w:color="auto" w:fill="auto"/>
          </w:tcPr>
          <w:p w14:paraId="4D471EBA" w14:textId="77777777" w:rsidR="00FB5C94" w:rsidRDefault="00FB5C94" w:rsidP="009B2C8F">
            <w:pPr>
              <w:keepNext/>
              <w:spacing w:before="40" w:after="40" w:line="240" w:lineRule="auto"/>
              <w:jc w:val="center"/>
              <w:rPr>
                <w:sz w:val="16"/>
                <w:szCs w:val="16"/>
              </w:rPr>
            </w:pPr>
            <w:r>
              <w:rPr>
                <w:sz w:val="16"/>
                <w:szCs w:val="16"/>
              </w:rPr>
              <w:t>[274]</w:t>
            </w:r>
          </w:p>
        </w:tc>
        <w:tc>
          <w:tcPr>
            <w:tcW w:w="294" w:type="pct"/>
            <w:shd w:val="clear" w:color="auto" w:fill="auto"/>
          </w:tcPr>
          <w:p w14:paraId="3C72A4A8" w14:textId="77777777" w:rsidR="00FB5C94" w:rsidRDefault="00FB5C94" w:rsidP="009B2C8F">
            <w:pPr>
              <w:pStyle w:val="SingleTxtG"/>
              <w:spacing w:before="40" w:after="40" w:line="240" w:lineRule="auto"/>
              <w:ind w:left="0" w:right="7"/>
              <w:jc w:val="center"/>
              <w:rPr>
                <w:sz w:val="16"/>
                <w:szCs w:val="16"/>
              </w:rPr>
            </w:pPr>
            <w:r>
              <w:rPr>
                <w:sz w:val="16"/>
                <w:szCs w:val="16"/>
              </w:rPr>
              <w:t>1 kg</w:t>
            </w:r>
          </w:p>
        </w:tc>
        <w:tc>
          <w:tcPr>
            <w:tcW w:w="295" w:type="pct"/>
          </w:tcPr>
          <w:p w14:paraId="152387C4" w14:textId="77777777" w:rsidR="00FB5C94" w:rsidRDefault="00FB5C94" w:rsidP="009B2C8F">
            <w:pPr>
              <w:pStyle w:val="SingleTxtG"/>
              <w:spacing w:before="40" w:after="40" w:line="240" w:lineRule="auto"/>
              <w:ind w:left="0" w:right="7"/>
              <w:jc w:val="center"/>
              <w:rPr>
                <w:sz w:val="16"/>
                <w:szCs w:val="16"/>
              </w:rPr>
            </w:pPr>
            <w:r>
              <w:rPr>
                <w:sz w:val="16"/>
                <w:szCs w:val="16"/>
              </w:rPr>
              <w:t>E2</w:t>
            </w:r>
          </w:p>
        </w:tc>
        <w:tc>
          <w:tcPr>
            <w:tcW w:w="369" w:type="pct"/>
          </w:tcPr>
          <w:p w14:paraId="0F1C2FAA" w14:textId="77777777" w:rsidR="00FB5C94" w:rsidRDefault="00FB5C94" w:rsidP="009B2C8F">
            <w:pPr>
              <w:spacing w:before="40" w:after="40" w:line="240" w:lineRule="auto"/>
              <w:jc w:val="center"/>
              <w:rPr>
                <w:sz w:val="16"/>
                <w:szCs w:val="16"/>
              </w:rPr>
            </w:pPr>
            <w:r>
              <w:rPr>
                <w:sz w:val="16"/>
                <w:szCs w:val="16"/>
              </w:rPr>
              <w:t>P002</w:t>
            </w:r>
            <w:r>
              <w:rPr>
                <w:sz w:val="16"/>
                <w:szCs w:val="16"/>
              </w:rPr>
              <w:br/>
            </w:r>
            <w:r>
              <w:rPr>
                <w:rFonts w:asciiTheme="majorBidi" w:hAnsiTheme="majorBidi" w:cstheme="majorBidi"/>
                <w:sz w:val="16"/>
                <w:szCs w:val="16"/>
              </w:rPr>
              <w:t>IBC08</w:t>
            </w:r>
          </w:p>
        </w:tc>
        <w:tc>
          <w:tcPr>
            <w:tcW w:w="294" w:type="pct"/>
          </w:tcPr>
          <w:p w14:paraId="475D4ED8" w14:textId="77777777" w:rsidR="00FB5C94" w:rsidRDefault="00FB5C94" w:rsidP="009B2C8F">
            <w:pPr>
              <w:pStyle w:val="SingleTxtG"/>
              <w:spacing w:before="40" w:after="40" w:line="240" w:lineRule="auto"/>
              <w:ind w:left="0" w:right="7"/>
              <w:jc w:val="center"/>
              <w:rPr>
                <w:rFonts w:asciiTheme="majorBidi" w:hAnsiTheme="majorBidi" w:cstheme="majorBidi"/>
                <w:sz w:val="16"/>
                <w:szCs w:val="16"/>
              </w:rPr>
            </w:pPr>
            <w:r>
              <w:rPr>
                <w:rFonts w:asciiTheme="majorBidi" w:hAnsiTheme="majorBidi" w:cstheme="majorBidi"/>
                <w:sz w:val="16"/>
                <w:szCs w:val="16"/>
              </w:rPr>
              <w:br/>
              <w:t>B2, B4</w:t>
            </w:r>
          </w:p>
        </w:tc>
        <w:tc>
          <w:tcPr>
            <w:tcW w:w="221" w:type="pct"/>
          </w:tcPr>
          <w:p w14:paraId="61A69640" w14:textId="77777777" w:rsidR="00FB5C94" w:rsidRDefault="00FB5C94" w:rsidP="009B2C8F">
            <w:pPr>
              <w:pStyle w:val="SingleTxtG"/>
              <w:spacing w:before="40" w:after="40" w:line="240" w:lineRule="auto"/>
              <w:ind w:left="0" w:right="7"/>
              <w:jc w:val="center"/>
              <w:rPr>
                <w:rFonts w:asciiTheme="majorBidi" w:hAnsiTheme="majorBidi" w:cstheme="majorBidi"/>
                <w:sz w:val="16"/>
                <w:szCs w:val="16"/>
              </w:rPr>
            </w:pPr>
            <w:r>
              <w:rPr>
                <w:rFonts w:asciiTheme="majorBidi" w:hAnsiTheme="majorBidi" w:cstheme="majorBidi"/>
                <w:sz w:val="16"/>
                <w:szCs w:val="16"/>
              </w:rPr>
              <w:t>T3</w:t>
            </w:r>
          </w:p>
        </w:tc>
        <w:tc>
          <w:tcPr>
            <w:tcW w:w="214" w:type="pct"/>
            <w:shd w:val="clear" w:color="auto" w:fill="auto"/>
          </w:tcPr>
          <w:p w14:paraId="4EDEF0A9" w14:textId="77777777" w:rsidR="00FB5C94" w:rsidRDefault="00FB5C94" w:rsidP="009B2C8F">
            <w:pPr>
              <w:pStyle w:val="SingleTxtG"/>
              <w:spacing w:before="40" w:after="40" w:line="240" w:lineRule="auto"/>
              <w:ind w:left="0" w:right="7"/>
              <w:jc w:val="center"/>
              <w:rPr>
                <w:rFonts w:asciiTheme="majorBidi" w:hAnsiTheme="majorBidi" w:cstheme="majorBidi"/>
                <w:sz w:val="16"/>
                <w:szCs w:val="16"/>
              </w:rPr>
            </w:pPr>
            <w:r>
              <w:rPr>
                <w:rFonts w:asciiTheme="majorBidi" w:hAnsiTheme="majorBidi" w:cstheme="majorBidi"/>
                <w:sz w:val="16"/>
                <w:szCs w:val="16"/>
              </w:rPr>
              <w:t>TP33</w:t>
            </w:r>
          </w:p>
        </w:tc>
      </w:tr>
      <w:tr w:rsidR="00FB5C94" w:rsidRPr="00EA521E" w14:paraId="63FECB8C" w14:textId="77777777" w:rsidTr="00C11390">
        <w:trPr>
          <w:trHeight w:val="360"/>
        </w:trPr>
        <w:tc>
          <w:tcPr>
            <w:tcW w:w="369" w:type="pct"/>
            <w:shd w:val="clear" w:color="auto" w:fill="auto"/>
          </w:tcPr>
          <w:p w14:paraId="3A51F0A3" w14:textId="77777777" w:rsidR="00FB5C94" w:rsidRPr="00EA521E" w:rsidRDefault="00FB5C94" w:rsidP="009B2C8F">
            <w:pPr>
              <w:pStyle w:val="SingleTxtG"/>
              <w:tabs>
                <w:tab w:val="left" w:pos="1269"/>
              </w:tabs>
              <w:spacing w:before="40" w:after="40" w:line="240" w:lineRule="auto"/>
              <w:ind w:left="0" w:right="0"/>
              <w:jc w:val="center"/>
              <w:rPr>
                <w:rFonts w:asciiTheme="majorBidi" w:hAnsiTheme="majorBidi" w:cstheme="majorBidi"/>
                <w:sz w:val="16"/>
                <w:szCs w:val="16"/>
                <w:lang w:eastAsia="ja-JP"/>
              </w:rPr>
            </w:pPr>
            <w:r>
              <w:rPr>
                <w:rFonts w:asciiTheme="majorBidi" w:hAnsiTheme="majorBidi" w:cstheme="majorBidi"/>
                <w:sz w:val="16"/>
                <w:szCs w:val="16"/>
                <w:lang w:eastAsia="ja-JP"/>
              </w:rPr>
              <w:t>3562</w:t>
            </w:r>
          </w:p>
        </w:tc>
        <w:tc>
          <w:tcPr>
            <w:tcW w:w="1767" w:type="pct"/>
            <w:shd w:val="clear" w:color="auto" w:fill="auto"/>
          </w:tcPr>
          <w:p w14:paraId="7489734E" w14:textId="77777777" w:rsidR="00FB5C94" w:rsidRPr="00EA521E" w:rsidRDefault="00FB5C94" w:rsidP="009B2C8F">
            <w:pPr>
              <w:pStyle w:val="SingleTxtG"/>
              <w:spacing w:before="40" w:after="40" w:line="240" w:lineRule="auto"/>
              <w:ind w:left="0" w:right="6"/>
              <w:jc w:val="left"/>
              <w:rPr>
                <w:rFonts w:asciiTheme="majorBidi" w:hAnsiTheme="majorBidi" w:cstheme="majorBidi"/>
                <w:sz w:val="16"/>
                <w:szCs w:val="16"/>
              </w:rPr>
            </w:pPr>
            <w:r w:rsidRPr="007F2C15">
              <w:rPr>
                <w:sz w:val="16"/>
                <w:szCs w:val="16"/>
              </w:rPr>
              <w:t xml:space="preserve">CHLOROPHENOLS, </w:t>
            </w:r>
            <w:r>
              <w:rPr>
                <w:sz w:val="16"/>
                <w:szCs w:val="16"/>
              </w:rPr>
              <w:t xml:space="preserve">CORROSIVE, </w:t>
            </w:r>
            <w:r w:rsidRPr="007F2C15">
              <w:rPr>
                <w:sz w:val="16"/>
                <w:szCs w:val="16"/>
              </w:rPr>
              <w:t>SOLID, N.O.S.</w:t>
            </w:r>
          </w:p>
        </w:tc>
        <w:tc>
          <w:tcPr>
            <w:tcW w:w="294" w:type="pct"/>
          </w:tcPr>
          <w:p w14:paraId="58196C39"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Pr>
                <w:sz w:val="16"/>
                <w:szCs w:val="16"/>
              </w:rPr>
              <w:t>8</w:t>
            </w:r>
          </w:p>
        </w:tc>
        <w:tc>
          <w:tcPr>
            <w:tcW w:w="294" w:type="pct"/>
            <w:shd w:val="clear" w:color="auto" w:fill="auto"/>
          </w:tcPr>
          <w:p w14:paraId="6259AE55"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p>
        </w:tc>
        <w:tc>
          <w:tcPr>
            <w:tcW w:w="295" w:type="pct"/>
            <w:shd w:val="clear" w:color="auto" w:fill="auto"/>
          </w:tcPr>
          <w:p w14:paraId="2581D4BD"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Pr>
                <w:rFonts w:asciiTheme="majorBidi" w:hAnsiTheme="majorBidi" w:cstheme="majorBidi"/>
                <w:sz w:val="16"/>
                <w:szCs w:val="16"/>
              </w:rPr>
              <w:t>II</w:t>
            </w:r>
          </w:p>
        </w:tc>
        <w:tc>
          <w:tcPr>
            <w:tcW w:w="294" w:type="pct"/>
            <w:shd w:val="clear" w:color="auto" w:fill="auto"/>
          </w:tcPr>
          <w:p w14:paraId="00CB12AF" w14:textId="77777777" w:rsidR="00FB5C94" w:rsidRPr="00EA521E" w:rsidRDefault="00FB5C94" w:rsidP="009B2C8F">
            <w:pPr>
              <w:keepNext/>
              <w:spacing w:before="40" w:after="40" w:line="240" w:lineRule="auto"/>
              <w:jc w:val="center"/>
              <w:rPr>
                <w:rFonts w:asciiTheme="majorBidi" w:hAnsiTheme="majorBidi" w:cstheme="majorBidi"/>
                <w:sz w:val="16"/>
                <w:szCs w:val="16"/>
              </w:rPr>
            </w:pPr>
          </w:p>
        </w:tc>
        <w:tc>
          <w:tcPr>
            <w:tcW w:w="294" w:type="pct"/>
            <w:shd w:val="clear" w:color="auto" w:fill="auto"/>
          </w:tcPr>
          <w:p w14:paraId="099863A6"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Pr>
                <w:sz w:val="16"/>
                <w:szCs w:val="16"/>
              </w:rPr>
              <w:t>1 kg</w:t>
            </w:r>
          </w:p>
        </w:tc>
        <w:tc>
          <w:tcPr>
            <w:tcW w:w="295" w:type="pct"/>
          </w:tcPr>
          <w:p w14:paraId="363380E4"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Pr>
                <w:sz w:val="16"/>
                <w:szCs w:val="16"/>
              </w:rPr>
              <w:t>E2</w:t>
            </w:r>
          </w:p>
        </w:tc>
        <w:tc>
          <w:tcPr>
            <w:tcW w:w="369" w:type="pct"/>
          </w:tcPr>
          <w:p w14:paraId="70E488E6" w14:textId="77777777" w:rsidR="00FB5C94" w:rsidRPr="00EA521E" w:rsidRDefault="00FB5C94" w:rsidP="009B2C8F">
            <w:pPr>
              <w:spacing w:before="40" w:after="40" w:line="240" w:lineRule="auto"/>
              <w:jc w:val="center"/>
              <w:rPr>
                <w:rFonts w:asciiTheme="majorBidi" w:hAnsiTheme="majorBidi" w:cstheme="majorBidi"/>
                <w:sz w:val="16"/>
                <w:szCs w:val="16"/>
              </w:rPr>
            </w:pPr>
            <w:r>
              <w:rPr>
                <w:sz w:val="16"/>
                <w:szCs w:val="16"/>
              </w:rPr>
              <w:t>P002</w:t>
            </w:r>
            <w:r>
              <w:rPr>
                <w:sz w:val="16"/>
                <w:szCs w:val="16"/>
              </w:rPr>
              <w:br/>
            </w:r>
            <w:r>
              <w:rPr>
                <w:rFonts w:asciiTheme="majorBidi" w:hAnsiTheme="majorBidi" w:cstheme="majorBidi"/>
                <w:sz w:val="16"/>
                <w:szCs w:val="16"/>
              </w:rPr>
              <w:t>IBC08</w:t>
            </w:r>
          </w:p>
        </w:tc>
        <w:tc>
          <w:tcPr>
            <w:tcW w:w="294" w:type="pct"/>
          </w:tcPr>
          <w:p w14:paraId="0A64CE74"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Pr>
                <w:rFonts w:asciiTheme="majorBidi" w:hAnsiTheme="majorBidi" w:cstheme="majorBidi"/>
                <w:sz w:val="16"/>
                <w:szCs w:val="16"/>
              </w:rPr>
              <w:br/>
              <w:t>B2, B4</w:t>
            </w:r>
          </w:p>
        </w:tc>
        <w:tc>
          <w:tcPr>
            <w:tcW w:w="221" w:type="pct"/>
          </w:tcPr>
          <w:p w14:paraId="5850E506"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Pr>
                <w:rFonts w:asciiTheme="majorBidi" w:hAnsiTheme="majorBidi" w:cstheme="majorBidi"/>
                <w:sz w:val="16"/>
                <w:szCs w:val="16"/>
              </w:rPr>
              <w:t>T3</w:t>
            </w:r>
          </w:p>
        </w:tc>
        <w:tc>
          <w:tcPr>
            <w:tcW w:w="214" w:type="pct"/>
            <w:shd w:val="clear" w:color="auto" w:fill="auto"/>
          </w:tcPr>
          <w:p w14:paraId="326EE974" w14:textId="77777777" w:rsidR="00FB5C94" w:rsidRPr="00EA521E" w:rsidRDefault="00FB5C94" w:rsidP="009B2C8F">
            <w:pPr>
              <w:pStyle w:val="SingleTxtG"/>
              <w:spacing w:before="40" w:after="40" w:line="240" w:lineRule="auto"/>
              <w:ind w:left="0" w:right="7"/>
              <w:jc w:val="center"/>
              <w:rPr>
                <w:rFonts w:asciiTheme="majorBidi" w:hAnsiTheme="majorBidi" w:cstheme="majorBidi"/>
                <w:sz w:val="16"/>
                <w:szCs w:val="16"/>
              </w:rPr>
            </w:pPr>
            <w:r>
              <w:rPr>
                <w:rFonts w:asciiTheme="majorBidi" w:hAnsiTheme="majorBidi" w:cstheme="majorBidi"/>
                <w:sz w:val="16"/>
                <w:szCs w:val="16"/>
              </w:rPr>
              <w:t>TP33</w:t>
            </w:r>
          </w:p>
        </w:tc>
      </w:tr>
    </w:tbl>
    <w:p w14:paraId="40D3B3D8" w14:textId="77777777" w:rsidR="00FB5C94" w:rsidRPr="00843762" w:rsidRDefault="00FB5C94" w:rsidP="00FB5C94">
      <w:pPr>
        <w:pStyle w:val="SingleTxtG"/>
        <w:spacing w:before="120"/>
        <w:rPr>
          <w:i/>
          <w:iCs/>
        </w:rPr>
      </w:pPr>
      <w:r w:rsidRPr="00804977">
        <w:rPr>
          <w:i/>
          <w:iCs/>
        </w:rPr>
        <w:t xml:space="preserve">(Reference document: </w:t>
      </w:r>
      <w:r>
        <w:rPr>
          <w:i/>
          <w:iCs/>
        </w:rPr>
        <w:t>ST/SG/AC.10/C.3/126, Annex I and ST/SG/AC.10/C.3/128, Annex II</w:t>
      </w:r>
      <w:r w:rsidRPr="00804977">
        <w:rPr>
          <w:i/>
          <w:iCs/>
        </w:rPr>
        <w:t>)</w:t>
      </w:r>
    </w:p>
    <w:p w14:paraId="14A73439" w14:textId="77777777" w:rsidR="00FB5C94" w:rsidRPr="00FF3E52" w:rsidRDefault="00FB5C94" w:rsidP="00FB5C94">
      <w:pPr>
        <w:pStyle w:val="H1G"/>
      </w:pPr>
      <w:r>
        <w:tab/>
      </w:r>
      <w:r>
        <w:tab/>
        <w:t>Chapter 3.3</w:t>
      </w:r>
    </w:p>
    <w:p w14:paraId="6D8B1E82" w14:textId="77777777" w:rsidR="00FB5C94" w:rsidRPr="001C22A9" w:rsidRDefault="00FB5C94" w:rsidP="00FB5C94">
      <w:pPr>
        <w:pStyle w:val="SingleTxtG"/>
        <w:tabs>
          <w:tab w:val="clear" w:pos="1701"/>
          <w:tab w:val="clear" w:pos="2268"/>
          <w:tab w:val="clear" w:pos="2835"/>
        </w:tabs>
        <w:ind w:left="2268" w:hanging="1134"/>
      </w:pPr>
      <w:r w:rsidRPr="001C22A9">
        <w:t>SP 119</w:t>
      </w:r>
      <w:r w:rsidRPr="001C22A9">
        <w:tab/>
        <w:t>After the first sentence add a new sentence to read: “Heating machines include machines or other appliances which have been designed for the specific purpose of heating.”.</w:t>
      </w:r>
    </w:p>
    <w:p w14:paraId="0D1E5D16" w14:textId="77777777" w:rsidR="00FB5C94" w:rsidRPr="001C22A9" w:rsidRDefault="00FB5C94" w:rsidP="00FB5C94">
      <w:pPr>
        <w:pStyle w:val="SingleTxtG"/>
        <w:tabs>
          <w:tab w:val="clear" w:pos="1701"/>
          <w:tab w:val="clear" w:pos="2268"/>
          <w:tab w:val="clear" w:pos="2835"/>
        </w:tabs>
        <w:ind w:left="2268" w:hanging="1134"/>
      </w:pPr>
      <w:r w:rsidRPr="001C22A9">
        <w:tab/>
        <w:t>In the now third sentence (previously second sentence), replace “Refrigerating machines and refrigerating machine components” by “Refrigerating or heating machines and their components”.</w:t>
      </w:r>
    </w:p>
    <w:p w14:paraId="60E5D235" w14:textId="311BDC06" w:rsidR="00FB5C94" w:rsidRPr="001C22A9" w:rsidRDefault="00FB5C94" w:rsidP="00FB5C94">
      <w:pPr>
        <w:pStyle w:val="SingleTxtG"/>
        <w:tabs>
          <w:tab w:val="clear" w:pos="1701"/>
          <w:tab w:val="clear" w:pos="2268"/>
          <w:tab w:val="clear" w:pos="2835"/>
        </w:tabs>
        <w:ind w:left="2268" w:hanging="1134"/>
      </w:pPr>
      <w:r w:rsidRPr="001C22A9">
        <w:tab/>
        <w:t xml:space="preserve">At the end, add a new sentence to read: “Machines or other appliances that are used to perform heating and cooling functions may be transported either </w:t>
      </w:r>
      <w:r>
        <w:t>as</w:t>
      </w:r>
      <w:r w:rsidRPr="001C22A9">
        <w:t xml:space="preserve"> </w:t>
      </w:r>
      <w:r>
        <w:t>"</w:t>
      </w:r>
      <w:r w:rsidRPr="001C22A9">
        <w:t>REFRIGERATING MACHINES</w:t>
      </w:r>
      <w:r>
        <w:t>"</w:t>
      </w:r>
      <w:r w:rsidRPr="001C22A9">
        <w:t xml:space="preserve"> or </w:t>
      </w:r>
      <w:r>
        <w:t>"</w:t>
      </w:r>
      <w:r w:rsidRPr="001C22A9">
        <w:t>HEATING MACHINES</w:t>
      </w:r>
      <w:r>
        <w:t>"</w:t>
      </w:r>
      <w:r w:rsidRPr="001C22A9">
        <w:t>.”.</w:t>
      </w:r>
    </w:p>
    <w:p w14:paraId="6BBE2473"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788950E0" w14:textId="77777777" w:rsidR="00FB5C94" w:rsidRDefault="00FB5C94" w:rsidP="00FB5C94">
      <w:pPr>
        <w:spacing w:after="120"/>
        <w:ind w:left="2268" w:right="1134" w:hanging="1134"/>
        <w:jc w:val="both"/>
      </w:pPr>
      <w:r>
        <w:t>SP 145</w:t>
      </w:r>
      <w:r>
        <w:tab/>
      </w:r>
      <w:r w:rsidRPr="0099071E">
        <w:rPr>
          <w:rFonts w:asciiTheme="majorBidi" w:hAnsiTheme="majorBidi" w:cstheme="majorBidi"/>
        </w:rPr>
        <w:t>Replace</w:t>
      </w:r>
      <w:r>
        <w:t xml:space="preserve"> “packing group III” by “with </w:t>
      </w:r>
      <w:r w:rsidRPr="008956EF">
        <w:t>more than 24</w:t>
      </w:r>
      <w:r>
        <w:t> </w:t>
      </w:r>
      <w:r w:rsidRPr="008956EF">
        <w:t xml:space="preserve">% but not more than </w:t>
      </w:r>
      <w:r>
        <w:br/>
      </w:r>
      <w:r w:rsidRPr="008956EF">
        <w:t>70</w:t>
      </w:r>
      <w:r>
        <w:t> </w:t>
      </w:r>
      <w:r w:rsidRPr="008956EF">
        <w:t>%</w:t>
      </w:r>
      <w:r>
        <w:t xml:space="preserve"> </w:t>
      </w:r>
      <w:r w:rsidRPr="008956EF">
        <w:t>alcohol by volume</w:t>
      </w:r>
      <w:r>
        <w:t>”.</w:t>
      </w:r>
    </w:p>
    <w:p w14:paraId="46F0A061"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18457E96" w14:textId="77777777" w:rsidR="00FB5C94" w:rsidRDefault="00FB5C94" w:rsidP="00FB5C94">
      <w:pPr>
        <w:spacing w:after="120"/>
        <w:ind w:left="2268" w:right="1134" w:hanging="1134"/>
        <w:jc w:val="both"/>
      </w:pPr>
      <w:r>
        <w:t>SP 146</w:t>
      </w:r>
      <w:r>
        <w:tab/>
      </w:r>
      <w:r w:rsidRPr="0032754C">
        <w:rPr>
          <w:rFonts w:asciiTheme="majorBidi" w:hAnsiTheme="majorBidi" w:cstheme="majorBidi"/>
        </w:rPr>
        <w:t>Replace</w:t>
      </w:r>
      <w:r>
        <w:t xml:space="preserve"> “packing group II” by “with </w:t>
      </w:r>
      <w:r w:rsidRPr="008956EF">
        <w:t>more than 70 % alcohol by volume</w:t>
      </w:r>
      <w:r>
        <w:t>”.</w:t>
      </w:r>
    </w:p>
    <w:p w14:paraId="3D15EFB3"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0D996A24" w14:textId="77777777" w:rsidR="00FB5C94" w:rsidRPr="0028637C" w:rsidRDefault="00FB5C94" w:rsidP="00FB5C94">
      <w:pPr>
        <w:pStyle w:val="SingleTxtG"/>
        <w:ind w:left="2268" w:hanging="1134"/>
      </w:pPr>
      <w:r>
        <w:t>SP 188</w:t>
      </w:r>
      <w:r>
        <w:tab/>
        <w:t>In (c), replace “and (g)” by “, (g) and (h) if applicable”.</w:t>
      </w:r>
    </w:p>
    <w:p w14:paraId="51899ED3" w14:textId="77777777" w:rsidR="00FB5C94" w:rsidRPr="004E1EC6" w:rsidRDefault="00FB5C94" w:rsidP="00FB5C94">
      <w:pPr>
        <w:spacing w:after="120"/>
        <w:ind w:left="2268" w:right="1134" w:hanging="1134"/>
        <w:jc w:val="both"/>
      </w:pPr>
      <w:r w:rsidRPr="004E1EC6">
        <w:tab/>
        <w:t>In (f):</w:t>
      </w:r>
    </w:p>
    <w:p w14:paraId="279EE3E3" w14:textId="77777777" w:rsidR="00FB5C94" w:rsidRPr="004E1EC6" w:rsidRDefault="00FB5C94" w:rsidP="00FB5C94">
      <w:pPr>
        <w:spacing w:after="120"/>
        <w:ind w:left="2268" w:right="1134" w:hanging="1134"/>
        <w:jc w:val="both"/>
      </w:pPr>
      <w:r w:rsidRPr="004E1EC6">
        <w:tab/>
        <w:t xml:space="preserve">- In the first sentence, </w:t>
      </w:r>
      <w:r w:rsidRPr="001C22A9">
        <w:t>replace “with the appropriate lithium or sodium battery mark, as illustrated at” by “according to”</w:t>
      </w:r>
      <w:r w:rsidRPr="004E1EC6">
        <w:t>.</w:t>
      </w:r>
    </w:p>
    <w:p w14:paraId="15995023" w14:textId="77777777" w:rsidR="00FB5C94" w:rsidRPr="004E1EC6" w:rsidRDefault="00FB5C94" w:rsidP="00FB5C94">
      <w:pPr>
        <w:spacing w:after="120"/>
        <w:ind w:left="2268" w:right="1134" w:hanging="1134"/>
        <w:jc w:val="both"/>
      </w:pPr>
      <w:r w:rsidRPr="004E1EC6">
        <w:tab/>
        <w:t xml:space="preserve">- In </w:t>
      </w:r>
      <w:r w:rsidRPr="00300D30">
        <w:rPr>
          <w:rFonts w:asciiTheme="majorBidi" w:hAnsiTheme="majorBidi" w:cstheme="majorBidi"/>
        </w:rPr>
        <w:t>the</w:t>
      </w:r>
      <w:r w:rsidRPr="004E1EC6">
        <w:t xml:space="preserve"> note, replace </w:t>
      </w:r>
      <w:r w:rsidRPr="004E1EC6">
        <w:rPr>
          <w:i/>
          <w:iCs/>
        </w:rPr>
        <w:t>“(lithium battery mark)</w:t>
      </w:r>
      <w:r w:rsidRPr="004E1EC6">
        <w:t>” by “</w:t>
      </w:r>
      <w:r w:rsidRPr="004E1EC6">
        <w:rPr>
          <w:i/>
          <w:iCs/>
        </w:rPr>
        <w:t>(battery mark)</w:t>
      </w:r>
      <w:r w:rsidRPr="004E1EC6">
        <w:t>”.</w:t>
      </w:r>
    </w:p>
    <w:p w14:paraId="35A40BEF" w14:textId="77777777" w:rsidR="00FB5C94" w:rsidRPr="004E1EC6" w:rsidRDefault="00FB5C94" w:rsidP="00FB5C94">
      <w:pPr>
        <w:spacing w:after="120"/>
        <w:ind w:left="2268" w:right="1134" w:hanging="1134"/>
        <w:jc w:val="both"/>
      </w:pPr>
      <w:r w:rsidRPr="004E1EC6">
        <w:lastRenderedPageBreak/>
        <w:tab/>
        <w:t>- In the last paragraph, first sentence, replace “lithium or sodium battery mark” by “</w:t>
      </w:r>
      <w:r w:rsidRPr="00300D30">
        <w:rPr>
          <w:rFonts w:asciiTheme="majorBidi" w:hAnsiTheme="majorBidi" w:cstheme="majorBidi"/>
        </w:rPr>
        <w:t>battery</w:t>
      </w:r>
      <w:r w:rsidRPr="004E1EC6">
        <w:t xml:space="preserve"> mark”.</w:t>
      </w:r>
    </w:p>
    <w:p w14:paraId="716A92A8" w14:textId="14D4973B" w:rsidR="00FB5C94" w:rsidRPr="001C22A9" w:rsidRDefault="00FB5C94" w:rsidP="00FB5C94">
      <w:pPr>
        <w:pStyle w:val="SingleTxtG"/>
        <w:tabs>
          <w:tab w:val="clear" w:pos="1701"/>
          <w:tab w:val="clear" w:pos="2268"/>
          <w:tab w:val="clear" w:pos="2835"/>
        </w:tabs>
        <w:ind w:left="2268" w:hanging="1134"/>
      </w:pPr>
      <w:r w:rsidRPr="001C22A9">
        <w:tab/>
      </w:r>
      <w:r w:rsidRPr="004E1EC6">
        <w:t xml:space="preserve">- </w:t>
      </w:r>
      <w:r w:rsidRPr="001C22A9">
        <w:t>In (ii), at the end, add “Where equipment contains a button cell in addition to cells or batteries, the button cell does not count toward package or consignment limits.”</w:t>
      </w:r>
    </w:p>
    <w:p w14:paraId="20893823"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ST/SG/AC.10/C.3/126, Annex I and ST/SG/AC.10/C.3/128, Annex II</w:t>
      </w:r>
      <w:r w:rsidRPr="00804977">
        <w:rPr>
          <w:i/>
          <w:iCs/>
        </w:rPr>
        <w:t>)</w:t>
      </w:r>
    </w:p>
    <w:p w14:paraId="4B3B48FE" w14:textId="77777777" w:rsidR="00FB5C94" w:rsidRPr="000934D7" w:rsidRDefault="00FB5C94" w:rsidP="00FB5C94">
      <w:pPr>
        <w:spacing w:after="120"/>
        <w:ind w:left="2268" w:right="1134" w:hanging="1134"/>
        <w:jc w:val="both"/>
        <w:rPr>
          <w:rFonts w:asciiTheme="majorBidi" w:hAnsiTheme="majorBidi" w:cstheme="majorBidi"/>
        </w:rPr>
      </w:pPr>
      <w:r w:rsidRPr="000934D7">
        <w:t>SP 2</w:t>
      </w:r>
      <w:r>
        <w:t>52</w:t>
      </w:r>
      <w:r w:rsidRPr="000934D7">
        <w:tab/>
      </w:r>
      <w:r>
        <w:t>The amendment does not apply to the English version.</w:t>
      </w:r>
    </w:p>
    <w:p w14:paraId="3C6C0D8B"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18505C19" w14:textId="77777777" w:rsidR="00FB5C94" w:rsidRPr="001F2D6C" w:rsidRDefault="00FB5C94" w:rsidP="00FB5C94">
      <w:pPr>
        <w:pStyle w:val="SingleTxtG"/>
        <w:ind w:left="2268" w:hanging="1134"/>
      </w:pPr>
      <w:r w:rsidRPr="001F2D6C">
        <w:t xml:space="preserve">SP </w:t>
      </w:r>
      <w:r>
        <w:t>277</w:t>
      </w:r>
      <w:r w:rsidRPr="001F2D6C">
        <w:tab/>
      </w:r>
      <w:r>
        <w:rPr>
          <w:rFonts w:asciiTheme="majorBidi" w:hAnsiTheme="majorBidi" w:cstheme="majorBidi"/>
        </w:rPr>
        <w:t>In the first sentence, after “value”, add “for the purposes of exemptions in chapter 3.4”</w:t>
      </w:r>
      <w:r w:rsidRPr="001F2D6C">
        <w:t>.</w:t>
      </w:r>
    </w:p>
    <w:p w14:paraId="5DE9F350"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732821CC" w14:textId="77777777" w:rsidR="00FB5C94" w:rsidRPr="001C22A9" w:rsidRDefault="00FB5C94" w:rsidP="00FB5C94">
      <w:pPr>
        <w:pStyle w:val="SingleTxtG"/>
        <w:tabs>
          <w:tab w:val="clear" w:pos="1701"/>
          <w:tab w:val="clear" w:pos="2268"/>
          <w:tab w:val="clear" w:pos="2835"/>
        </w:tabs>
        <w:ind w:left="2268" w:hanging="1134"/>
      </w:pPr>
      <w:r w:rsidRPr="001C22A9">
        <w:t>SP 291</w:t>
      </w:r>
      <w:r w:rsidRPr="001C22A9">
        <w:tab/>
        <w:t>In the first sentence, after “refrigerating”, add “or heating”.</w:t>
      </w:r>
    </w:p>
    <w:p w14:paraId="65A571DD" w14:textId="77777777" w:rsidR="00FB5C94" w:rsidRPr="001C22A9" w:rsidRDefault="00FB5C94" w:rsidP="00FB5C94">
      <w:pPr>
        <w:pStyle w:val="SingleTxtG"/>
        <w:tabs>
          <w:tab w:val="clear" w:pos="1701"/>
          <w:tab w:val="clear" w:pos="2268"/>
          <w:tab w:val="clear" w:pos="2835"/>
        </w:tabs>
        <w:ind w:left="2268" w:hanging="1134"/>
      </w:pPr>
      <w:r w:rsidRPr="001C22A9">
        <w:tab/>
        <w:t>In the third sentence, replace “The refrigerating machines” by “Refrigerating or heating machines”.</w:t>
      </w:r>
    </w:p>
    <w:p w14:paraId="170E14B6" w14:textId="77777777" w:rsidR="00FB5C94" w:rsidRPr="001C22A9" w:rsidRDefault="00FB5C94" w:rsidP="00FB5C94">
      <w:pPr>
        <w:pStyle w:val="SingleTxtG"/>
        <w:tabs>
          <w:tab w:val="clear" w:pos="1701"/>
          <w:tab w:val="clear" w:pos="2268"/>
          <w:tab w:val="clear" w:pos="2835"/>
        </w:tabs>
        <w:ind w:left="2268" w:hanging="1134"/>
      </w:pPr>
      <w:r w:rsidRPr="001C22A9">
        <w:tab/>
        <w:t>In the fourth sentence, replace “Refrigerating machines and refrigerating-machine components” by “Refrigerating or heating machines and their components”.</w:t>
      </w:r>
    </w:p>
    <w:p w14:paraId="123D5366" w14:textId="3ABA6160" w:rsidR="00FB5C94" w:rsidRPr="001C22A9" w:rsidRDefault="00FB5C94" w:rsidP="00FB5C94">
      <w:pPr>
        <w:pStyle w:val="SingleTxtG"/>
        <w:tabs>
          <w:tab w:val="clear" w:pos="1701"/>
          <w:tab w:val="clear" w:pos="2268"/>
          <w:tab w:val="clear" w:pos="2835"/>
        </w:tabs>
        <w:ind w:left="2268" w:hanging="1134"/>
      </w:pPr>
      <w:r w:rsidRPr="001C22A9">
        <w:tab/>
        <w:t xml:space="preserve">At the end, add a new sentence to read: “Machines that are used to perform heating and cooling functions may be transported either </w:t>
      </w:r>
      <w:r>
        <w:t xml:space="preserve">as </w:t>
      </w:r>
      <w:r w:rsidRPr="001C22A9">
        <w:t xml:space="preserve"> </w:t>
      </w:r>
      <w:r>
        <w:t>"</w:t>
      </w:r>
      <w:r w:rsidRPr="001C22A9">
        <w:t>REFRIGERATING MACHINES</w:t>
      </w:r>
      <w:r>
        <w:t>"</w:t>
      </w:r>
      <w:r w:rsidRPr="001C22A9">
        <w:t xml:space="preserve"> or </w:t>
      </w:r>
      <w:r>
        <w:t>"</w:t>
      </w:r>
      <w:r w:rsidRPr="001C22A9">
        <w:t>HEATING MACHINES</w:t>
      </w:r>
      <w:r>
        <w:t>"</w:t>
      </w:r>
      <w:r w:rsidRPr="001C22A9">
        <w:t>.”.</w:t>
      </w:r>
    </w:p>
    <w:p w14:paraId="55B53C41"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24D57F67" w14:textId="77777777" w:rsidR="00FB5C94" w:rsidRPr="000934D7" w:rsidRDefault="00FB5C94" w:rsidP="00FB5C94">
      <w:pPr>
        <w:spacing w:after="120"/>
        <w:ind w:left="2268" w:right="1134" w:hanging="1134"/>
        <w:jc w:val="both"/>
        <w:rPr>
          <w:rFonts w:asciiTheme="majorBidi" w:hAnsiTheme="majorBidi" w:cstheme="majorBidi"/>
        </w:rPr>
      </w:pPr>
      <w:r w:rsidRPr="000934D7">
        <w:t>SP 296</w:t>
      </w:r>
      <w:r w:rsidRPr="000934D7">
        <w:tab/>
      </w:r>
      <w:r w:rsidRPr="000934D7">
        <w:rPr>
          <w:rFonts w:asciiTheme="majorBidi" w:hAnsiTheme="majorBidi" w:cstheme="majorBidi"/>
        </w:rPr>
        <w:t xml:space="preserve">In (d), </w:t>
      </w:r>
      <w:r>
        <w:rPr>
          <w:rFonts w:asciiTheme="majorBidi" w:hAnsiTheme="majorBidi" w:cstheme="majorBidi"/>
        </w:rPr>
        <w:t>replace</w:t>
      </w:r>
      <w:r w:rsidRPr="000934D7">
        <w:rPr>
          <w:rFonts w:asciiTheme="majorBidi" w:hAnsiTheme="majorBidi" w:cstheme="majorBidi"/>
        </w:rPr>
        <w:t xml:space="preserve"> “</w:t>
      </w:r>
      <w:r w:rsidRPr="00D83828">
        <w:rPr>
          <w:rFonts w:asciiTheme="majorBidi" w:hAnsiTheme="majorBidi" w:cstheme="majorBidi"/>
        </w:rPr>
        <w:t>lithium or sodium ion batteries</w:t>
      </w:r>
      <w:r w:rsidRPr="000934D7">
        <w:rPr>
          <w:rFonts w:asciiTheme="majorBidi" w:hAnsiTheme="majorBidi" w:cstheme="majorBidi"/>
        </w:rPr>
        <w:t>”</w:t>
      </w:r>
      <w:r>
        <w:rPr>
          <w:rFonts w:asciiTheme="majorBidi" w:hAnsiTheme="majorBidi" w:cstheme="majorBidi"/>
        </w:rPr>
        <w:t xml:space="preserve"> by</w:t>
      </w:r>
      <w:r w:rsidRPr="000934D7">
        <w:rPr>
          <w:rFonts w:asciiTheme="majorBidi" w:hAnsiTheme="majorBidi" w:cstheme="majorBidi"/>
        </w:rPr>
        <w:t xml:space="preserve"> “</w:t>
      </w:r>
      <w:r w:rsidRPr="00D83828">
        <w:rPr>
          <w:rFonts w:asciiTheme="majorBidi" w:hAnsiTheme="majorBidi" w:cstheme="majorBidi"/>
        </w:rPr>
        <w:t xml:space="preserve">lithium </w:t>
      </w:r>
      <w:r>
        <w:rPr>
          <w:rFonts w:asciiTheme="majorBidi" w:hAnsiTheme="majorBidi" w:cstheme="majorBidi"/>
        </w:rPr>
        <w:t xml:space="preserve">batteries </w:t>
      </w:r>
      <w:r w:rsidRPr="00D83828">
        <w:rPr>
          <w:rFonts w:asciiTheme="majorBidi" w:hAnsiTheme="majorBidi" w:cstheme="majorBidi"/>
        </w:rPr>
        <w:t>or sodium ion batteries</w:t>
      </w:r>
      <w:r w:rsidRPr="000934D7">
        <w:rPr>
          <w:rFonts w:asciiTheme="majorBidi" w:hAnsiTheme="majorBidi" w:cstheme="majorBidi"/>
        </w:rPr>
        <w:t>”.</w:t>
      </w:r>
    </w:p>
    <w:p w14:paraId="2D855A93"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6FF0902B" w14:textId="77777777" w:rsidR="00FB5C94" w:rsidRPr="001C22A9" w:rsidRDefault="00FB5C94" w:rsidP="00FB5C94">
      <w:pPr>
        <w:pStyle w:val="SingleTxtG"/>
        <w:tabs>
          <w:tab w:val="clear" w:pos="1701"/>
          <w:tab w:val="clear" w:pos="2268"/>
          <w:tab w:val="clear" w:pos="2835"/>
        </w:tabs>
        <w:ind w:left="2268" w:hanging="1134"/>
      </w:pPr>
      <w:r w:rsidRPr="001C22A9">
        <w:t>SP 301</w:t>
      </w:r>
      <w:r w:rsidRPr="001C22A9">
        <w:tab/>
        <w:t>Amend the fifth sentence to read “If the articles contain more than one item of dangerous goods and these could react dangerously with one another during transport, each of the dangerous goods shall be enclosed separately (see 4.1.1.6).”.</w:t>
      </w:r>
    </w:p>
    <w:p w14:paraId="7AD7A87F"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3E67F91D" w14:textId="77777777" w:rsidR="00FB5C94" w:rsidRDefault="00FB5C94" w:rsidP="00FB5C94">
      <w:pPr>
        <w:pStyle w:val="SingleTxtG"/>
        <w:ind w:left="2268" w:hanging="1134"/>
      </w:pPr>
      <w:r w:rsidRPr="001F2D6C">
        <w:t xml:space="preserve">SP </w:t>
      </w:r>
      <w:r>
        <w:t>310</w:t>
      </w:r>
      <w:r>
        <w:tab/>
        <w:t>At the end of the first paragraph, replace “and (g)” by “, (g), (h) (ii) if applicable</w:t>
      </w:r>
      <w:r w:rsidRPr="00B04D35">
        <w:t xml:space="preserve"> and (h) (iii) if applicable</w:t>
      </w:r>
      <w:r>
        <w:t xml:space="preserve"> for lithium cells or batteries, and shall meet the provisions of 2.9.5 </w:t>
      </w:r>
      <w:r w:rsidRPr="00120316">
        <w:t>with the exception of 2.9.</w:t>
      </w:r>
      <w:r>
        <w:t>5</w:t>
      </w:r>
      <w:r w:rsidRPr="00120316">
        <w:t xml:space="preserve"> (a)</w:t>
      </w:r>
      <w:r>
        <w:t xml:space="preserve"> and 2.9.4</w:t>
      </w:r>
      <w:r w:rsidRPr="00120316">
        <w:t xml:space="preserve"> (e) (vii)</w:t>
      </w:r>
      <w:r>
        <w:t xml:space="preserve"> (as referred to in 2.9.5 (e))</w:t>
      </w:r>
      <w:r w:rsidRPr="00120316">
        <w:t xml:space="preserve"> </w:t>
      </w:r>
      <w:r>
        <w:t>for sodium ion cells or batteries”.</w:t>
      </w:r>
    </w:p>
    <w:p w14:paraId="35CC9372" w14:textId="77777777" w:rsidR="00FB5C94" w:rsidRPr="000934D7" w:rsidRDefault="00FB5C94" w:rsidP="00FB5C94">
      <w:pPr>
        <w:spacing w:after="120"/>
        <w:ind w:left="2268" w:right="1134" w:hanging="1134"/>
        <w:jc w:val="both"/>
        <w:rPr>
          <w:rFonts w:asciiTheme="majorBidi" w:hAnsiTheme="majorBidi" w:cstheme="majorBidi"/>
        </w:rPr>
      </w:pPr>
      <w:r w:rsidRPr="000934D7">
        <w:tab/>
      </w:r>
      <w:r>
        <w:t>The second amendment does not apply to the English version.</w:t>
      </w:r>
    </w:p>
    <w:p w14:paraId="044141F4"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568BD055" w14:textId="77777777" w:rsidR="00FB5C94" w:rsidRPr="000934D7" w:rsidRDefault="00FB5C94" w:rsidP="00FB5C94">
      <w:pPr>
        <w:spacing w:after="120"/>
        <w:ind w:left="2268" w:right="1134" w:hanging="1134"/>
        <w:jc w:val="both"/>
        <w:rPr>
          <w:rFonts w:asciiTheme="majorBidi" w:hAnsiTheme="majorBidi" w:cstheme="majorBidi"/>
        </w:rPr>
      </w:pPr>
      <w:r w:rsidRPr="000934D7">
        <w:t xml:space="preserve">SP </w:t>
      </w:r>
      <w:r>
        <w:t>328</w:t>
      </w:r>
      <w:r w:rsidRPr="000934D7">
        <w:tab/>
      </w:r>
      <w:r>
        <w:t xml:space="preserve">The </w:t>
      </w:r>
      <w:r w:rsidRPr="002820D6">
        <w:rPr>
          <w:rFonts w:asciiTheme="majorBidi" w:hAnsiTheme="majorBidi" w:cstheme="majorBidi"/>
        </w:rPr>
        <w:t>amendment</w:t>
      </w:r>
      <w:r>
        <w:t xml:space="preserve"> does not apply to the English version.</w:t>
      </w:r>
    </w:p>
    <w:p w14:paraId="4CC42A8A"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1CA0CBEC" w14:textId="77777777" w:rsidR="00FB5C94" w:rsidRDefault="00FB5C94" w:rsidP="00FB5C94">
      <w:pPr>
        <w:pStyle w:val="SingleTxtG"/>
        <w:ind w:left="2268" w:hanging="1134"/>
      </w:pPr>
      <w:r w:rsidRPr="001F2D6C">
        <w:t xml:space="preserve">SP </w:t>
      </w:r>
      <w:r>
        <w:t>360</w:t>
      </w:r>
      <w:r>
        <w:tab/>
        <w:t>Before the last sentence, add the following new sentence: “</w:t>
      </w:r>
      <w:r w:rsidRPr="00135FF4">
        <w:t xml:space="preserve">Vehicles powered only by hybrid batteries containing both lithium ion cells and sodium ion cells </w:t>
      </w:r>
      <w:r>
        <w:t xml:space="preserve">in accordance with 2.9.4 (h) </w:t>
      </w:r>
      <w:r w:rsidRPr="00135FF4">
        <w:t>shall be assigned to the entry UN 3556 VEHICLE, LITHIUM ION BATTERY POWERED</w:t>
      </w:r>
      <w:r>
        <w:t>.”.</w:t>
      </w:r>
    </w:p>
    <w:p w14:paraId="5FBBE3C4" w14:textId="7CB62A93" w:rsidR="00FB5C94" w:rsidRPr="00135FF4" w:rsidRDefault="00FB5C94" w:rsidP="00A619D1">
      <w:pPr>
        <w:pStyle w:val="SingleTxtG"/>
        <w:keepNext/>
        <w:tabs>
          <w:tab w:val="clear" w:pos="1701"/>
        </w:tabs>
        <w:ind w:left="2268" w:hanging="1134"/>
        <w:rPr>
          <w:lang w:val="en-US"/>
        </w:rPr>
      </w:pPr>
      <w:r>
        <w:tab/>
        <w:t>Amend</w:t>
      </w:r>
      <w:r w:rsidRPr="001C22A9">
        <w:t xml:space="preserve"> the last sentence</w:t>
      </w:r>
      <w:r>
        <w:t xml:space="preserve"> to read</w:t>
      </w:r>
      <w:r w:rsidR="005B15A1">
        <w:t>:</w:t>
      </w:r>
      <w:r>
        <w:t xml:space="preserve"> “</w:t>
      </w:r>
      <w:r w:rsidRPr="00D56699">
        <w:t>Lithium batteries</w:t>
      </w:r>
      <w:r w:rsidRPr="001C22A9">
        <w:t>, sodium ion batteries</w:t>
      </w:r>
      <w:r w:rsidRPr="0013347E">
        <w:t xml:space="preserve"> </w:t>
      </w:r>
      <w:r w:rsidRPr="00DA2025">
        <w:t xml:space="preserve">or hybrid batteries containing both lithium ion cells and sodium ion cells </w:t>
      </w:r>
      <w:r>
        <w:t>in accordance with 2.9.4 (h)</w:t>
      </w:r>
      <w:r w:rsidRPr="00D56699">
        <w:t xml:space="preserve"> installed in cargo transport units, designed only to provide power external to the transport unit shall be assigned to entr</w:t>
      </w:r>
      <w:r>
        <w:t>ies</w:t>
      </w:r>
      <w:r w:rsidRPr="00D56699">
        <w:t xml:space="preserve"> UN 3536 LITHIUM BATTERIES INSTALLED IN CARGO TRANSPORT </w:t>
      </w:r>
      <w:r w:rsidRPr="00D56699">
        <w:lastRenderedPageBreak/>
        <w:t>UNIT</w:t>
      </w:r>
      <w:r>
        <w:t xml:space="preserve"> </w:t>
      </w:r>
      <w:r w:rsidRPr="001C22A9">
        <w:t>or UN 3536 SODIUM ION BATTERIES INSTALLED IN CARGO TRANSPORT UNIT, as applicable</w:t>
      </w:r>
      <w:r w:rsidRPr="00D56699">
        <w:t>.</w:t>
      </w:r>
      <w:r>
        <w:t>”.</w:t>
      </w:r>
    </w:p>
    <w:p w14:paraId="461DB789" w14:textId="77777777" w:rsidR="00FB5C94" w:rsidRDefault="00FB5C94" w:rsidP="00FB5C94">
      <w:pPr>
        <w:pStyle w:val="SingleTxtG"/>
        <w:rPr>
          <w:i/>
          <w:iCs/>
        </w:rPr>
      </w:pPr>
      <w:r w:rsidRPr="00804977">
        <w:rPr>
          <w:i/>
          <w:iCs/>
        </w:rPr>
        <w:t xml:space="preserve">(Reference document: </w:t>
      </w:r>
      <w:r>
        <w:rPr>
          <w:i/>
          <w:iCs/>
        </w:rPr>
        <w:t>ST/SG/AC.10/C.3/126, Annex I and ST/SG/AC.10/C.3/128, Annex II</w:t>
      </w:r>
      <w:r w:rsidRPr="00804977">
        <w:rPr>
          <w:i/>
          <w:iCs/>
        </w:rPr>
        <w:t>)</w:t>
      </w:r>
    </w:p>
    <w:p w14:paraId="7D16DABB" w14:textId="77777777" w:rsidR="00FB5C94" w:rsidRDefault="00FB5C94" w:rsidP="00FB5C94">
      <w:pPr>
        <w:pStyle w:val="SingleTxtG"/>
        <w:ind w:left="2268" w:hanging="1134"/>
      </w:pPr>
      <w:r w:rsidRPr="001F2D6C">
        <w:t xml:space="preserve">SP </w:t>
      </w:r>
      <w:r>
        <w:t>363</w:t>
      </w:r>
      <w:r>
        <w:tab/>
        <w:t>In (f), second sentence, replace “and (g)” by “, (g), (h) (ii) if applicable</w:t>
      </w:r>
      <w:r w:rsidRPr="00B04D35">
        <w:t xml:space="preserve"> and (h) (iii) if applicable</w:t>
      </w:r>
      <w:r>
        <w:t>”.</w:t>
      </w:r>
    </w:p>
    <w:p w14:paraId="70D24193" w14:textId="77777777" w:rsidR="00FB5C94" w:rsidRDefault="00FB5C94" w:rsidP="00FB5C94">
      <w:pPr>
        <w:spacing w:after="120"/>
        <w:ind w:left="2268" w:right="1134" w:hanging="1134"/>
        <w:jc w:val="both"/>
        <w:rPr>
          <w:rFonts w:asciiTheme="majorBidi" w:hAnsiTheme="majorBidi" w:cstheme="majorBidi"/>
        </w:rPr>
      </w:pPr>
      <w:r w:rsidRPr="000934D7">
        <w:tab/>
        <w:t xml:space="preserve">In (f), add a new third sentence to read: </w:t>
      </w:r>
      <w:r w:rsidRPr="000934D7">
        <w:rPr>
          <w:rFonts w:asciiTheme="majorBidi" w:hAnsiTheme="majorBidi" w:cstheme="majorBidi"/>
        </w:rPr>
        <w:t xml:space="preserve">“Furthermore, sodium ion batteries shall meet the provisions of 2.9.5, except that 2.9.5 (a), (e) and (f) do not apply when batteries of a production run of not more than 100 cells or batteries, or pre-production prototypes of cells or batteries when these prototypes are </w:t>
      </w:r>
      <w:r>
        <w:rPr>
          <w:rFonts w:asciiTheme="majorBidi" w:hAnsiTheme="majorBidi" w:cstheme="majorBidi"/>
        </w:rPr>
        <w:t>transported</w:t>
      </w:r>
      <w:r w:rsidRPr="000934D7">
        <w:rPr>
          <w:rFonts w:asciiTheme="majorBidi" w:hAnsiTheme="majorBidi" w:cstheme="majorBidi"/>
        </w:rPr>
        <w:t xml:space="preserve"> for testing, are installed in machinery or engines.”.</w:t>
      </w:r>
      <w:r>
        <w:rPr>
          <w:rFonts w:asciiTheme="majorBidi" w:hAnsiTheme="majorBidi" w:cstheme="majorBidi"/>
        </w:rPr>
        <w:t xml:space="preserve"> </w:t>
      </w:r>
    </w:p>
    <w:p w14:paraId="4D2A982B" w14:textId="1B368525" w:rsidR="00FB5C94" w:rsidRPr="000934D7" w:rsidRDefault="00FB5C94" w:rsidP="002045B4">
      <w:pPr>
        <w:spacing w:after="120"/>
        <w:ind w:left="2268" w:right="1134"/>
        <w:jc w:val="both"/>
        <w:rPr>
          <w:rFonts w:asciiTheme="majorBidi" w:hAnsiTheme="majorBidi" w:cstheme="majorBidi"/>
        </w:rPr>
      </w:pPr>
      <w:r>
        <w:t>The last amendment does not apply to the English version.</w:t>
      </w:r>
    </w:p>
    <w:p w14:paraId="761C7585"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3CD56F98" w14:textId="77777777" w:rsidR="00FB5C94" w:rsidRDefault="00FB5C94" w:rsidP="00FB5C94">
      <w:pPr>
        <w:pStyle w:val="SingleTxtG"/>
        <w:ind w:left="2268" w:hanging="1134"/>
      </w:pPr>
      <w:r>
        <w:t>SP 379</w:t>
      </w:r>
      <w:r>
        <w:tab/>
        <w:t xml:space="preserve">In </w:t>
      </w:r>
      <w:r w:rsidRPr="004726CB">
        <w:t>(d) (i)</w:t>
      </w:r>
      <w:r>
        <w:t>,</w:t>
      </w:r>
      <w:r w:rsidRPr="004726CB">
        <w:t xml:space="preserve"> </w:t>
      </w:r>
      <w:r>
        <w:t>after “</w:t>
      </w:r>
      <w:r w:rsidRPr="004726CB">
        <w:t>ISO 11114-1:2020</w:t>
      </w:r>
      <w:r>
        <w:t>”, add</w:t>
      </w:r>
      <w:r w:rsidRPr="004726CB">
        <w:t xml:space="preserve"> </w:t>
      </w:r>
      <w:r>
        <w:t xml:space="preserve">“+ </w:t>
      </w:r>
      <w:r w:rsidRPr="004726CB">
        <w:t>Amd 1:2023</w:t>
      </w:r>
      <w:r>
        <w:t>”.</w:t>
      </w:r>
    </w:p>
    <w:p w14:paraId="6326F2DB"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683FB730" w14:textId="77777777" w:rsidR="00FB5C94" w:rsidRDefault="00FB5C94" w:rsidP="00FB5C94">
      <w:pPr>
        <w:pStyle w:val="SingleTxtG"/>
        <w:ind w:left="2268" w:hanging="1134"/>
      </w:pPr>
      <w:r>
        <w:t>SP 387</w:t>
      </w:r>
      <w:r>
        <w:tab/>
        <w:t>In the second sentence, replace “capacity” by watt-hour rating”.</w:t>
      </w:r>
    </w:p>
    <w:p w14:paraId="6F63A166"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5C33B4A6" w14:textId="77777777" w:rsidR="00FB5C94" w:rsidRDefault="00FB5C94" w:rsidP="00FB5C94">
      <w:pPr>
        <w:pStyle w:val="SingleTxtG"/>
        <w:ind w:left="2268" w:hanging="1134"/>
      </w:pPr>
      <w:r w:rsidRPr="001F2D6C">
        <w:t xml:space="preserve">SP </w:t>
      </w:r>
      <w:r>
        <w:t>388</w:t>
      </w:r>
      <w:r>
        <w:tab/>
        <w:t>In the second and third paragraphs, in the second sentence, replace “</w:t>
      </w:r>
      <w:r w:rsidRPr="00D2787C">
        <w:t>sodium batteries, lithium metal batteries or lithium ion batteries</w:t>
      </w:r>
      <w:r>
        <w:t>” by “</w:t>
      </w:r>
      <w:r w:rsidRPr="00C43518">
        <w:t>metallic sodium batteries, sodium alloy batteries, lithium metal batteries, lithium ion batteries, hybrid batteries containing both lithium ion cells and sodium ion cells</w:t>
      </w:r>
      <w:r>
        <w:t xml:space="preserve"> in accordance with 2.9.4 (h)</w:t>
      </w:r>
      <w:r w:rsidRPr="00C43518">
        <w:t xml:space="preserve"> or sodium ion batteries</w:t>
      </w:r>
      <w:r>
        <w:t>”.</w:t>
      </w:r>
    </w:p>
    <w:p w14:paraId="46A6220A" w14:textId="77777777" w:rsidR="00FB5C94" w:rsidRDefault="00FB5C94" w:rsidP="00FB5C94">
      <w:pPr>
        <w:pStyle w:val="SingleTxtG"/>
        <w:tabs>
          <w:tab w:val="clear" w:pos="1701"/>
        </w:tabs>
        <w:ind w:left="2268" w:hanging="1134"/>
      </w:pPr>
      <w:r>
        <w:tab/>
        <w:t>In the sixth paragraph, add a new second sentence to read “</w:t>
      </w:r>
      <w:r w:rsidRPr="00135FF4">
        <w:t xml:space="preserve">Vehicles powered only by hybrid batteries containing both lithium ion cells and sodium ion cells </w:t>
      </w:r>
      <w:r>
        <w:t xml:space="preserve">in accordance with 2.9.4 (h) </w:t>
      </w:r>
      <w:r w:rsidRPr="00135FF4">
        <w:t>shall be assigned to the entry UN 3556 VEHICLE, LITHIUM ION BATTERY POWERED</w:t>
      </w:r>
      <w:r>
        <w:t>.”.</w:t>
      </w:r>
    </w:p>
    <w:p w14:paraId="6E74BC63" w14:textId="77777777" w:rsidR="00FB5C94" w:rsidRDefault="00FB5C94" w:rsidP="00FB5C94">
      <w:pPr>
        <w:pStyle w:val="SingleTxtG"/>
        <w:tabs>
          <w:tab w:val="clear" w:pos="1701"/>
        </w:tabs>
        <w:ind w:left="2268" w:hanging="1134"/>
      </w:pPr>
      <w:r>
        <w:tab/>
      </w:r>
      <w:r w:rsidRPr="001C22A9">
        <w:t>In the eighth paragraph, amend the last sentence to read: “Lithium ion batteries, lithium metal batteries or sodium ion batteries installed in a cargo transport unit and designed only to provide power external to the cargo transport unit shall be assigned to the entries UN 3536 LITHIUM BATTERIES INSTALLED IN CARGO TRANSPORT UNIT or UN 3536 SODIUM ION BATTERIES INSTALLED IN CARGO TRANSPORT UNIT, as appropriate</w:t>
      </w:r>
      <w:r>
        <w:t>.</w:t>
      </w:r>
      <w:r w:rsidRPr="001C22A9">
        <w:t>”.</w:t>
      </w:r>
    </w:p>
    <w:p w14:paraId="0F6C0B3E" w14:textId="77777777" w:rsidR="00FB5C94" w:rsidRDefault="00FB5C94" w:rsidP="00FB5C94">
      <w:pPr>
        <w:pStyle w:val="SingleTxtG"/>
        <w:tabs>
          <w:tab w:val="clear" w:pos="1701"/>
        </w:tabs>
        <w:ind w:left="2268" w:hanging="1134"/>
      </w:pPr>
      <w:r>
        <w:tab/>
        <w:t>In the ninth paragraph, second sentence, replace “and (g)” by “, (g), (h) (ii) if applicable</w:t>
      </w:r>
      <w:r w:rsidRPr="00B04D35">
        <w:t xml:space="preserve"> and (h) (iii) if applicable</w:t>
      </w:r>
      <w:r>
        <w:t>”.</w:t>
      </w:r>
    </w:p>
    <w:p w14:paraId="3EF804F1" w14:textId="77777777" w:rsidR="00FB5C94" w:rsidRPr="000934D7" w:rsidRDefault="00FB5C94" w:rsidP="00FB5C94">
      <w:pPr>
        <w:spacing w:after="120"/>
        <w:ind w:left="2268" w:right="1134" w:hanging="1134"/>
        <w:jc w:val="both"/>
        <w:rPr>
          <w:rFonts w:asciiTheme="majorBidi" w:hAnsiTheme="majorBidi" w:cstheme="majorBidi"/>
        </w:rPr>
      </w:pPr>
      <w:r w:rsidRPr="000934D7">
        <w:tab/>
        <w:t xml:space="preserve">In the ninth paragraph, add a new third sentence to read: </w:t>
      </w:r>
      <w:r w:rsidRPr="000934D7">
        <w:rPr>
          <w:rFonts w:asciiTheme="majorBidi" w:hAnsiTheme="majorBidi" w:cstheme="majorBidi"/>
        </w:rPr>
        <w:t xml:space="preserve">“Furthermore, sodium ion batteries shall meet the provisions of 2.9.5, except that 2.9.5 (a), (e) and (f) do not apply when batteries of a production run of not more than 100 cells or batteries, or pre-production prototypes of cells or batteries when these prototypes are </w:t>
      </w:r>
      <w:r>
        <w:rPr>
          <w:rFonts w:asciiTheme="majorBidi" w:hAnsiTheme="majorBidi" w:cstheme="majorBidi"/>
        </w:rPr>
        <w:t>transported</w:t>
      </w:r>
      <w:r w:rsidRPr="000934D7">
        <w:rPr>
          <w:rFonts w:asciiTheme="majorBidi" w:hAnsiTheme="majorBidi" w:cstheme="majorBidi"/>
        </w:rPr>
        <w:t xml:space="preserve"> for testing, are installed in machinery or engines.”.</w:t>
      </w:r>
    </w:p>
    <w:p w14:paraId="4BE26CF7"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ST/SG/AC.10/C.3/126, Annex I</w:t>
      </w:r>
      <w:r w:rsidRPr="00065708">
        <w:rPr>
          <w:i/>
          <w:iCs/>
        </w:rPr>
        <w:t xml:space="preserve"> </w:t>
      </w:r>
      <w:r>
        <w:rPr>
          <w:i/>
          <w:iCs/>
        </w:rPr>
        <w:t>and ST/SG/AC.10/C.3/128, Annex II</w:t>
      </w:r>
      <w:r w:rsidRPr="00804977">
        <w:rPr>
          <w:i/>
          <w:iCs/>
        </w:rPr>
        <w:t>)</w:t>
      </w:r>
    </w:p>
    <w:p w14:paraId="487B0A49" w14:textId="77777777" w:rsidR="00FB5C94" w:rsidRDefault="00FB5C94" w:rsidP="00FB5C94">
      <w:pPr>
        <w:pStyle w:val="SingleTxtG"/>
        <w:tabs>
          <w:tab w:val="clear" w:pos="1701"/>
          <w:tab w:val="clear" w:pos="2268"/>
          <w:tab w:val="clear" w:pos="2835"/>
        </w:tabs>
        <w:ind w:left="2268" w:hanging="1134"/>
      </w:pPr>
      <w:r w:rsidRPr="001C22A9">
        <w:t>SP 389</w:t>
      </w:r>
      <w:r w:rsidRPr="001C22A9">
        <w:tab/>
      </w:r>
      <w:r>
        <w:t>Amend the first paragraph to read:</w:t>
      </w:r>
    </w:p>
    <w:p w14:paraId="33466218" w14:textId="159E8F65" w:rsidR="00FB5C94" w:rsidRDefault="00FB5C94" w:rsidP="002045B4">
      <w:pPr>
        <w:pStyle w:val="SingleTxtG"/>
        <w:tabs>
          <w:tab w:val="clear" w:pos="1701"/>
          <w:tab w:val="clear" w:pos="2268"/>
          <w:tab w:val="clear" w:pos="2835"/>
        </w:tabs>
      </w:pPr>
      <w:r>
        <w:t>“</w:t>
      </w:r>
      <w:r w:rsidRPr="00071818">
        <w:t xml:space="preserve">This entry only applies to </w:t>
      </w:r>
      <w:r>
        <w:t xml:space="preserve">lithium ion batteries, </w:t>
      </w:r>
      <w:r w:rsidRPr="001C22A9">
        <w:t>lithium metal batteries</w:t>
      </w:r>
      <w:r>
        <w:t>, sodium ion batteries</w:t>
      </w:r>
      <w:r w:rsidRPr="00DA2025">
        <w:t xml:space="preserve"> or hybrid batteries containing both lithium ion cells and sodium ion cells </w:t>
      </w:r>
      <w:r>
        <w:t>in accordance with 2.9.4 (h)</w:t>
      </w:r>
      <w:r w:rsidRPr="00071818">
        <w:t xml:space="preserve"> installed in a cargo transport unit and designed only to provide power external to the cargo transport unit. </w:t>
      </w:r>
      <w:r w:rsidRPr="001C22A9">
        <w:t>The batteries shall meet the requirements of 2.9.4 (a) to (</w:t>
      </w:r>
      <w:r>
        <w:t>h</w:t>
      </w:r>
      <w:r w:rsidRPr="001C22A9">
        <w:t>) for lithium or 2.9.5 (a) to (f) for sodium</w:t>
      </w:r>
      <w:r w:rsidRPr="00071818">
        <w:t xml:space="preserve"> and contain the necessary systems to prevent overcharge and over discharge between the batteries.</w:t>
      </w:r>
      <w:r>
        <w:t>”.</w:t>
      </w:r>
    </w:p>
    <w:p w14:paraId="2E2E08D0"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3714E217" w14:textId="4F5C6585" w:rsidR="00FB5C94" w:rsidRPr="007B5B4A" w:rsidRDefault="00FB5C94" w:rsidP="00FB5C94">
      <w:pPr>
        <w:pStyle w:val="SingleTxtG"/>
        <w:rPr>
          <w:i/>
          <w:iCs/>
        </w:rPr>
      </w:pPr>
      <w:r w:rsidRPr="007B5B4A">
        <w:rPr>
          <w:b/>
          <w:bCs/>
          <w:i/>
          <w:iCs/>
        </w:rPr>
        <w:lastRenderedPageBreak/>
        <w:t>Note by the secretariat:</w:t>
      </w:r>
      <w:r w:rsidRPr="007B5B4A">
        <w:rPr>
          <w:i/>
          <w:iCs/>
        </w:rPr>
        <w:t xml:space="preserve"> The amendment as reflected above, which is the result of merging amendments adopted in the sixty-third and sixty-fourth sessions, seems to include an inconsistency in the second sentence, which calls for the application of 2.9.4 (a) to (h) to lithium batteries. The secretariat understands that lithium batteries should only comply with 2.9.4 (a) to (g), as (h) is for hybrid batteries. On the other hand, the amendment as reflected above is ambiguous in this point regarding hybrid batteries. Taking all this into account, the secretariat would like to propose the following alternative amendment, which breaks the second sentence into 4 distinct and more explicit sentences:</w:t>
      </w:r>
    </w:p>
    <w:p w14:paraId="37324D9E" w14:textId="77777777" w:rsidR="00FB5C94" w:rsidRPr="00755A5B" w:rsidRDefault="00FB5C94" w:rsidP="00FB5C94">
      <w:pPr>
        <w:pStyle w:val="SingleTxtG"/>
        <w:tabs>
          <w:tab w:val="clear" w:pos="1701"/>
        </w:tabs>
        <w:ind w:left="2268" w:hanging="1134"/>
      </w:pPr>
      <w:r w:rsidRPr="007B5B4A">
        <w:t>SP 389</w:t>
      </w:r>
      <w:r w:rsidRPr="007B5B4A">
        <w:tab/>
        <w:t>Amend the first paragraph to read “This entry only applies to lithium ion batteries, lithium metal batteries, sodium ion batteries or hybrid batteries containing both lithium ion cells and sodium ion cells in accordance with 2.9.4 (h) installed in a cargo transport unit and designed only to provide power external to the cargo transport unit. Lithium batteries shall meet the requirements of 2.9.4 (a) to (g). Hybrid batteries shall meet the requirements of 2.9.4 (a) to (h). Sodium batteries shall meet the requirements of 2.9.5 (a) to (f). All batteries shall contain the necessary systems to prevent overcharge and over discharge between the batteries.”</w:t>
      </w:r>
    </w:p>
    <w:p w14:paraId="1FD88842" w14:textId="77777777" w:rsidR="00FB5C94" w:rsidRPr="001F2D6C" w:rsidRDefault="00FB5C94" w:rsidP="00FB5C94">
      <w:pPr>
        <w:pStyle w:val="SingleTxtG"/>
        <w:ind w:left="2268" w:hanging="1134"/>
      </w:pPr>
      <w:r w:rsidRPr="001F2D6C">
        <w:t>SP 400</w:t>
      </w:r>
      <w:r w:rsidRPr="001F2D6C">
        <w:tab/>
        <w:t xml:space="preserve">In (a), replace “shall be” by “is”. In (c), replace “shall be” by “is”. In (d), replace “shall be” by “is”. In (e), first sentence, replace “shall be” by “are”. In (e), second </w:t>
      </w:r>
      <w:r w:rsidRPr="00B07452">
        <w:rPr>
          <w:rFonts w:asciiTheme="majorBidi" w:hAnsiTheme="majorBidi" w:cstheme="majorBidi"/>
        </w:rPr>
        <w:t>sentence</w:t>
      </w:r>
      <w:r w:rsidRPr="001F2D6C">
        <w:t>, replace “shall be” by “is”. In (f), replace “shall only contain” by “only contains”.</w:t>
      </w:r>
    </w:p>
    <w:p w14:paraId="50F007FE"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236F8812" w14:textId="77777777" w:rsidR="00FB5C94" w:rsidRPr="000934D7" w:rsidRDefault="00FB5C94" w:rsidP="00FB5C94">
      <w:pPr>
        <w:spacing w:after="120"/>
        <w:ind w:left="2268" w:right="1134" w:hanging="1134"/>
        <w:jc w:val="both"/>
        <w:rPr>
          <w:rFonts w:asciiTheme="majorBidi" w:hAnsiTheme="majorBidi" w:cstheme="majorBidi"/>
        </w:rPr>
      </w:pPr>
      <w:r w:rsidRPr="000934D7">
        <w:rPr>
          <w:rFonts w:asciiTheme="majorBidi" w:hAnsiTheme="majorBidi" w:cstheme="majorBidi"/>
        </w:rPr>
        <w:t>SP 401</w:t>
      </w:r>
      <w:r w:rsidRPr="000934D7">
        <w:rPr>
          <w:rFonts w:asciiTheme="majorBidi" w:hAnsiTheme="majorBidi" w:cstheme="majorBidi"/>
        </w:rPr>
        <w:tab/>
        <w:t xml:space="preserve">In the </w:t>
      </w:r>
      <w:r>
        <w:rPr>
          <w:rFonts w:asciiTheme="majorBidi" w:hAnsiTheme="majorBidi" w:cstheme="majorBidi"/>
        </w:rPr>
        <w:t>last</w:t>
      </w:r>
      <w:r w:rsidRPr="000934D7">
        <w:rPr>
          <w:rFonts w:asciiTheme="majorBidi" w:hAnsiTheme="majorBidi" w:cstheme="majorBidi"/>
        </w:rPr>
        <w:t xml:space="preserve"> sentence, after “UN 2795”, delete “BATTERIES, WET, FILLED WITH ALKALI, electric storage”. At the end, add a new sentence to read: “Batteries containing metallic sodium or sodium alloy shall be carried as UN 3292.”.</w:t>
      </w:r>
    </w:p>
    <w:p w14:paraId="08C3EA7E"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5F078FFB" w14:textId="77777777" w:rsidR="00FB5C94" w:rsidRDefault="00FB5C94" w:rsidP="00FB5C94">
      <w:pPr>
        <w:spacing w:after="120"/>
        <w:ind w:left="2268" w:right="1134" w:hanging="1134"/>
        <w:jc w:val="both"/>
      </w:pPr>
      <w:r w:rsidRPr="000934D7">
        <w:rPr>
          <w:rFonts w:asciiTheme="majorBidi" w:hAnsiTheme="majorBidi" w:cstheme="majorBidi"/>
        </w:rPr>
        <w:t>SP 403</w:t>
      </w:r>
      <w:r w:rsidRPr="000934D7">
        <w:rPr>
          <w:rFonts w:asciiTheme="majorBidi" w:hAnsiTheme="majorBidi" w:cstheme="majorBidi"/>
        </w:rPr>
        <w:tab/>
        <w:t>In (b) (i) and (b) (ii), r</w:t>
      </w:r>
      <w:r w:rsidRPr="000934D7">
        <w:t>eplace “according to” by “in accordance with”.</w:t>
      </w:r>
    </w:p>
    <w:p w14:paraId="402B7077"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486FEF28" w14:textId="46D08623" w:rsidR="00FB5C94" w:rsidRDefault="00FB5C94" w:rsidP="00FB5C94">
      <w:pPr>
        <w:spacing w:after="120"/>
        <w:ind w:left="2268" w:right="1134" w:hanging="1134"/>
        <w:jc w:val="both"/>
      </w:pPr>
      <w:r>
        <w:t>SP 405</w:t>
      </w:r>
      <w:r>
        <w:tab/>
        <w:t xml:space="preserve">Amend </w:t>
      </w:r>
      <w:r w:rsidRPr="002820D6">
        <w:rPr>
          <w:rFonts w:asciiTheme="majorBidi" w:hAnsiTheme="majorBidi" w:cstheme="majorBidi"/>
        </w:rPr>
        <w:t>to</w:t>
      </w:r>
      <w:r>
        <w:t xml:space="preserve"> read as follows:</w:t>
      </w:r>
    </w:p>
    <w:p w14:paraId="0936A155" w14:textId="77777777" w:rsidR="00FB5C94" w:rsidRDefault="00FB5C94" w:rsidP="00FB5C94">
      <w:pPr>
        <w:spacing w:after="120"/>
        <w:ind w:left="2268" w:right="1134" w:hanging="1134"/>
        <w:jc w:val="both"/>
      </w:pPr>
      <w:r>
        <w:t>“405</w:t>
      </w:r>
      <w:r>
        <w:tab/>
      </w:r>
      <w:r w:rsidRPr="00407454">
        <w:t xml:space="preserve">Vehicles that are fully enclosed by packagings, crates or other means that prevent ready </w:t>
      </w:r>
      <w:r w:rsidRPr="002820D6">
        <w:rPr>
          <w:rFonts w:asciiTheme="majorBidi" w:hAnsiTheme="majorBidi" w:cstheme="majorBidi"/>
        </w:rPr>
        <w:t>identification</w:t>
      </w:r>
      <w:r w:rsidRPr="00407454">
        <w:t xml:space="preserve"> are subject to the marking and labelling requirements of </w:t>
      </w:r>
      <w:r>
        <w:t>c</w:t>
      </w:r>
      <w:r w:rsidRPr="00407454">
        <w:t>hapter 5.2.</w:t>
      </w:r>
      <w:r>
        <w:t>”</w:t>
      </w:r>
    </w:p>
    <w:p w14:paraId="0FD7FE84"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6C4BD01D" w14:textId="77777777" w:rsidR="00FB5C94" w:rsidRPr="001F2D6C" w:rsidRDefault="00FB5C94" w:rsidP="00FB5C94">
      <w:pPr>
        <w:pStyle w:val="SingleTxtG"/>
        <w:ind w:left="2268" w:hanging="1134"/>
      </w:pPr>
      <w:r w:rsidRPr="001F2D6C">
        <w:t>SP 406</w:t>
      </w:r>
      <w:r w:rsidRPr="001F2D6C">
        <w:tab/>
      </w:r>
      <w:r w:rsidRPr="00B07452">
        <w:rPr>
          <w:rFonts w:asciiTheme="majorBidi" w:hAnsiTheme="majorBidi" w:cstheme="majorBidi"/>
        </w:rPr>
        <w:t>Replace</w:t>
      </w:r>
      <w:r w:rsidRPr="001F2D6C">
        <w:t xml:space="preserve"> “This entry” by “Substances under this entry”.</w:t>
      </w:r>
    </w:p>
    <w:p w14:paraId="337BD149"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3018B4F6" w14:textId="77777777" w:rsidR="00FB5C94" w:rsidRPr="006C380E" w:rsidRDefault="00FB5C94" w:rsidP="00FB5C94">
      <w:pPr>
        <w:spacing w:after="120"/>
        <w:ind w:left="2268" w:right="1134" w:hanging="1134"/>
        <w:jc w:val="both"/>
        <w:rPr>
          <w:rFonts w:asciiTheme="majorBidi" w:hAnsiTheme="majorBidi" w:cstheme="majorBidi"/>
        </w:rPr>
      </w:pPr>
      <w:r w:rsidRPr="000934D7">
        <w:t xml:space="preserve">SP </w:t>
      </w:r>
      <w:r>
        <w:t>407</w:t>
      </w:r>
      <w:r w:rsidRPr="000934D7">
        <w:tab/>
      </w:r>
      <w:r>
        <w:t xml:space="preserve">The first </w:t>
      </w:r>
      <w:r w:rsidRPr="002820D6">
        <w:rPr>
          <w:rFonts w:asciiTheme="majorBidi" w:hAnsiTheme="majorBidi" w:cstheme="majorBidi"/>
        </w:rPr>
        <w:t>amendment</w:t>
      </w:r>
      <w:r>
        <w:t xml:space="preserve"> does not apply to the English version.</w:t>
      </w:r>
    </w:p>
    <w:p w14:paraId="3EE31A3C" w14:textId="77777777" w:rsidR="00FB5C94" w:rsidRPr="001F2D6C" w:rsidRDefault="00FB5C94" w:rsidP="00FB5C94">
      <w:pPr>
        <w:spacing w:after="120"/>
        <w:ind w:left="2268" w:right="1134" w:hanging="1134"/>
        <w:jc w:val="both"/>
      </w:pPr>
      <w:r w:rsidRPr="001F2D6C">
        <w:tab/>
        <w:t>In (b), replace “shall be” by “is”. In (c), replace “shall be” by “is” and “shall not” by “</w:t>
      </w:r>
      <w:r w:rsidRPr="00B07452">
        <w:rPr>
          <w:rFonts w:asciiTheme="majorBidi" w:hAnsiTheme="majorBidi" w:cstheme="majorBidi"/>
        </w:rPr>
        <w:t>do</w:t>
      </w:r>
      <w:r w:rsidRPr="001F2D6C">
        <w:t xml:space="preserve"> not”. In (d), replace “shall be” by “is”.</w:t>
      </w:r>
    </w:p>
    <w:p w14:paraId="2972339C"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1D32A9E9" w14:textId="77777777" w:rsidR="00FB5C94" w:rsidRDefault="00FB5C94" w:rsidP="00FB5C94">
      <w:pPr>
        <w:spacing w:after="120"/>
        <w:ind w:left="2268" w:right="1134" w:hanging="1134"/>
        <w:jc w:val="both"/>
      </w:pPr>
      <w:r w:rsidRPr="000934D7">
        <w:t>SP</w:t>
      </w:r>
      <w:r>
        <w:t xml:space="preserve"> </w:t>
      </w:r>
      <w:r w:rsidRPr="000934D7">
        <w:t>408</w:t>
      </w:r>
      <w:r>
        <w:tab/>
        <w:t>In the</w:t>
      </w:r>
      <w:r w:rsidRPr="000934D7">
        <w:t xml:space="preserve"> </w:t>
      </w:r>
      <w:r w:rsidRPr="002820D6">
        <w:rPr>
          <w:rFonts w:asciiTheme="majorBidi" w:hAnsiTheme="majorBidi" w:cstheme="majorBidi"/>
        </w:rPr>
        <w:t>first</w:t>
      </w:r>
      <w:r w:rsidRPr="000934D7">
        <w:t xml:space="preserve"> paragraph</w:t>
      </w:r>
      <w:r>
        <w:t>, in</w:t>
      </w:r>
      <w:r w:rsidRPr="000934D7">
        <w:t xml:space="preserve"> (a) and </w:t>
      </w:r>
      <w:r>
        <w:t xml:space="preserve">in </w:t>
      </w:r>
      <w:r w:rsidRPr="000934D7">
        <w:t>(b)</w:t>
      </w:r>
      <w:r>
        <w:t>, replace</w:t>
      </w:r>
      <w:r w:rsidRPr="000934D7">
        <w:t xml:space="preserve"> “must” by “shall”.</w:t>
      </w:r>
    </w:p>
    <w:p w14:paraId="3BAD1900"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7AA4E82B" w14:textId="77777777" w:rsidR="00FB5C94" w:rsidRDefault="00FB5C94" w:rsidP="00FB5C94">
      <w:pPr>
        <w:pStyle w:val="SingleTxtG"/>
        <w:ind w:left="2268" w:hanging="1134"/>
      </w:pPr>
      <w:r>
        <w:t xml:space="preserve">Add the following new special </w:t>
      </w:r>
      <w:r w:rsidRPr="00BB21B4">
        <w:t>provisions</w:t>
      </w:r>
      <w:r>
        <w:t>:</w:t>
      </w:r>
    </w:p>
    <w:p w14:paraId="236BAB4A" w14:textId="77777777" w:rsidR="00FB5C94" w:rsidRPr="0028637C" w:rsidRDefault="00FB5C94" w:rsidP="00FB5C94">
      <w:pPr>
        <w:pStyle w:val="SingleTxtG"/>
        <w:tabs>
          <w:tab w:val="clear" w:pos="1701"/>
        </w:tabs>
        <w:ind w:left="2268" w:hanging="1134"/>
      </w:pPr>
      <w:r>
        <w:t>“410</w:t>
      </w:r>
      <w:r>
        <w:tab/>
      </w:r>
      <w:r w:rsidRPr="0028637C">
        <w:t xml:space="preserve">Hybrid batteries in conformity with 2.9.4 (h) containing both lithium ion cells and sodium ion cells shall be assigned to UN Nos. 3480 or 3481, as appropriate. When such batteries are transported in accordance with special provision 188, the watt-hour rating of </w:t>
      </w:r>
      <w:r>
        <w:t>all batteries</w:t>
      </w:r>
      <w:r w:rsidRPr="0028637C">
        <w:t xml:space="preserve"> shall not </w:t>
      </w:r>
      <w:r>
        <w:t>exceed</w:t>
      </w:r>
      <w:r w:rsidRPr="0028637C">
        <w:t xml:space="preserve"> 100 Wh and shall be marked on the outside case</w:t>
      </w:r>
      <w:r w:rsidRPr="005B31A8">
        <w:rPr>
          <w:lang w:val="en-US"/>
        </w:rPr>
        <w:t>.”</w:t>
      </w:r>
    </w:p>
    <w:p w14:paraId="7496FE7C"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5FADDB9F" w14:textId="77777777" w:rsidR="00FB5C94" w:rsidRPr="001C22A9" w:rsidRDefault="00FB5C94" w:rsidP="00FB5C94">
      <w:pPr>
        <w:pStyle w:val="SingleTxtG"/>
        <w:tabs>
          <w:tab w:val="clear" w:pos="1701"/>
          <w:tab w:val="clear" w:pos="2268"/>
          <w:tab w:val="clear" w:pos="2835"/>
        </w:tabs>
        <w:ind w:left="2268" w:hanging="1134"/>
      </w:pPr>
      <w:r w:rsidRPr="001C22A9">
        <w:lastRenderedPageBreak/>
        <w:t>“411</w:t>
      </w:r>
      <w:r w:rsidRPr="001C22A9">
        <w:tab/>
        <w:t>Articles transported under this entry include magnetic resonance imaging (MRI) scanners containing non-flammable, non-toxic gas. The non-flammable, non-toxic gas shall be contained within MRI scanner components. The MRI scanners shall be designed and constructed to contain the gas and preclude the risk of bursting or cracking of the gas retaining components during normal conditions of transport. MRI scanners are not subject to these Regulations if they contain less than 12 kg of gas in Division 2.2.”</w:t>
      </w:r>
    </w:p>
    <w:p w14:paraId="2BCF5747"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4C540394" w14:textId="77777777" w:rsidR="00FB5C94" w:rsidRPr="001C22A9" w:rsidRDefault="00FB5C94" w:rsidP="00FB5C94">
      <w:pPr>
        <w:pStyle w:val="SingleTxtG"/>
        <w:tabs>
          <w:tab w:val="clear" w:pos="1701"/>
          <w:tab w:val="clear" w:pos="2268"/>
          <w:tab w:val="clear" w:pos="2835"/>
        </w:tabs>
        <w:ind w:left="2268" w:hanging="1134"/>
      </w:pPr>
      <w:r w:rsidRPr="001C22A9">
        <w:t>“412</w:t>
      </w:r>
      <w:r w:rsidRPr="001C22A9">
        <w:tab/>
        <w:t>This entry may contain not more than 12 % by mass of dimethyl ether.”</w:t>
      </w:r>
    </w:p>
    <w:p w14:paraId="4E1A14DD"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599F42CB" w14:textId="77777777" w:rsidR="00FB5C94" w:rsidRDefault="00FB5C94" w:rsidP="00FB5C94">
      <w:pPr>
        <w:pStyle w:val="H1G"/>
      </w:pPr>
      <w:r>
        <w:tab/>
      </w:r>
      <w:r>
        <w:tab/>
        <w:t>Alphabetical index</w:t>
      </w:r>
    </w:p>
    <w:p w14:paraId="4DD23DC9" w14:textId="77777777" w:rsidR="00FB5C94" w:rsidRDefault="00FB5C94" w:rsidP="00FB5C94">
      <w:pPr>
        <w:pStyle w:val="SingleTxtG"/>
      </w:pPr>
      <w:r w:rsidRPr="00380F06">
        <w:t>Delete the entries for “Dichlorophenol” and “Fluoric acid”.</w:t>
      </w:r>
    </w:p>
    <w:p w14:paraId="15993245" w14:textId="77777777" w:rsidR="00FB5C94" w:rsidRPr="00843762" w:rsidRDefault="00FB5C94" w:rsidP="00FB5C94">
      <w:pPr>
        <w:pStyle w:val="SingleTxtG"/>
        <w:spacing w:before="120"/>
        <w:rPr>
          <w:i/>
          <w:iCs/>
        </w:rPr>
      </w:pPr>
      <w:r w:rsidRPr="00804977">
        <w:rPr>
          <w:i/>
          <w:iCs/>
        </w:rPr>
        <w:t>(Reference document</w:t>
      </w:r>
      <w:r>
        <w:rPr>
          <w:i/>
          <w:iCs/>
        </w:rPr>
        <w:t>s</w:t>
      </w:r>
      <w:r w:rsidRPr="00804977">
        <w:rPr>
          <w:i/>
          <w:iCs/>
        </w:rPr>
        <w:t xml:space="preserve">: </w:t>
      </w:r>
      <w:r>
        <w:rPr>
          <w:i/>
          <w:iCs/>
        </w:rPr>
        <w:t>ST/SG/AC.10/C.3/126, Annex I  and ST/SG/AC.10/C.3/128, Annex II</w:t>
      </w:r>
      <w:r w:rsidRPr="00804977">
        <w:rPr>
          <w:i/>
          <w:iCs/>
        </w:rPr>
        <w:t>)</w:t>
      </w:r>
    </w:p>
    <w:p w14:paraId="312A4A46" w14:textId="77777777" w:rsidR="00FB5C94" w:rsidRDefault="00FB5C94" w:rsidP="00FB5C94">
      <w:pPr>
        <w:pStyle w:val="SingleTxtG"/>
      </w:pPr>
      <w:r>
        <w:t>For “CHLOROPHENOLS, LIQUID”, amend column “Name and description” to read “CHLOROPHENOLS, TOXIC, LIQUID, N.O.S.”.</w:t>
      </w:r>
    </w:p>
    <w:p w14:paraId="3E7024AA" w14:textId="77777777" w:rsidR="00FB5C94" w:rsidRPr="00843762" w:rsidRDefault="00FB5C94" w:rsidP="00FB5C94">
      <w:pPr>
        <w:pStyle w:val="SingleTxtG"/>
        <w:spacing w:before="120"/>
        <w:rPr>
          <w:i/>
          <w:iCs/>
        </w:rPr>
      </w:pPr>
      <w:r w:rsidRPr="00804977">
        <w:rPr>
          <w:i/>
          <w:iCs/>
        </w:rPr>
        <w:t xml:space="preserve">(Reference document: </w:t>
      </w:r>
      <w:r>
        <w:rPr>
          <w:i/>
          <w:iCs/>
        </w:rPr>
        <w:t xml:space="preserve">ST/SG/AC.10/C.3/126, Annex I </w:t>
      </w:r>
      <w:r w:rsidRPr="00804977">
        <w:rPr>
          <w:i/>
          <w:iCs/>
        </w:rPr>
        <w:t>)</w:t>
      </w:r>
    </w:p>
    <w:p w14:paraId="6F3B614D" w14:textId="77777777" w:rsidR="00FB5C94" w:rsidRDefault="00FB5C94" w:rsidP="00FB5C94">
      <w:pPr>
        <w:pStyle w:val="SingleTxtG"/>
      </w:pPr>
      <w:r>
        <w:t>For “CHLOROPHENOLS, SOLID”, amend column “Name and description” to read “CHLOROPHENOLS, TOXIC, SOLID, N.O.S.”.</w:t>
      </w:r>
    </w:p>
    <w:p w14:paraId="5410B51E" w14:textId="77777777" w:rsidR="00FB5C94" w:rsidRPr="00843762" w:rsidRDefault="00FB5C94" w:rsidP="00FB5C94">
      <w:pPr>
        <w:pStyle w:val="SingleTxtG"/>
        <w:spacing w:before="120"/>
        <w:rPr>
          <w:i/>
          <w:iCs/>
        </w:rPr>
      </w:pPr>
      <w:r w:rsidRPr="00804977">
        <w:rPr>
          <w:i/>
          <w:iCs/>
        </w:rPr>
        <w:t xml:space="preserve">(Reference document: </w:t>
      </w:r>
      <w:r>
        <w:rPr>
          <w:i/>
          <w:iCs/>
        </w:rPr>
        <w:t xml:space="preserve">ST/SG/AC.10/C.3/126, Annex I </w:t>
      </w:r>
      <w:r w:rsidRPr="00804977">
        <w:rPr>
          <w:i/>
          <w:iCs/>
        </w:rPr>
        <w:t>)</w:t>
      </w:r>
    </w:p>
    <w:p w14:paraId="20011A57" w14:textId="77777777" w:rsidR="00FB5C94" w:rsidRPr="00CE5EDB" w:rsidRDefault="00FB5C94" w:rsidP="00FB5C94">
      <w:pPr>
        <w:pStyle w:val="SingleTxtG"/>
        <w:keepNext/>
      </w:pPr>
      <w:r w:rsidRPr="001C5029">
        <w:t>Add the following new entries in alphabetical order:</w:t>
      </w:r>
    </w:p>
    <w:tbl>
      <w:tblPr>
        <w:tblStyle w:val="TableGrid"/>
        <w:tblW w:w="3754" w:type="pct"/>
        <w:tblInd w:w="1129" w:type="dxa"/>
        <w:tblCellMar>
          <w:left w:w="57" w:type="dxa"/>
          <w:right w:w="57" w:type="dxa"/>
        </w:tblCellMar>
        <w:tblLook w:val="04A0" w:firstRow="1" w:lastRow="0" w:firstColumn="1" w:lastColumn="0" w:noHBand="0" w:noVBand="1"/>
      </w:tblPr>
      <w:tblGrid>
        <w:gridCol w:w="4962"/>
        <w:gridCol w:w="1135"/>
        <w:gridCol w:w="1132"/>
      </w:tblGrid>
      <w:tr w:rsidR="00FB5C94" w:rsidRPr="00CE5EDB" w14:paraId="35BC17F4" w14:textId="77777777" w:rsidTr="00C11390">
        <w:tc>
          <w:tcPr>
            <w:tcW w:w="3432" w:type="pct"/>
            <w:vAlign w:val="center"/>
          </w:tcPr>
          <w:p w14:paraId="655C384C" w14:textId="77777777" w:rsidR="00FB5C94" w:rsidRPr="00CE5EDB" w:rsidRDefault="00FB5C94" w:rsidP="00C11390">
            <w:pPr>
              <w:pStyle w:val="SingleTxtG"/>
              <w:keepNext/>
              <w:spacing w:before="120"/>
              <w:ind w:left="0" w:right="0"/>
              <w:jc w:val="left"/>
              <w:rPr>
                <w:lang w:val="en-GB"/>
              </w:rPr>
            </w:pPr>
            <w:r w:rsidRPr="006F0DB3">
              <w:rPr>
                <w:lang w:val="en-GB"/>
              </w:rPr>
              <w:t>CHLOROPHENOLS, CORROSIVE, TOXIC, SOLID, N.O.S.</w:t>
            </w:r>
          </w:p>
        </w:tc>
        <w:tc>
          <w:tcPr>
            <w:tcW w:w="785" w:type="pct"/>
            <w:vAlign w:val="center"/>
          </w:tcPr>
          <w:p w14:paraId="1DE89A65" w14:textId="77777777" w:rsidR="00FB5C94" w:rsidRPr="00CE5EDB" w:rsidRDefault="00FB5C94" w:rsidP="00C11390">
            <w:pPr>
              <w:pStyle w:val="SingleTxtG"/>
              <w:keepNext/>
              <w:spacing w:before="120"/>
              <w:ind w:left="0" w:right="0"/>
              <w:jc w:val="center"/>
              <w:rPr>
                <w:lang w:val="en-GB"/>
              </w:rPr>
            </w:pPr>
            <w:r>
              <w:rPr>
                <w:lang w:val="en-GB"/>
              </w:rPr>
              <w:t>8</w:t>
            </w:r>
          </w:p>
        </w:tc>
        <w:tc>
          <w:tcPr>
            <w:tcW w:w="783" w:type="pct"/>
            <w:vAlign w:val="center"/>
          </w:tcPr>
          <w:p w14:paraId="7F77E5E9" w14:textId="77777777" w:rsidR="00FB5C94" w:rsidRPr="00CE5EDB" w:rsidRDefault="00FB5C94" w:rsidP="00C11390">
            <w:pPr>
              <w:pStyle w:val="SingleTxtG"/>
              <w:keepNext/>
              <w:spacing w:before="120"/>
              <w:ind w:left="0" w:right="0"/>
              <w:jc w:val="center"/>
              <w:rPr>
                <w:lang w:val="en-GB"/>
              </w:rPr>
            </w:pPr>
            <w:r>
              <w:rPr>
                <w:lang w:val="en-GB"/>
              </w:rPr>
              <w:t>3561</w:t>
            </w:r>
          </w:p>
        </w:tc>
      </w:tr>
      <w:tr w:rsidR="00FB5C94" w:rsidRPr="00CE5EDB" w14:paraId="185BEAE0" w14:textId="77777777" w:rsidTr="00C11390">
        <w:tc>
          <w:tcPr>
            <w:tcW w:w="3432" w:type="pct"/>
          </w:tcPr>
          <w:p w14:paraId="0BEFAC4F" w14:textId="77777777" w:rsidR="00FB5C94" w:rsidRPr="00AD7E90" w:rsidRDefault="00FB5C94" w:rsidP="00C11390">
            <w:pPr>
              <w:pStyle w:val="SingleTxtG"/>
              <w:spacing w:before="120"/>
              <w:ind w:left="0" w:right="0"/>
              <w:jc w:val="left"/>
              <w:rPr>
                <w:lang w:val="en-GB"/>
              </w:rPr>
            </w:pPr>
            <w:r w:rsidRPr="006F0DB3">
              <w:rPr>
                <w:lang w:val="en-GB"/>
              </w:rPr>
              <w:t>CHLOROPHENOLS, CORROSIVE, SOLID, N.O.S.</w:t>
            </w:r>
          </w:p>
        </w:tc>
        <w:tc>
          <w:tcPr>
            <w:tcW w:w="785" w:type="pct"/>
          </w:tcPr>
          <w:p w14:paraId="04B1FCD0" w14:textId="77777777" w:rsidR="00FB5C94" w:rsidRPr="0038553A" w:rsidRDefault="00FB5C94" w:rsidP="00C11390">
            <w:pPr>
              <w:pStyle w:val="SingleTxtG"/>
              <w:spacing w:before="120"/>
              <w:ind w:left="0" w:right="0"/>
              <w:jc w:val="center"/>
              <w:rPr>
                <w:lang w:val="en-GB"/>
              </w:rPr>
            </w:pPr>
            <w:r>
              <w:rPr>
                <w:lang w:val="en-GB"/>
              </w:rPr>
              <w:t>8</w:t>
            </w:r>
          </w:p>
        </w:tc>
        <w:tc>
          <w:tcPr>
            <w:tcW w:w="783" w:type="pct"/>
          </w:tcPr>
          <w:p w14:paraId="3B3C6E30" w14:textId="77777777" w:rsidR="00FB5C94" w:rsidRPr="0038553A" w:rsidRDefault="00FB5C94" w:rsidP="00C11390">
            <w:pPr>
              <w:pStyle w:val="SingleTxtG"/>
              <w:spacing w:before="120"/>
              <w:ind w:left="0" w:right="0"/>
              <w:jc w:val="center"/>
              <w:rPr>
                <w:lang w:val="en-GB"/>
              </w:rPr>
            </w:pPr>
            <w:r>
              <w:rPr>
                <w:lang w:val="en-GB"/>
              </w:rPr>
              <w:t>3562</w:t>
            </w:r>
          </w:p>
        </w:tc>
      </w:tr>
      <w:tr w:rsidR="00FB5C94" w:rsidRPr="00CE5EDB" w14:paraId="3E795F69" w14:textId="77777777" w:rsidTr="00C11390">
        <w:tc>
          <w:tcPr>
            <w:tcW w:w="3432" w:type="pct"/>
          </w:tcPr>
          <w:p w14:paraId="194E5923" w14:textId="77777777" w:rsidR="00FB5C94" w:rsidRPr="006F0DB3" w:rsidRDefault="00FB5C94" w:rsidP="00C11390">
            <w:pPr>
              <w:pStyle w:val="SingleTxtG"/>
              <w:spacing w:before="120"/>
              <w:ind w:left="0" w:right="0"/>
              <w:jc w:val="left"/>
            </w:pPr>
            <w:r w:rsidRPr="001C22A9">
              <w:rPr>
                <w:lang w:val="en-GB"/>
              </w:rPr>
              <w:t>Heat pumps, see</w:t>
            </w:r>
          </w:p>
        </w:tc>
        <w:tc>
          <w:tcPr>
            <w:tcW w:w="785" w:type="pct"/>
            <w:vAlign w:val="center"/>
          </w:tcPr>
          <w:p w14:paraId="6DBE4B4F" w14:textId="77777777" w:rsidR="00FB5C94" w:rsidRDefault="00FB5C94" w:rsidP="00C11390">
            <w:pPr>
              <w:pStyle w:val="SingleTxtG"/>
              <w:spacing w:before="120"/>
              <w:ind w:left="0" w:right="0"/>
              <w:jc w:val="center"/>
            </w:pPr>
            <w:r w:rsidRPr="001C22A9">
              <w:rPr>
                <w:lang w:val="en-GB"/>
              </w:rPr>
              <w:t>2.2</w:t>
            </w:r>
            <w:r w:rsidRPr="001C22A9">
              <w:rPr>
                <w:lang w:val="en-GB"/>
              </w:rPr>
              <w:br/>
              <w:t>2.1</w:t>
            </w:r>
          </w:p>
        </w:tc>
        <w:tc>
          <w:tcPr>
            <w:tcW w:w="783" w:type="pct"/>
            <w:vAlign w:val="center"/>
          </w:tcPr>
          <w:p w14:paraId="385C0D5C" w14:textId="77777777" w:rsidR="00FB5C94" w:rsidRDefault="00FB5C94" w:rsidP="00C11390">
            <w:pPr>
              <w:pStyle w:val="SingleTxtG"/>
              <w:spacing w:before="120"/>
              <w:ind w:left="0" w:right="0"/>
              <w:jc w:val="center"/>
            </w:pPr>
            <w:r w:rsidRPr="001C22A9">
              <w:rPr>
                <w:lang w:val="en-GB"/>
              </w:rPr>
              <w:t>2857</w:t>
            </w:r>
            <w:r w:rsidRPr="001C22A9">
              <w:rPr>
                <w:lang w:val="en-GB"/>
              </w:rPr>
              <w:br/>
              <w:t>3358</w:t>
            </w:r>
          </w:p>
        </w:tc>
      </w:tr>
      <w:tr w:rsidR="00FB5C94" w:rsidRPr="00CE5EDB" w14:paraId="7DCAEBE4" w14:textId="77777777" w:rsidTr="00C11390">
        <w:tc>
          <w:tcPr>
            <w:tcW w:w="3432" w:type="pct"/>
            <w:vAlign w:val="center"/>
          </w:tcPr>
          <w:p w14:paraId="514E0294" w14:textId="77777777" w:rsidR="00FB5C94" w:rsidRPr="006F0DB3" w:rsidRDefault="00FB5C94" w:rsidP="00C11390">
            <w:pPr>
              <w:pStyle w:val="SingleTxtG"/>
              <w:spacing w:before="120"/>
              <w:ind w:left="0" w:right="0"/>
              <w:jc w:val="left"/>
            </w:pPr>
            <w:r w:rsidRPr="001C22A9">
              <w:rPr>
                <w:lang w:val="en-GB"/>
              </w:rPr>
              <w:t>HEATING MACHINES containing non-flammable, non-toxic, gases or ammonia solutions (UN 2672)</w:t>
            </w:r>
          </w:p>
        </w:tc>
        <w:tc>
          <w:tcPr>
            <w:tcW w:w="785" w:type="pct"/>
            <w:vAlign w:val="center"/>
          </w:tcPr>
          <w:p w14:paraId="38C5D3E3" w14:textId="77777777" w:rsidR="00FB5C94" w:rsidRDefault="00FB5C94" w:rsidP="00C11390">
            <w:pPr>
              <w:pStyle w:val="SingleTxtG"/>
              <w:spacing w:before="120"/>
              <w:ind w:left="0" w:right="0"/>
              <w:jc w:val="center"/>
            </w:pPr>
            <w:r w:rsidRPr="001C22A9">
              <w:rPr>
                <w:lang w:val="en-GB"/>
              </w:rPr>
              <w:t>2.2</w:t>
            </w:r>
          </w:p>
        </w:tc>
        <w:tc>
          <w:tcPr>
            <w:tcW w:w="783" w:type="pct"/>
            <w:vAlign w:val="center"/>
          </w:tcPr>
          <w:p w14:paraId="185E896D" w14:textId="77777777" w:rsidR="00FB5C94" w:rsidRDefault="00FB5C94" w:rsidP="00C11390">
            <w:pPr>
              <w:pStyle w:val="SingleTxtG"/>
              <w:spacing w:before="120"/>
              <w:ind w:left="0" w:right="0"/>
              <w:jc w:val="center"/>
            </w:pPr>
            <w:r w:rsidRPr="001C22A9">
              <w:rPr>
                <w:lang w:val="en-GB"/>
              </w:rPr>
              <w:t>2857</w:t>
            </w:r>
          </w:p>
        </w:tc>
      </w:tr>
      <w:tr w:rsidR="00FB5C94" w:rsidRPr="00CE5EDB" w14:paraId="4DC1E5F1" w14:textId="77777777" w:rsidTr="00C11390">
        <w:tc>
          <w:tcPr>
            <w:tcW w:w="3432" w:type="pct"/>
            <w:vAlign w:val="center"/>
          </w:tcPr>
          <w:p w14:paraId="6CC88D1A" w14:textId="77777777" w:rsidR="00FB5C94" w:rsidRPr="006F0DB3" w:rsidRDefault="00FB5C94" w:rsidP="00C11390">
            <w:pPr>
              <w:pStyle w:val="SingleTxtG"/>
              <w:spacing w:before="120"/>
              <w:ind w:left="0" w:right="0"/>
              <w:jc w:val="left"/>
            </w:pPr>
            <w:r w:rsidRPr="001C22A9">
              <w:rPr>
                <w:lang w:val="en-GB"/>
              </w:rPr>
              <w:t>HEATING MACHINES containing flammable, non-toxic, liquefied gas</w:t>
            </w:r>
          </w:p>
        </w:tc>
        <w:tc>
          <w:tcPr>
            <w:tcW w:w="785" w:type="pct"/>
            <w:vAlign w:val="center"/>
          </w:tcPr>
          <w:p w14:paraId="64DA0146" w14:textId="77777777" w:rsidR="00FB5C94" w:rsidRDefault="00FB5C94" w:rsidP="00C11390">
            <w:pPr>
              <w:pStyle w:val="SingleTxtG"/>
              <w:spacing w:before="120"/>
              <w:ind w:left="0" w:right="0"/>
              <w:jc w:val="center"/>
            </w:pPr>
            <w:r w:rsidRPr="001C22A9">
              <w:rPr>
                <w:lang w:val="en-GB"/>
              </w:rPr>
              <w:t>2.1</w:t>
            </w:r>
          </w:p>
        </w:tc>
        <w:tc>
          <w:tcPr>
            <w:tcW w:w="783" w:type="pct"/>
            <w:vAlign w:val="center"/>
          </w:tcPr>
          <w:p w14:paraId="1A6FCAC0" w14:textId="77777777" w:rsidR="00FB5C94" w:rsidRDefault="00FB5C94" w:rsidP="00C11390">
            <w:pPr>
              <w:pStyle w:val="SingleTxtG"/>
              <w:spacing w:before="120"/>
              <w:ind w:left="0" w:right="0"/>
              <w:jc w:val="center"/>
            </w:pPr>
            <w:r w:rsidRPr="001C22A9">
              <w:rPr>
                <w:lang w:val="en-GB"/>
              </w:rPr>
              <w:t>3358</w:t>
            </w:r>
          </w:p>
        </w:tc>
      </w:tr>
      <w:tr w:rsidR="00FB5C94" w:rsidRPr="00CE5EDB" w14:paraId="42E4ECD1" w14:textId="77777777" w:rsidTr="00C11390">
        <w:tc>
          <w:tcPr>
            <w:tcW w:w="3432" w:type="pct"/>
            <w:vAlign w:val="center"/>
          </w:tcPr>
          <w:p w14:paraId="229F1F40" w14:textId="77777777" w:rsidR="00FB5C94" w:rsidRPr="006F0DB3" w:rsidRDefault="00FB5C94" w:rsidP="00C11390">
            <w:pPr>
              <w:pStyle w:val="SingleTxtG"/>
              <w:spacing w:before="120"/>
              <w:ind w:left="0" w:right="0"/>
              <w:jc w:val="left"/>
            </w:pPr>
            <w:r w:rsidRPr="001C22A9">
              <w:rPr>
                <w:lang w:val="en-GB"/>
              </w:rPr>
              <w:t>Magnetic resonance imaging (MRI) scanners containing non-flammable, non-toxic gas, see</w:t>
            </w:r>
          </w:p>
        </w:tc>
        <w:tc>
          <w:tcPr>
            <w:tcW w:w="785" w:type="pct"/>
            <w:vAlign w:val="center"/>
          </w:tcPr>
          <w:p w14:paraId="4D7EA5C7" w14:textId="77777777" w:rsidR="00FB5C94" w:rsidRDefault="00FB5C94" w:rsidP="00C11390">
            <w:pPr>
              <w:pStyle w:val="SingleTxtG"/>
              <w:spacing w:before="120"/>
              <w:ind w:left="0" w:right="0"/>
              <w:jc w:val="center"/>
            </w:pPr>
            <w:r w:rsidRPr="001C22A9">
              <w:rPr>
                <w:lang w:val="en-GB"/>
              </w:rPr>
              <w:t>2.2</w:t>
            </w:r>
          </w:p>
        </w:tc>
        <w:tc>
          <w:tcPr>
            <w:tcW w:w="783" w:type="pct"/>
            <w:vAlign w:val="center"/>
          </w:tcPr>
          <w:p w14:paraId="0EAAA0BB" w14:textId="77777777" w:rsidR="00FB5C94" w:rsidRDefault="00FB5C94" w:rsidP="00C11390">
            <w:pPr>
              <w:pStyle w:val="SingleTxtG"/>
              <w:spacing w:before="120"/>
              <w:ind w:left="0" w:right="0"/>
              <w:jc w:val="center"/>
            </w:pPr>
            <w:r w:rsidRPr="001C22A9">
              <w:rPr>
                <w:lang w:val="en-GB"/>
              </w:rPr>
              <w:t>3538</w:t>
            </w:r>
          </w:p>
        </w:tc>
      </w:tr>
      <w:tr w:rsidR="00FB5C94" w:rsidRPr="00CE5EDB" w14:paraId="3EFCF0FE" w14:textId="77777777" w:rsidTr="00C11390">
        <w:tc>
          <w:tcPr>
            <w:tcW w:w="3432" w:type="pct"/>
            <w:vAlign w:val="center"/>
          </w:tcPr>
          <w:p w14:paraId="635DE152" w14:textId="77777777" w:rsidR="00FB5C94" w:rsidRPr="006F0DB3" w:rsidRDefault="00FB5C94" w:rsidP="00C11390">
            <w:pPr>
              <w:pStyle w:val="SingleTxtG"/>
              <w:spacing w:before="120"/>
              <w:ind w:left="0" w:right="0"/>
              <w:jc w:val="left"/>
            </w:pPr>
            <w:r w:rsidRPr="001C22A9">
              <w:rPr>
                <w:lang w:val="en-GB"/>
              </w:rPr>
              <w:t>SODIUM ION BATTERIES INSTALLED IN CARGO TRANSPORT UNIT</w:t>
            </w:r>
          </w:p>
        </w:tc>
        <w:tc>
          <w:tcPr>
            <w:tcW w:w="785" w:type="pct"/>
            <w:vAlign w:val="center"/>
          </w:tcPr>
          <w:p w14:paraId="2399E700" w14:textId="77777777" w:rsidR="00FB5C94" w:rsidRDefault="00FB5C94" w:rsidP="00C11390">
            <w:pPr>
              <w:pStyle w:val="SingleTxtG"/>
              <w:spacing w:before="120"/>
              <w:ind w:left="0" w:right="0"/>
              <w:jc w:val="center"/>
            </w:pPr>
            <w:r w:rsidRPr="001C22A9">
              <w:rPr>
                <w:lang w:val="en-GB"/>
              </w:rPr>
              <w:t>9</w:t>
            </w:r>
          </w:p>
        </w:tc>
        <w:tc>
          <w:tcPr>
            <w:tcW w:w="783" w:type="pct"/>
            <w:vAlign w:val="center"/>
          </w:tcPr>
          <w:p w14:paraId="623FA72A" w14:textId="77777777" w:rsidR="00FB5C94" w:rsidRDefault="00FB5C94" w:rsidP="00C11390">
            <w:pPr>
              <w:pStyle w:val="SingleTxtG"/>
              <w:spacing w:before="120"/>
              <w:ind w:left="0" w:right="0"/>
              <w:jc w:val="center"/>
            </w:pPr>
            <w:r w:rsidRPr="001C22A9">
              <w:rPr>
                <w:lang w:val="en-GB"/>
              </w:rPr>
              <w:t>3536</w:t>
            </w:r>
          </w:p>
        </w:tc>
      </w:tr>
    </w:tbl>
    <w:p w14:paraId="08B607FC" w14:textId="77777777" w:rsidR="00FB5C94" w:rsidRPr="004E0167" w:rsidRDefault="00FB5C94" w:rsidP="00FB5C94">
      <w:pPr>
        <w:pStyle w:val="SingleTxtG"/>
        <w:tabs>
          <w:tab w:val="clear" w:pos="1701"/>
          <w:tab w:val="clear" w:pos="2268"/>
          <w:tab w:val="clear" w:pos="2835"/>
        </w:tabs>
        <w:spacing w:before="120"/>
      </w:pPr>
      <w:r>
        <w:t>The addition of a new entry to the alphabetical index associated with UN 1790 does not apply to the English version.</w:t>
      </w:r>
    </w:p>
    <w:p w14:paraId="4A5CFB81" w14:textId="77777777" w:rsidR="00FB5C94" w:rsidRPr="00843762" w:rsidRDefault="00FB5C94" w:rsidP="00FB5C94">
      <w:pPr>
        <w:pStyle w:val="SingleTxtG"/>
        <w:spacing w:before="120"/>
        <w:rPr>
          <w:i/>
          <w:iCs/>
        </w:rPr>
      </w:pPr>
      <w:r w:rsidRPr="00804977">
        <w:rPr>
          <w:i/>
          <w:iCs/>
        </w:rPr>
        <w:t>(Reference document</w:t>
      </w:r>
      <w:r>
        <w:rPr>
          <w:i/>
          <w:iCs/>
        </w:rPr>
        <w:t>s</w:t>
      </w:r>
      <w:r w:rsidRPr="00804977">
        <w:rPr>
          <w:i/>
          <w:iCs/>
        </w:rPr>
        <w:t xml:space="preserve">: </w:t>
      </w:r>
      <w:r>
        <w:rPr>
          <w:i/>
          <w:iCs/>
        </w:rPr>
        <w:t>ST/SG/AC.10/C.3/126, Annex I  and ST/SG/AC.10/C.3/128, Annex II</w:t>
      </w:r>
      <w:r w:rsidRPr="00804977">
        <w:rPr>
          <w:i/>
          <w:iCs/>
        </w:rPr>
        <w:t>)</w:t>
      </w:r>
    </w:p>
    <w:p w14:paraId="6C295D1A" w14:textId="77777777" w:rsidR="00FB5C94" w:rsidRPr="00FF3E52" w:rsidRDefault="00FB5C94" w:rsidP="00FB5C94">
      <w:pPr>
        <w:pStyle w:val="H1G"/>
      </w:pPr>
      <w:r>
        <w:lastRenderedPageBreak/>
        <w:tab/>
      </w:r>
      <w:r>
        <w:tab/>
        <w:t>Chapter 4.1</w:t>
      </w:r>
    </w:p>
    <w:p w14:paraId="09E5951A" w14:textId="77777777" w:rsidR="00FB5C94" w:rsidRPr="00CE5EDB" w:rsidRDefault="00FB5C94" w:rsidP="00A371B5">
      <w:pPr>
        <w:keepNext/>
        <w:spacing w:after="120"/>
        <w:ind w:left="2552" w:right="1134" w:hanging="1418"/>
        <w:jc w:val="both"/>
      </w:pPr>
      <w:r w:rsidRPr="00560B8B">
        <w:t>4.1.</w:t>
      </w:r>
      <w:r>
        <w:t>1.19.3</w:t>
      </w:r>
      <w:r>
        <w:tab/>
        <w:t xml:space="preserve">In (c), first sentence, replace “and volume” by “, </w:t>
      </w:r>
      <w:r w:rsidRPr="00522DD7">
        <w:t xml:space="preserve">in </w:t>
      </w:r>
      <w:r>
        <w:t>usable</w:t>
      </w:r>
      <w:r w:rsidRPr="00522DD7">
        <w:t xml:space="preserve"> water capacity and in pressure volume product</w:t>
      </w:r>
      <w:r>
        <w:t>”. The second amendment does not apply to the English text.</w:t>
      </w:r>
    </w:p>
    <w:p w14:paraId="4795B43A"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552FEE3C" w14:textId="77777777" w:rsidR="00FB5C94" w:rsidRPr="000934D7" w:rsidRDefault="00FB5C94" w:rsidP="00FB5C94">
      <w:pPr>
        <w:spacing w:after="120"/>
        <w:ind w:left="2552" w:right="1134" w:hanging="1418"/>
        <w:jc w:val="both"/>
        <w:rPr>
          <w:rFonts w:asciiTheme="majorBidi" w:hAnsiTheme="majorBidi" w:cstheme="majorBidi"/>
        </w:rPr>
      </w:pPr>
      <w:r w:rsidRPr="000934D7">
        <w:rPr>
          <w:rFonts w:asciiTheme="majorBidi" w:hAnsiTheme="majorBidi" w:cstheme="majorBidi"/>
        </w:rPr>
        <w:t>4.1.3.6.5</w:t>
      </w:r>
      <w:r w:rsidRPr="000934D7">
        <w:rPr>
          <w:rFonts w:asciiTheme="majorBidi" w:hAnsiTheme="majorBidi" w:cstheme="majorBidi"/>
        </w:rPr>
        <w:tab/>
      </w:r>
      <w:r>
        <w:rPr>
          <w:rFonts w:asciiTheme="majorBidi" w:hAnsiTheme="majorBidi" w:cstheme="majorBidi"/>
        </w:rPr>
        <w:t xml:space="preserve">In </w:t>
      </w:r>
      <w:r w:rsidRPr="00467AEA">
        <w:t>the</w:t>
      </w:r>
      <w:r>
        <w:rPr>
          <w:rFonts w:asciiTheme="majorBidi" w:hAnsiTheme="majorBidi" w:cstheme="majorBidi"/>
        </w:rPr>
        <w:t xml:space="preserve"> </w:t>
      </w:r>
      <w:r w:rsidRPr="00E63E76">
        <w:t>first</w:t>
      </w:r>
      <w:r>
        <w:rPr>
          <w:rFonts w:asciiTheme="majorBidi" w:hAnsiTheme="majorBidi" w:cstheme="majorBidi"/>
        </w:rPr>
        <w:t xml:space="preserve"> sentence, r</w:t>
      </w:r>
      <w:r w:rsidRPr="000934D7">
        <w:rPr>
          <w:rFonts w:asciiTheme="majorBidi" w:hAnsiTheme="majorBidi" w:cstheme="majorBidi"/>
        </w:rPr>
        <w:t>eplace “level of filling” by “degree of filling”.</w:t>
      </w:r>
    </w:p>
    <w:p w14:paraId="2AD3537B"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08366DCE" w14:textId="77777777" w:rsidR="00FB5C94" w:rsidRPr="00CE5EDB" w:rsidRDefault="00FB5C94" w:rsidP="00FB5C94">
      <w:pPr>
        <w:spacing w:after="120"/>
        <w:ind w:left="2552" w:right="1134" w:hanging="1418"/>
        <w:jc w:val="both"/>
      </w:pPr>
      <w:r w:rsidRPr="00560B8B">
        <w:t>4.1.4.</w:t>
      </w:r>
      <w:r>
        <w:t>1</w:t>
      </w:r>
      <w:r w:rsidRPr="00560B8B">
        <w:t xml:space="preserve">, </w:t>
      </w:r>
      <w:r>
        <w:t>P001</w:t>
      </w:r>
      <w:r>
        <w:tab/>
        <w:t xml:space="preserve">In </w:t>
      </w:r>
      <w:r w:rsidRPr="00E22D92">
        <w:rPr>
          <w:rFonts w:asciiTheme="majorBidi" w:hAnsiTheme="majorBidi" w:cstheme="majorBidi"/>
        </w:rPr>
        <w:t>PP5</w:t>
      </w:r>
      <w:r>
        <w:t>, replace “UN 1204” by “UN Nos. 1204 and 2029”.</w:t>
      </w:r>
    </w:p>
    <w:p w14:paraId="2B1F1C54"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638E8799" w14:textId="77777777" w:rsidR="00FB5C94" w:rsidRPr="001F2D6C" w:rsidRDefault="00FB5C94" w:rsidP="00FB5C94">
      <w:pPr>
        <w:spacing w:after="120"/>
        <w:ind w:left="2552" w:right="1134" w:hanging="1418"/>
        <w:jc w:val="both"/>
      </w:pPr>
      <w:r w:rsidRPr="004E1EC6">
        <w:t>4.1.4.1, P006</w:t>
      </w:r>
      <w:r w:rsidRPr="004E1EC6">
        <w:tab/>
        <w:t>In (5), first sentence, after “lithium cells or batteries”, add “or sodium ion cells or batteries” (twice)</w:t>
      </w:r>
      <w:r>
        <w:t xml:space="preserve"> and</w:t>
      </w:r>
      <w:r w:rsidRPr="001F2D6C">
        <w:t xml:space="preserve"> replace “have not met” by “has not met”.</w:t>
      </w:r>
    </w:p>
    <w:p w14:paraId="6DF4E48D"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66F0EB9B" w14:textId="77777777" w:rsidR="00FB5C94" w:rsidRPr="001C22A9" w:rsidRDefault="00FB5C94" w:rsidP="00FB5C94">
      <w:pPr>
        <w:spacing w:after="120"/>
        <w:ind w:left="2552" w:right="1134" w:hanging="1418"/>
        <w:jc w:val="both"/>
      </w:pPr>
      <w:r w:rsidRPr="001C22A9">
        <w:t>4.1.4.1, P130</w:t>
      </w:r>
      <w:r w:rsidRPr="001C22A9">
        <w:tab/>
        <w:t>Add the following new special packing provision:</w:t>
      </w:r>
    </w:p>
    <w:p w14:paraId="438B9936" w14:textId="77777777" w:rsidR="00FB5C94" w:rsidRPr="001C22A9" w:rsidRDefault="00FB5C94" w:rsidP="00FB5C94">
      <w:pPr>
        <w:spacing w:after="120"/>
        <w:ind w:left="2552" w:right="1134" w:hanging="1418"/>
        <w:jc w:val="both"/>
      </w:pPr>
      <w:r w:rsidRPr="001C22A9">
        <w:t>“PP98</w:t>
      </w:r>
      <w:r w:rsidRPr="001C22A9">
        <w:tab/>
        <w:t>For UN Nos. 0012 and 0014, despite the requirements of 4.1.5.11, articles may be packed without internal cushioning, fittings, coating or liner in metal outer packagings.”</w:t>
      </w:r>
    </w:p>
    <w:p w14:paraId="5D8188C7"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4D69242B" w14:textId="77777777" w:rsidR="00FB5C94" w:rsidRPr="000934D7" w:rsidRDefault="00FB5C94" w:rsidP="00FB5C94">
      <w:pPr>
        <w:spacing w:after="120"/>
        <w:ind w:left="2552" w:right="1134" w:hanging="1418"/>
        <w:jc w:val="both"/>
        <w:rPr>
          <w:rFonts w:asciiTheme="majorBidi" w:hAnsiTheme="majorBidi" w:cstheme="majorBidi"/>
        </w:rPr>
      </w:pPr>
      <w:r w:rsidRPr="000934D7">
        <w:rPr>
          <w:rFonts w:asciiTheme="majorBidi" w:hAnsiTheme="majorBidi" w:cstheme="majorBidi"/>
        </w:rPr>
        <w:t>4.1.4.1, P200</w:t>
      </w:r>
      <w:r w:rsidRPr="000934D7">
        <w:rPr>
          <w:rFonts w:asciiTheme="majorBidi" w:hAnsiTheme="majorBidi" w:cstheme="majorBidi"/>
        </w:rPr>
        <w:tab/>
        <w:t xml:space="preserve">In (4) (d), </w:t>
      </w:r>
      <w:r w:rsidRPr="00E63E76">
        <w:t>replace</w:t>
      </w:r>
      <w:r w:rsidRPr="000934D7">
        <w:rPr>
          <w:rFonts w:asciiTheme="majorBidi" w:hAnsiTheme="majorBidi" w:cstheme="majorBidi"/>
        </w:rPr>
        <w:t xml:space="preserve"> “degree or pressure of filling” by “filling ratio or pressure of </w:t>
      </w:r>
      <w:r w:rsidRPr="00467AEA">
        <w:t>filling</w:t>
      </w:r>
      <w:r w:rsidRPr="000934D7">
        <w:rPr>
          <w:rFonts w:asciiTheme="majorBidi" w:hAnsiTheme="majorBidi" w:cstheme="majorBidi"/>
        </w:rPr>
        <w:t>”.</w:t>
      </w:r>
    </w:p>
    <w:p w14:paraId="559D5259"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0F6CFA2D" w14:textId="77777777" w:rsidR="00FB5C94" w:rsidRDefault="00FB5C94" w:rsidP="00FB5C94">
      <w:pPr>
        <w:spacing w:after="120"/>
        <w:ind w:left="2552" w:right="1134" w:hanging="1418"/>
        <w:jc w:val="both"/>
      </w:pPr>
      <w:r>
        <w:t>4.1.4.1, P520</w:t>
      </w:r>
      <w:r>
        <w:tab/>
        <w:t>The amendment does not apply to the English text.</w:t>
      </w:r>
    </w:p>
    <w:p w14:paraId="62C63BA8"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69EB756B" w14:textId="05432C7D" w:rsidR="00FB5C94" w:rsidRPr="000934D7" w:rsidRDefault="00FB5C94" w:rsidP="00FB5C94">
      <w:pPr>
        <w:spacing w:after="120"/>
        <w:ind w:left="2552" w:right="1134" w:hanging="1418"/>
        <w:jc w:val="both"/>
      </w:pPr>
      <w:r w:rsidRPr="00314CF5">
        <w:t>4.1.4.1, P912</w:t>
      </w:r>
      <w:r w:rsidRPr="00314CF5">
        <w:tab/>
        <w:t xml:space="preserve">In (c), at the beginning, replace “where the vehicles” by “where they”. </w:t>
      </w:r>
    </w:p>
    <w:p w14:paraId="09047E77"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0C7440A0" w14:textId="77777777" w:rsidR="00FB5C94" w:rsidRPr="00CE5EDB" w:rsidRDefault="00FB5C94" w:rsidP="00FB5C94">
      <w:pPr>
        <w:spacing w:after="120"/>
        <w:ind w:left="2552" w:right="1134" w:hanging="1418"/>
        <w:jc w:val="both"/>
      </w:pPr>
      <w:r w:rsidRPr="00560B8B">
        <w:t>4.1.4.2, IBC520</w:t>
      </w:r>
      <w:r>
        <w:tab/>
        <w:t>F</w:t>
      </w:r>
      <w:r w:rsidRPr="00CE5EDB">
        <w:t xml:space="preserve">or UN 3119, </w:t>
      </w:r>
      <w:r>
        <w:t>add a new entry</w:t>
      </w:r>
      <w:r w:rsidRPr="00CE5EDB">
        <w:t xml:space="preserve"> to read as follows:</w:t>
      </w:r>
    </w:p>
    <w:tbl>
      <w:tblPr>
        <w:tblStyle w:val="TableGrid1"/>
        <w:tblW w:w="8280" w:type="dxa"/>
        <w:tblInd w:w="1075" w:type="dxa"/>
        <w:tblLayout w:type="fixed"/>
        <w:tblLook w:val="01E0" w:firstRow="1" w:lastRow="1" w:firstColumn="1" w:lastColumn="1" w:noHBand="0" w:noVBand="0"/>
      </w:tblPr>
      <w:tblGrid>
        <w:gridCol w:w="810"/>
        <w:gridCol w:w="2880"/>
        <w:gridCol w:w="1170"/>
        <w:gridCol w:w="1350"/>
        <w:gridCol w:w="1170"/>
        <w:gridCol w:w="900"/>
      </w:tblGrid>
      <w:tr w:rsidR="00FB5C94" w:rsidRPr="00CE5EDB" w14:paraId="7BC17FB5" w14:textId="77777777" w:rsidTr="00C11390">
        <w:tc>
          <w:tcPr>
            <w:tcW w:w="810" w:type="dxa"/>
            <w:tcBorders>
              <w:top w:val="single" w:sz="4" w:space="0" w:color="auto"/>
              <w:left w:val="single" w:sz="4" w:space="0" w:color="auto"/>
              <w:bottom w:val="single" w:sz="4" w:space="0" w:color="auto"/>
              <w:right w:val="single" w:sz="4" w:space="0" w:color="auto"/>
            </w:tcBorders>
          </w:tcPr>
          <w:p w14:paraId="62DFDFBD" w14:textId="77777777" w:rsidR="00FB5C94" w:rsidRPr="00CE5EDB" w:rsidRDefault="00FB5C94" w:rsidP="00C11390">
            <w:pPr>
              <w:spacing w:before="40" w:after="120"/>
              <w:ind w:right="113"/>
              <w:rPr>
                <w:lang w:val="en-GB"/>
              </w:rPr>
            </w:pPr>
          </w:p>
        </w:tc>
        <w:tc>
          <w:tcPr>
            <w:tcW w:w="2880" w:type="dxa"/>
            <w:tcBorders>
              <w:top w:val="single" w:sz="4" w:space="0" w:color="auto"/>
              <w:left w:val="single" w:sz="4" w:space="0" w:color="auto"/>
              <w:bottom w:val="single" w:sz="4" w:space="0" w:color="auto"/>
              <w:right w:val="single" w:sz="4" w:space="0" w:color="auto"/>
            </w:tcBorders>
            <w:vAlign w:val="bottom"/>
            <w:hideMark/>
          </w:tcPr>
          <w:p w14:paraId="4197368B" w14:textId="77777777" w:rsidR="00FB5C94" w:rsidRPr="00CE5EDB" w:rsidRDefault="00FB5C94" w:rsidP="00C11390">
            <w:pPr>
              <w:spacing w:before="60" w:after="60" w:line="200" w:lineRule="exact"/>
              <w:ind w:left="57" w:right="57"/>
              <w:rPr>
                <w:rFonts w:asciiTheme="majorBidi" w:hAnsiTheme="majorBidi" w:cstheme="majorBidi"/>
                <w:lang w:val="en-GB"/>
              </w:rPr>
            </w:pPr>
            <w:r w:rsidRPr="00DC2DCB">
              <w:rPr>
                <w:lang w:val="en-GB"/>
              </w:rPr>
              <w:t>tert-Butyl peroxy-2-ethylhexanoate, not more than 52</w:t>
            </w:r>
            <w:r>
              <w:rPr>
                <w:lang w:val="en-GB"/>
              </w:rPr>
              <w:t> </w:t>
            </w:r>
            <w:r w:rsidRPr="00DC2DCB">
              <w:rPr>
                <w:lang w:val="en-GB"/>
              </w:rPr>
              <w:t>%, in diluent type A</w:t>
            </w:r>
          </w:p>
        </w:tc>
        <w:tc>
          <w:tcPr>
            <w:tcW w:w="1170" w:type="dxa"/>
            <w:tcBorders>
              <w:top w:val="single" w:sz="4" w:space="0" w:color="auto"/>
              <w:left w:val="single" w:sz="4" w:space="0" w:color="auto"/>
              <w:bottom w:val="single" w:sz="4" w:space="0" w:color="auto"/>
              <w:right w:val="single" w:sz="4" w:space="0" w:color="auto"/>
            </w:tcBorders>
            <w:hideMark/>
          </w:tcPr>
          <w:p w14:paraId="61144703" w14:textId="77777777" w:rsidR="00FB5C94" w:rsidRPr="00CE5EDB" w:rsidRDefault="00FB5C94" w:rsidP="00C11390">
            <w:pPr>
              <w:spacing w:before="60" w:after="60" w:line="200" w:lineRule="exact"/>
              <w:ind w:left="57" w:right="57"/>
              <w:jc w:val="center"/>
              <w:rPr>
                <w:rFonts w:asciiTheme="majorBidi" w:hAnsiTheme="majorBidi" w:cstheme="majorBidi"/>
                <w:lang w:val="en-GB"/>
              </w:rPr>
            </w:pPr>
            <w:r w:rsidRPr="00232EBD">
              <w:rPr>
                <w:lang w:val="en-GB"/>
              </w:rPr>
              <w:t>31HA1</w:t>
            </w:r>
            <w:r w:rsidRPr="00232EBD">
              <w:rPr>
                <w:lang w:val="en-GB"/>
              </w:rPr>
              <w:br/>
              <w:t>31A</w:t>
            </w:r>
          </w:p>
        </w:tc>
        <w:tc>
          <w:tcPr>
            <w:tcW w:w="1350" w:type="dxa"/>
            <w:tcBorders>
              <w:top w:val="single" w:sz="4" w:space="0" w:color="auto"/>
              <w:left w:val="single" w:sz="4" w:space="0" w:color="auto"/>
              <w:bottom w:val="single" w:sz="4" w:space="0" w:color="auto"/>
              <w:right w:val="single" w:sz="4" w:space="0" w:color="auto"/>
            </w:tcBorders>
            <w:hideMark/>
          </w:tcPr>
          <w:p w14:paraId="61F53A18" w14:textId="77777777" w:rsidR="00FB5C94" w:rsidRPr="00CE5EDB" w:rsidRDefault="00FB5C94" w:rsidP="00C11390">
            <w:pPr>
              <w:spacing w:before="60" w:after="60" w:line="200" w:lineRule="exact"/>
              <w:ind w:left="57" w:right="57"/>
              <w:jc w:val="center"/>
              <w:rPr>
                <w:rFonts w:asciiTheme="majorBidi" w:hAnsiTheme="majorBidi" w:cstheme="majorBidi"/>
                <w:lang w:val="en-GB"/>
              </w:rPr>
            </w:pPr>
            <w:r w:rsidRPr="00232EBD">
              <w:rPr>
                <w:lang w:val="en-GB"/>
              </w:rPr>
              <w:t>1 000</w:t>
            </w:r>
            <w:r w:rsidRPr="00232EBD">
              <w:rPr>
                <w:lang w:val="en-GB"/>
              </w:rPr>
              <w:br/>
              <w:t>1 250</w:t>
            </w:r>
          </w:p>
        </w:tc>
        <w:tc>
          <w:tcPr>
            <w:tcW w:w="1170" w:type="dxa"/>
            <w:tcBorders>
              <w:top w:val="single" w:sz="4" w:space="0" w:color="auto"/>
              <w:left w:val="single" w:sz="4" w:space="0" w:color="auto"/>
              <w:bottom w:val="single" w:sz="4" w:space="0" w:color="auto"/>
              <w:right w:val="single" w:sz="4" w:space="0" w:color="auto"/>
            </w:tcBorders>
            <w:hideMark/>
          </w:tcPr>
          <w:p w14:paraId="17C29C2A" w14:textId="77777777" w:rsidR="00FB5C94" w:rsidRPr="00CE5EDB" w:rsidRDefault="00FB5C94" w:rsidP="00C11390">
            <w:pPr>
              <w:spacing w:before="60" w:after="60" w:line="200" w:lineRule="exact"/>
              <w:ind w:left="57" w:right="57"/>
              <w:jc w:val="center"/>
              <w:rPr>
                <w:rFonts w:asciiTheme="majorBidi" w:hAnsiTheme="majorBidi" w:cstheme="majorBidi"/>
                <w:lang w:val="en-GB"/>
              </w:rPr>
            </w:pPr>
            <w:r w:rsidRPr="00232EBD">
              <w:rPr>
                <w:lang w:val="en-GB"/>
              </w:rPr>
              <w:t>+</w:t>
            </w:r>
            <w:r>
              <w:rPr>
                <w:lang w:val="en-GB"/>
              </w:rPr>
              <w:t>3</w:t>
            </w:r>
            <w:r w:rsidRPr="00232EBD">
              <w:rPr>
                <w:lang w:val="en-GB"/>
              </w:rPr>
              <w:t>0 °C</w:t>
            </w:r>
            <w:r w:rsidRPr="00232EBD">
              <w:rPr>
                <w:lang w:val="en-GB"/>
              </w:rPr>
              <w:br/>
              <w:t>+</w:t>
            </w:r>
            <w:r>
              <w:rPr>
                <w:lang w:val="en-GB"/>
              </w:rPr>
              <w:t>3</w:t>
            </w:r>
            <w:r w:rsidRPr="00232EBD">
              <w:rPr>
                <w:lang w:val="en-GB"/>
              </w:rPr>
              <w:t>0 °C</w:t>
            </w:r>
          </w:p>
        </w:tc>
        <w:tc>
          <w:tcPr>
            <w:tcW w:w="900" w:type="dxa"/>
            <w:tcBorders>
              <w:top w:val="single" w:sz="4" w:space="0" w:color="auto"/>
              <w:left w:val="single" w:sz="4" w:space="0" w:color="auto"/>
              <w:bottom w:val="single" w:sz="4" w:space="0" w:color="auto"/>
              <w:right w:val="single" w:sz="4" w:space="0" w:color="auto"/>
            </w:tcBorders>
            <w:hideMark/>
          </w:tcPr>
          <w:p w14:paraId="1FEDAAE3" w14:textId="77777777" w:rsidR="00FB5C94" w:rsidRPr="00CE5EDB" w:rsidRDefault="00FB5C94" w:rsidP="00C11390">
            <w:pPr>
              <w:spacing w:before="60" w:after="60" w:line="200" w:lineRule="exact"/>
              <w:ind w:left="57" w:right="57"/>
              <w:jc w:val="center"/>
              <w:rPr>
                <w:rFonts w:asciiTheme="majorBidi" w:hAnsiTheme="majorBidi" w:cstheme="majorBidi"/>
                <w:lang w:val="en-GB"/>
              </w:rPr>
            </w:pPr>
            <w:r w:rsidRPr="00232EBD">
              <w:rPr>
                <w:lang w:val="en-GB"/>
              </w:rPr>
              <w:t>+</w:t>
            </w:r>
            <w:r>
              <w:rPr>
                <w:lang w:val="en-GB"/>
              </w:rPr>
              <w:t>3</w:t>
            </w:r>
            <w:r w:rsidRPr="00232EBD">
              <w:rPr>
                <w:lang w:val="en-GB"/>
              </w:rPr>
              <w:t>5 °C</w:t>
            </w:r>
            <w:r w:rsidRPr="00232EBD">
              <w:rPr>
                <w:lang w:val="en-GB"/>
              </w:rPr>
              <w:br/>
              <w:t>+</w:t>
            </w:r>
            <w:r>
              <w:rPr>
                <w:lang w:val="en-GB"/>
              </w:rPr>
              <w:t>3</w:t>
            </w:r>
            <w:r w:rsidRPr="00232EBD">
              <w:rPr>
                <w:lang w:val="en-GB"/>
              </w:rPr>
              <w:t>5 °C</w:t>
            </w:r>
          </w:p>
        </w:tc>
      </w:tr>
    </w:tbl>
    <w:p w14:paraId="494D3A44" w14:textId="77777777" w:rsidR="00FB5C94" w:rsidRPr="00843762" w:rsidRDefault="00FB5C94" w:rsidP="00FB5C94">
      <w:pPr>
        <w:pStyle w:val="SingleTxtG"/>
        <w:spacing w:before="120"/>
        <w:rPr>
          <w:i/>
          <w:iCs/>
        </w:rPr>
      </w:pPr>
      <w:r w:rsidRPr="00804977">
        <w:rPr>
          <w:i/>
          <w:iCs/>
        </w:rPr>
        <w:t xml:space="preserve">(Reference document: </w:t>
      </w:r>
      <w:r>
        <w:rPr>
          <w:i/>
          <w:iCs/>
        </w:rPr>
        <w:t>ST/SG/AC.10/C.3/126, Annex I</w:t>
      </w:r>
      <w:r w:rsidRPr="00804977">
        <w:rPr>
          <w:i/>
          <w:iCs/>
        </w:rPr>
        <w:t>)</w:t>
      </w:r>
    </w:p>
    <w:p w14:paraId="32C111C1" w14:textId="77777777" w:rsidR="00FB5C94" w:rsidRPr="004E1EC6" w:rsidRDefault="00FB5C94" w:rsidP="00FB5C94">
      <w:pPr>
        <w:pStyle w:val="SingleTxtG"/>
        <w:tabs>
          <w:tab w:val="clear" w:pos="1701"/>
          <w:tab w:val="clear" w:pos="2268"/>
          <w:tab w:val="left" w:pos="2552"/>
        </w:tabs>
        <w:ind w:left="2552" w:hanging="1418"/>
      </w:pPr>
      <w:r w:rsidRPr="004E1EC6">
        <w:t>4.1.4.3, LP03</w:t>
      </w:r>
      <w:r w:rsidRPr="004E1EC6">
        <w:tab/>
      </w:r>
      <w:r w:rsidRPr="00B07452">
        <w:rPr>
          <w:rFonts w:asciiTheme="majorBidi" w:hAnsiTheme="majorBidi" w:cstheme="majorBidi"/>
        </w:rPr>
        <w:t>In</w:t>
      </w:r>
      <w:r w:rsidRPr="004E1EC6">
        <w:t xml:space="preserve"> (4), first sentence, after “lithium cells or batteries”, add “or sodium ion cells or batteries” (twice).</w:t>
      </w:r>
    </w:p>
    <w:p w14:paraId="33D2E4CB"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3CA004C1" w14:textId="77777777" w:rsidR="00FB5C94" w:rsidRDefault="00FB5C94" w:rsidP="00FB5C94">
      <w:pPr>
        <w:pStyle w:val="SingleTxtG"/>
        <w:tabs>
          <w:tab w:val="clear" w:pos="2268"/>
          <w:tab w:val="left" w:pos="2552"/>
        </w:tabs>
        <w:ind w:left="2552" w:hanging="1418"/>
      </w:pPr>
      <w:r>
        <w:t>4.1.6.1.2</w:t>
      </w:r>
      <w:r>
        <w:tab/>
        <w:t xml:space="preserve">In </w:t>
      </w:r>
      <w:r w:rsidRPr="00B07452">
        <w:rPr>
          <w:rFonts w:asciiTheme="majorBidi" w:hAnsiTheme="majorBidi" w:cstheme="majorBidi"/>
        </w:rPr>
        <w:t>the</w:t>
      </w:r>
      <w:r>
        <w:t xml:space="preserve"> second sentence,</w:t>
      </w:r>
      <w:r w:rsidRPr="004726CB">
        <w:t xml:space="preserve"> </w:t>
      </w:r>
      <w:r>
        <w:t>after “</w:t>
      </w:r>
      <w:r w:rsidRPr="004726CB">
        <w:t>ISO 11114-1:2020</w:t>
      </w:r>
      <w:r>
        <w:t>”, add</w:t>
      </w:r>
      <w:r w:rsidRPr="004726CB">
        <w:t xml:space="preserve"> </w:t>
      </w:r>
      <w:r>
        <w:t xml:space="preserve">“+ </w:t>
      </w:r>
      <w:r w:rsidRPr="004726CB">
        <w:t>Amd 1:2023</w:t>
      </w:r>
      <w:r>
        <w:t>”.</w:t>
      </w:r>
    </w:p>
    <w:p w14:paraId="61E3451D"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66DF640A" w14:textId="77777777" w:rsidR="00FB5C94" w:rsidRPr="001C22A9" w:rsidRDefault="00FB5C94" w:rsidP="00FB5C94">
      <w:pPr>
        <w:spacing w:after="120"/>
        <w:ind w:left="2552" w:right="1134" w:hanging="1418"/>
        <w:jc w:val="both"/>
      </w:pPr>
      <w:r w:rsidRPr="001C22A9">
        <w:t>[4.1.6.1.8</w:t>
      </w:r>
      <w:r w:rsidRPr="001C22A9">
        <w:tab/>
        <w:t>In the paragraph after (e), third sentence, after “ISO 10297:2014 + Amd 1:2017”, add “or clause 5.4.2 of ISO 10297:2024”.]</w:t>
      </w:r>
    </w:p>
    <w:p w14:paraId="230DD32A"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646AAB93" w14:textId="77777777" w:rsidR="00FB5C94" w:rsidRPr="00FF3E52" w:rsidRDefault="00FB5C94" w:rsidP="00FB5C94">
      <w:pPr>
        <w:pStyle w:val="H1G"/>
      </w:pPr>
      <w:r>
        <w:tab/>
      </w:r>
      <w:r>
        <w:tab/>
        <w:t>Chapter 4.2</w:t>
      </w:r>
    </w:p>
    <w:p w14:paraId="6B4524E1" w14:textId="77777777" w:rsidR="00FB5C94" w:rsidRDefault="00FB5C94" w:rsidP="00FB5C94">
      <w:pPr>
        <w:spacing w:after="120"/>
        <w:ind w:left="2268" w:right="1134" w:hanging="1134"/>
        <w:jc w:val="both"/>
      </w:pPr>
      <w:r>
        <w:t>4.2.1.9</w:t>
      </w:r>
      <w:r>
        <w:tab/>
        <w:t xml:space="preserve">The amendment does not </w:t>
      </w:r>
      <w:r w:rsidRPr="002820D6">
        <w:rPr>
          <w:rFonts w:asciiTheme="majorBidi" w:hAnsiTheme="majorBidi" w:cstheme="majorBidi"/>
        </w:rPr>
        <w:t>apply</w:t>
      </w:r>
      <w:r>
        <w:t xml:space="preserve"> to the English version.</w:t>
      </w:r>
    </w:p>
    <w:p w14:paraId="56A4BCF4"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08F1C82B" w14:textId="77777777" w:rsidR="00FB5C94" w:rsidRPr="000934D7" w:rsidRDefault="00FB5C94" w:rsidP="00AB6932">
      <w:pPr>
        <w:keepNext/>
        <w:spacing w:after="120"/>
        <w:ind w:left="2268" w:right="1134" w:hanging="1134"/>
        <w:jc w:val="both"/>
        <w:rPr>
          <w:rFonts w:asciiTheme="majorBidi" w:hAnsiTheme="majorBidi" w:cstheme="majorBidi"/>
        </w:rPr>
      </w:pPr>
      <w:r w:rsidRPr="000934D7">
        <w:rPr>
          <w:rFonts w:asciiTheme="majorBidi" w:hAnsiTheme="majorBidi" w:cstheme="majorBidi"/>
        </w:rPr>
        <w:lastRenderedPageBreak/>
        <w:t>4.2.2.8</w:t>
      </w:r>
      <w:r w:rsidRPr="000934D7">
        <w:rPr>
          <w:rFonts w:asciiTheme="majorBidi" w:hAnsiTheme="majorBidi" w:cstheme="majorBidi"/>
        </w:rPr>
        <w:tab/>
        <w:t>In (a), replace “an ullage condition” by “a filling condition”.</w:t>
      </w:r>
    </w:p>
    <w:p w14:paraId="3E98BFD6"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050440A6" w14:textId="77777777" w:rsidR="00FB5C94" w:rsidRPr="000934D7" w:rsidRDefault="00FB5C94" w:rsidP="00FB5C94">
      <w:pPr>
        <w:spacing w:after="120"/>
        <w:ind w:left="2268" w:right="1134" w:hanging="1134"/>
        <w:jc w:val="both"/>
        <w:rPr>
          <w:rFonts w:asciiTheme="majorBidi" w:hAnsiTheme="majorBidi" w:cstheme="majorBidi"/>
        </w:rPr>
      </w:pPr>
      <w:r w:rsidRPr="000934D7">
        <w:rPr>
          <w:rFonts w:asciiTheme="majorBidi" w:hAnsiTheme="majorBidi" w:cstheme="majorBidi"/>
        </w:rPr>
        <w:t>4.2.3.8</w:t>
      </w:r>
      <w:r w:rsidRPr="000934D7">
        <w:rPr>
          <w:rFonts w:asciiTheme="majorBidi" w:hAnsiTheme="majorBidi" w:cstheme="majorBidi"/>
        </w:rPr>
        <w:tab/>
        <w:t>In (a), replace “an ullage condition” by “a filling condition”.</w:t>
      </w:r>
    </w:p>
    <w:p w14:paraId="0F30D3DC"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5F3C5132" w14:textId="77777777" w:rsidR="00FB5C94" w:rsidRDefault="00FB5C94" w:rsidP="00FB5C94">
      <w:pPr>
        <w:pStyle w:val="SingleTxtG"/>
        <w:tabs>
          <w:tab w:val="clear" w:pos="1701"/>
        </w:tabs>
        <w:ind w:left="2268" w:hanging="1134"/>
      </w:pPr>
      <w:r>
        <w:t>4.2.6</w:t>
      </w:r>
      <w:r>
        <w:tab/>
        <w:t>At the end, add the following new paragraph:</w:t>
      </w:r>
    </w:p>
    <w:p w14:paraId="2803E6CC" w14:textId="77777777" w:rsidR="00FB5C94" w:rsidRPr="00F93A25" w:rsidRDefault="00FB5C94" w:rsidP="00FB5C94">
      <w:pPr>
        <w:pStyle w:val="SingleTxtG"/>
      </w:pPr>
      <w:r>
        <w:t>“</w:t>
      </w:r>
      <w:r w:rsidRPr="00F93A25">
        <w:t>Portable tanks manufactured prior to 1 January 202</w:t>
      </w:r>
      <w:r>
        <w:t>7</w:t>
      </w:r>
      <w:r w:rsidRPr="00F93A25">
        <w:t xml:space="preserve"> which were marked in accordance with the requirements of 6.7.4.15.1 (i)</w:t>
      </w:r>
      <w:r>
        <w:t xml:space="preserve"> </w:t>
      </w:r>
      <w:r w:rsidRPr="00F93A25">
        <w:t>(iv) applicable in the twenty second revised edition of the Model Regulations may continue to be used.</w:t>
      </w:r>
      <w:r>
        <w:t>”</w:t>
      </w:r>
    </w:p>
    <w:p w14:paraId="38B9EEB6"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50078459" w14:textId="77777777" w:rsidR="00FB5C94" w:rsidRPr="00FF3E52" w:rsidRDefault="00FB5C94" w:rsidP="00FB5C94">
      <w:pPr>
        <w:pStyle w:val="H1G"/>
      </w:pPr>
      <w:r>
        <w:tab/>
      </w:r>
      <w:r>
        <w:tab/>
        <w:t>Chapter 5.2</w:t>
      </w:r>
    </w:p>
    <w:p w14:paraId="4B6D2811" w14:textId="77777777" w:rsidR="00FB5C94" w:rsidRPr="004E1EC6" w:rsidRDefault="00FB5C94" w:rsidP="00FB5C94">
      <w:pPr>
        <w:pStyle w:val="SingleTxtG"/>
        <w:tabs>
          <w:tab w:val="clear" w:pos="1701"/>
        </w:tabs>
        <w:ind w:left="2268" w:hanging="1134"/>
      </w:pPr>
      <w:r w:rsidRPr="004E1EC6">
        <w:t>5.2.1.9</w:t>
      </w:r>
      <w:r w:rsidRPr="004E1EC6">
        <w:tab/>
      </w:r>
      <w:r w:rsidRPr="00B07452">
        <w:rPr>
          <w:rFonts w:asciiTheme="majorBidi" w:hAnsiTheme="majorBidi" w:cstheme="majorBidi"/>
        </w:rPr>
        <w:t>Amend</w:t>
      </w:r>
      <w:r w:rsidRPr="004E1EC6">
        <w:t xml:space="preserve"> the heading to read “</w:t>
      </w:r>
      <w:r w:rsidRPr="004E1EC6">
        <w:rPr>
          <w:b/>
          <w:bCs/>
          <w:i/>
          <w:iCs/>
        </w:rPr>
        <w:t>Battery mark</w:t>
      </w:r>
      <w:r w:rsidRPr="004E1EC6">
        <w:t>”.</w:t>
      </w:r>
    </w:p>
    <w:p w14:paraId="35A6F6EF"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615BF1BC" w14:textId="77777777" w:rsidR="00FB5C94" w:rsidRPr="00B55021" w:rsidRDefault="00FB5C94" w:rsidP="00FB5C94">
      <w:pPr>
        <w:spacing w:after="120"/>
        <w:ind w:left="2268" w:right="1134" w:hanging="1134"/>
        <w:jc w:val="both"/>
        <w:rPr>
          <w:lang w:val="en-US"/>
        </w:rPr>
      </w:pPr>
      <w:r w:rsidRPr="000934D7">
        <w:t>5.2.1.9.1</w:t>
      </w:r>
      <w:r w:rsidRPr="000934D7">
        <w:tab/>
        <w:t>Replace “</w:t>
      </w:r>
      <w:r w:rsidRPr="002820D6">
        <w:rPr>
          <w:rFonts w:asciiTheme="majorBidi" w:hAnsiTheme="majorBidi" w:cstheme="majorBidi"/>
        </w:rPr>
        <w:t>lithium</w:t>
      </w:r>
      <w:r w:rsidRPr="00244A89">
        <w:t xml:space="preserve"> or sodium ion cells or batteries</w:t>
      </w:r>
      <w:r w:rsidRPr="000934D7">
        <w:t>” by “</w:t>
      </w:r>
      <w:r w:rsidRPr="00244A89">
        <w:t>lithium cells or batteries or sodium ion cells or batteries</w:t>
      </w:r>
      <w:r w:rsidRPr="000934D7">
        <w:t>”</w:t>
      </w:r>
      <w:r>
        <w:t xml:space="preserve"> and replace </w:t>
      </w:r>
      <w:r>
        <w:rPr>
          <w:lang w:val="en-US"/>
        </w:rPr>
        <w:t>“provision 188” by “provisions 188 or 400”.</w:t>
      </w:r>
    </w:p>
    <w:p w14:paraId="1F559B01"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322849CF" w14:textId="77777777" w:rsidR="00FB5C94" w:rsidRPr="001C22A9" w:rsidRDefault="00FB5C94" w:rsidP="00FB5C94">
      <w:pPr>
        <w:pStyle w:val="SingleTxtG"/>
        <w:tabs>
          <w:tab w:val="clear" w:pos="1701"/>
          <w:tab w:val="clear" w:pos="2268"/>
          <w:tab w:val="clear" w:pos="2835"/>
        </w:tabs>
        <w:ind w:left="2268" w:hanging="1134"/>
      </w:pPr>
      <w:r w:rsidRPr="001C22A9">
        <w:t>5.2.1.9.2</w:t>
      </w:r>
      <w:r w:rsidRPr="001C22A9">
        <w:tab/>
        <w:t>At the end of the first paragraph add the following new sentence: “However, where equipment contains a button cell in addition to cells or batteries there is no requirement for the UN number indicating the button cell to be included on the mark.”.</w:t>
      </w:r>
    </w:p>
    <w:p w14:paraId="4EA458E0" w14:textId="77777777" w:rsidR="00FB5C94" w:rsidRPr="004E1EC6" w:rsidRDefault="00FB5C94" w:rsidP="00FB5C94">
      <w:pPr>
        <w:pStyle w:val="SingleTxtG"/>
        <w:tabs>
          <w:tab w:val="clear" w:pos="1701"/>
        </w:tabs>
        <w:ind w:left="2268" w:hanging="1134"/>
      </w:pPr>
      <w:r>
        <w:tab/>
      </w:r>
      <w:r w:rsidRPr="00B07452">
        <w:rPr>
          <w:rFonts w:asciiTheme="majorBidi" w:hAnsiTheme="majorBidi" w:cstheme="majorBidi"/>
        </w:rPr>
        <w:t>In</w:t>
      </w:r>
      <w:r>
        <w:t xml:space="preserve"> f</w:t>
      </w:r>
      <w:r w:rsidRPr="004E1EC6">
        <w:t>igure 5.2.5</w:t>
      </w:r>
      <w:r>
        <w:t>, a</w:t>
      </w:r>
      <w:r w:rsidRPr="004E1EC6">
        <w:t>mend the heading to read “</w:t>
      </w:r>
      <w:r w:rsidRPr="004E1EC6">
        <w:rPr>
          <w:b/>
          <w:bCs/>
        </w:rPr>
        <w:t>Battery mark</w:t>
      </w:r>
      <w:r w:rsidRPr="004E1EC6">
        <w:t>”.</w:t>
      </w:r>
    </w:p>
    <w:p w14:paraId="11F25894" w14:textId="77777777" w:rsidR="00FB5C94" w:rsidRPr="00843762" w:rsidRDefault="00FB5C94" w:rsidP="00FB5C94">
      <w:pPr>
        <w:pStyle w:val="SingleTxtG"/>
        <w:rPr>
          <w:i/>
          <w:iCs/>
        </w:rPr>
      </w:pPr>
      <w:r w:rsidRPr="00804977">
        <w:rPr>
          <w:i/>
          <w:iCs/>
        </w:rPr>
        <w:t xml:space="preserve">(Reference document: </w:t>
      </w:r>
      <w:r>
        <w:rPr>
          <w:i/>
          <w:iCs/>
        </w:rPr>
        <w:t>ST/SG/AC.10/C.3/126, Annex I and ST/SG/AC.10/C.3/128, Annex II</w:t>
      </w:r>
      <w:r w:rsidRPr="00804977">
        <w:rPr>
          <w:i/>
          <w:iCs/>
        </w:rPr>
        <w:t>)</w:t>
      </w:r>
    </w:p>
    <w:p w14:paraId="193CD905" w14:textId="77777777" w:rsidR="00FB5C94" w:rsidRDefault="00FB5C94" w:rsidP="00FB5C94">
      <w:pPr>
        <w:pStyle w:val="SingleTxtG"/>
        <w:tabs>
          <w:tab w:val="clear" w:pos="1701"/>
        </w:tabs>
        <w:ind w:left="2268" w:hanging="1134"/>
      </w:pPr>
      <w:r>
        <w:t>5.2.1.9</w:t>
      </w:r>
      <w:r w:rsidRPr="004E1EC6">
        <w:tab/>
      </w:r>
      <w:r w:rsidRPr="00B07452">
        <w:rPr>
          <w:rFonts w:asciiTheme="majorBidi" w:hAnsiTheme="majorBidi" w:cstheme="majorBidi"/>
        </w:rPr>
        <w:t>Add</w:t>
      </w:r>
      <w:r>
        <w:t xml:space="preserve"> a new 5.2.1.9.3 to read as follows:</w:t>
      </w:r>
    </w:p>
    <w:p w14:paraId="4E5E5195" w14:textId="77777777" w:rsidR="00FB5C94" w:rsidRPr="004E1EC6" w:rsidRDefault="00FB5C94" w:rsidP="00FB5C94">
      <w:pPr>
        <w:pStyle w:val="SingleTxtG"/>
      </w:pPr>
      <w:r>
        <w:t>“</w:t>
      </w:r>
      <w:r w:rsidRPr="00035BAE">
        <w:t>5.2.1.9.3</w:t>
      </w:r>
      <w:r w:rsidRPr="00035BAE">
        <w:tab/>
        <w:t xml:space="preserve">When both the battery mark and labels </w:t>
      </w:r>
      <w:r>
        <w:t xml:space="preserve">in accordance with 5.2.2.2 </w:t>
      </w:r>
      <w:r w:rsidRPr="00035BAE">
        <w:t xml:space="preserve">other than </w:t>
      </w:r>
      <w:r w:rsidRPr="00B07452">
        <w:rPr>
          <w:rFonts w:asciiTheme="majorBidi" w:hAnsiTheme="majorBidi" w:cstheme="majorBidi"/>
        </w:rPr>
        <w:t>model</w:t>
      </w:r>
      <w:r>
        <w:t xml:space="preserve"> No. </w:t>
      </w:r>
      <w:r w:rsidRPr="00035BAE">
        <w:t>9A are required, the battery mark shall be located on the same surface as the labels if the package dimensions are adequate.</w:t>
      </w:r>
      <w:r>
        <w:t>”</w:t>
      </w:r>
    </w:p>
    <w:p w14:paraId="136CA6E2"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4A4AF934" w14:textId="77777777" w:rsidR="00FB5C94" w:rsidRPr="004E1EC6" w:rsidRDefault="00FB5C94" w:rsidP="00FB5C94">
      <w:pPr>
        <w:pStyle w:val="SingleTxtG"/>
        <w:ind w:left="2268" w:hanging="1134"/>
        <w:rPr>
          <w:rFonts w:asciiTheme="majorBidi" w:hAnsiTheme="majorBidi" w:cstheme="majorBidi"/>
        </w:rPr>
      </w:pPr>
      <w:r w:rsidRPr="004E1EC6">
        <w:rPr>
          <w:rFonts w:asciiTheme="majorBidi" w:hAnsiTheme="majorBidi" w:cstheme="majorBidi"/>
        </w:rPr>
        <w:t>5.2.2.1.13.1</w:t>
      </w:r>
      <w:r w:rsidRPr="004E1EC6">
        <w:rPr>
          <w:rFonts w:asciiTheme="majorBidi" w:hAnsiTheme="majorBidi" w:cstheme="majorBidi"/>
        </w:rPr>
        <w:tab/>
        <w:t>In the second sentence, replace “lithium or sodium ion batteries” by “lithium batteries or sodium ion batteries” and replace “lithium or sodium ion battery mark” by “battery mark”. In the third sentence, replace “lithium or sodium ion batteries” by “lithium batteries or sodium ion batteries”.</w:t>
      </w:r>
    </w:p>
    <w:p w14:paraId="39471635"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772BD2AE" w14:textId="77777777" w:rsidR="00FB5C94" w:rsidRPr="00FF3E52" w:rsidRDefault="00FB5C94" w:rsidP="00FB5C94">
      <w:pPr>
        <w:pStyle w:val="H1G"/>
      </w:pPr>
      <w:r>
        <w:tab/>
      </w:r>
      <w:r>
        <w:tab/>
        <w:t>Chapter 5.5</w:t>
      </w:r>
    </w:p>
    <w:p w14:paraId="673E5ED6" w14:textId="77777777" w:rsidR="00FB5C94" w:rsidRDefault="00FB5C94" w:rsidP="00FB5C94">
      <w:pPr>
        <w:spacing w:after="120"/>
        <w:ind w:left="2268" w:right="1134" w:hanging="1134"/>
        <w:jc w:val="both"/>
      </w:pPr>
      <w:r>
        <w:t>5.5.4</w:t>
      </w:r>
      <w:r>
        <w:tab/>
        <w:t>In the heading, replace “</w:t>
      </w:r>
      <w:r w:rsidRPr="00262EE0">
        <w:rPr>
          <w:b/>
          <w:bCs/>
        </w:rPr>
        <w:t>Dangerous goods in equipment in use</w:t>
      </w:r>
      <w:r>
        <w:t>” by “</w:t>
      </w:r>
      <w:r w:rsidRPr="00262EE0">
        <w:rPr>
          <w:b/>
          <w:bCs/>
        </w:rPr>
        <w:t>Devices containing dangerous goods, which are in use</w:t>
      </w:r>
      <w:r>
        <w:t>”.</w:t>
      </w:r>
    </w:p>
    <w:p w14:paraId="5EC91ADF"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6418C2C3" w14:textId="77777777" w:rsidR="00FB5C94" w:rsidRDefault="00FB5C94" w:rsidP="00FB5C94">
      <w:pPr>
        <w:spacing w:after="120"/>
        <w:ind w:left="2268" w:right="1134" w:hanging="1134"/>
        <w:jc w:val="both"/>
      </w:pPr>
      <w:r>
        <w:t>5.5.4.1</w:t>
      </w:r>
      <w:r>
        <w:tab/>
        <w:t>In the first sentence, at the beginning, replace “</w:t>
      </w:r>
      <w:r w:rsidRPr="00CC0B33">
        <w:t>Dangerous goods (e.g. lithium batteries, fuel cell cartridges) contained in equipment</w:t>
      </w:r>
      <w:r>
        <w:t>” by “</w:t>
      </w:r>
      <w:r w:rsidRPr="00446F29">
        <w:t>Devices in use or intended for use during transport containing dangerous goods,</w:t>
      </w:r>
      <w:r>
        <w:t>”, after “data loggers”, insert “, sensors” and replace “</w:t>
      </w:r>
      <w:r w:rsidRPr="001C25E3">
        <w:t>containers or load compartments</w:t>
      </w:r>
      <w:r>
        <w:t>” by “</w:t>
      </w:r>
      <w:r w:rsidRPr="0049265C">
        <w:t>bulk containers, freight containers or other types of cargo transport units</w:t>
      </w:r>
      <w:r>
        <w:t>”.</w:t>
      </w:r>
    </w:p>
    <w:p w14:paraId="24F4A64E" w14:textId="77777777" w:rsidR="00FB5C94" w:rsidRDefault="00FB5C94" w:rsidP="00FB5C94">
      <w:pPr>
        <w:spacing w:after="120"/>
        <w:ind w:left="2268" w:right="1134" w:hanging="1134"/>
        <w:jc w:val="both"/>
      </w:pPr>
      <w:r>
        <w:tab/>
        <w:t>In (a), replace “equipment” by “device”.</w:t>
      </w:r>
    </w:p>
    <w:p w14:paraId="589CD4A7" w14:textId="77777777" w:rsidR="00FB5C94" w:rsidRDefault="00FB5C94" w:rsidP="00FB5C94">
      <w:pPr>
        <w:spacing w:after="120"/>
        <w:ind w:left="2268" w:right="1134" w:hanging="1134"/>
        <w:jc w:val="both"/>
      </w:pPr>
      <w:r>
        <w:lastRenderedPageBreak/>
        <w:tab/>
        <w:t>In (c), replace “equipment” by “device” and, at the end, add “</w:t>
      </w:r>
      <w:r w:rsidRPr="000B3EC4">
        <w:t>and shall be safe for use in the dangerous environments to which it may be exposed</w:t>
      </w:r>
      <w:r>
        <w:t>”.</w:t>
      </w:r>
    </w:p>
    <w:p w14:paraId="1396EE1A" w14:textId="1FDE8F91" w:rsidR="00FB5C94" w:rsidRPr="00843762" w:rsidRDefault="00FB5C94" w:rsidP="00FB5C94">
      <w:pPr>
        <w:pStyle w:val="SingleTxtG"/>
        <w:rPr>
          <w:i/>
          <w:iCs/>
        </w:rPr>
      </w:pPr>
      <w:r w:rsidRPr="00804977">
        <w:rPr>
          <w:i/>
          <w:iCs/>
        </w:rPr>
        <w:t xml:space="preserve">(Reference document: </w:t>
      </w:r>
      <w:r w:rsidDel="005E6B83">
        <w:rPr>
          <w:i/>
          <w:iCs/>
        </w:rPr>
        <w:t>ST/SG/AC.10/C.3/124, Annex I</w:t>
      </w:r>
      <w:r w:rsidRPr="00804977">
        <w:rPr>
          <w:i/>
          <w:iCs/>
        </w:rPr>
        <w:t>)</w:t>
      </w:r>
    </w:p>
    <w:p w14:paraId="20391059" w14:textId="77777777" w:rsidR="00FB5C94" w:rsidRDefault="00FB5C94" w:rsidP="00FB5C94">
      <w:pPr>
        <w:spacing w:after="120"/>
        <w:ind w:left="2268" w:right="1134" w:hanging="1134"/>
        <w:jc w:val="both"/>
      </w:pPr>
      <w:r>
        <w:t>5.5.4.2</w:t>
      </w:r>
      <w:r>
        <w:tab/>
      </w:r>
      <w:r w:rsidRPr="00467AEA">
        <w:rPr>
          <w:rFonts w:asciiTheme="majorBidi" w:hAnsiTheme="majorBidi" w:cstheme="majorBidi"/>
        </w:rPr>
        <w:t>Replace</w:t>
      </w:r>
      <w:r>
        <w:t xml:space="preserve"> “</w:t>
      </w:r>
      <w:r w:rsidRPr="002820D6">
        <w:rPr>
          <w:rFonts w:asciiTheme="majorBidi" w:hAnsiTheme="majorBidi" w:cstheme="majorBidi"/>
        </w:rPr>
        <w:t>equipment</w:t>
      </w:r>
      <w:r>
        <w:t>” by “a device”.</w:t>
      </w:r>
    </w:p>
    <w:p w14:paraId="4834E2F3"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2FF35C18" w14:textId="77777777" w:rsidR="00FB5C94" w:rsidRPr="00FF3E52" w:rsidRDefault="00FB5C94" w:rsidP="00FB5C94">
      <w:pPr>
        <w:pStyle w:val="H1G"/>
      </w:pPr>
      <w:r>
        <w:tab/>
      </w:r>
      <w:r>
        <w:tab/>
        <w:t>Chapter 6.1</w:t>
      </w:r>
    </w:p>
    <w:p w14:paraId="2620DA10" w14:textId="77777777" w:rsidR="00FB5C94" w:rsidRPr="004E1EC6" w:rsidRDefault="00FB5C94" w:rsidP="00FB5C94">
      <w:pPr>
        <w:pStyle w:val="SingleTxtG"/>
        <w:ind w:left="2268" w:hanging="1134"/>
        <w:rPr>
          <w:rFonts w:asciiTheme="majorBidi" w:hAnsiTheme="majorBidi" w:cstheme="majorBidi"/>
        </w:rPr>
      </w:pPr>
      <w:r>
        <w:rPr>
          <w:rFonts w:asciiTheme="majorBidi" w:hAnsiTheme="majorBidi" w:cstheme="majorBidi"/>
        </w:rPr>
        <w:t>6.1.4.12.1</w:t>
      </w:r>
      <w:r w:rsidRPr="004E1EC6">
        <w:rPr>
          <w:rFonts w:asciiTheme="majorBidi" w:hAnsiTheme="majorBidi" w:cstheme="majorBidi"/>
        </w:rPr>
        <w:tab/>
      </w:r>
      <w:r>
        <w:rPr>
          <w:rFonts w:asciiTheme="majorBidi" w:hAnsiTheme="majorBidi" w:cstheme="majorBidi"/>
        </w:rPr>
        <w:t xml:space="preserve">In the second sentence, replace </w:t>
      </w:r>
      <w:r w:rsidRPr="008A19EF">
        <w:rPr>
          <w:rFonts w:asciiTheme="majorBidi" w:hAnsiTheme="majorBidi" w:cstheme="majorBidi"/>
        </w:rPr>
        <w:t>“ISO 535:2014” by “ISO 535:2023”</w:t>
      </w:r>
      <w:r w:rsidRPr="004E1EC6">
        <w:rPr>
          <w:rFonts w:asciiTheme="majorBidi" w:hAnsiTheme="majorBidi" w:cstheme="majorBidi"/>
        </w:rPr>
        <w:t>.</w:t>
      </w:r>
    </w:p>
    <w:p w14:paraId="555A6D61"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09230CB7" w14:textId="77777777" w:rsidR="00FB5C94" w:rsidRPr="001C22A9" w:rsidRDefault="00FB5C94" w:rsidP="00FB5C94">
      <w:pPr>
        <w:pStyle w:val="SingleTxtG"/>
        <w:tabs>
          <w:tab w:val="clear" w:pos="1701"/>
          <w:tab w:val="clear" w:pos="2268"/>
          <w:tab w:val="clear" w:pos="2835"/>
        </w:tabs>
        <w:ind w:left="2268" w:hanging="1134"/>
      </w:pPr>
      <w:r w:rsidRPr="001C22A9">
        <w:t>6.1.5.1.3</w:t>
      </w:r>
      <w:r w:rsidRPr="001C22A9">
        <w:tab/>
        <w:t>Replace “Tests” by “Appropriate tests”.</w:t>
      </w:r>
    </w:p>
    <w:p w14:paraId="20AB803B"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6E63104D" w14:textId="77777777" w:rsidR="00FB5C94" w:rsidRPr="00FF3E52" w:rsidRDefault="00FB5C94" w:rsidP="00FB5C94">
      <w:pPr>
        <w:pStyle w:val="H1G"/>
      </w:pPr>
      <w:r>
        <w:tab/>
      </w:r>
      <w:r>
        <w:tab/>
        <w:t>Chapter 6.2</w:t>
      </w:r>
    </w:p>
    <w:p w14:paraId="69755501" w14:textId="77777777" w:rsidR="00FB5C94" w:rsidRPr="001F2D6C" w:rsidRDefault="00FB5C94" w:rsidP="00FB5C94">
      <w:pPr>
        <w:pStyle w:val="SingleTxtG"/>
        <w:ind w:left="2268" w:hanging="1134"/>
      </w:pPr>
      <w:r>
        <w:t>6.2.1.5.1</w:t>
      </w:r>
      <w:r>
        <w:tab/>
        <w:t>In (g), before “technical code”, add “recognized”.</w:t>
      </w:r>
    </w:p>
    <w:p w14:paraId="554AEB18"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3629C87E" w14:textId="77777777" w:rsidR="00FB5C94" w:rsidRPr="001F2D6C" w:rsidRDefault="00FB5C94" w:rsidP="00FB5C94">
      <w:pPr>
        <w:pStyle w:val="SingleTxtG"/>
        <w:ind w:left="2268" w:hanging="1134"/>
      </w:pPr>
      <w:r>
        <w:t>6.2.1.5.2</w:t>
      </w:r>
      <w:r>
        <w:tab/>
        <w:t>In (d), (e) and (f), before “technical code”, add “recognized”. In (p), before “code”, add “recognized</w:t>
      </w:r>
      <w:r w:rsidRPr="00D304C3">
        <w:t xml:space="preserve"> </w:t>
      </w:r>
      <w:r>
        <w:t>technical”.</w:t>
      </w:r>
    </w:p>
    <w:p w14:paraId="7BFD5C44"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41C99C62" w14:textId="77777777" w:rsidR="00FB5C94" w:rsidRPr="001C22A9" w:rsidRDefault="00FB5C94" w:rsidP="00FB5C94">
      <w:pPr>
        <w:pStyle w:val="SingleTxtG"/>
        <w:keepNext/>
        <w:ind w:left="2268" w:hanging="1134"/>
      </w:pPr>
      <w:r w:rsidRPr="001C22A9">
        <w:t>6.2.2.1.1</w:t>
      </w:r>
      <w:r w:rsidRPr="001C22A9">
        <w:tab/>
        <w:t>In the table, in the row for ISO 4706:2008, in column “Applicable for manufacture”, replace “Until further notice” by “Until 31 December 2030”. Add a new row beneath this row as follows:</w:t>
      </w: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1275"/>
      </w:tblGrid>
      <w:tr w:rsidR="00FB5C94" w:rsidRPr="001C22A9" w14:paraId="16AE9C57" w14:textId="77777777" w:rsidTr="00C11390">
        <w:tc>
          <w:tcPr>
            <w:tcW w:w="1838" w:type="dxa"/>
            <w:shd w:val="clear" w:color="auto" w:fill="auto"/>
          </w:tcPr>
          <w:p w14:paraId="6E8122DB" w14:textId="77777777" w:rsidR="00FB5C94" w:rsidRPr="001C22A9" w:rsidRDefault="00FB5C94" w:rsidP="00C11390">
            <w:pPr>
              <w:spacing w:before="120" w:after="120"/>
            </w:pPr>
            <w:r w:rsidRPr="001C22A9">
              <w:t>ISO 4706:2023</w:t>
            </w:r>
          </w:p>
        </w:tc>
        <w:tc>
          <w:tcPr>
            <w:tcW w:w="5387" w:type="dxa"/>
            <w:shd w:val="clear" w:color="auto" w:fill="auto"/>
          </w:tcPr>
          <w:p w14:paraId="6B2321CB" w14:textId="77777777" w:rsidR="00FB5C94" w:rsidRPr="001C22A9" w:rsidRDefault="00FB5C94" w:rsidP="00C11390">
            <w:pPr>
              <w:spacing w:before="120" w:after="120"/>
              <w:jc w:val="both"/>
            </w:pPr>
            <w:r w:rsidRPr="001C22A9">
              <w:rPr>
                <w:iCs/>
                <w:color w:val="000000"/>
              </w:rPr>
              <w:t>Gas cylinders – Refillable welded steel cylinders – Test pressure 60 bar and below</w:t>
            </w:r>
          </w:p>
        </w:tc>
        <w:tc>
          <w:tcPr>
            <w:tcW w:w="1275" w:type="dxa"/>
            <w:shd w:val="clear" w:color="auto" w:fill="auto"/>
          </w:tcPr>
          <w:p w14:paraId="3DD45ADD" w14:textId="77777777" w:rsidR="00FB5C94" w:rsidRPr="001C22A9" w:rsidRDefault="00FB5C94" w:rsidP="00C11390">
            <w:pPr>
              <w:spacing w:before="120" w:after="120"/>
            </w:pPr>
            <w:r w:rsidRPr="001C22A9">
              <w:t>Until further notice</w:t>
            </w:r>
          </w:p>
        </w:tc>
      </w:tr>
    </w:tbl>
    <w:p w14:paraId="43B07718"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63D5A41D" w14:textId="77777777" w:rsidR="00FB5C94" w:rsidRPr="00163701" w:rsidRDefault="00FB5C94" w:rsidP="00FB5C94">
      <w:pPr>
        <w:pStyle w:val="SingleTxtG"/>
        <w:keepNext/>
        <w:ind w:left="2268" w:hanging="1134"/>
      </w:pPr>
      <w:r>
        <w:t>6.2.2.1.2</w:t>
      </w:r>
      <w:r>
        <w:tab/>
      </w:r>
      <w:r w:rsidRPr="001C5029">
        <w:t>In the table</w:t>
      </w:r>
      <w:r>
        <w:t>, i</w:t>
      </w:r>
      <w:r w:rsidRPr="001C5029">
        <w:t xml:space="preserve">n the row for ISO </w:t>
      </w:r>
      <w:r>
        <w:t>11515:2013 + Amd 1:2018, in column “</w:t>
      </w:r>
      <w:r w:rsidRPr="00494525">
        <w:t>Applicable for manufacture</w:t>
      </w:r>
      <w:r>
        <w:t>”</w:t>
      </w:r>
      <w:r w:rsidRPr="001C5029">
        <w:t>, replace “Until further notice” by “Until 31 December 20</w:t>
      </w:r>
      <w:r>
        <w:t>30</w:t>
      </w:r>
      <w:r w:rsidRPr="001C5029">
        <w:t>”. Add a new row beneath this row as follows:</w:t>
      </w: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1275"/>
      </w:tblGrid>
      <w:tr w:rsidR="00FB5C94" w:rsidRPr="00BB2CEF" w14:paraId="38D1891A" w14:textId="77777777" w:rsidTr="00C11390">
        <w:tc>
          <w:tcPr>
            <w:tcW w:w="1838" w:type="dxa"/>
            <w:shd w:val="clear" w:color="auto" w:fill="auto"/>
          </w:tcPr>
          <w:p w14:paraId="1605E8EB" w14:textId="77777777" w:rsidR="00FB5C94" w:rsidRPr="00BB2CEF" w:rsidRDefault="00FB5C94" w:rsidP="00C11390">
            <w:pPr>
              <w:spacing w:before="120" w:after="120"/>
            </w:pPr>
            <w:r w:rsidRPr="00BB2CEF">
              <w:t>ISO </w:t>
            </w:r>
            <w:r w:rsidRPr="00D87D9E">
              <w:t>11515:2022</w:t>
            </w:r>
          </w:p>
        </w:tc>
        <w:tc>
          <w:tcPr>
            <w:tcW w:w="5387" w:type="dxa"/>
            <w:shd w:val="clear" w:color="auto" w:fill="auto"/>
          </w:tcPr>
          <w:p w14:paraId="7BC546ED" w14:textId="77777777" w:rsidR="00FB5C94" w:rsidRPr="00BB2CEF" w:rsidRDefault="00FB5C94" w:rsidP="00C11390">
            <w:pPr>
              <w:spacing w:before="120" w:after="120"/>
              <w:jc w:val="both"/>
            </w:pPr>
            <w:r w:rsidRPr="001D2D3A">
              <w:rPr>
                <w:iCs/>
                <w:color w:val="000000"/>
              </w:rPr>
              <w:t>Gas cylinders – Refillable composite reinforced tubes of water capacity between 450 l and 3000 l – Design, construction and testing</w:t>
            </w:r>
          </w:p>
        </w:tc>
        <w:tc>
          <w:tcPr>
            <w:tcW w:w="1275" w:type="dxa"/>
            <w:shd w:val="clear" w:color="auto" w:fill="auto"/>
          </w:tcPr>
          <w:p w14:paraId="5A3EDDD8" w14:textId="77777777" w:rsidR="00FB5C94" w:rsidRPr="00BB2CEF" w:rsidRDefault="00FB5C94" w:rsidP="00C11390">
            <w:pPr>
              <w:spacing w:before="120" w:after="120"/>
            </w:pPr>
            <w:r w:rsidRPr="00BB2CEF">
              <w:t>Until further notice</w:t>
            </w:r>
          </w:p>
        </w:tc>
      </w:tr>
    </w:tbl>
    <w:p w14:paraId="598577EC" w14:textId="77777777" w:rsidR="00FB5C94" w:rsidRPr="00843762" w:rsidRDefault="00FB5C94" w:rsidP="00FB5C94">
      <w:pPr>
        <w:pStyle w:val="SingleTxtG"/>
        <w:spacing w:before="120"/>
        <w:rPr>
          <w:i/>
          <w:iCs/>
        </w:rPr>
      </w:pPr>
      <w:r w:rsidRPr="00804977">
        <w:rPr>
          <w:i/>
          <w:iCs/>
        </w:rPr>
        <w:t xml:space="preserve">(Reference document: </w:t>
      </w:r>
      <w:r>
        <w:rPr>
          <w:i/>
          <w:iCs/>
        </w:rPr>
        <w:t>ST/SG/AC.10/C.3/126, Annex I</w:t>
      </w:r>
      <w:r w:rsidRPr="00804977">
        <w:rPr>
          <w:i/>
          <w:iCs/>
        </w:rPr>
        <w:t>)</w:t>
      </w:r>
    </w:p>
    <w:p w14:paraId="70566B87" w14:textId="77777777" w:rsidR="00FB5C94" w:rsidRPr="001C22A9" w:rsidRDefault="00FB5C94" w:rsidP="00FB5C94">
      <w:pPr>
        <w:pStyle w:val="SingleTxtG"/>
        <w:keepNext/>
        <w:ind w:left="2268" w:hanging="1134"/>
      </w:pPr>
      <w:r w:rsidRPr="001C22A9">
        <w:t>6.2.2.1.3</w:t>
      </w:r>
      <w:r w:rsidRPr="001C22A9">
        <w:tab/>
        <w:t>In the first table, in the row for ISO 4706:2008, in column “Applicable for manufacture”, replace “Until further notice” by “Until 31 December 2030”. Add a new row beneath this row as follows:</w:t>
      </w: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1275"/>
      </w:tblGrid>
      <w:tr w:rsidR="00FB5C94" w:rsidRPr="001C22A9" w14:paraId="13D1E907" w14:textId="77777777" w:rsidTr="00C11390">
        <w:tc>
          <w:tcPr>
            <w:tcW w:w="1838" w:type="dxa"/>
            <w:shd w:val="clear" w:color="auto" w:fill="auto"/>
          </w:tcPr>
          <w:p w14:paraId="3E680F3B" w14:textId="77777777" w:rsidR="00FB5C94" w:rsidRPr="001C22A9" w:rsidRDefault="00FB5C94" w:rsidP="00C11390">
            <w:pPr>
              <w:spacing w:before="120" w:after="120"/>
            </w:pPr>
            <w:r w:rsidRPr="001C22A9">
              <w:t>ISO 4706:2023</w:t>
            </w:r>
          </w:p>
        </w:tc>
        <w:tc>
          <w:tcPr>
            <w:tcW w:w="5387" w:type="dxa"/>
            <w:shd w:val="clear" w:color="auto" w:fill="auto"/>
          </w:tcPr>
          <w:p w14:paraId="391D2792" w14:textId="77777777" w:rsidR="00FB5C94" w:rsidRPr="001C22A9" w:rsidRDefault="00FB5C94" w:rsidP="00C11390">
            <w:pPr>
              <w:spacing w:before="120" w:after="120"/>
              <w:jc w:val="both"/>
            </w:pPr>
            <w:r w:rsidRPr="001C22A9">
              <w:rPr>
                <w:iCs/>
                <w:color w:val="000000"/>
              </w:rPr>
              <w:t>Gas cylinders – Refillable welded steel cylinders – Test pressure 60 bar and below</w:t>
            </w:r>
          </w:p>
        </w:tc>
        <w:tc>
          <w:tcPr>
            <w:tcW w:w="1275" w:type="dxa"/>
            <w:shd w:val="clear" w:color="auto" w:fill="auto"/>
          </w:tcPr>
          <w:p w14:paraId="2E83DD6A" w14:textId="77777777" w:rsidR="00FB5C94" w:rsidRPr="001C22A9" w:rsidRDefault="00FB5C94" w:rsidP="00C11390">
            <w:pPr>
              <w:spacing w:before="120" w:after="120"/>
            </w:pPr>
            <w:r w:rsidRPr="001C22A9">
              <w:t>Until further notice</w:t>
            </w:r>
          </w:p>
        </w:tc>
      </w:tr>
    </w:tbl>
    <w:p w14:paraId="76E569E3"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5A1C1A15" w14:textId="77777777" w:rsidR="00FB5C94" w:rsidRPr="001C22A9" w:rsidRDefault="00FB5C94" w:rsidP="00FB5C94">
      <w:pPr>
        <w:pStyle w:val="SingleTxtG"/>
        <w:keepNext/>
        <w:ind w:left="2268" w:hanging="1134"/>
      </w:pPr>
      <w:r w:rsidRPr="001C22A9">
        <w:lastRenderedPageBreak/>
        <w:t>6.2.2.1.8</w:t>
      </w:r>
      <w:r w:rsidRPr="001C22A9">
        <w:tab/>
        <w:t>In the table, in the row for ISO 4706:2008, in column “Applicable for manufacture”, replace “Until further notice” by “Until 31 December 2030”. Add a new row beneath this row as follows:</w:t>
      </w: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1275"/>
      </w:tblGrid>
      <w:tr w:rsidR="00FB5C94" w:rsidRPr="001C22A9" w14:paraId="39938AC2" w14:textId="77777777" w:rsidTr="00C11390">
        <w:tc>
          <w:tcPr>
            <w:tcW w:w="1838" w:type="dxa"/>
            <w:shd w:val="clear" w:color="auto" w:fill="auto"/>
          </w:tcPr>
          <w:p w14:paraId="032171C6" w14:textId="77777777" w:rsidR="00FB5C94" w:rsidRPr="001C22A9" w:rsidRDefault="00FB5C94" w:rsidP="00C11390">
            <w:pPr>
              <w:spacing w:before="120" w:after="120"/>
            </w:pPr>
            <w:r w:rsidRPr="001C22A9">
              <w:t>ISO 4706:2023</w:t>
            </w:r>
          </w:p>
        </w:tc>
        <w:tc>
          <w:tcPr>
            <w:tcW w:w="5387" w:type="dxa"/>
            <w:shd w:val="clear" w:color="auto" w:fill="auto"/>
          </w:tcPr>
          <w:p w14:paraId="351659C0" w14:textId="77777777" w:rsidR="00FB5C94" w:rsidRPr="001C22A9" w:rsidRDefault="00FB5C94" w:rsidP="00C11390">
            <w:pPr>
              <w:spacing w:before="120" w:after="120"/>
              <w:jc w:val="both"/>
            </w:pPr>
            <w:r w:rsidRPr="001C22A9">
              <w:rPr>
                <w:iCs/>
                <w:color w:val="000000"/>
              </w:rPr>
              <w:t>Gas cylinders – Refillable welded steel cylinders – Test pressure 60 bar and below</w:t>
            </w:r>
          </w:p>
        </w:tc>
        <w:tc>
          <w:tcPr>
            <w:tcW w:w="1275" w:type="dxa"/>
            <w:shd w:val="clear" w:color="auto" w:fill="auto"/>
          </w:tcPr>
          <w:p w14:paraId="357DE3A9" w14:textId="77777777" w:rsidR="00FB5C94" w:rsidRPr="001C22A9" w:rsidRDefault="00FB5C94" w:rsidP="00C11390">
            <w:pPr>
              <w:spacing w:before="120" w:after="120"/>
            </w:pPr>
            <w:r w:rsidRPr="001C22A9">
              <w:t>Until further notice</w:t>
            </w:r>
          </w:p>
        </w:tc>
      </w:tr>
    </w:tbl>
    <w:p w14:paraId="6C3F0F70"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4A402928" w14:textId="77777777" w:rsidR="00FB5C94" w:rsidRDefault="00FB5C94" w:rsidP="00FB5C94">
      <w:pPr>
        <w:pStyle w:val="SingleTxtG"/>
        <w:tabs>
          <w:tab w:val="clear" w:pos="1701"/>
        </w:tabs>
        <w:ind w:left="2268" w:hanging="1134"/>
      </w:pPr>
      <w:r>
        <w:t>6.2.2.2</w:t>
      </w:r>
      <w:r>
        <w:tab/>
        <w:t>In the table,</w:t>
      </w:r>
      <w:r w:rsidRPr="005D1873">
        <w:t xml:space="preserve"> </w:t>
      </w:r>
      <w:r>
        <w:t>i</w:t>
      </w:r>
      <w:r w:rsidRPr="001C5029">
        <w:t>n the row for</w:t>
      </w:r>
      <w:r w:rsidRPr="004726CB">
        <w:t xml:space="preserve"> ISO 11114-1:2020</w:t>
      </w:r>
      <w:r>
        <w:t>, in the first column, after “</w:t>
      </w:r>
      <w:r w:rsidRPr="004726CB">
        <w:t>ISO 11114-1:2020</w:t>
      </w:r>
      <w:r>
        <w:t>”, add</w:t>
      </w:r>
      <w:r w:rsidRPr="004726CB">
        <w:t xml:space="preserve"> </w:t>
      </w:r>
      <w:r>
        <w:t xml:space="preserve">“+ </w:t>
      </w:r>
      <w:r w:rsidRPr="004726CB">
        <w:t>Amd 1:2023</w:t>
      </w:r>
      <w:r>
        <w:t>”.</w:t>
      </w:r>
    </w:p>
    <w:p w14:paraId="1A77CBE9"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00D65E19" w14:textId="77777777" w:rsidR="00FB5C94" w:rsidRPr="001C22A9" w:rsidRDefault="00FB5C94" w:rsidP="00FB5C94">
      <w:pPr>
        <w:pStyle w:val="SingleTxtG"/>
        <w:tabs>
          <w:tab w:val="clear" w:pos="1701"/>
          <w:tab w:val="clear" w:pos="2268"/>
          <w:tab w:val="clear" w:pos="2835"/>
        </w:tabs>
        <w:ind w:left="2268" w:hanging="1134"/>
      </w:pPr>
      <w:r w:rsidRPr="001C22A9">
        <w:t>6.2.2.3</w:t>
      </w:r>
      <w:r w:rsidRPr="001C22A9">
        <w:tab/>
      </w:r>
      <w:r>
        <w:t>[</w:t>
      </w:r>
      <w:r w:rsidRPr="001C22A9">
        <w:t>In the first table, in the row for ISO 10297:2014 + Amd 1:2017, in column “Applicable for manufacture”, replace “Until further notice” by “Until 31 December 2028”. Add a new row beneath this row as follows:</w:t>
      </w: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1275"/>
      </w:tblGrid>
      <w:tr w:rsidR="00FB5C94" w:rsidRPr="001C22A9" w14:paraId="02108A2C" w14:textId="77777777" w:rsidTr="00C11390">
        <w:tc>
          <w:tcPr>
            <w:tcW w:w="1838" w:type="dxa"/>
            <w:shd w:val="clear" w:color="auto" w:fill="auto"/>
          </w:tcPr>
          <w:p w14:paraId="3AE49E41" w14:textId="77777777" w:rsidR="00FB5C94" w:rsidRPr="001C22A9" w:rsidRDefault="00FB5C94" w:rsidP="00C11390">
            <w:pPr>
              <w:spacing w:before="120" w:after="120"/>
            </w:pPr>
            <w:r w:rsidRPr="001C22A9">
              <w:t>ISO 10297:2024</w:t>
            </w:r>
          </w:p>
        </w:tc>
        <w:tc>
          <w:tcPr>
            <w:tcW w:w="5387" w:type="dxa"/>
            <w:shd w:val="clear" w:color="auto" w:fill="auto"/>
          </w:tcPr>
          <w:p w14:paraId="6F97EDCA" w14:textId="77777777" w:rsidR="00FB5C94" w:rsidRPr="001C22A9" w:rsidRDefault="00FB5C94" w:rsidP="00C11390">
            <w:pPr>
              <w:spacing w:before="120" w:after="120"/>
            </w:pPr>
            <w:r w:rsidRPr="001C22A9">
              <w:rPr>
                <w:iCs/>
                <w:color w:val="000000"/>
              </w:rPr>
              <w:t>Gas cylinders - Cylinder valves - Specification and type testing</w:t>
            </w:r>
          </w:p>
        </w:tc>
        <w:tc>
          <w:tcPr>
            <w:tcW w:w="1275" w:type="dxa"/>
            <w:shd w:val="clear" w:color="auto" w:fill="auto"/>
          </w:tcPr>
          <w:p w14:paraId="328A634F" w14:textId="77777777" w:rsidR="00FB5C94" w:rsidRPr="001C22A9" w:rsidRDefault="00FB5C94" w:rsidP="00C11390">
            <w:pPr>
              <w:spacing w:before="120" w:after="120"/>
            </w:pPr>
            <w:r w:rsidRPr="001C22A9">
              <w:t>Until further notice</w:t>
            </w:r>
          </w:p>
        </w:tc>
      </w:tr>
    </w:tbl>
    <w:p w14:paraId="4F915D80" w14:textId="77777777" w:rsidR="00FB5C94" w:rsidRPr="001C22A9" w:rsidRDefault="00FB5C94" w:rsidP="00FB5C94">
      <w:pPr>
        <w:pStyle w:val="SingleTxtG"/>
      </w:pPr>
      <w:r w:rsidRPr="001C22A9">
        <w:t>]</w:t>
      </w:r>
    </w:p>
    <w:p w14:paraId="16BCD517" w14:textId="77777777" w:rsidR="00FB5C94" w:rsidRPr="00163701" w:rsidRDefault="00FB5C94" w:rsidP="00FB5C94">
      <w:pPr>
        <w:pStyle w:val="SingleTxtG"/>
        <w:keepNext/>
        <w:tabs>
          <w:tab w:val="clear" w:pos="1701"/>
        </w:tabs>
        <w:ind w:left="2268" w:hanging="1134"/>
      </w:pPr>
      <w:r>
        <w:tab/>
      </w:r>
      <w:r w:rsidRPr="001C5029">
        <w:t xml:space="preserve">In the </w:t>
      </w:r>
      <w:r>
        <w:t>first</w:t>
      </w:r>
      <w:r w:rsidRPr="001C5029">
        <w:t xml:space="preserve"> table</w:t>
      </w:r>
      <w:r>
        <w:t>, i</w:t>
      </w:r>
      <w:r w:rsidRPr="001C5029">
        <w:t xml:space="preserve">n the row for ISO </w:t>
      </w:r>
      <w:r>
        <w:t>14246:2014 + Amd 1:2017, in column “</w:t>
      </w:r>
      <w:r w:rsidRPr="00494525">
        <w:t>Applicable for manufacture</w:t>
      </w:r>
      <w:r>
        <w:t>”</w:t>
      </w:r>
      <w:r w:rsidRPr="001C5029">
        <w:t>, replace “Until further notice” by “Until 31 December 20</w:t>
      </w:r>
      <w:r>
        <w:t>30</w:t>
      </w:r>
      <w:r w:rsidRPr="001C5029">
        <w:t>”. Add a new row beneath this row as follows:</w:t>
      </w: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1275"/>
      </w:tblGrid>
      <w:tr w:rsidR="00FB5C94" w:rsidRPr="00BB2CEF" w14:paraId="6703766C" w14:textId="77777777" w:rsidTr="00C11390">
        <w:tc>
          <w:tcPr>
            <w:tcW w:w="1838" w:type="dxa"/>
            <w:shd w:val="clear" w:color="auto" w:fill="auto"/>
          </w:tcPr>
          <w:p w14:paraId="654798D0" w14:textId="77777777" w:rsidR="00FB5C94" w:rsidRPr="00BB2CEF" w:rsidRDefault="00FB5C94" w:rsidP="00C11390">
            <w:pPr>
              <w:spacing w:before="120" w:after="120"/>
            </w:pPr>
            <w:r w:rsidRPr="00BB2CEF">
              <w:t>ISO </w:t>
            </w:r>
            <w:r w:rsidRPr="00D87D9E">
              <w:t>14246:2022</w:t>
            </w:r>
          </w:p>
        </w:tc>
        <w:tc>
          <w:tcPr>
            <w:tcW w:w="5387" w:type="dxa"/>
            <w:shd w:val="clear" w:color="auto" w:fill="auto"/>
          </w:tcPr>
          <w:p w14:paraId="06BE4C04" w14:textId="77777777" w:rsidR="00FB5C94" w:rsidRPr="00BB2CEF" w:rsidRDefault="00FB5C94" w:rsidP="00C11390">
            <w:pPr>
              <w:spacing w:before="120" w:after="120"/>
              <w:jc w:val="both"/>
            </w:pPr>
            <w:r w:rsidRPr="00D87D9E">
              <w:rPr>
                <w:iCs/>
                <w:color w:val="000000"/>
              </w:rPr>
              <w:t>Gas cylinders — Cylinder valves — Manufacturing tests and examinations</w:t>
            </w:r>
          </w:p>
        </w:tc>
        <w:tc>
          <w:tcPr>
            <w:tcW w:w="1275" w:type="dxa"/>
            <w:shd w:val="clear" w:color="auto" w:fill="auto"/>
          </w:tcPr>
          <w:p w14:paraId="4D76F0DF" w14:textId="77777777" w:rsidR="00FB5C94" w:rsidRPr="00BB2CEF" w:rsidRDefault="00FB5C94" w:rsidP="00C11390">
            <w:pPr>
              <w:spacing w:before="120" w:after="120"/>
            </w:pPr>
            <w:r w:rsidRPr="00BB2CEF">
              <w:t>Until further notice</w:t>
            </w:r>
          </w:p>
        </w:tc>
      </w:tr>
    </w:tbl>
    <w:p w14:paraId="0AE2FE28" w14:textId="77777777" w:rsidR="00FB5C94" w:rsidRPr="00843762" w:rsidRDefault="00FB5C94" w:rsidP="00FB5C94">
      <w:pPr>
        <w:pStyle w:val="SingleTxtG"/>
        <w:spacing w:before="120"/>
        <w:rPr>
          <w:i/>
          <w:iCs/>
        </w:rPr>
      </w:pPr>
      <w:r w:rsidRPr="00804977">
        <w:rPr>
          <w:i/>
          <w:iCs/>
        </w:rPr>
        <w:t xml:space="preserve">(Reference document: </w:t>
      </w:r>
      <w:r>
        <w:rPr>
          <w:i/>
          <w:iCs/>
        </w:rPr>
        <w:t>ST/SG/AC.10/C.3/126, Annex I and ST/SG/AC.10/C.3/128, Annex II</w:t>
      </w:r>
      <w:r w:rsidRPr="00804977">
        <w:rPr>
          <w:i/>
          <w:iCs/>
        </w:rPr>
        <w:t>)</w:t>
      </w:r>
    </w:p>
    <w:p w14:paraId="413CEDBE" w14:textId="77777777" w:rsidR="00FB5C94" w:rsidRPr="001C22A9" w:rsidRDefault="00FB5C94" w:rsidP="00FB5C94">
      <w:pPr>
        <w:pStyle w:val="SingleTxtG"/>
        <w:tabs>
          <w:tab w:val="clear" w:pos="1701"/>
          <w:tab w:val="clear" w:pos="2268"/>
          <w:tab w:val="clear" w:pos="2835"/>
        </w:tabs>
        <w:ind w:left="2268" w:hanging="1134"/>
      </w:pPr>
      <w:r w:rsidRPr="001C22A9">
        <w:t>6.2.2.4</w:t>
      </w:r>
      <w:r w:rsidRPr="001C22A9">
        <w:tab/>
        <w:t>In the first table, in the row for ISO 11623:2015, in column “Applicable”, replace “Until further notice” by “Until 31 December 2028”. Add a new row beneath this row as follows:</w:t>
      </w: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1275"/>
      </w:tblGrid>
      <w:tr w:rsidR="00FB5C94" w:rsidRPr="001C22A9" w14:paraId="5D9138D2" w14:textId="77777777" w:rsidTr="00C11390">
        <w:tc>
          <w:tcPr>
            <w:tcW w:w="1838" w:type="dxa"/>
            <w:shd w:val="clear" w:color="auto" w:fill="auto"/>
          </w:tcPr>
          <w:p w14:paraId="5979681D" w14:textId="77777777" w:rsidR="00FB5C94" w:rsidRPr="001C22A9" w:rsidRDefault="00FB5C94" w:rsidP="00C11390">
            <w:pPr>
              <w:spacing w:before="120" w:after="120"/>
            </w:pPr>
            <w:r w:rsidRPr="001C22A9">
              <w:t>ISO 11623:2023</w:t>
            </w:r>
          </w:p>
        </w:tc>
        <w:tc>
          <w:tcPr>
            <w:tcW w:w="5387" w:type="dxa"/>
            <w:shd w:val="clear" w:color="auto" w:fill="auto"/>
          </w:tcPr>
          <w:p w14:paraId="219C156D" w14:textId="77777777" w:rsidR="00FB5C94" w:rsidRPr="001C22A9" w:rsidRDefault="00FB5C94" w:rsidP="00C11390">
            <w:pPr>
              <w:spacing w:before="120" w:after="120"/>
              <w:rPr>
                <w:iCs/>
                <w:color w:val="000000"/>
              </w:rPr>
            </w:pPr>
            <w:r w:rsidRPr="001C22A9">
              <w:rPr>
                <w:iCs/>
                <w:color w:val="000000"/>
              </w:rPr>
              <w:t>Gas cylinders – Composite cylinders and tubes – Periodic inspection and testing</w:t>
            </w:r>
          </w:p>
          <w:p w14:paraId="7BEEB7DB" w14:textId="77777777" w:rsidR="00FB5C94" w:rsidRPr="001C22A9" w:rsidRDefault="00FB5C94" w:rsidP="00C11390">
            <w:pPr>
              <w:spacing w:before="120" w:after="120"/>
              <w:jc w:val="both"/>
              <w:rPr>
                <w:i/>
              </w:rPr>
            </w:pPr>
            <w:r w:rsidRPr="001C22A9">
              <w:rPr>
                <w:b/>
                <w:bCs/>
                <w:i/>
                <w:color w:val="000000"/>
              </w:rPr>
              <w:t>NOTE:</w:t>
            </w:r>
            <w:r w:rsidRPr="001C22A9">
              <w:rPr>
                <w:i/>
                <w:color w:val="000000"/>
              </w:rPr>
              <w:t xml:space="preserve"> The pressure test shall not be replaced by a non-destructive examination (NDE) technique, though such techniques can be used for monitoring purposes.</w:t>
            </w:r>
          </w:p>
        </w:tc>
        <w:tc>
          <w:tcPr>
            <w:tcW w:w="1275" w:type="dxa"/>
            <w:shd w:val="clear" w:color="auto" w:fill="auto"/>
          </w:tcPr>
          <w:p w14:paraId="101054C8" w14:textId="77777777" w:rsidR="00FB5C94" w:rsidRPr="001C22A9" w:rsidRDefault="00FB5C94" w:rsidP="00C11390">
            <w:pPr>
              <w:spacing w:before="120" w:after="120"/>
            </w:pPr>
            <w:r w:rsidRPr="001C22A9">
              <w:t>Until further notice</w:t>
            </w:r>
          </w:p>
        </w:tc>
      </w:tr>
    </w:tbl>
    <w:p w14:paraId="273DCB06" w14:textId="77777777" w:rsidR="00FB5C94" w:rsidRPr="00163701" w:rsidRDefault="00FB5C94" w:rsidP="00FB5C94">
      <w:pPr>
        <w:pStyle w:val="SingleTxtG"/>
        <w:keepNext/>
        <w:tabs>
          <w:tab w:val="clear" w:pos="1701"/>
        </w:tabs>
        <w:ind w:left="2268" w:hanging="1134"/>
      </w:pPr>
      <w:r>
        <w:tab/>
      </w:r>
      <w:r w:rsidRPr="001C5029">
        <w:t xml:space="preserve">In the </w:t>
      </w:r>
      <w:r>
        <w:t xml:space="preserve">first </w:t>
      </w:r>
      <w:r w:rsidRPr="001C5029">
        <w:t>table</w:t>
      </w:r>
      <w:r>
        <w:t>, i</w:t>
      </w:r>
      <w:r w:rsidRPr="001C5029">
        <w:t xml:space="preserve">n the row for ISO </w:t>
      </w:r>
      <w:r w:rsidRPr="00046E0D">
        <w:t>22434</w:t>
      </w:r>
      <w:r>
        <w:t>:2006, in column “</w:t>
      </w:r>
      <w:r w:rsidRPr="00494525">
        <w:t>Applicable</w:t>
      </w:r>
      <w:r>
        <w:t>”</w:t>
      </w:r>
      <w:r w:rsidRPr="001C5029">
        <w:t xml:space="preserve">, replace “Until further notice” by “Until 31 December </w:t>
      </w:r>
      <w:r>
        <w:t>2028</w:t>
      </w:r>
      <w:r w:rsidRPr="001C5029">
        <w:t>”. Add a new row beneath this row as follows:</w:t>
      </w: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1275"/>
      </w:tblGrid>
      <w:tr w:rsidR="00FB5C94" w:rsidRPr="00BB2CEF" w14:paraId="252D6D7C" w14:textId="77777777" w:rsidTr="00C11390">
        <w:tc>
          <w:tcPr>
            <w:tcW w:w="1838" w:type="dxa"/>
            <w:shd w:val="clear" w:color="auto" w:fill="auto"/>
          </w:tcPr>
          <w:p w14:paraId="08A26CE4" w14:textId="77777777" w:rsidR="00FB5C94" w:rsidRPr="00BB2CEF" w:rsidRDefault="00FB5C94" w:rsidP="00C11390">
            <w:pPr>
              <w:spacing w:before="120" w:after="120"/>
            </w:pPr>
            <w:r w:rsidRPr="00BB2CEF">
              <w:t>ISO </w:t>
            </w:r>
            <w:r w:rsidRPr="00046E0D">
              <w:t>22434</w:t>
            </w:r>
            <w:r>
              <w:t>:2022</w:t>
            </w:r>
          </w:p>
        </w:tc>
        <w:tc>
          <w:tcPr>
            <w:tcW w:w="5387" w:type="dxa"/>
            <w:shd w:val="clear" w:color="auto" w:fill="auto"/>
          </w:tcPr>
          <w:p w14:paraId="5A3813C9" w14:textId="77777777" w:rsidR="00FB5C94" w:rsidRPr="00C03ED6" w:rsidRDefault="00FB5C94" w:rsidP="00C11390">
            <w:pPr>
              <w:spacing w:before="120" w:after="120"/>
              <w:rPr>
                <w:iCs/>
                <w:color w:val="000000"/>
              </w:rPr>
            </w:pPr>
            <w:r w:rsidRPr="00C03ED6">
              <w:rPr>
                <w:iCs/>
                <w:color w:val="000000"/>
              </w:rPr>
              <w:t>Gas cylinders - Inspection and maintenance of valves</w:t>
            </w:r>
          </w:p>
          <w:p w14:paraId="345BDF43" w14:textId="77777777" w:rsidR="00FB5C94" w:rsidRPr="00C03ED6" w:rsidRDefault="00FB5C94" w:rsidP="00C11390">
            <w:pPr>
              <w:spacing w:before="120" w:after="120"/>
              <w:jc w:val="both"/>
              <w:rPr>
                <w:i/>
              </w:rPr>
            </w:pPr>
            <w:r w:rsidRPr="00C03ED6">
              <w:rPr>
                <w:b/>
                <w:bCs/>
                <w:i/>
                <w:color w:val="000000"/>
              </w:rPr>
              <w:t>NOTE:</w:t>
            </w:r>
            <w:r w:rsidRPr="00C03ED6">
              <w:rPr>
                <w:i/>
                <w:color w:val="000000"/>
              </w:rPr>
              <w:t xml:space="preserve"> These requirements may be met at times other than at the periodic inspection and test of UN cylinders</w:t>
            </w:r>
          </w:p>
        </w:tc>
        <w:tc>
          <w:tcPr>
            <w:tcW w:w="1275" w:type="dxa"/>
            <w:shd w:val="clear" w:color="auto" w:fill="auto"/>
          </w:tcPr>
          <w:p w14:paraId="4390CDA1" w14:textId="77777777" w:rsidR="00FB5C94" w:rsidRPr="00BB2CEF" w:rsidRDefault="00FB5C94" w:rsidP="00C11390">
            <w:pPr>
              <w:spacing w:before="120" w:after="120"/>
            </w:pPr>
            <w:r w:rsidRPr="00BB2CEF">
              <w:t>Until further notice</w:t>
            </w:r>
          </w:p>
        </w:tc>
      </w:tr>
    </w:tbl>
    <w:p w14:paraId="5ACDF946" w14:textId="77777777" w:rsidR="00FB5C94" w:rsidRPr="00843762" w:rsidRDefault="00FB5C94" w:rsidP="00FB5C94">
      <w:pPr>
        <w:pStyle w:val="SingleTxtG"/>
        <w:spacing w:before="120"/>
        <w:rPr>
          <w:i/>
          <w:iCs/>
        </w:rPr>
      </w:pPr>
      <w:r w:rsidRPr="00804977">
        <w:rPr>
          <w:i/>
          <w:iCs/>
        </w:rPr>
        <w:t xml:space="preserve">(Reference document: </w:t>
      </w:r>
      <w:r>
        <w:rPr>
          <w:i/>
          <w:iCs/>
        </w:rPr>
        <w:t>ST/SG/AC.10/C.3/126, Annex I and ST/SG/AC.10/C.3/128, Annex II</w:t>
      </w:r>
      <w:r w:rsidRPr="00804977">
        <w:rPr>
          <w:i/>
          <w:iCs/>
        </w:rPr>
        <w:t>)</w:t>
      </w:r>
    </w:p>
    <w:p w14:paraId="2AE0DA5B" w14:textId="77777777" w:rsidR="00FB5C94" w:rsidRDefault="00FB5C94" w:rsidP="00FB5C94">
      <w:pPr>
        <w:pStyle w:val="SingleTxtG"/>
        <w:ind w:left="2268" w:hanging="1134"/>
      </w:pPr>
      <w:r>
        <w:t>6.2.2.7.4</w:t>
      </w:r>
      <w:r>
        <w:tab/>
        <w:t>In (p),</w:t>
      </w:r>
      <w:r w:rsidRPr="004726CB">
        <w:t xml:space="preserve"> </w:t>
      </w:r>
      <w:r>
        <w:t>after “</w:t>
      </w:r>
      <w:r w:rsidRPr="004726CB">
        <w:t>ISO 11114-1:2020</w:t>
      </w:r>
      <w:r>
        <w:t>”, add</w:t>
      </w:r>
      <w:r w:rsidRPr="004726CB">
        <w:t xml:space="preserve"> </w:t>
      </w:r>
      <w:r>
        <w:t xml:space="preserve">“+ </w:t>
      </w:r>
      <w:r w:rsidRPr="004726CB">
        <w:t>Amd 1:2023</w:t>
      </w:r>
      <w:r>
        <w:t>”.</w:t>
      </w:r>
    </w:p>
    <w:p w14:paraId="0F25AC6E"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3354A37F" w14:textId="77777777" w:rsidR="00FB5C94" w:rsidRDefault="00FB5C94" w:rsidP="00FB5C94">
      <w:pPr>
        <w:pStyle w:val="SingleTxtG"/>
        <w:ind w:left="2268" w:hanging="1134"/>
      </w:pPr>
      <w:r>
        <w:t>6.2.2.9.2</w:t>
      </w:r>
      <w:r>
        <w:tab/>
        <w:t>In (j),</w:t>
      </w:r>
      <w:r w:rsidRPr="004726CB">
        <w:t xml:space="preserve"> </w:t>
      </w:r>
      <w:r>
        <w:t>after “</w:t>
      </w:r>
      <w:r w:rsidRPr="004726CB">
        <w:t>ISO 11114-1:2020</w:t>
      </w:r>
      <w:r>
        <w:t>”, add</w:t>
      </w:r>
      <w:r w:rsidRPr="004726CB">
        <w:t xml:space="preserve"> </w:t>
      </w:r>
      <w:r>
        <w:t xml:space="preserve">“+ </w:t>
      </w:r>
      <w:r w:rsidRPr="004726CB">
        <w:t>Amd 1:2023</w:t>
      </w:r>
      <w:r>
        <w:t>”.</w:t>
      </w:r>
    </w:p>
    <w:p w14:paraId="51110711"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1548FF67" w14:textId="77777777" w:rsidR="00FB5C94" w:rsidRDefault="00FB5C94" w:rsidP="00FB5C94">
      <w:pPr>
        <w:pStyle w:val="SingleTxtG"/>
        <w:tabs>
          <w:tab w:val="clear" w:pos="1701"/>
        </w:tabs>
        <w:ind w:left="2268" w:hanging="1134"/>
      </w:pPr>
      <w:r>
        <w:t>6.2.3.5</w:t>
      </w:r>
      <w:r>
        <w:tab/>
        <w:t>In the second paragraph, before the last sentence, add the following:</w:t>
      </w:r>
    </w:p>
    <w:p w14:paraId="2C7ADF4C" w14:textId="77777777" w:rsidR="00FB5C94" w:rsidRDefault="00FB5C94" w:rsidP="00FB5C94">
      <w:pPr>
        <w:pStyle w:val="SingleTxtG"/>
        <w:ind w:left="2268" w:hanging="1134"/>
      </w:pPr>
      <w:r>
        <w:t>“This indication of authorized pressure receptacles shall contain the following information:</w:t>
      </w:r>
    </w:p>
    <w:p w14:paraId="00D52807" w14:textId="77777777" w:rsidR="00FB5C94" w:rsidRDefault="00FB5C94" w:rsidP="00FB5C94">
      <w:pPr>
        <w:pStyle w:val="SingleTxtG"/>
        <w:ind w:left="2835" w:hanging="567"/>
      </w:pPr>
      <w:r>
        <w:lastRenderedPageBreak/>
        <w:t>(a)</w:t>
      </w:r>
      <w:r>
        <w:tab/>
        <w:t>The test pressure to which the salvage pressure receptacle can be loaded at maximum temperature, which limits the storage of pressure receptacles filled with liquified gases.</w:t>
      </w:r>
    </w:p>
    <w:p w14:paraId="0C6D379D" w14:textId="77777777" w:rsidR="00FB5C94" w:rsidRDefault="00FB5C94" w:rsidP="00FB5C94">
      <w:pPr>
        <w:pStyle w:val="SingleTxtG"/>
        <w:ind w:left="2835" w:hanging="567"/>
      </w:pPr>
      <w:r>
        <w:t>(b)</w:t>
      </w:r>
      <w:r>
        <w:tab/>
        <w:t>The usable water capacity and the maximum pV-product authorized for stored pressure receptacles, which limits the storage of pressure receptacles filled with compressed gases. The value of this maximum pV-product is the lowest value of either of the following:</w:t>
      </w:r>
    </w:p>
    <w:p w14:paraId="54FB35D0" w14:textId="77777777" w:rsidR="00FB5C94" w:rsidRDefault="00FB5C94" w:rsidP="00FB5C94">
      <w:pPr>
        <w:pStyle w:val="SingleTxtG"/>
        <w:ind w:left="3402" w:hanging="567"/>
      </w:pPr>
      <w:r>
        <w:t>(i)</w:t>
      </w:r>
      <w:r>
        <w:tab/>
        <w:t>the general limit of the pV-product of 1.5 million bar litres; or</w:t>
      </w:r>
    </w:p>
    <w:p w14:paraId="444C3F3F" w14:textId="77777777" w:rsidR="00FB5C94" w:rsidRDefault="00FB5C94" w:rsidP="00FB5C94">
      <w:pPr>
        <w:pStyle w:val="SingleTxtG"/>
        <w:ind w:left="3402" w:hanging="567"/>
      </w:pPr>
      <w:r>
        <w:t>(ii)</w:t>
      </w:r>
      <w:r>
        <w:tab/>
        <w:t>the pV-product of the salvage pressure receptacle based on the test pressure to which it is allowed to be loaded at maximum temperature and its usable water capacity.”</w:t>
      </w:r>
    </w:p>
    <w:p w14:paraId="3C232B67" w14:textId="77777777" w:rsidR="00FB5C94" w:rsidRDefault="00FB5C94" w:rsidP="00FB5C94">
      <w:pPr>
        <w:pStyle w:val="SingleTxtG"/>
        <w:tabs>
          <w:tab w:val="clear" w:pos="1701"/>
        </w:tabs>
        <w:ind w:left="2268" w:hanging="1134"/>
      </w:pPr>
      <w:r>
        <w:tab/>
        <w:t>The last sentence of the second paragraph becomes a new paragraph. At the end of this sentence, add “</w:t>
      </w:r>
      <w:r w:rsidRPr="006220A3">
        <w:t>in the approval certificate</w:t>
      </w:r>
      <w:r>
        <w:t>”.</w:t>
      </w:r>
    </w:p>
    <w:p w14:paraId="2C44EE41" w14:textId="77777777" w:rsidR="00FB5C94" w:rsidRDefault="00FB5C94" w:rsidP="00FB5C94">
      <w:pPr>
        <w:pStyle w:val="SingleTxtG"/>
        <w:tabs>
          <w:tab w:val="clear" w:pos="1701"/>
        </w:tabs>
        <w:ind w:left="2268" w:hanging="1134"/>
      </w:pPr>
      <w:r>
        <w:tab/>
        <w:t>In the last paragraph, amend the last sentence to read as follows:</w:t>
      </w:r>
    </w:p>
    <w:p w14:paraId="6B74F34D" w14:textId="77777777" w:rsidR="00FB5C94" w:rsidRDefault="00FB5C94" w:rsidP="00FB5C94">
      <w:pPr>
        <w:pStyle w:val="SingleTxtG"/>
      </w:pPr>
      <w:r>
        <w:t>“The marking of the salvage pressure receptacle shall include the usable water capacity, the test pressure and the maximum pressure volume product. This mark shall start with the letters "PVP", followed by the pV-product and the units. The pV-product shall include a space in front of the last 3 digits of the value. The units "BAR" and "L" shall be separated by a dot. For harmonised readability and to avoid subsequent manipulation, the mark shall not contain more spaces. An example of the PVP mark is given below:</w:t>
      </w:r>
    </w:p>
    <w:p w14:paraId="00A6B9F4" w14:textId="77777777" w:rsidR="00FB5C94" w:rsidRDefault="00FB5C94" w:rsidP="00FB5C94">
      <w:pPr>
        <w:pStyle w:val="SingleTxtG"/>
      </w:pPr>
      <w:r>
        <w:tab/>
      </w:r>
      <w:r>
        <w:tab/>
      </w:r>
      <w:r>
        <w:tab/>
        <w:t>PVP1500 000BAR.L”</w:t>
      </w:r>
    </w:p>
    <w:p w14:paraId="17386530" w14:textId="77777777" w:rsidR="00FB5C94" w:rsidRDefault="00FB5C94" w:rsidP="00FB5C94">
      <w:pPr>
        <w:pStyle w:val="SingleTxtG"/>
        <w:tabs>
          <w:tab w:val="clear" w:pos="1701"/>
        </w:tabs>
        <w:ind w:left="2268" w:hanging="1134"/>
      </w:pPr>
      <w:r>
        <w:tab/>
        <w:t>At the end, replace the existing note by the following note:</w:t>
      </w:r>
    </w:p>
    <w:p w14:paraId="698EA7F8" w14:textId="77777777" w:rsidR="00FB5C94" w:rsidRDefault="00FB5C94" w:rsidP="00FB5C94">
      <w:pPr>
        <w:pStyle w:val="SingleTxtG"/>
      </w:pPr>
      <w:r>
        <w:t>“</w:t>
      </w:r>
      <w:r w:rsidRPr="00534532">
        <w:rPr>
          <w:b/>
          <w:bCs/>
          <w:i/>
          <w:iCs/>
        </w:rPr>
        <w:t>NOTE:</w:t>
      </w:r>
      <w:r>
        <w:rPr>
          <w:i/>
          <w:iCs/>
        </w:rPr>
        <w:tab/>
        <w:t>S</w:t>
      </w:r>
      <w:r w:rsidRPr="00534532">
        <w:rPr>
          <w:i/>
          <w:iCs/>
        </w:rPr>
        <w:t xml:space="preserve">alvage pressure receptacles with a water capacity of not more than 3000 litres may </w:t>
      </w:r>
      <w:r>
        <w:rPr>
          <w:i/>
          <w:iCs/>
        </w:rPr>
        <w:t xml:space="preserve">continue to </w:t>
      </w:r>
      <w:r w:rsidRPr="00534532">
        <w:rPr>
          <w:i/>
          <w:iCs/>
        </w:rPr>
        <w:t>be used without bearing the additional PVP</w:t>
      </w:r>
      <w:r>
        <w:rPr>
          <w:i/>
          <w:iCs/>
        </w:rPr>
        <w:t xml:space="preserve"> </w:t>
      </w:r>
      <w:r w:rsidRPr="00534532">
        <w:rPr>
          <w:i/>
          <w:iCs/>
        </w:rPr>
        <w:t>mark</w:t>
      </w:r>
      <w:r>
        <w:rPr>
          <w:i/>
          <w:iCs/>
        </w:rPr>
        <w:t xml:space="preserve"> </w:t>
      </w:r>
      <w:r w:rsidRPr="00534532">
        <w:rPr>
          <w:i/>
          <w:iCs/>
        </w:rPr>
        <w:t>until 31 December 2030.</w:t>
      </w:r>
      <w:r w:rsidRPr="006E72C7">
        <w:t>”</w:t>
      </w:r>
    </w:p>
    <w:p w14:paraId="20CED004"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390EEF70" w14:textId="77777777" w:rsidR="00FB5C94" w:rsidRPr="001C22A9" w:rsidRDefault="00FB5C94" w:rsidP="00FB5C94">
      <w:pPr>
        <w:pStyle w:val="H1G"/>
      </w:pPr>
      <w:r w:rsidRPr="001C22A9">
        <w:tab/>
      </w:r>
      <w:r w:rsidRPr="001C22A9">
        <w:tab/>
        <w:t>Chapter 6.3</w:t>
      </w:r>
    </w:p>
    <w:p w14:paraId="0D046831" w14:textId="77777777" w:rsidR="00FB5C94" w:rsidRPr="001C22A9" w:rsidRDefault="00FB5C94" w:rsidP="00FB5C94">
      <w:pPr>
        <w:pStyle w:val="SingleTxtG"/>
        <w:tabs>
          <w:tab w:val="clear" w:pos="1701"/>
          <w:tab w:val="clear" w:pos="2268"/>
          <w:tab w:val="clear" w:pos="2835"/>
        </w:tabs>
        <w:ind w:left="2268" w:hanging="1134"/>
      </w:pPr>
      <w:r w:rsidRPr="001C22A9">
        <w:t>6.3.5.1.3</w:t>
      </w:r>
      <w:r w:rsidRPr="001C22A9">
        <w:tab/>
        <w:t>Replace “Tests” by “Appropriate tests”.</w:t>
      </w:r>
    </w:p>
    <w:p w14:paraId="7D1DE4BB"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7EDCDE54" w14:textId="77777777" w:rsidR="00FB5C94" w:rsidRPr="00FF3E52" w:rsidRDefault="00FB5C94" w:rsidP="00FB5C94">
      <w:pPr>
        <w:pStyle w:val="H1G"/>
      </w:pPr>
      <w:r>
        <w:tab/>
      </w:r>
      <w:r>
        <w:tab/>
        <w:t>Chapter 6.4</w:t>
      </w:r>
    </w:p>
    <w:p w14:paraId="7A4A3B37" w14:textId="77777777" w:rsidR="00FB5C94" w:rsidRDefault="00FB5C94" w:rsidP="00FB5C94">
      <w:pPr>
        <w:spacing w:after="120"/>
        <w:ind w:left="2268" w:right="1134" w:hanging="1134"/>
        <w:jc w:val="both"/>
        <w:rPr>
          <w:rFonts w:asciiTheme="majorBidi" w:hAnsiTheme="majorBidi" w:cstheme="majorBidi"/>
        </w:rPr>
      </w:pPr>
      <w:r>
        <w:rPr>
          <w:rFonts w:asciiTheme="majorBidi" w:hAnsiTheme="majorBidi" w:cstheme="majorBidi"/>
        </w:rPr>
        <w:t>6.4.11.2</w:t>
      </w:r>
      <w:r>
        <w:rPr>
          <w:rFonts w:asciiTheme="majorBidi" w:hAnsiTheme="majorBidi" w:cstheme="majorBidi"/>
        </w:rPr>
        <w:tab/>
        <w:t>In (d), second sentence, replace “weight” by “mass”.</w:t>
      </w:r>
    </w:p>
    <w:p w14:paraId="0CCEB32E"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70BCAB79" w14:textId="77777777" w:rsidR="00FB5C94" w:rsidRPr="00FF3E52" w:rsidRDefault="00FB5C94" w:rsidP="00FB5C94">
      <w:pPr>
        <w:pStyle w:val="H1G"/>
      </w:pPr>
      <w:r>
        <w:tab/>
      </w:r>
      <w:r>
        <w:tab/>
        <w:t>Chapter 6.5</w:t>
      </w:r>
    </w:p>
    <w:p w14:paraId="110B30E7" w14:textId="77777777" w:rsidR="00FB5C94" w:rsidRDefault="00FB5C94" w:rsidP="00FB5C94">
      <w:pPr>
        <w:pStyle w:val="SingleTxtG"/>
        <w:ind w:left="2268" w:hanging="1134"/>
      </w:pPr>
      <w:r>
        <w:t>6.5.2.1.1</w:t>
      </w:r>
      <w:r>
        <w:tab/>
        <w:t>In (g),</w:t>
      </w:r>
      <w:r w:rsidRPr="004726CB">
        <w:t xml:space="preserve"> </w:t>
      </w:r>
      <w:r>
        <w:t>first sentence, replace “stacking test load” by “superimposed stacking test mass”.</w:t>
      </w:r>
    </w:p>
    <w:p w14:paraId="755FCFC7"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77B2F888" w14:textId="77777777" w:rsidR="00FB5C94" w:rsidRDefault="00FB5C94" w:rsidP="00FB5C94">
      <w:pPr>
        <w:pStyle w:val="SingleTxtG"/>
        <w:ind w:left="2268" w:hanging="1134"/>
      </w:pPr>
      <w:r>
        <w:t>6.5.2.1.3</w:t>
      </w:r>
      <w:r>
        <w:tab/>
        <w:t>In the first example,</w:t>
      </w:r>
      <w:r w:rsidRPr="004726CB">
        <w:t xml:space="preserve"> </w:t>
      </w:r>
      <w:r>
        <w:t>first sentence, replace “stacking test load” by “superimposed stacking test mass”.</w:t>
      </w:r>
    </w:p>
    <w:p w14:paraId="27F56155"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0BA3D153" w14:textId="77777777" w:rsidR="00FB5C94" w:rsidRDefault="00FB5C94" w:rsidP="00FB5C94">
      <w:pPr>
        <w:pStyle w:val="SingleTxtG"/>
        <w:ind w:left="2268" w:hanging="1134"/>
      </w:pPr>
      <w:r>
        <w:t>6.5.2.2.2</w:t>
      </w:r>
      <w:r>
        <w:tab/>
        <w:t>In the</w:t>
      </w:r>
      <w:r w:rsidRPr="004726CB">
        <w:t xml:space="preserve"> </w:t>
      </w:r>
      <w:r>
        <w:t>first sentence, replace “stacking load” by “superimposed stacking mass”.</w:t>
      </w:r>
    </w:p>
    <w:p w14:paraId="26A20FA8"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323F63D8" w14:textId="77777777" w:rsidR="00FB5C94" w:rsidRPr="004E1EC6" w:rsidRDefault="00FB5C94" w:rsidP="00FB5C94">
      <w:pPr>
        <w:pStyle w:val="SingleTxtG"/>
        <w:ind w:left="2268" w:hanging="1134"/>
        <w:rPr>
          <w:rFonts w:asciiTheme="majorBidi" w:hAnsiTheme="majorBidi" w:cstheme="majorBidi"/>
        </w:rPr>
      </w:pPr>
      <w:r w:rsidRPr="000714F1">
        <w:rPr>
          <w:rFonts w:asciiTheme="majorBidi" w:hAnsiTheme="majorBidi" w:cstheme="majorBidi"/>
        </w:rPr>
        <w:t>6.5.5.4.16</w:t>
      </w:r>
      <w:r w:rsidRPr="004E1EC6">
        <w:rPr>
          <w:rFonts w:asciiTheme="majorBidi" w:hAnsiTheme="majorBidi" w:cstheme="majorBidi"/>
        </w:rPr>
        <w:tab/>
      </w:r>
      <w:r>
        <w:rPr>
          <w:rFonts w:asciiTheme="majorBidi" w:hAnsiTheme="majorBidi" w:cstheme="majorBidi"/>
        </w:rPr>
        <w:t xml:space="preserve">In the second sentence, replace </w:t>
      </w:r>
      <w:r w:rsidRPr="008A19EF">
        <w:rPr>
          <w:rFonts w:asciiTheme="majorBidi" w:hAnsiTheme="majorBidi" w:cstheme="majorBidi"/>
        </w:rPr>
        <w:t>“ISO 535:2014” by “ISO 535:2023”</w:t>
      </w:r>
      <w:r w:rsidRPr="004E1EC6">
        <w:rPr>
          <w:rFonts w:asciiTheme="majorBidi" w:hAnsiTheme="majorBidi" w:cstheme="majorBidi"/>
        </w:rPr>
        <w:t>.</w:t>
      </w:r>
    </w:p>
    <w:p w14:paraId="44E617B5" w14:textId="77777777" w:rsidR="00FB5C94" w:rsidRPr="00843762" w:rsidRDefault="00FB5C94" w:rsidP="00FB5C94">
      <w:pPr>
        <w:pStyle w:val="SingleTxtG"/>
        <w:rPr>
          <w:i/>
          <w:iCs/>
        </w:rPr>
      </w:pPr>
      <w:r w:rsidRPr="00804977">
        <w:rPr>
          <w:i/>
          <w:iCs/>
        </w:rPr>
        <w:lastRenderedPageBreak/>
        <w:t xml:space="preserve">(Reference document: </w:t>
      </w:r>
      <w:r>
        <w:rPr>
          <w:i/>
          <w:iCs/>
        </w:rPr>
        <w:t>ST/SG/AC.10/C.3/126, Annex I</w:t>
      </w:r>
      <w:r w:rsidRPr="00804977">
        <w:rPr>
          <w:i/>
          <w:iCs/>
        </w:rPr>
        <w:t>)</w:t>
      </w:r>
    </w:p>
    <w:p w14:paraId="4A28441C" w14:textId="77777777" w:rsidR="00FB5C94" w:rsidRPr="004E1EC6" w:rsidRDefault="00FB5C94" w:rsidP="00FB5C94">
      <w:pPr>
        <w:pStyle w:val="SingleTxtG"/>
        <w:ind w:left="2268" w:hanging="1134"/>
        <w:rPr>
          <w:rFonts w:asciiTheme="majorBidi" w:hAnsiTheme="majorBidi" w:cstheme="majorBidi"/>
        </w:rPr>
      </w:pPr>
      <w:r w:rsidRPr="00BF7D3E">
        <w:rPr>
          <w:rFonts w:asciiTheme="majorBidi" w:hAnsiTheme="majorBidi" w:cstheme="majorBidi"/>
        </w:rPr>
        <w:t>6.5.5.5.3</w:t>
      </w:r>
      <w:r w:rsidRPr="004E1EC6">
        <w:rPr>
          <w:rFonts w:asciiTheme="majorBidi" w:hAnsiTheme="majorBidi" w:cstheme="majorBidi"/>
        </w:rPr>
        <w:tab/>
      </w:r>
      <w:r>
        <w:rPr>
          <w:rFonts w:asciiTheme="majorBidi" w:hAnsiTheme="majorBidi" w:cstheme="majorBidi"/>
        </w:rPr>
        <w:t xml:space="preserve">In the second sentence, replace </w:t>
      </w:r>
      <w:r w:rsidRPr="008A19EF">
        <w:rPr>
          <w:rFonts w:asciiTheme="majorBidi" w:hAnsiTheme="majorBidi" w:cstheme="majorBidi"/>
        </w:rPr>
        <w:t>“ISO 535:2014” by “ISO 535:2023”</w:t>
      </w:r>
      <w:r w:rsidRPr="004E1EC6">
        <w:rPr>
          <w:rFonts w:asciiTheme="majorBidi" w:hAnsiTheme="majorBidi" w:cstheme="majorBidi"/>
        </w:rPr>
        <w:t>.</w:t>
      </w:r>
    </w:p>
    <w:p w14:paraId="05C9B959"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26D83046" w14:textId="77777777" w:rsidR="00FB5C94" w:rsidRDefault="00FB5C94" w:rsidP="00FB5C94">
      <w:pPr>
        <w:pStyle w:val="SingleTxtG"/>
        <w:ind w:left="2268" w:hanging="1134"/>
      </w:pPr>
      <w:r>
        <w:t>6.5.6.6.4</w:t>
      </w:r>
      <w:r>
        <w:tab/>
        <w:t>Replace “load to be placed on the IBC” by “mass placed on the IBC surface to create the superimposed test load”.</w:t>
      </w:r>
    </w:p>
    <w:p w14:paraId="4EC0B5F6"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5211719D" w14:textId="77777777" w:rsidR="00FB5C94" w:rsidRPr="00FF3E52" w:rsidRDefault="00FB5C94" w:rsidP="00FB5C94">
      <w:pPr>
        <w:pStyle w:val="H1G"/>
      </w:pPr>
      <w:r>
        <w:tab/>
      </w:r>
      <w:r>
        <w:tab/>
        <w:t>Chapter 6.6</w:t>
      </w:r>
    </w:p>
    <w:p w14:paraId="0240664F" w14:textId="77777777" w:rsidR="00FB5C94" w:rsidRDefault="00FB5C94" w:rsidP="00FB5C94">
      <w:pPr>
        <w:pStyle w:val="SingleTxtG"/>
        <w:tabs>
          <w:tab w:val="clear" w:pos="1701"/>
        </w:tabs>
        <w:ind w:left="2268" w:hanging="1134"/>
      </w:pPr>
      <w:r>
        <w:t>6.6.3.1</w:t>
      </w:r>
      <w:r>
        <w:tab/>
        <w:t>In (g),</w:t>
      </w:r>
      <w:r w:rsidRPr="004726CB">
        <w:t xml:space="preserve"> </w:t>
      </w:r>
      <w:r>
        <w:t>first sentence, replace “stacking test load” by “superimposed stacking test mass”.</w:t>
      </w:r>
    </w:p>
    <w:p w14:paraId="7BA1A91B"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03E16ACC" w14:textId="77777777" w:rsidR="00FB5C94" w:rsidRDefault="00FB5C94" w:rsidP="00FB5C94">
      <w:pPr>
        <w:pStyle w:val="SingleTxtG"/>
        <w:tabs>
          <w:tab w:val="clear" w:pos="1701"/>
        </w:tabs>
        <w:ind w:left="2268" w:hanging="1134"/>
      </w:pPr>
      <w:r>
        <w:t>6.6.3.2</w:t>
      </w:r>
      <w:r>
        <w:tab/>
        <w:t>In the first and second examples, replace “stacking load” by “superimposed stacking test mass”.</w:t>
      </w:r>
    </w:p>
    <w:p w14:paraId="79CAD392"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75238278" w14:textId="77777777" w:rsidR="00FB5C94" w:rsidRDefault="00FB5C94" w:rsidP="00FB5C94">
      <w:pPr>
        <w:pStyle w:val="SingleTxtG"/>
        <w:tabs>
          <w:tab w:val="clear" w:pos="1701"/>
        </w:tabs>
        <w:ind w:left="2268" w:hanging="1134"/>
      </w:pPr>
      <w:r>
        <w:t>6.6.3.3</w:t>
      </w:r>
      <w:r>
        <w:tab/>
        <w:t>In the first sentence, replace “stacking load” by “superimposed stacking mass”.</w:t>
      </w:r>
    </w:p>
    <w:p w14:paraId="6E512E4D"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3B6A31CA" w14:textId="77777777" w:rsidR="00FB5C94" w:rsidRPr="004E1EC6" w:rsidRDefault="00FB5C94" w:rsidP="00FB5C94">
      <w:pPr>
        <w:pStyle w:val="SingleTxtG"/>
        <w:ind w:left="2268" w:hanging="1134"/>
        <w:rPr>
          <w:rFonts w:asciiTheme="majorBidi" w:hAnsiTheme="majorBidi" w:cstheme="majorBidi"/>
        </w:rPr>
      </w:pPr>
      <w:r w:rsidRPr="00BF7D3E">
        <w:rPr>
          <w:rFonts w:asciiTheme="majorBidi" w:hAnsiTheme="majorBidi" w:cstheme="majorBidi"/>
        </w:rPr>
        <w:t>6.6.4.4.1</w:t>
      </w:r>
      <w:r w:rsidRPr="004E1EC6">
        <w:rPr>
          <w:rFonts w:asciiTheme="majorBidi" w:hAnsiTheme="majorBidi" w:cstheme="majorBidi"/>
        </w:rPr>
        <w:tab/>
      </w:r>
      <w:r>
        <w:rPr>
          <w:rFonts w:asciiTheme="majorBidi" w:hAnsiTheme="majorBidi" w:cstheme="majorBidi"/>
        </w:rPr>
        <w:t xml:space="preserve">In the second sentence, replace </w:t>
      </w:r>
      <w:r w:rsidRPr="008A19EF">
        <w:rPr>
          <w:rFonts w:asciiTheme="majorBidi" w:hAnsiTheme="majorBidi" w:cstheme="majorBidi"/>
        </w:rPr>
        <w:t>“ISO 535:2014” by “ISO 535:2023”</w:t>
      </w:r>
      <w:r w:rsidRPr="004E1EC6">
        <w:rPr>
          <w:rFonts w:asciiTheme="majorBidi" w:hAnsiTheme="majorBidi" w:cstheme="majorBidi"/>
        </w:rPr>
        <w:t>.</w:t>
      </w:r>
    </w:p>
    <w:p w14:paraId="7404E8EC"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7B689E11" w14:textId="77777777" w:rsidR="00FB5C94" w:rsidRPr="001C22A9" w:rsidRDefault="00FB5C94" w:rsidP="00FB5C94">
      <w:pPr>
        <w:pStyle w:val="SingleTxtG"/>
        <w:tabs>
          <w:tab w:val="clear" w:pos="1701"/>
          <w:tab w:val="clear" w:pos="2268"/>
          <w:tab w:val="clear" w:pos="2835"/>
        </w:tabs>
        <w:ind w:left="2268" w:hanging="1134"/>
      </w:pPr>
      <w:r w:rsidRPr="001C22A9">
        <w:t>6.6.5.1.3</w:t>
      </w:r>
      <w:r w:rsidRPr="001C22A9">
        <w:tab/>
        <w:t>Replace “Tests” by “Appropriate tests”.</w:t>
      </w:r>
    </w:p>
    <w:p w14:paraId="7784E796"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40B5579C" w14:textId="77777777" w:rsidR="00FB5C94" w:rsidRDefault="00FB5C94" w:rsidP="00FB5C94">
      <w:pPr>
        <w:pStyle w:val="SingleTxtG"/>
        <w:ind w:left="2268" w:hanging="1134"/>
      </w:pPr>
      <w:r>
        <w:t>6.6.5.3.3.4</w:t>
      </w:r>
      <w:r>
        <w:tab/>
        <w:t>Replace “load to be placed on the large packaging” by “mass placed on the large packaging surface to create the superimposed test load”.</w:t>
      </w:r>
    </w:p>
    <w:p w14:paraId="07EEC7BA"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6E70EC0E" w14:textId="77777777" w:rsidR="00FB5C94" w:rsidRPr="00FF3E52" w:rsidRDefault="00FB5C94" w:rsidP="00FB5C94">
      <w:pPr>
        <w:pStyle w:val="H1G"/>
      </w:pPr>
      <w:r>
        <w:tab/>
      </w:r>
      <w:r>
        <w:tab/>
        <w:t>Chapter 6.7</w:t>
      </w:r>
    </w:p>
    <w:p w14:paraId="7D1CCBD8" w14:textId="77777777" w:rsidR="00FB5C94" w:rsidRDefault="00FB5C94" w:rsidP="00FB5C94">
      <w:pPr>
        <w:pStyle w:val="SingleTxtG"/>
        <w:tabs>
          <w:tab w:val="clear" w:pos="1701"/>
        </w:tabs>
        <w:ind w:left="2268" w:hanging="1134"/>
      </w:pPr>
      <w:r>
        <w:t>6.7.2.1</w:t>
      </w:r>
      <w:r>
        <w:tab/>
        <w:t>In the definition of “</w:t>
      </w:r>
      <w:r w:rsidRPr="0083758D">
        <w:rPr>
          <w:i/>
          <w:iCs/>
        </w:rPr>
        <w:t>Portable tank</w:t>
      </w:r>
      <w:r>
        <w:t>”, in the last sentence, delete “, non-metallic tanks”.</w:t>
      </w:r>
    </w:p>
    <w:p w14:paraId="54C519EC"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288067B3" w14:textId="77777777" w:rsidR="00FB5C94" w:rsidRDefault="00FB5C94" w:rsidP="00FB5C94">
      <w:pPr>
        <w:pStyle w:val="SingleTxtG"/>
        <w:ind w:left="2268" w:hanging="1134"/>
      </w:pPr>
      <w:r>
        <w:t>[</w:t>
      </w:r>
      <w:r w:rsidRPr="002E19FF">
        <w:t>6.7.2.5.11</w:t>
      </w:r>
      <w:r>
        <w:tab/>
        <w:t>After “metals”, add “</w:t>
      </w:r>
      <w:r w:rsidRPr="005A0E60">
        <w:t>or fibre reinforced plastic (FRP) in accordance with section 6.9.3</w:t>
      </w:r>
      <w:r>
        <w:t>”.]</w:t>
      </w:r>
    </w:p>
    <w:p w14:paraId="61170642"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4B57EFB6" w14:textId="77777777" w:rsidR="00FB5C94" w:rsidRPr="001C22A9" w:rsidRDefault="00FB5C94" w:rsidP="00FB5C94">
      <w:pPr>
        <w:pStyle w:val="SingleTxtG"/>
        <w:ind w:left="2268" w:hanging="1134"/>
        <w:rPr>
          <w:rFonts w:eastAsiaTheme="minorHAnsi"/>
          <w:lang w:eastAsia="en-US"/>
        </w:rPr>
      </w:pPr>
      <w:r w:rsidRPr="001C22A9">
        <w:rPr>
          <w:rFonts w:eastAsiaTheme="minorHAnsi"/>
          <w:lang w:eastAsia="en-US"/>
        </w:rPr>
        <w:t>6.7.2.17.5</w:t>
      </w:r>
      <w:r w:rsidRPr="001C22A9">
        <w:rPr>
          <w:rFonts w:eastAsiaTheme="minorHAnsi"/>
          <w:lang w:eastAsia="en-US"/>
        </w:rPr>
        <w:tab/>
        <w:t>In (d), replace “</w:t>
      </w:r>
      <w:r w:rsidRPr="001C22A9">
        <w:t xml:space="preserve">ISO 1496-3:1995.” by “ISO 1496-3:2019. </w:t>
      </w:r>
      <w:r w:rsidRPr="001C22A9">
        <w:rPr>
          <w:rFonts w:eastAsiaTheme="minorHAnsi"/>
          <w:lang w:eastAsia="en-US"/>
        </w:rPr>
        <w:t>Design types conforming to ISO 1496-3:1995 approved before 1 January 2030 may continue to be used.”.</w:t>
      </w:r>
    </w:p>
    <w:p w14:paraId="0793FBE0"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53328349" w14:textId="77777777" w:rsidR="00FB5C94" w:rsidRPr="001C22A9" w:rsidRDefault="00FB5C94" w:rsidP="00FB5C94">
      <w:pPr>
        <w:pStyle w:val="SingleTxtG"/>
        <w:ind w:left="2268" w:hanging="1134"/>
        <w:rPr>
          <w:rFonts w:eastAsiaTheme="minorHAnsi"/>
          <w:lang w:eastAsia="en-US"/>
        </w:rPr>
      </w:pPr>
      <w:r w:rsidRPr="001C22A9">
        <w:rPr>
          <w:rFonts w:eastAsiaTheme="minorHAnsi"/>
          <w:lang w:eastAsia="en-US"/>
        </w:rPr>
        <w:t>6.7.2.18.2</w:t>
      </w:r>
      <w:r w:rsidRPr="001C22A9">
        <w:rPr>
          <w:rFonts w:eastAsiaTheme="minorHAnsi"/>
          <w:lang w:eastAsia="en-US"/>
        </w:rPr>
        <w:tab/>
        <w:t>In (a), replace “</w:t>
      </w:r>
      <w:r w:rsidRPr="001C22A9">
        <w:t xml:space="preserve">ISO 1496-3:1995;” by “ISO 1496-3:2019. </w:t>
      </w:r>
      <w:r w:rsidRPr="001C22A9">
        <w:rPr>
          <w:rFonts w:eastAsiaTheme="minorHAnsi"/>
          <w:lang w:eastAsia="en-US"/>
        </w:rPr>
        <w:t>Tests specified in ISO 1496-3:1995 may continue to be used until 31 December 2029;”.</w:t>
      </w:r>
    </w:p>
    <w:p w14:paraId="53E3693A"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5648AA83" w14:textId="77777777" w:rsidR="00FB5C94" w:rsidRPr="001C22A9" w:rsidRDefault="00FB5C94" w:rsidP="00FB5C94">
      <w:pPr>
        <w:pStyle w:val="SingleTxtG"/>
        <w:ind w:left="2268" w:hanging="1134"/>
        <w:rPr>
          <w:rFonts w:eastAsiaTheme="minorHAnsi"/>
          <w:lang w:eastAsia="en-US"/>
        </w:rPr>
      </w:pPr>
      <w:r w:rsidRPr="001C22A9">
        <w:rPr>
          <w:rFonts w:eastAsiaTheme="minorHAnsi"/>
          <w:lang w:eastAsia="en-US"/>
        </w:rPr>
        <w:t>6.7.3.13.5</w:t>
      </w:r>
      <w:r w:rsidRPr="001C22A9">
        <w:rPr>
          <w:rFonts w:eastAsiaTheme="minorHAnsi"/>
          <w:lang w:eastAsia="en-US"/>
        </w:rPr>
        <w:tab/>
        <w:t>In (d), replace “</w:t>
      </w:r>
      <w:r w:rsidRPr="001C22A9">
        <w:t xml:space="preserve">ISO 1496-3:1995.” by </w:t>
      </w:r>
      <w:r w:rsidRPr="001C22A9">
        <w:rPr>
          <w:rFonts w:eastAsiaTheme="minorHAnsi"/>
          <w:lang w:eastAsia="en-US"/>
        </w:rPr>
        <w:t>“</w:t>
      </w:r>
      <w:r w:rsidRPr="001C22A9">
        <w:t xml:space="preserve">ISO 1496-3:2019. </w:t>
      </w:r>
      <w:r w:rsidRPr="001C22A9">
        <w:rPr>
          <w:rFonts w:eastAsiaTheme="minorHAnsi"/>
          <w:lang w:eastAsia="en-US"/>
        </w:rPr>
        <w:t>Design types conforming to ISO 1496-3:1995 approved before 1 January 2030 may continue to be used.”.</w:t>
      </w:r>
    </w:p>
    <w:p w14:paraId="3CC258A1"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06CEE7B1" w14:textId="77777777" w:rsidR="00FB5C94" w:rsidRPr="001C22A9" w:rsidRDefault="00FB5C94" w:rsidP="00FB5C94">
      <w:pPr>
        <w:pStyle w:val="SingleTxtG"/>
        <w:ind w:left="2268" w:hanging="1134"/>
        <w:rPr>
          <w:rFonts w:eastAsiaTheme="minorHAnsi"/>
          <w:lang w:eastAsia="en-US"/>
        </w:rPr>
      </w:pPr>
      <w:r w:rsidRPr="001C22A9">
        <w:rPr>
          <w:rFonts w:eastAsiaTheme="minorHAnsi"/>
          <w:lang w:eastAsia="en-US"/>
        </w:rPr>
        <w:lastRenderedPageBreak/>
        <w:t>6.7.3.14.2</w:t>
      </w:r>
      <w:r w:rsidRPr="001C22A9">
        <w:rPr>
          <w:rFonts w:eastAsiaTheme="minorHAnsi"/>
          <w:lang w:eastAsia="en-US"/>
        </w:rPr>
        <w:tab/>
        <w:t>In (a), replace “</w:t>
      </w:r>
      <w:r w:rsidRPr="001C22A9">
        <w:t xml:space="preserve">ISO 1496-3:1995;” by “ISO 1496-3:2019. </w:t>
      </w:r>
      <w:r w:rsidRPr="001C22A9">
        <w:rPr>
          <w:rFonts w:eastAsiaTheme="minorHAnsi"/>
          <w:lang w:eastAsia="en-US"/>
        </w:rPr>
        <w:t>Tests specified in ISO 1496-3:1995 may continue to be used until 31 December 2029;</w:t>
      </w:r>
      <w:r w:rsidRPr="001C22A9">
        <w:t>”</w:t>
      </w:r>
      <w:r w:rsidRPr="001C22A9">
        <w:rPr>
          <w:rFonts w:eastAsiaTheme="minorHAnsi"/>
          <w:lang w:eastAsia="en-US"/>
        </w:rPr>
        <w:t>.</w:t>
      </w:r>
    </w:p>
    <w:p w14:paraId="4A9B248D"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3CD6185A" w14:textId="77777777" w:rsidR="00FB5C94" w:rsidRPr="001C22A9" w:rsidRDefault="00FB5C94" w:rsidP="00FB5C94">
      <w:pPr>
        <w:pStyle w:val="SingleTxtG"/>
        <w:ind w:left="2268" w:hanging="1134"/>
        <w:rPr>
          <w:rFonts w:eastAsiaTheme="minorHAnsi"/>
          <w:lang w:eastAsia="en-US"/>
        </w:rPr>
      </w:pPr>
      <w:r w:rsidRPr="001C22A9">
        <w:rPr>
          <w:rFonts w:eastAsiaTheme="minorHAnsi"/>
          <w:lang w:eastAsia="en-US"/>
        </w:rPr>
        <w:t>6.7.4.12.5</w:t>
      </w:r>
      <w:r w:rsidRPr="001C22A9">
        <w:rPr>
          <w:rFonts w:eastAsiaTheme="minorHAnsi"/>
          <w:lang w:eastAsia="en-US"/>
        </w:rPr>
        <w:tab/>
        <w:t>In (d), replace “</w:t>
      </w:r>
      <w:r w:rsidRPr="001C22A9">
        <w:t xml:space="preserve">ISO 1496-3:1995.” by </w:t>
      </w:r>
      <w:r w:rsidRPr="001C22A9">
        <w:rPr>
          <w:rFonts w:eastAsiaTheme="minorHAnsi"/>
          <w:lang w:eastAsia="en-US"/>
        </w:rPr>
        <w:t>“</w:t>
      </w:r>
      <w:r w:rsidRPr="001C22A9">
        <w:t xml:space="preserve">ISO 1496-3:2019. </w:t>
      </w:r>
      <w:r w:rsidRPr="001C22A9">
        <w:rPr>
          <w:rFonts w:eastAsiaTheme="minorHAnsi"/>
          <w:lang w:eastAsia="en-US"/>
        </w:rPr>
        <w:t>Design types conforming to ISO 1496-3:1995 approved before 1 January 2030 may continue to be used.</w:t>
      </w:r>
      <w:r w:rsidRPr="001C22A9">
        <w:t>”</w:t>
      </w:r>
      <w:r w:rsidRPr="001C22A9">
        <w:rPr>
          <w:rFonts w:eastAsiaTheme="minorHAnsi"/>
          <w:lang w:eastAsia="en-US"/>
        </w:rPr>
        <w:t>.</w:t>
      </w:r>
    </w:p>
    <w:p w14:paraId="7C711A72"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1A107AE2" w14:textId="77777777" w:rsidR="00FB5C94" w:rsidRPr="001C22A9" w:rsidRDefault="00FB5C94" w:rsidP="00FB5C94">
      <w:pPr>
        <w:pStyle w:val="SingleTxtG"/>
        <w:ind w:left="2268" w:hanging="1134"/>
        <w:rPr>
          <w:rFonts w:eastAsiaTheme="minorHAnsi"/>
          <w:lang w:eastAsia="en-US"/>
        </w:rPr>
      </w:pPr>
      <w:r w:rsidRPr="001C22A9">
        <w:rPr>
          <w:rFonts w:eastAsiaTheme="minorHAnsi"/>
          <w:lang w:eastAsia="en-US"/>
        </w:rPr>
        <w:t>6.7.4.13.2</w:t>
      </w:r>
      <w:r w:rsidRPr="001C22A9">
        <w:rPr>
          <w:rFonts w:eastAsiaTheme="minorHAnsi"/>
          <w:lang w:eastAsia="en-US"/>
        </w:rPr>
        <w:tab/>
        <w:t>In (a), replace “</w:t>
      </w:r>
      <w:r w:rsidRPr="001C22A9">
        <w:t xml:space="preserve">ISO 1496-3:1995;” by </w:t>
      </w:r>
      <w:r w:rsidRPr="001C22A9">
        <w:rPr>
          <w:rFonts w:eastAsiaTheme="minorHAnsi"/>
          <w:lang w:eastAsia="en-US"/>
        </w:rPr>
        <w:t>“</w:t>
      </w:r>
      <w:r w:rsidRPr="001C22A9">
        <w:t xml:space="preserve">ISO 1496-3:2019. </w:t>
      </w:r>
      <w:r w:rsidRPr="001C22A9">
        <w:rPr>
          <w:rFonts w:eastAsiaTheme="minorHAnsi"/>
          <w:lang w:eastAsia="en-US"/>
        </w:rPr>
        <w:t>Tests specified in ISO 1496-3:1995 may continue to be used until 31 December 2029;</w:t>
      </w:r>
      <w:r w:rsidRPr="001C22A9">
        <w:t>”.</w:t>
      </w:r>
    </w:p>
    <w:p w14:paraId="0546E022"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0B113C64" w14:textId="77777777" w:rsidR="00FB5C94" w:rsidRDefault="00FB5C94" w:rsidP="00FB5C94">
      <w:pPr>
        <w:pStyle w:val="SingleTxtG"/>
        <w:ind w:left="2268" w:hanging="1134"/>
      </w:pPr>
      <w:r>
        <w:t>6.7.5.2.4</w:t>
      </w:r>
      <w:r>
        <w:tab/>
        <w:t>In (a),</w:t>
      </w:r>
      <w:r w:rsidRPr="004726CB">
        <w:t xml:space="preserve"> </w:t>
      </w:r>
      <w:r>
        <w:t>after “</w:t>
      </w:r>
      <w:r w:rsidRPr="004726CB">
        <w:t>ISO 11114-1:2020</w:t>
      </w:r>
      <w:r>
        <w:t>”, add</w:t>
      </w:r>
      <w:r w:rsidRPr="004726CB">
        <w:t xml:space="preserve"> </w:t>
      </w:r>
      <w:r>
        <w:t xml:space="preserve">“+ </w:t>
      </w:r>
      <w:r w:rsidRPr="004726CB">
        <w:t>Amd 1:2023</w:t>
      </w:r>
      <w:r>
        <w:t>”.</w:t>
      </w:r>
    </w:p>
    <w:p w14:paraId="2F46791C"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3DA0E42A" w14:textId="77777777" w:rsidR="00FB5C94" w:rsidRPr="001C22A9" w:rsidRDefault="00FB5C94" w:rsidP="00FB5C94">
      <w:pPr>
        <w:pStyle w:val="SingleTxtG"/>
        <w:ind w:left="2268" w:hanging="1134"/>
        <w:rPr>
          <w:rFonts w:eastAsiaTheme="minorHAnsi"/>
          <w:lang w:eastAsia="en-US"/>
        </w:rPr>
      </w:pPr>
      <w:r w:rsidRPr="001C22A9">
        <w:rPr>
          <w:rFonts w:eastAsiaTheme="minorHAnsi"/>
          <w:lang w:eastAsia="en-US"/>
        </w:rPr>
        <w:t>6.7.5.10.4</w:t>
      </w:r>
      <w:r w:rsidRPr="001C22A9">
        <w:rPr>
          <w:rFonts w:eastAsiaTheme="minorHAnsi"/>
          <w:lang w:eastAsia="en-US"/>
        </w:rPr>
        <w:tab/>
        <w:t>In (d), replace “</w:t>
      </w:r>
      <w:r w:rsidRPr="001C22A9">
        <w:t xml:space="preserve">ISO 1496-3:1995.” by </w:t>
      </w:r>
      <w:r w:rsidRPr="001C22A9">
        <w:rPr>
          <w:rFonts w:eastAsiaTheme="minorHAnsi"/>
          <w:lang w:eastAsia="en-US"/>
        </w:rPr>
        <w:t>“</w:t>
      </w:r>
      <w:r w:rsidRPr="001C22A9">
        <w:t xml:space="preserve">ISO 1496-3:2019. </w:t>
      </w:r>
      <w:r w:rsidRPr="001C22A9">
        <w:rPr>
          <w:rFonts w:eastAsiaTheme="minorHAnsi"/>
          <w:lang w:eastAsia="en-US"/>
        </w:rPr>
        <w:t>Design types conforming to ISO 1496-3:1995 approved before 1 January 2030 may continue to be used.</w:t>
      </w:r>
      <w:r w:rsidRPr="001C22A9">
        <w:t>”</w:t>
      </w:r>
      <w:r w:rsidRPr="001C22A9">
        <w:rPr>
          <w:rFonts w:eastAsiaTheme="minorHAnsi"/>
          <w:lang w:eastAsia="en-US"/>
        </w:rPr>
        <w:t>.</w:t>
      </w:r>
    </w:p>
    <w:p w14:paraId="605DF38D"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0F554F54" w14:textId="77777777" w:rsidR="00FB5C94" w:rsidRPr="001C22A9" w:rsidRDefault="00FB5C94" w:rsidP="00FB5C94">
      <w:pPr>
        <w:pStyle w:val="SingleTxtG"/>
        <w:ind w:left="2268" w:hanging="1134"/>
        <w:rPr>
          <w:rFonts w:eastAsiaTheme="minorHAnsi"/>
          <w:lang w:eastAsia="en-US"/>
        </w:rPr>
      </w:pPr>
      <w:r w:rsidRPr="001C22A9">
        <w:rPr>
          <w:rFonts w:eastAsiaTheme="minorHAnsi"/>
          <w:lang w:eastAsia="en-US"/>
        </w:rPr>
        <w:t>6.7.5.11.2</w:t>
      </w:r>
      <w:r w:rsidRPr="001C22A9">
        <w:rPr>
          <w:rFonts w:eastAsiaTheme="minorHAnsi"/>
          <w:lang w:eastAsia="en-US"/>
        </w:rPr>
        <w:tab/>
        <w:t>In (a), replace “</w:t>
      </w:r>
      <w:r w:rsidRPr="001C22A9">
        <w:t xml:space="preserve">ISO 1496-3:1995;” by </w:t>
      </w:r>
      <w:r w:rsidRPr="001C22A9">
        <w:rPr>
          <w:rFonts w:eastAsiaTheme="minorHAnsi"/>
          <w:lang w:eastAsia="en-US"/>
        </w:rPr>
        <w:t>“</w:t>
      </w:r>
      <w:r w:rsidRPr="001C22A9">
        <w:t xml:space="preserve">ISO 1496-3:2019. </w:t>
      </w:r>
      <w:r w:rsidRPr="001C22A9">
        <w:rPr>
          <w:rFonts w:eastAsiaTheme="minorHAnsi"/>
          <w:lang w:eastAsia="en-US"/>
        </w:rPr>
        <w:t>Tests specified in ISO 1496-3:1995 may continue to be used until 31 December 2029;</w:t>
      </w:r>
      <w:r w:rsidRPr="001C22A9">
        <w:t>”</w:t>
      </w:r>
      <w:r w:rsidRPr="001C22A9">
        <w:rPr>
          <w:rFonts w:eastAsiaTheme="minorHAnsi"/>
          <w:lang w:eastAsia="en-US"/>
        </w:rPr>
        <w:t>.</w:t>
      </w:r>
    </w:p>
    <w:p w14:paraId="56D0FA98"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2A2A7216" w14:textId="77777777" w:rsidR="00FB5C94" w:rsidRPr="001C22A9" w:rsidRDefault="00FB5C94" w:rsidP="00FB5C94">
      <w:pPr>
        <w:keepNext/>
        <w:keepLines/>
        <w:tabs>
          <w:tab w:val="right" w:pos="851"/>
        </w:tabs>
        <w:spacing w:before="360" w:after="240" w:line="270" w:lineRule="exact"/>
        <w:ind w:left="1134" w:right="1134" w:hanging="1134"/>
        <w:outlineLvl w:val="2"/>
        <w:rPr>
          <w:rFonts w:eastAsiaTheme="minorHAnsi"/>
          <w:b/>
          <w:sz w:val="24"/>
          <w:lang w:eastAsia="en-US"/>
        </w:rPr>
      </w:pPr>
      <w:r w:rsidRPr="001C22A9">
        <w:rPr>
          <w:rFonts w:eastAsiaTheme="minorHAnsi"/>
          <w:b/>
          <w:sz w:val="24"/>
          <w:lang w:eastAsia="en-US"/>
        </w:rPr>
        <w:tab/>
      </w:r>
      <w:r w:rsidRPr="001C22A9">
        <w:rPr>
          <w:rFonts w:eastAsiaTheme="minorHAnsi"/>
          <w:b/>
          <w:sz w:val="24"/>
          <w:lang w:eastAsia="en-US"/>
        </w:rPr>
        <w:tab/>
        <w:t>Chapter 6.8</w:t>
      </w:r>
    </w:p>
    <w:p w14:paraId="396779CE" w14:textId="77777777" w:rsidR="00FB5C94" w:rsidRPr="001C22A9" w:rsidRDefault="00FB5C94" w:rsidP="00FB5C94">
      <w:pPr>
        <w:pStyle w:val="SingleTxtG"/>
        <w:ind w:left="2268" w:hanging="1134"/>
        <w:rPr>
          <w:rFonts w:eastAsiaTheme="minorHAnsi"/>
          <w:lang w:eastAsia="en-US"/>
        </w:rPr>
      </w:pPr>
      <w:r w:rsidRPr="001C22A9">
        <w:rPr>
          <w:rFonts w:eastAsiaTheme="minorHAnsi"/>
          <w:lang w:eastAsia="en-US"/>
        </w:rPr>
        <w:t>6.8.3.1.1</w:t>
      </w:r>
      <w:r w:rsidRPr="001C22A9">
        <w:rPr>
          <w:rFonts w:eastAsiaTheme="minorHAnsi"/>
          <w:lang w:eastAsia="en-US"/>
        </w:rPr>
        <w:tab/>
        <w:t>Replace “</w:t>
      </w:r>
      <w:r w:rsidRPr="001C22A9">
        <w:t>ISO 1496</w:t>
      </w:r>
      <w:r w:rsidRPr="001C22A9">
        <w:noBreakHyphen/>
        <w:t xml:space="preserve">4:1991” by </w:t>
      </w:r>
      <w:r w:rsidRPr="001C22A9">
        <w:rPr>
          <w:rFonts w:eastAsiaTheme="minorHAnsi"/>
          <w:lang w:eastAsia="en-US"/>
        </w:rPr>
        <w:t>“</w:t>
      </w:r>
      <w:r w:rsidRPr="001C22A9">
        <w:t>ISO 1496</w:t>
      </w:r>
      <w:r w:rsidRPr="001C22A9">
        <w:noBreakHyphen/>
        <w:t>4:2023”</w:t>
      </w:r>
      <w:r w:rsidRPr="001C22A9">
        <w:rPr>
          <w:rFonts w:eastAsiaTheme="minorHAnsi"/>
          <w:lang w:eastAsia="en-US"/>
        </w:rPr>
        <w:t>. At the end, add the following new sentence: “Bulk container types complying with ISO 1496-4:1991 may continue to be used until 31 December 2034.</w:t>
      </w:r>
      <w:r w:rsidRPr="001C22A9">
        <w:t>”</w:t>
      </w:r>
      <w:r w:rsidRPr="001C22A9">
        <w:rPr>
          <w:rFonts w:eastAsiaTheme="minorHAnsi"/>
          <w:lang w:eastAsia="en-US"/>
        </w:rPr>
        <w:t>.</w:t>
      </w:r>
    </w:p>
    <w:p w14:paraId="51B89612"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31622042" w14:textId="77777777" w:rsidR="00FB5C94" w:rsidRPr="001C22A9" w:rsidRDefault="00FB5C94" w:rsidP="00FB5C94">
      <w:pPr>
        <w:pStyle w:val="SingleTxtG"/>
        <w:ind w:left="2268" w:hanging="1134"/>
        <w:rPr>
          <w:rFonts w:eastAsiaTheme="minorHAnsi"/>
          <w:lang w:eastAsia="en-US"/>
        </w:rPr>
      </w:pPr>
      <w:r w:rsidRPr="001C22A9">
        <w:rPr>
          <w:rFonts w:eastAsiaTheme="minorHAnsi"/>
          <w:lang w:eastAsia="en-US"/>
        </w:rPr>
        <w:t>6.8.3.1.2</w:t>
      </w:r>
      <w:r w:rsidRPr="001C22A9">
        <w:rPr>
          <w:rFonts w:eastAsiaTheme="minorHAnsi"/>
          <w:lang w:eastAsia="en-US"/>
        </w:rPr>
        <w:tab/>
        <w:t>Replace “</w:t>
      </w:r>
      <w:r w:rsidRPr="001C22A9">
        <w:t>ISO 1496</w:t>
      </w:r>
      <w:r w:rsidRPr="001C22A9">
        <w:noBreakHyphen/>
        <w:t xml:space="preserve">4:1991” by </w:t>
      </w:r>
      <w:r w:rsidRPr="001C22A9">
        <w:rPr>
          <w:rFonts w:eastAsiaTheme="minorHAnsi"/>
          <w:lang w:eastAsia="en-US"/>
        </w:rPr>
        <w:t>“</w:t>
      </w:r>
      <w:r w:rsidRPr="001C22A9">
        <w:t>ISO 1496</w:t>
      </w:r>
      <w:r w:rsidRPr="001C22A9">
        <w:noBreakHyphen/>
        <w:t>4:2023”</w:t>
      </w:r>
      <w:r w:rsidRPr="001C22A9">
        <w:rPr>
          <w:rFonts w:eastAsiaTheme="minorHAnsi"/>
          <w:lang w:eastAsia="en-US"/>
        </w:rPr>
        <w:t>. At the end, add the following new sentence:  “The test requirement of ISO 1496-4:1991 may continue to be used until 31 December 2034.</w:t>
      </w:r>
      <w:r w:rsidRPr="001C22A9">
        <w:t>”</w:t>
      </w:r>
      <w:r w:rsidRPr="001C22A9">
        <w:rPr>
          <w:rFonts w:eastAsiaTheme="minorHAnsi"/>
          <w:lang w:eastAsia="en-US"/>
        </w:rPr>
        <w:t>.</w:t>
      </w:r>
    </w:p>
    <w:p w14:paraId="1C7C5726"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6928181B" w14:textId="77777777" w:rsidR="00FB5C94" w:rsidRPr="004E1EC6" w:rsidRDefault="00FB5C94" w:rsidP="00FB5C94">
      <w:pPr>
        <w:pStyle w:val="SingleTxtG"/>
        <w:tabs>
          <w:tab w:val="clear" w:pos="1701"/>
        </w:tabs>
        <w:ind w:left="2268" w:hanging="1134"/>
        <w:rPr>
          <w:rFonts w:asciiTheme="majorBidi" w:hAnsiTheme="majorBidi" w:cstheme="majorBidi"/>
        </w:rPr>
      </w:pPr>
      <w:r>
        <w:rPr>
          <w:rFonts w:asciiTheme="majorBidi" w:hAnsiTheme="majorBidi" w:cstheme="majorBidi"/>
        </w:rPr>
        <w:t>6.8.4.1</w:t>
      </w:r>
      <w:r w:rsidRPr="004E1EC6">
        <w:rPr>
          <w:rFonts w:asciiTheme="majorBidi" w:hAnsiTheme="majorBidi" w:cstheme="majorBidi"/>
        </w:rPr>
        <w:tab/>
      </w:r>
      <w:r>
        <w:rPr>
          <w:rFonts w:asciiTheme="majorBidi" w:hAnsiTheme="majorBidi" w:cstheme="majorBidi"/>
        </w:rPr>
        <w:t>The amendment does not apply to the English version.</w:t>
      </w:r>
    </w:p>
    <w:p w14:paraId="4231B2B4"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07A176A4" w14:textId="77777777" w:rsidR="00FB5C94" w:rsidRDefault="00FB5C94" w:rsidP="00FB5C94">
      <w:pPr>
        <w:pStyle w:val="SingleTxtG"/>
        <w:ind w:left="2268" w:hanging="1134"/>
      </w:pPr>
      <w:r>
        <w:t>6.8.5.5.1</w:t>
      </w:r>
      <w:r>
        <w:tab/>
        <w:t>In (g),</w:t>
      </w:r>
      <w:r w:rsidRPr="004726CB">
        <w:t xml:space="preserve"> </w:t>
      </w:r>
      <w:r>
        <w:t>replace “stacking test load” by “superimposed stacking test mass”.</w:t>
      </w:r>
    </w:p>
    <w:p w14:paraId="58511D7C"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3AE508D2" w14:textId="77777777" w:rsidR="00FB5C94" w:rsidRPr="00FF3E52" w:rsidRDefault="00FB5C94" w:rsidP="00FB5C94">
      <w:pPr>
        <w:pStyle w:val="H1G"/>
      </w:pPr>
      <w:r>
        <w:tab/>
      </w:r>
      <w:r>
        <w:tab/>
        <w:t>Chapter 6.9</w:t>
      </w:r>
    </w:p>
    <w:p w14:paraId="7F9033E8" w14:textId="77777777" w:rsidR="00FB5C94" w:rsidRDefault="00FB5C94" w:rsidP="00FB5C94">
      <w:pPr>
        <w:spacing w:after="120"/>
        <w:ind w:left="2410" w:right="1134" w:hanging="1276"/>
        <w:jc w:val="both"/>
      </w:pPr>
      <w:r>
        <w:t>[</w:t>
      </w:r>
      <w:r w:rsidRPr="002E19FF">
        <w:t>6.</w:t>
      </w:r>
      <w:r>
        <w:t>9.1</w:t>
      </w:r>
      <w:r>
        <w:tab/>
        <w:t xml:space="preserve">Add a new </w:t>
      </w:r>
      <w:r w:rsidRPr="002E19FF">
        <w:t>6.</w:t>
      </w:r>
      <w:r>
        <w:t>9.1.5 to read as follows:</w:t>
      </w:r>
    </w:p>
    <w:p w14:paraId="5A244065" w14:textId="77777777" w:rsidR="00FB5C94" w:rsidRDefault="00FB5C94" w:rsidP="00FB5C94">
      <w:pPr>
        <w:pStyle w:val="SingleTxtG"/>
        <w:tabs>
          <w:tab w:val="clear" w:pos="1701"/>
          <w:tab w:val="clear" w:pos="2268"/>
          <w:tab w:val="clear" w:pos="2835"/>
          <w:tab w:val="left" w:pos="2410"/>
        </w:tabs>
      </w:pPr>
      <w:r>
        <w:t>“</w:t>
      </w:r>
      <w:r w:rsidRPr="00BD319C">
        <w:t>6.9.1.5</w:t>
      </w:r>
      <w:r w:rsidRPr="00BD319C">
        <w:tab/>
        <w:t>The requirements of section 6.9.3 are applied to FRP service equipment for portable tanks with shells made of metallic or FRP materials intended for the carriage of dangerous goods of Classes or Divisions 1, 3, 5.1, 6.1, 6.2, 8 and 9 by all modes of transport.”</w:t>
      </w:r>
      <w:r>
        <w:t>]</w:t>
      </w:r>
    </w:p>
    <w:p w14:paraId="3BC738EF"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64E00549" w14:textId="77777777" w:rsidR="00FB5C94" w:rsidRDefault="00FB5C94" w:rsidP="00FB5C94">
      <w:pPr>
        <w:spacing w:after="120"/>
        <w:ind w:left="2410" w:right="1134" w:hanging="1276"/>
        <w:jc w:val="both"/>
      </w:pPr>
      <w:r>
        <w:t>6.9.2.1</w:t>
      </w:r>
      <w:r>
        <w:tab/>
      </w:r>
      <w:r w:rsidRPr="00467AEA">
        <w:t>Amend</w:t>
      </w:r>
      <w:r>
        <w:t xml:space="preserve"> the </w:t>
      </w:r>
      <w:r w:rsidRPr="002820D6">
        <w:rPr>
          <w:rFonts w:asciiTheme="majorBidi" w:hAnsiTheme="majorBidi" w:cstheme="majorBidi"/>
        </w:rPr>
        <w:t>definition</w:t>
      </w:r>
      <w:r>
        <w:t xml:space="preserve"> of “</w:t>
      </w:r>
      <w:r>
        <w:rPr>
          <w:i/>
          <w:iCs/>
        </w:rPr>
        <w:t>FRP shell</w:t>
      </w:r>
      <w:r>
        <w:t>” to read as follows:</w:t>
      </w:r>
    </w:p>
    <w:p w14:paraId="0137A0E8" w14:textId="77777777" w:rsidR="00FB5C94" w:rsidRDefault="00FB5C94" w:rsidP="00FB5C94">
      <w:pPr>
        <w:pStyle w:val="SingleTxtG"/>
      </w:pPr>
      <w:r>
        <w:t>“</w:t>
      </w:r>
      <w:r w:rsidRPr="003200E8">
        <w:rPr>
          <w:i/>
          <w:iCs/>
        </w:rPr>
        <w:t>FRP shell</w:t>
      </w:r>
      <w:r w:rsidRPr="003200E8">
        <w:t xml:space="preserve"> means the part of the portable tank </w:t>
      </w:r>
      <w:r>
        <w:t>constructed</w:t>
      </w:r>
      <w:r w:rsidRPr="003200E8">
        <w:t xml:space="preserve"> from FRP, which retains the substance intended for transport (tank proper), including openings and their closures, but does not include service equipment or external structural equipment. Openings and their closures may be manufactured from metallic materials or FRP;</w:t>
      </w:r>
      <w:r>
        <w:t>”</w:t>
      </w:r>
    </w:p>
    <w:p w14:paraId="4E24A086" w14:textId="77777777" w:rsidR="00FB5C94" w:rsidRDefault="00FB5C94" w:rsidP="00FB5C94">
      <w:pPr>
        <w:spacing w:after="120"/>
        <w:ind w:left="2410" w:right="1134" w:hanging="1276"/>
        <w:jc w:val="both"/>
      </w:pPr>
      <w:r>
        <w:lastRenderedPageBreak/>
        <w:tab/>
      </w:r>
      <w:r w:rsidRPr="00467AEA">
        <w:t>Replace</w:t>
      </w:r>
      <w:r>
        <w:t xml:space="preserve"> the </w:t>
      </w:r>
      <w:r w:rsidRPr="002820D6">
        <w:rPr>
          <w:rFonts w:asciiTheme="majorBidi" w:hAnsiTheme="majorBidi" w:cstheme="majorBidi"/>
        </w:rPr>
        <w:t>definition</w:t>
      </w:r>
      <w:r>
        <w:t xml:space="preserve"> of “</w:t>
      </w:r>
      <w:r>
        <w:rPr>
          <w:i/>
          <w:iCs/>
        </w:rPr>
        <w:t>FRP tank</w:t>
      </w:r>
      <w:r>
        <w:t>” by the following new definition:</w:t>
      </w:r>
    </w:p>
    <w:p w14:paraId="6E2F1004" w14:textId="77777777" w:rsidR="00FB5C94" w:rsidRDefault="00FB5C94" w:rsidP="00FB5C94">
      <w:pPr>
        <w:pStyle w:val="SingleTxtG"/>
        <w:ind w:left="2268" w:hanging="1134"/>
      </w:pPr>
      <w:r>
        <w:t>“</w:t>
      </w:r>
      <w:r w:rsidRPr="003D1B7A">
        <w:rPr>
          <w:i/>
          <w:iCs/>
        </w:rPr>
        <w:t>FRP portable tank</w:t>
      </w:r>
      <w:r w:rsidRPr="003D1B7A">
        <w:t xml:space="preserve"> means a portable tank</w:t>
      </w:r>
      <w:r>
        <w:t>, as defined in 6.7.2.1, with an FRP shell;”</w:t>
      </w:r>
    </w:p>
    <w:p w14:paraId="1E865EDE"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23F23667" w14:textId="77777777" w:rsidR="00FB5C94" w:rsidRDefault="00FB5C94" w:rsidP="00FB5C94">
      <w:pPr>
        <w:spacing w:after="120"/>
        <w:ind w:left="2410" w:right="1134" w:hanging="1276"/>
        <w:jc w:val="both"/>
      </w:pPr>
      <w:r w:rsidRPr="00966226">
        <w:t>6.9.2.2.3.14.1</w:t>
      </w:r>
      <w:r>
        <w:tab/>
      </w:r>
      <w:r w:rsidRPr="002820D6">
        <w:rPr>
          <w:rFonts w:asciiTheme="majorBidi" w:hAnsiTheme="majorBidi" w:cstheme="majorBidi"/>
        </w:rPr>
        <w:t>Replace</w:t>
      </w:r>
      <w:r>
        <w:t xml:space="preserve"> “FRP tanks” by “FRP portable tanks”.</w:t>
      </w:r>
    </w:p>
    <w:p w14:paraId="1E1DD966"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7A29D892" w14:textId="77777777" w:rsidR="00FB5C94" w:rsidRDefault="00FB5C94" w:rsidP="00FB5C94">
      <w:pPr>
        <w:spacing w:after="120"/>
        <w:ind w:left="2410" w:right="1134" w:hanging="1276"/>
        <w:jc w:val="both"/>
        <w:rPr>
          <w:rFonts w:asciiTheme="majorBidi" w:hAnsiTheme="majorBidi" w:cstheme="majorBidi"/>
        </w:rPr>
      </w:pPr>
      <w:r>
        <w:rPr>
          <w:rFonts w:asciiTheme="majorBidi" w:hAnsiTheme="majorBidi" w:cstheme="majorBidi"/>
        </w:rPr>
        <w:t>6.9.2.2.3.16.2</w:t>
      </w:r>
      <w:r>
        <w:rPr>
          <w:rFonts w:asciiTheme="majorBidi" w:hAnsiTheme="majorBidi" w:cstheme="majorBidi"/>
        </w:rPr>
        <w:tab/>
        <w:t xml:space="preserve">In the </w:t>
      </w:r>
      <w:r w:rsidRPr="00467AEA">
        <w:t>first</w:t>
      </w:r>
      <w:r>
        <w:rPr>
          <w:rFonts w:asciiTheme="majorBidi" w:hAnsiTheme="majorBidi" w:cstheme="majorBidi"/>
        </w:rPr>
        <w:t xml:space="preserve"> sentence, replace “weight” by “mass”.</w:t>
      </w:r>
    </w:p>
    <w:p w14:paraId="326653EC"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1AAE5A61" w14:textId="38366918" w:rsidR="00FB5C94" w:rsidRDefault="00FB5C94" w:rsidP="00FB5C94">
      <w:pPr>
        <w:spacing w:after="120"/>
        <w:ind w:left="2410" w:right="1134" w:hanging="1276"/>
        <w:jc w:val="both"/>
      </w:pPr>
      <w:r w:rsidRPr="00074FE8">
        <w:rPr>
          <w:iCs/>
        </w:rPr>
        <w:t>6.9.2.</w:t>
      </w:r>
      <w:r>
        <w:rPr>
          <w:iCs/>
        </w:rPr>
        <w:t>4.6.2</w:t>
      </w:r>
      <w:r w:rsidRPr="00074FE8">
        <w:rPr>
          <w:iCs/>
        </w:rPr>
        <w:tab/>
      </w:r>
      <w:r>
        <w:rPr>
          <w:rFonts w:asciiTheme="majorBidi" w:hAnsiTheme="majorBidi" w:cstheme="majorBidi"/>
        </w:rPr>
        <w:t>The amendments do not apply to the English version.</w:t>
      </w:r>
    </w:p>
    <w:p w14:paraId="2DCE0651"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53D52B6A" w14:textId="77777777" w:rsidR="00FB5C94" w:rsidRDefault="00FB5C94" w:rsidP="00FB5C94">
      <w:pPr>
        <w:spacing w:after="120"/>
        <w:ind w:left="2410" w:right="1134" w:hanging="1276"/>
        <w:jc w:val="both"/>
        <w:rPr>
          <w:iCs/>
        </w:rPr>
      </w:pPr>
      <w:r w:rsidRPr="00074FE8">
        <w:rPr>
          <w:iCs/>
        </w:rPr>
        <w:t>6.9.2.5</w:t>
      </w:r>
      <w:r w:rsidRPr="00074FE8">
        <w:rPr>
          <w:iCs/>
        </w:rPr>
        <w:tab/>
        <w:t xml:space="preserve">In the </w:t>
      </w:r>
      <w:r>
        <w:rPr>
          <w:iCs/>
        </w:rPr>
        <w:t>heading</w:t>
      </w:r>
      <w:r w:rsidRPr="00074FE8">
        <w:rPr>
          <w:iCs/>
        </w:rPr>
        <w:t>, replace “</w:t>
      </w:r>
      <w:r w:rsidRPr="008C46CB">
        <w:rPr>
          <w:b/>
          <w:bCs/>
          <w:i/>
          <w:iCs/>
        </w:rPr>
        <w:t>portable tanks with FRP shell</w:t>
      </w:r>
      <w:r w:rsidRPr="00074FE8">
        <w:rPr>
          <w:iCs/>
        </w:rPr>
        <w:t>” by “</w:t>
      </w:r>
      <w:r w:rsidRPr="008C46CB">
        <w:rPr>
          <w:b/>
          <w:bCs/>
          <w:i/>
        </w:rPr>
        <w:t>FRP portable tanks</w:t>
      </w:r>
      <w:r w:rsidRPr="00074FE8">
        <w:rPr>
          <w:iCs/>
        </w:rPr>
        <w:t>”.</w:t>
      </w:r>
    </w:p>
    <w:p w14:paraId="33EF611E" w14:textId="77777777" w:rsidR="00FB5C94" w:rsidRDefault="00FB5C94" w:rsidP="00FB5C94">
      <w:pPr>
        <w:spacing w:after="120"/>
        <w:ind w:left="2410" w:right="1134" w:hanging="1276"/>
        <w:jc w:val="both"/>
        <w:rPr>
          <w:iCs/>
        </w:rPr>
      </w:pPr>
      <w:r>
        <w:rPr>
          <w:iCs/>
        </w:rPr>
        <w:tab/>
        <w:t>In the text under the heading, in the first sentence, [</w:t>
      </w:r>
      <w:r>
        <w:t>delete “</w:t>
      </w:r>
      <w:r w:rsidRPr="00942DC7">
        <w:t>bottom openings, pressure relief devices, gauging devices,</w:t>
      </w:r>
      <w:r>
        <w:t xml:space="preserve">”] and </w:t>
      </w:r>
      <w:r>
        <w:rPr>
          <w:iCs/>
        </w:rPr>
        <w:t>replace “portable tanks” by “FRP portable tanks”.</w:t>
      </w:r>
    </w:p>
    <w:p w14:paraId="016D8D0D" w14:textId="77777777" w:rsidR="00FB5C94" w:rsidRDefault="00FB5C94" w:rsidP="00FB5C94">
      <w:pPr>
        <w:spacing w:after="120"/>
        <w:ind w:left="2410" w:right="1134" w:hanging="1276"/>
        <w:jc w:val="both"/>
      </w:pPr>
      <w:r>
        <w:rPr>
          <w:iCs/>
        </w:rPr>
        <w:tab/>
        <w:t>[</w:t>
      </w:r>
      <w:r>
        <w:t>At the end, add anew sentence to read: “</w:t>
      </w:r>
      <w:r w:rsidRPr="00715C73">
        <w:t>FRP service equipment in accordance with section 6.9.3 may be used.</w:t>
      </w:r>
      <w:r>
        <w:t>”.]</w:t>
      </w:r>
    </w:p>
    <w:p w14:paraId="62C8D455"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4D86ABF4" w14:textId="77777777" w:rsidR="00FB5C94" w:rsidRDefault="00FB5C94" w:rsidP="00FB5C94">
      <w:pPr>
        <w:pStyle w:val="SingleTxtG"/>
        <w:ind w:left="2268" w:hanging="1134"/>
      </w:pPr>
      <w:r w:rsidRPr="00935601">
        <w:t>6.9.2.6.4</w:t>
      </w:r>
      <w:r>
        <w:tab/>
      </w:r>
      <w:r w:rsidRPr="00935601">
        <w:t>Replace “tank” with “FRP portable tank”.</w:t>
      </w:r>
    </w:p>
    <w:p w14:paraId="427F843C"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3100CE69" w14:textId="77777777" w:rsidR="00FB5C94" w:rsidRDefault="00FB5C94" w:rsidP="00FB5C94">
      <w:pPr>
        <w:spacing w:after="120"/>
        <w:ind w:left="2410" w:right="1134" w:hanging="1276"/>
        <w:jc w:val="both"/>
        <w:rPr>
          <w:rFonts w:asciiTheme="majorBidi" w:hAnsiTheme="majorBidi" w:cstheme="majorBidi"/>
        </w:rPr>
      </w:pPr>
      <w:r w:rsidRPr="000934D7">
        <w:rPr>
          <w:rFonts w:asciiTheme="majorBidi" w:hAnsiTheme="majorBidi" w:cstheme="majorBidi"/>
        </w:rPr>
        <w:t>6.9.2.6.4.2</w:t>
      </w:r>
      <w:r w:rsidRPr="000934D7">
        <w:rPr>
          <w:rFonts w:asciiTheme="majorBidi" w:hAnsiTheme="majorBidi" w:cstheme="majorBidi"/>
        </w:rPr>
        <w:tab/>
        <w:t xml:space="preserve">The </w:t>
      </w:r>
      <w:r w:rsidRPr="00467AEA">
        <w:t>amendments</w:t>
      </w:r>
      <w:r w:rsidRPr="000934D7">
        <w:rPr>
          <w:rFonts w:asciiTheme="majorBidi" w:hAnsiTheme="majorBidi" w:cstheme="majorBidi"/>
        </w:rPr>
        <w:t xml:space="preserve"> do not apply to the English version.</w:t>
      </w:r>
    </w:p>
    <w:p w14:paraId="06FB591B" w14:textId="77777777" w:rsidR="00FB5C94" w:rsidRPr="00843762" w:rsidRDefault="00FB5C94" w:rsidP="00FB5C94">
      <w:pPr>
        <w:pStyle w:val="SingleTxtG"/>
        <w:rPr>
          <w:i/>
          <w:iCs/>
        </w:rPr>
      </w:pPr>
      <w:r w:rsidRPr="00804977">
        <w:rPr>
          <w:i/>
          <w:iCs/>
        </w:rPr>
        <w:t xml:space="preserve">(Reference document: </w:t>
      </w:r>
      <w:r>
        <w:rPr>
          <w:i/>
          <w:iCs/>
        </w:rPr>
        <w:t>ST/SG/AC.10/C.3/124, Annex I</w:t>
      </w:r>
      <w:r w:rsidRPr="00804977">
        <w:rPr>
          <w:i/>
          <w:iCs/>
        </w:rPr>
        <w:t>)</w:t>
      </w:r>
    </w:p>
    <w:p w14:paraId="739614CE" w14:textId="77777777" w:rsidR="00FB5C94" w:rsidRDefault="00FB5C94" w:rsidP="00FB5C94">
      <w:pPr>
        <w:spacing w:after="120"/>
        <w:ind w:left="2410" w:right="1134" w:hanging="1276"/>
        <w:jc w:val="both"/>
      </w:pPr>
      <w:r w:rsidRPr="00621530">
        <w:t>6.9.2.8.1</w:t>
      </w:r>
      <w:r w:rsidRPr="00621530">
        <w:tab/>
        <w:t xml:space="preserve">In </w:t>
      </w:r>
      <w:r w:rsidRPr="00467AEA">
        <w:t>the</w:t>
      </w:r>
      <w:r w:rsidRPr="00621530">
        <w:t xml:space="preserve"> </w:t>
      </w:r>
      <w:r w:rsidRPr="00467AEA">
        <w:rPr>
          <w:rFonts w:asciiTheme="majorBidi" w:hAnsiTheme="majorBidi" w:cstheme="majorBidi"/>
        </w:rPr>
        <w:t>first</w:t>
      </w:r>
      <w:r w:rsidRPr="00621530">
        <w:t xml:space="preserve"> sentence, replace “portable FRP tanks” by “FRP portable tanks”</w:t>
      </w:r>
      <w:r>
        <w:t>.</w:t>
      </w:r>
    </w:p>
    <w:p w14:paraId="5FA92549" w14:textId="77777777" w:rsidR="00FB5C94" w:rsidRPr="00843762" w:rsidRDefault="00FB5C94" w:rsidP="00FB5C94">
      <w:pPr>
        <w:pStyle w:val="SingleTxtG"/>
        <w:rPr>
          <w:i/>
          <w:iCs/>
        </w:rPr>
      </w:pPr>
      <w:r w:rsidRPr="00804977">
        <w:rPr>
          <w:i/>
          <w:iCs/>
        </w:rPr>
        <w:t>(Reference document</w:t>
      </w:r>
      <w:r>
        <w:rPr>
          <w:i/>
          <w:iCs/>
        </w:rPr>
        <w:t>s</w:t>
      </w:r>
      <w:r w:rsidRPr="00804977">
        <w:rPr>
          <w:i/>
          <w:iCs/>
        </w:rPr>
        <w:t xml:space="preserve">: </w:t>
      </w:r>
      <w:r>
        <w:rPr>
          <w:i/>
          <w:iCs/>
        </w:rPr>
        <w:t>ST/SG/AC.10/C.3/124, Annex I and ST/SG/AC.10/C.3/126, Annex I</w:t>
      </w:r>
      <w:r w:rsidRPr="00804977">
        <w:rPr>
          <w:i/>
          <w:iCs/>
        </w:rPr>
        <w:t>)</w:t>
      </w:r>
    </w:p>
    <w:p w14:paraId="7708447F" w14:textId="77777777" w:rsidR="00FB5C94" w:rsidRDefault="00FB5C94" w:rsidP="00FB5C94">
      <w:pPr>
        <w:spacing w:after="120"/>
        <w:ind w:left="2410" w:right="1134" w:hanging="1276"/>
        <w:jc w:val="both"/>
      </w:pPr>
      <w:r w:rsidRPr="000A6026">
        <w:t>6.9.2.8.3</w:t>
      </w:r>
      <w:r w:rsidRPr="000A6026">
        <w:tab/>
        <w:t>Replace “tank” with “FRP portable tank”.</w:t>
      </w:r>
    </w:p>
    <w:p w14:paraId="1338BA52"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02508AC6" w14:textId="77777777" w:rsidR="00FB5C94" w:rsidRDefault="00FB5C94" w:rsidP="00FB5C94">
      <w:pPr>
        <w:spacing w:after="120"/>
        <w:ind w:left="2410" w:right="1134" w:hanging="1276"/>
        <w:jc w:val="both"/>
      </w:pPr>
      <w:r w:rsidRPr="007356D8">
        <w:t>6.9.2.8.4</w:t>
      </w:r>
      <w:r w:rsidRPr="007356D8">
        <w:tab/>
        <w:t>Replace “shell” with “FRP shell” (twice).</w:t>
      </w:r>
    </w:p>
    <w:p w14:paraId="66E87D22"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00156BD5" w14:textId="77777777" w:rsidR="00FB5C94" w:rsidRDefault="00FB5C94" w:rsidP="00FB5C94">
      <w:pPr>
        <w:spacing w:after="120"/>
        <w:ind w:left="2410" w:right="1134" w:hanging="1276"/>
        <w:jc w:val="both"/>
      </w:pPr>
      <w:r w:rsidRPr="00D22D9D">
        <w:t>6.9.2.9</w:t>
      </w:r>
      <w:r w:rsidRPr="00D22D9D">
        <w:tab/>
        <w:t>Replace “shell” by “FRP shell” (twice) and “tank” by “FRP portable tank”</w:t>
      </w:r>
      <w:r>
        <w:t>.</w:t>
      </w:r>
    </w:p>
    <w:p w14:paraId="50D672C4"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4DFD9F5F" w14:textId="77777777" w:rsidR="00FB5C94" w:rsidRDefault="00FB5C94" w:rsidP="00FB5C94">
      <w:pPr>
        <w:spacing w:after="120"/>
        <w:ind w:left="2410" w:right="1134" w:hanging="1276"/>
        <w:jc w:val="both"/>
      </w:pPr>
      <w:r w:rsidRPr="00FD6939">
        <w:t>6.9.2.10.2</w:t>
      </w:r>
      <w:r w:rsidRPr="00FD6939">
        <w:tab/>
        <w:t>Replace “Shell” with “FRP shell”.</w:t>
      </w:r>
    </w:p>
    <w:p w14:paraId="15D7E2A5"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161E9355" w14:textId="77777777" w:rsidR="00FB5C94" w:rsidRDefault="00FB5C94" w:rsidP="00FB5C94">
      <w:pPr>
        <w:pStyle w:val="SingleTxtG"/>
        <w:ind w:left="2268" w:hanging="1134"/>
      </w:pPr>
      <w:r>
        <w:t>[Add a new 6.9.3 to read as follows:</w:t>
      </w:r>
    </w:p>
    <w:p w14:paraId="2E06F0FB" w14:textId="77777777" w:rsidR="00FB5C94" w:rsidRPr="005945E3" w:rsidRDefault="00FB5C94" w:rsidP="00FB5C94">
      <w:pPr>
        <w:pStyle w:val="SingleTxtG"/>
        <w:tabs>
          <w:tab w:val="clear" w:pos="1701"/>
        </w:tabs>
        <w:rPr>
          <w:b/>
          <w:bCs/>
          <w:lang w:eastAsia="en-US"/>
        </w:rPr>
      </w:pPr>
      <w:r>
        <w:rPr>
          <w:lang w:eastAsia="en-US"/>
        </w:rPr>
        <w:t>“</w:t>
      </w:r>
      <w:r w:rsidRPr="005945E3">
        <w:rPr>
          <w:b/>
          <w:bCs/>
          <w:lang w:eastAsia="en-US"/>
        </w:rPr>
        <w:t>6.9.3</w:t>
      </w:r>
      <w:r>
        <w:rPr>
          <w:b/>
          <w:bCs/>
          <w:lang w:eastAsia="en-US"/>
        </w:rPr>
        <w:tab/>
      </w:r>
      <w:r w:rsidRPr="005945E3">
        <w:rPr>
          <w:b/>
          <w:bCs/>
          <w:lang w:eastAsia="en-US"/>
        </w:rPr>
        <w:t>Requirements for design, construction, inspection and testing of FRP service equipment for portables tanks</w:t>
      </w:r>
    </w:p>
    <w:p w14:paraId="5B57A380" w14:textId="77777777" w:rsidR="00FB5C94" w:rsidRPr="00FA7033" w:rsidRDefault="00FB5C94" w:rsidP="00FB5C94">
      <w:pPr>
        <w:pStyle w:val="SingleTxtG"/>
        <w:tabs>
          <w:tab w:val="clear" w:pos="1701"/>
        </w:tabs>
        <w:rPr>
          <w:b/>
          <w:bCs/>
          <w:i/>
          <w:iCs/>
        </w:rPr>
      </w:pPr>
      <w:r w:rsidRPr="00FA7033">
        <w:rPr>
          <w:b/>
          <w:bCs/>
        </w:rPr>
        <w:t>6.9.3.1</w:t>
      </w:r>
      <w:r w:rsidRPr="00FA7033">
        <w:rPr>
          <w:b/>
          <w:bCs/>
        </w:rPr>
        <w:tab/>
      </w:r>
      <w:r w:rsidRPr="00FA7033">
        <w:rPr>
          <w:b/>
          <w:bCs/>
          <w:i/>
          <w:iCs/>
        </w:rPr>
        <w:t>Definitions</w:t>
      </w:r>
    </w:p>
    <w:p w14:paraId="4C2848EE" w14:textId="77777777" w:rsidR="00FB5C94" w:rsidRPr="00B736B8" w:rsidRDefault="00FB5C94" w:rsidP="00FB5C94">
      <w:pPr>
        <w:pStyle w:val="SingleTxtG"/>
        <w:tabs>
          <w:tab w:val="clear" w:pos="1701"/>
        </w:tabs>
      </w:pPr>
      <w:r>
        <w:tab/>
      </w:r>
      <w:r w:rsidRPr="00B736B8">
        <w:t>For the purposes of this section, the definitions in 6.7.2.1 and 6.9.2.1 apply except for definitions related to metal materials for the construction of the service equipment of portable tanks.</w:t>
      </w:r>
    </w:p>
    <w:p w14:paraId="4082ADB9" w14:textId="77777777" w:rsidR="00FB5C94" w:rsidRPr="00B736B8" w:rsidRDefault="00FB5C94" w:rsidP="00FB5C94">
      <w:pPr>
        <w:pStyle w:val="SingleTxtG"/>
        <w:tabs>
          <w:tab w:val="clear" w:pos="1701"/>
        </w:tabs>
      </w:pPr>
      <w:r w:rsidRPr="00B736B8">
        <w:tab/>
        <w:t>Additionally, the following definitions apply to FRP service equipment.</w:t>
      </w:r>
    </w:p>
    <w:p w14:paraId="704F752F" w14:textId="77777777" w:rsidR="00FB5C94" w:rsidRPr="00B736B8" w:rsidRDefault="00FB5C94" w:rsidP="00FB5C94">
      <w:pPr>
        <w:pStyle w:val="SingleTxtG"/>
      </w:pPr>
      <w:r w:rsidRPr="00B736B8">
        <w:rPr>
          <w:i/>
          <w:iCs/>
        </w:rPr>
        <w:t>FRP service equipment</w:t>
      </w:r>
      <w:r w:rsidRPr="00B736B8">
        <w:t xml:space="preserve"> means </w:t>
      </w:r>
      <w:r w:rsidRPr="00D27F1D">
        <w:t xml:space="preserve">service equipment </w:t>
      </w:r>
      <w:r>
        <w:t xml:space="preserve">as </w:t>
      </w:r>
      <w:r w:rsidRPr="00D27F1D">
        <w:t xml:space="preserve">defined in 6.7.2.1 </w:t>
      </w:r>
      <w:r w:rsidRPr="00B736B8">
        <w:t xml:space="preserve">made of FRP </w:t>
      </w:r>
      <w:r>
        <w:t xml:space="preserve">materials </w:t>
      </w:r>
      <w:r w:rsidRPr="00B736B8">
        <w:t>including parts fabricated from other materials, as gate and seal assemblies, metallic parts, e.g. springs, fixings, applicable to both metallic and FR</w:t>
      </w:r>
      <w:r>
        <w:t>P</w:t>
      </w:r>
      <w:r w:rsidRPr="00B736B8">
        <w:t xml:space="preserve"> shells of the portable tanks.</w:t>
      </w:r>
    </w:p>
    <w:p w14:paraId="334F8A41" w14:textId="77777777" w:rsidR="00FB5C94" w:rsidRPr="00B736B8" w:rsidRDefault="00FB5C94" w:rsidP="00FB5C94">
      <w:pPr>
        <w:pStyle w:val="SingleTxtG"/>
      </w:pPr>
      <w:r w:rsidRPr="00B736B8">
        <w:rPr>
          <w:i/>
          <w:iCs/>
        </w:rPr>
        <w:lastRenderedPageBreak/>
        <w:t>Injection moulding</w:t>
      </w:r>
      <w:r w:rsidRPr="00B736B8">
        <w:t xml:space="preserve"> means a process of melting plastic pellets (thermosetting/thermoplastic polymers) and mixing with reinforcement agents like chopped glass fibres. Then, the mixture is metered into a mould with the help of high-pressure pumps or injection cylinders, which fills and solidifies to produce the final product.</w:t>
      </w:r>
    </w:p>
    <w:p w14:paraId="0D77B4F6" w14:textId="77777777" w:rsidR="00FB5C94" w:rsidRPr="00B736B8" w:rsidRDefault="00FB5C94" w:rsidP="00FB5C94">
      <w:pPr>
        <w:pStyle w:val="SingleTxtG"/>
      </w:pPr>
      <w:r w:rsidRPr="00B736B8">
        <w:rPr>
          <w:i/>
          <w:iCs/>
        </w:rPr>
        <w:t>Compression moulding</w:t>
      </w:r>
      <w:r w:rsidRPr="00B736B8">
        <w:t xml:space="preserve"> means a process for producing composite parts in a wide range of volumes typically employing a matched metal tool in a heated (normally hydraulic) press to consolidate sheet materials or moulding compounds </w:t>
      </w:r>
      <w:r>
        <w:t xml:space="preserve">under </w:t>
      </w:r>
      <w:r w:rsidRPr="00B736B8">
        <w:t>pressure.</w:t>
      </w:r>
    </w:p>
    <w:p w14:paraId="4465F092" w14:textId="77777777" w:rsidR="00FB5C94" w:rsidRPr="00B736B8" w:rsidRDefault="00FB5C94" w:rsidP="00FB5C94">
      <w:pPr>
        <w:pStyle w:val="SingleTxtG"/>
      </w:pPr>
      <w:r w:rsidRPr="00B736B8">
        <w:rPr>
          <w:i/>
          <w:iCs/>
        </w:rPr>
        <w:t>Reinforced reaction injection moulding (RRIM)</w:t>
      </w:r>
      <w:r w:rsidRPr="00B736B8">
        <w:t xml:space="preserve"> means a process of mixing of two or more resins together in the mixing chamber to form a thermosetting polymer under high pressure. Reinforcement agents like glass fibres are added to the mixture. Then, the resin mixture is metered into a mould with the help of high-pressure pumps or injection cylinders.</w:t>
      </w:r>
    </w:p>
    <w:p w14:paraId="15CAFB84" w14:textId="77777777" w:rsidR="00FB5C94" w:rsidRPr="00B736B8" w:rsidRDefault="00FB5C94" w:rsidP="00FB5C94">
      <w:pPr>
        <w:pStyle w:val="SingleTxtG"/>
      </w:pPr>
      <w:r w:rsidRPr="00B736B8">
        <w:rPr>
          <w:i/>
          <w:iCs/>
        </w:rPr>
        <w:t>Coupon-sample</w:t>
      </w:r>
      <w:r w:rsidRPr="00B736B8">
        <w:t xml:space="preserve"> means an FRP sample fabricated and tested in accordance with national or international standards to determine design allowables.</w:t>
      </w:r>
    </w:p>
    <w:p w14:paraId="271FAEB4" w14:textId="77777777" w:rsidR="00FB5C94" w:rsidRPr="00B736B8" w:rsidRDefault="00FB5C94" w:rsidP="00FB5C94">
      <w:pPr>
        <w:pStyle w:val="SingleTxtG"/>
      </w:pPr>
      <w:r w:rsidRPr="00B736B8">
        <w:rPr>
          <w:i/>
          <w:iCs/>
        </w:rPr>
        <w:t>Inspection-sample</w:t>
      </w:r>
      <w:r w:rsidRPr="00B736B8">
        <w:t xml:space="preserve"> means a sample cut out from the FRP service equipment to establish the </w:t>
      </w:r>
      <w:r>
        <w:t>conformity</w:t>
      </w:r>
      <w:r w:rsidRPr="00B736B8">
        <w:t xml:space="preserve"> of the serial FRP device to the prototype.</w:t>
      </w:r>
    </w:p>
    <w:p w14:paraId="057DE844" w14:textId="77777777" w:rsidR="00FB5C94" w:rsidRPr="00B736B8" w:rsidRDefault="00FB5C94" w:rsidP="00FB5C94">
      <w:pPr>
        <w:pStyle w:val="SingleTxtG"/>
      </w:pPr>
      <w:r w:rsidRPr="00B736B8">
        <w:rPr>
          <w:i/>
          <w:iCs/>
        </w:rPr>
        <w:t>FRP constituents</w:t>
      </w:r>
      <w:r w:rsidRPr="00B736B8">
        <w:t xml:space="preserve"> means reinforcement fibres or particles, thermoset or thermoplastic polymer (matrix), adhesives, and additives.</w:t>
      </w:r>
    </w:p>
    <w:p w14:paraId="4A442702" w14:textId="77777777" w:rsidR="00FB5C94" w:rsidRPr="009866F0" w:rsidRDefault="00FB5C94" w:rsidP="00FB5C94">
      <w:pPr>
        <w:pStyle w:val="SingleTxtG"/>
        <w:tabs>
          <w:tab w:val="clear" w:pos="1701"/>
        </w:tabs>
        <w:rPr>
          <w:b/>
          <w:bCs/>
        </w:rPr>
      </w:pPr>
      <w:r w:rsidRPr="009866F0">
        <w:rPr>
          <w:b/>
          <w:bCs/>
        </w:rPr>
        <w:t>6.9.3.2</w:t>
      </w:r>
      <w:r w:rsidRPr="009866F0">
        <w:rPr>
          <w:b/>
          <w:bCs/>
        </w:rPr>
        <w:tab/>
      </w:r>
      <w:r w:rsidRPr="009866F0">
        <w:rPr>
          <w:b/>
          <w:bCs/>
          <w:i/>
          <w:iCs/>
        </w:rPr>
        <w:t>General design and construction requirements</w:t>
      </w:r>
    </w:p>
    <w:p w14:paraId="33995B4F" w14:textId="77777777" w:rsidR="00FB5C94" w:rsidRPr="00B736B8" w:rsidRDefault="00FB5C94" w:rsidP="00FB5C94">
      <w:pPr>
        <w:pStyle w:val="SingleTxtG"/>
        <w:tabs>
          <w:tab w:val="clear" w:pos="1701"/>
        </w:tabs>
      </w:pPr>
      <w:r w:rsidRPr="00B736B8">
        <w:t>6.9.3.2.1</w:t>
      </w:r>
      <w:r w:rsidRPr="00B736B8">
        <w:tab/>
        <w:t>For the purposes of this section, the requirements of 6.7.2.2.11, 6.7.2.5.1 to 6.7.2.5.6, 6.7.2.5.10, 6.7.2.6.3, 6.7.2.8.2, 6.7.2.8.3, 6.7.2.9</w:t>
      </w:r>
      <w:r>
        <w:t>,</w:t>
      </w:r>
      <w:r w:rsidRPr="00B736B8">
        <w:t xml:space="preserve"> 6.7.2.12</w:t>
      </w:r>
      <w:r>
        <w:t>, 6.7.2.14 and</w:t>
      </w:r>
      <w:r w:rsidRPr="00B736B8">
        <w:t xml:space="preserve"> 6.7.2.15 shall be applied to FRP service equipment including metallic parts (springs, fixings, etc.). FRP service equipment shall be designed and constructed in accordance with the requirements of a pressure vessel code and national and international standards, applicable to FRP materials and recognized by the competent authority. </w:t>
      </w:r>
    </w:p>
    <w:p w14:paraId="1D50A88A" w14:textId="77777777" w:rsidR="00FB5C94" w:rsidRPr="00B736B8" w:rsidRDefault="00FB5C94" w:rsidP="00FB5C94">
      <w:pPr>
        <w:pStyle w:val="SingleTxtG"/>
        <w:rPr>
          <w:i/>
          <w:iCs/>
          <w:lang w:eastAsia="en-US"/>
        </w:rPr>
      </w:pPr>
      <w:r w:rsidRPr="00B736B8">
        <w:rPr>
          <w:lang w:eastAsia="en-US"/>
        </w:rPr>
        <w:t>6.9.3.2.2</w:t>
      </w:r>
      <w:r w:rsidRPr="00B736B8">
        <w:rPr>
          <w:lang w:eastAsia="en-US"/>
        </w:rPr>
        <w:tab/>
      </w:r>
      <w:r w:rsidRPr="00B736B8">
        <w:rPr>
          <w:i/>
          <w:iCs/>
          <w:lang w:eastAsia="en-US"/>
        </w:rPr>
        <w:t>Manufacturer’s quality system</w:t>
      </w:r>
    </w:p>
    <w:p w14:paraId="3A5E6A82" w14:textId="77777777" w:rsidR="00FB5C94" w:rsidRPr="00B736B8" w:rsidRDefault="00FB5C94" w:rsidP="00FB5C94">
      <w:pPr>
        <w:pStyle w:val="SingleTxtG"/>
      </w:pPr>
      <w:r w:rsidRPr="00B736B8">
        <w:t>6.9.3.2.2.1</w:t>
      </w:r>
      <w:r w:rsidRPr="00B736B8">
        <w:tab/>
        <w:t>FRP service equipment manufacturers shall have a documented quality system ensuring conformity of every item of the serial production of FRP service equipment to the approved prototype. The quality assurance program</w:t>
      </w:r>
      <w:r w:rsidRPr="00B736B8" w:rsidDel="006F7701">
        <w:t xml:space="preserve"> </w:t>
      </w:r>
      <w:r w:rsidRPr="00B736B8">
        <w:t>shall be submitted to the competent authority for approval. All manufacturer’s suppliers of material and components for FRP service equipment shall have a documented quality system. The quality system shall be developed in compliance with the general principles of international and national quality standards.</w:t>
      </w:r>
    </w:p>
    <w:p w14:paraId="5328D5CA" w14:textId="77777777" w:rsidR="00FB5C94" w:rsidRPr="00B736B8" w:rsidRDefault="00FB5C94" w:rsidP="00FB5C94">
      <w:pPr>
        <w:pStyle w:val="SingleTxtG"/>
      </w:pPr>
      <w:r w:rsidRPr="00B736B8">
        <w:t>6.9.3.2.2.2</w:t>
      </w:r>
      <w:r w:rsidRPr="00B736B8">
        <w:tab/>
        <w:t>The applicable provisions of 6.9.2.2.2 shall apply to FRP service equipment manufacturer’s quality system.</w:t>
      </w:r>
    </w:p>
    <w:p w14:paraId="609E9B0B" w14:textId="77777777" w:rsidR="00FB5C94" w:rsidRPr="00B736B8" w:rsidRDefault="00FB5C94" w:rsidP="00FB5C94">
      <w:pPr>
        <w:pStyle w:val="SingleTxtG"/>
        <w:rPr>
          <w:i/>
          <w:iCs/>
          <w:lang w:eastAsia="en-US"/>
        </w:rPr>
      </w:pPr>
      <w:r w:rsidRPr="00B736B8">
        <w:rPr>
          <w:lang w:eastAsia="en-US"/>
        </w:rPr>
        <w:t>6.9.3.2.3</w:t>
      </w:r>
      <w:r w:rsidRPr="00B736B8">
        <w:rPr>
          <w:lang w:eastAsia="en-US"/>
        </w:rPr>
        <w:tab/>
      </w:r>
      <w:r w:rsidRPr="00B736B8">
        <w:rPr>
          <w:i/>
          <w:iCs/>
          <w:lang w:eastAsia="en-US"/>
        </w:rPr>
        <w:t>FRP service equipment</w:t>
      </w:r>
    </w:p>
    <w:p w14:paraId="3FAEEE15" w14:textId="77777777" w:rsidR="00FB5C94" w:rsidRPr="00B736B8" w:rsidRDefault="00FB5C94" w:rsidP="00FB5C94">
      <w:pPr>
        <w:pStyle w:val="SingleTxtG"/>
      </w:pPr>
      <w:r w:rsidRPr="00B736B8">
        <w:t>6.9.3.2.3.1</w:t>
      </w:r>
      <w:r w:rsidRPr="00B736B8">
        <w:tab/>
        <w:t>FRP service equipment shall have appropriate rigid joints to the portable tank shell. The connections shall cause no local stress concentrations exceeding the design allowables for all operating and test conditions.</w:t>
      </w:r>
    </w:p>
    <w:p w14:paraId="34F0637C" w14:textId="77777777" w:rsidR="00FB5C94" w:rsidRPr="00B736B8" w:rsidRDefault="00FB5C94" w:rsidP="00FB5C94">
      <w:pPr>
        <w:pStyle w:val="SingleTxtG"/>
      </w:pPr>
      <w:r w:rsidRPr="00B736B8">
        <w:t>6.9.3.2.3.2</w:t>
      </w:r>
      <w:r w:rsidRPr="00B736B8">
        <w:tab/>
        <w:t>FRP service equipment shall be made of suitable materials, capable of operating within a minimum design temperature range of -40 °С to +50 °С, unless temperature ranges are specified for specific more severe climatic or operating conditions (e.g. heating elements), by the competent authority of the country where the transport operation is being performed.</w:t>
      </w:r>
    </w:p>
    <w:p w14:paraId="05256D4F" w14:textId="77777777" w:rsidR="00FB5C94" w:rsidRPr="00B736B8" w:rsidRDefault="00FB5C94" w:rsidP="00FB5C94">
      <w:pPr>
        <w:pStyle w:val="SingleTxtG"/>
      </w:pPr>
      <w:r w:rsidRPr="00B736B8">
        <w:t>6.9.3.2.3.3</w:t>
      </w:r>
      <w:r w:rsidRPr="00B736B8">
        <w:tab/>
        <w:t>FRP service equipment shall be designed and manufactured to withstand a test pressure that is not less than 1.5 times MAWP. Stop valves, piping devices and pipefittings intended for filling or discharging shall be designed and manufactured to withstand a pressure that is not less than 4 times MAWP. Specific provisions are stated substances in the applicable portable tank instruction indicated in column 10 of the Dangerous Goods List and described in 4.2.5, or by the portable tank special provision indicated in column 11 of the Dangerous Goods List and described in 4.2.5.3.</w:t>
      </w:r>
    </w:p>
    <w:p w14:paraId="07DF1A56" w14:textId="77777777" w:rsidR="00FB5C94" w:rsidRPr="00B736B8" w:rsidRDefault="00FB5C94" w:rsidP="00FB5C94">
      <w:pPr>
        <w:pStyle w:val="SingleTxtG"/>
      </w:pPr>
      <w:r w:rsidRPr="00B736B8">
        <w:t>6.9.3.2.3.4</w:t>
      </w:r>
      <w:r w:rsidRPr="00B736B8">
        <w:tab/>
        <w:t>FRP service equipment shall withstand vibration, service impacts, exposure to substance temperature and environmental effects.</w:t>
      </w:r>
    </w:p>
    <w:p w14:paraId="15021648" w14:textId="77777777" w:rsidR="00FB5C94" w:rsidRPr="00B736B8" w:rsidRDefault="00FB5C94" w:rsidP="00FB5C94">
      <w:pPr>
        <w:pStyle w:val="SingleTxtG"/>
      </w:pPr>
      <w:r w:rsidRPr="00B736B8">
        <w:lastRenderedPageBreak/>
        <w:t>6.9.3.2.3.5</w:t>
      </w:r>
      <w:r w:rsidRPr="00B736B8">
        <w:tab/>
        <w:t>Design calculations for FRP service equipment and its joints to the portable tank shell shall be performed by the finite element method or another method recognized by the competent authority.</w:t>
      </w:r>
    </w:p>
    <w:p w14:paraId="0C1D951C" w14:textId="77777777" w:rsidR="00FB5C94" w:rsidRPr="00B736B8" w:rsidRDefault="00FB5C94" w:rsidP="00FB5C94">
      <w:pPr>
        <w:pStyle w:val="SingleTxtG"/>
      </w:pPr>
      <w:r w:rsidRPr="00B736B8">
        <w:t>6.9.3.2.3.6</w:t>
      </w:r>
      <w:r w:rsidRPr="00B736B8">
        <w:tab/>
        <w:t>FRP service equipment shall meet the same requirements as given in 6.9.2.2.3.14 for the carriage of substances with a flash point of not more than 60 °C.</w:t>
      </w:r>
    </w:p>
    <w:p w14:paraId="65EE1B8D" w14:textId="77777777" w:rsidR="00FB5C94" w:rsidRPr="00B736B8" w:rsidRDefault="00FB5C94" w:rsidP="00FB5C94">
      <w:pPr>
        <w:pStyle w:val="SingleTxtG"/>
        <w:rPr>
          <w:i/>
          <w:iCs/>
          <w:lang w:eastAsia="en-US"/>
        </w:rPr>
      </w:pPr>
      <w:r w:rsidRPr="00B736B8">
        <w:rPr>
          <w:lang w:eastAsia="en-US"/>
        </w:rPr>
        <w:t>6.9.3.2.4</w:t>
      </w:r>
      <w:r w:rsidRPr="00B736B8">
        <w:rPr>
          <w:lang w:eastAsia="en-US"/>
        </w:rPr>
        <w:tab/>
      </w:r>
      <w:r w:rsidRPr="00B736B8">
        <w:rPr>
          <w:i/>
          <w:iCs/>
          <w:lang w:eastAsia="en-US"/>
        </w:rPr>
        <w:t>Materials</w:t>
      </w:r>
    </w:p>
    <w:p w14:paraId="7AA3DBE4" w14:textId="77777777" w:rsidR="00FB5C94" w:rsidRPr="00B736B8" w:rsidRDefault="00FB5C94" w:rsidP="00FB5C94">
      <w:pPr>
        <w:pStyle w:val="SingleTxtG"/>
      </w:pPr>
      <w:r w:rsidRPr="00B736B8">
        <w:t>6.9.3.2.4.1</w:t>
      </w:r>
      <w:r w:rsidRPr="00B736B8">
        <w:tab/>
        <w:t>Resins</w:t>
      </w:r>
    </w:p>
    <w:p w14:paraId="7B37BAB4" w14:textId="77777777" w:rsidR="00FB5C94" w:rsidRPr="00B736B8" w:rsidRDefault="00FB5C94" w:rsidP="00FB5C94">
      <w:pPr>
        <w:pStyle w:val="SingleTxtG"/>
        <w:tabs>
          <w:tab w:val="clear" w:pos="1701"/>
        </w:tabs>
      </w:pPr>
      <w:r w:rsidRPr="00B736B8">
        <w:tab/>
        <w:t>The processing of the resin mixture shall be carried out in strict compliance with the recommendations of the supplier. This concerns mainly the use of hardeners, initiators and accelerators. The resins can be:</w:t>
      </w:r>
    </w:p>
    <w:p w14:paraId="2402756B" w14:textId="77777777" w:rsidR="00FB5C94" w:rsidRPr="00B736B8" w:rsidRDefault="00FB5C94" w:rsidP="00FB5C94">
      <w:pPr>
        <w:pStyle w:val="SingleTxtG"/>
        <w:ind w:left="2835" w:hanging="567"/>
        <w:rPr>
          <w:bCs/>
          <w:color w:val="000000"/>
          <w:lang w:eastAsia="ru-RU"/>
        </w:rPr>
      </w:pPr>
      <w:r w:rsidRPr="00B736B8">
        <w:rPr>
          <w:bCs/>
          <w:color w:val="000000"/>
          <w:lang w:eastAsia="ru-RU"/>
        </w:rPr>
        <w:t>(a)</w:t>
      </w:r>
      <w:r w:rsidRPr="00B736B8">
        <w:rPr>
          <w:bCs/>
          <w:color w:val="000000"/>
          <w:lang w:eastAsia="ru-RU"/>
        </w:rPr>
        <w:tab/>
        <w:t>Unsaturated polyester resins;</w:t>
      </w:r>
    </w:p>
    <w:p w14:paraId="0D5F3E40" w14:textId="77777777" w:rsidR="00FB5C94" w:rsidRPr="00B736B8" w:rsidRDefault="00FB5C94" w:rsidP="00FB5C94">
      <w:pPr>
        <w:pStyle w:val="SingleTxtG"/>
        <w:ind w:left="2835" w:hanging="567"/>
        <w:rPr>
          <w:bCs/>
          <w:color w:val="000000"/>
          <w:lang w:eastAsia="ru-RU"/>
        </w:rPr>
      </w:pPr>
      <w:r w:rsidRPr="00B736B8">
        <w:rPr>
          <w:bCs/>
          <w:color w:val="000000"/>
          <w:lang w:eastAsia="ru-RU"/>
        </w:rPr>
        <w:t>(b)</w:t>
      </w:r>
      <w:r w:rsidRPr="00B736B8">
        <w:rPr>
          <w:bCs/>
          <w:color w:val="000000"/>
          <w:lang w:eastAsia="ru-RU"/>
        </w:rPr>
        <w:tab/>
        <w:t>Vinyl ester resins;</w:t>
      </w:r>
    </w:p>
    <w:p w14:paraId="19E3CF74" w14:textId="77777777" w:rsidR="00FB5C94" w:rsidRPr="00B736B8" w:rsidRDefault="00FB5C94" w:rsidP="00FB5C94">
      <w:pPr>
        <w:pStyle w:val="SingleTxtG"/>
        <w:ind w:left="2835" w:hanging="567"/>
        <w:rPr>
          <w:bCs/>
          <w:color w:val="000000"/>
          <w:lang w:eastAsia="ru-RU"/>
        </w:rPr>
      </w:pPr>
      <w:r w:rsidRPr="00B736B8">
        <w:rPr>
          <w:bCs/>
          <w:color w:val="000000"/>
          <w:lang w:eastAsia="ru-RU"/>
        </w:rPr>
        <w:t>(c)</w:t>
      </w:r>
      <w:r w:rsidRPr="00B736B8">
        <w:rPr>
          <w:bCs/>
          <w:color w:val="000000"/>
          <w:lang w:eastAsia="ru-RU"/>
        </w:rPr>
        <w:tab/>
        <w:t>Epoxy resins;</w:t>
      </w:r>
    </w:p>
    <w:p w14:paraId="539A6371" w14:textId="77777777" w:rsidR="00FB5C94" w:rsidRPr="00B736B8" w:rsidRDefault="00FB5C94" w:rsidP="00FB5C94">
      <w:pPr>
        <w:pStyle w:val="SingleTxtG"/>
        <w:ind w:left="2835" w:hanging="567"/>
        <w:rPr>
          <w:bCs/>
          <w:color w:val="000000"/>
          <w:lang w:eastAsia="ru-RU"/>
        </w:rPr>
      </w:pPr>
      <w:r w:rsidRPr="00B736B8">
        <w:rPr>
          <w:bCs/>
          <w:color w:val="000000"/>
          <w:lang w:eastAsia="ru-RU"/>
        </w:rPr>
        <w:t>(d)</w:t>
      </w:r>
      <w:r w:rsidRPr="00B736B8">
        <w:rPr>
          <w:bCs/>
          <w:color w:val="000000"/>
          <w:lang w:eastAsia="ru-RU"/>
        </w:rPr>
        <w:tab/>
        <w:t>Phenolic resins; or</w:t>
      </w:r>
    </w:p>
    <w:p w14:paraId="64E5B8C5" w14:textId="77777777" w:rsidR="00FB5C94" w:rsidRPr="00B736B8" w:rsidRDefault="00FB5C94" w:rsidP="00FB5C94">
      <w:pPr>
        <w:pStyle w:val="SingleTxtG"/>
        <w:ind w:left="2835" w:hanging="567"/>
        <w:rPr>
          <w:bCs/>
          <w:color w:val="000000"/>
          <w:lang w:eastAsia="ru-RU"/>
        </w:rPr>
      </w:pPr>
      <w:r w:rsidRPr="00B736B8">
        <w:rPr>
          <w:bCs/>
          <w:color w:val="000000"/>
          <w:lang w:eastAsia="ru-RU"/>
        </w:rPr>
        <w:t>(e)</w:t>
      </w:r>
      <w:r w:rsidRPr="00B736B8">
        <w:rPr>
          <w:bCs/>
          <w:color w:val="000000"/>
          <w:lang w:eastAsia="ru-RU"/>
        </w:rPr>
        <w:tab/>
        <w:t>Thermoplastic resins.</w:t>
      </w:r>
    </w:p>
    <w:p w14:paraId="5BEE4BC9" w14:textId="77777777" w:rsidR="00FB5C94" w:rsidRPr="00B736B8" w:rsidRDefault="00FB5C94" w:rsidP="00FB5C94">
      <w:pPr>
        <w:pStyle w:val="SingleTxtG"/>
        <w:tabs>
          <w:tab w:val="clear" w:pos="1701"/>
        </w:tabs>
      </w:pPr>
      <w:r w:rsidRPr="00B736B8">
        <w:tab/>
        <w:t>The heat distortion temperature (HDT) of the resin and FRP, determined in accordance with standard ISO 75-1:2020 shall be at least 20°C higher than the maximum service temperature of the tank, but shall in any case not be lower than 70°C.</w:t>
      </w:r>
    </w:p>
    <w:p w14:paraId="5FDE3F46" w14:textId="77777777" w:rsidR="00FB5C94" w:rsidRPr="00B736B8" w:rsidRDefault="00FB5C94" w:rsidP="00FB5C94">
      <w:pPr>
        <w:pStyle w:val="SingleTxtG"/>
      </w:pPr>
      <w:r w:rsidRPr="00B736B8">
        <w:t>6.9.3.2.4.2</w:t>
      </w:r>
      <w:r w:rsidRPr="00B736B8">
        <w:tab/>
        <w:t>Additives</w:t>
      </w:r>
    </w:p>
    <w:p w14:paraId="6C2E57CA" w14:textId="77777777" w:rsidR="00FB5C94" w:rsidRPr="00B736B8" w:rsidRDefault="00FB5C94" w:rsidP="00FB5C94">
      <w:pPr>
        <w:pStyle w:val="SingleTxtG"/>
        <w:tabs>
          <w:tab w:val="clear" w:pos="1701"/>
        </w:tabs>
      </w:pPr>
      <w:r w:rsidRPr="00B736B8">
        <w:tab/>
        <w:t>Additives necessary for the treatment of the resin, such as catalysts, accelerators, hardeners and thixotropic substances as well as materials used to improve the FRP service equipment, such as fillers, colours, pigments, etc. shall not cause weakening of the material, taking into account lifetime and temperature expectancy of the design.</w:t>
      </w:r>
    </w:p>
    <w:p w14:paraId="48EAC7C9" w14:textId="77777777" w:rsidR="00FB5C94" w:rsidRPr="00B736B8" w:rsidRDefault="00FB5C94" w:rsidP="00FB5C94">
      <w:pPr>
        <w:pStyle w:val="SingleTxtG"/>
      </w:pPr>
      <w:r w:rsidRPr="00B736B8">
        <w:t>6.9.3.2.4.3</w:t>
      </w:r>
      <w:r w:rsidRPr="00B736B8">
        <w:tab/>
        <w:t>Reinforcement fibres</w:t>
      </w:r>
    </w:p>
    <w:p w14:paraId="71FF36F8" w14:textId="77777777" w:rsidR="00FB5C94" w:rsidRPr="00B736B8" w:rsidRDefault="00FB5C94" w:rsidP="00FB5C94">
      <w:pPr>
        <w:pStyle w:val="SingleTxtG"/>
        <w:tabs>
          <w:tab w:val="clear" w:pos="1701"/>
        </w:tabs>
      </w:pPr>
      <w:r w:rsidRPr="00B736B8">
        <w:tab/>
        <w:t>Reinforcement fibres shall be chopped or continuous fibres of several types.</w:t>
      </w:r>
    </w:p>
    <w:p w14:paraId="66ECB6D6" w14:textId="77777777" w:rsidR="00FB5C94" w:rsidRPr="00B736B8" w:rsidRDefault="00FB5C94" w:rsidP="00FB5C94">
      <w:pPr>
        <w:pStyle w:val="SingleTxtG"/>
      </w:pPr>
      <w:r w:rsidRPr="00B736B8">
        <w:t>6.9.3.2.4.4</w:t>
      </w:r>
      <w:r w:rsidRPr="00B736B8">
        <w:tab/>
        <w:t>FRP service equipment shall be manufactured by compression moulding, injection moulding, reinforced reaction injection moulding or hand lay-up. Other manufacturing technologies may be applied with the agreement of the competent authority.</w:t>
      </w:r>
    </w:p>
    <w:p w14:paraId="222F1B91" w14:textId="77777777" w:rsidR="00FB5C94" w:rsidRPr="00635DAD" w:rsidRDefault="00FB5C94" w:rsidP="00FB5C94">
      <w:pPr>
        <w:pStyle w:val="SingleTxtG"/>
        <w:tabs>
          <w:tab w:val="clear" w:pos="1701"/>
        </w:tabs>
        <w:rPr>
          <w:b/>
          <w:bCs/>
          <w:i/>
          <w:iCs/>
        </w:rPr>
      </w:pPr>
      <w:r w:rsidRPr="00635DAD">
        <w:rPr>
          <w:b/>
          <w:bCs/>
        </w:rPr>
        <w:t>6.9.3.3</w:t>
      </w:r>
      <w:r w:rsidRPr="00635DAD">
        <w:rPr>
          <w:b/>
          <w:bCs/>
        </w:rPr>
        <w:tab/>
      </w:r>
      <w:r w:rsidRPr="00635DAD">
        <w:rPr>
          <w:b/>
          <w:bCs/>
          <w:i/>
          <w:iCs/>
        </w:rPr>
        <w:t>Design criteria</w:t>
      </w:r>
    </w:p>
    <w:p w14:paraId="04414BC4" w14:textId="77777777" w:rsidR="00FB5C94" w:rsidRPr="00B736B8" w:rsidRDefault="00FB5C94" w:rsidP="00FB5C94">
      <w:pPr>
        <w:pStyle w:val="SingleTxtG"/>
        <w:tabs>
          <w:tab w:val="clear" w:pos="1701"/>
        </w:tabs>
      </w:pPr>
      <w:r w:rsidRPr="00B736B8">
        <w:t>6.9.3.3.1</w:t>
      </w:r>
      <w:r w:rsidRPr="00B736B8">
        <w:tab/>
        <w:t>FRP service equipment shall be of a design capable of being stress-analyzed mathematically or experimentally by resistance strain gauges, or by other methods approved by the competent authority.</w:t>
      </w:r>
    </w:p>
    <w:p w14:paraId="5804599F" w14:textId="77777777" w:rsidR="00FB5C94" w:rsidRPr="00B736B8" w:rsidRDefault="00FB5C94" w:rsidP="00FB5C94">
      <w:pPr>
        <w:pStyle w:val="SingleTxtG"/>
        <w:tabs>
          <w:tab w:val="clear" w:pos="1701"/>
        </w:tabs>
      </w:pPr>
      <w:r w:rsidRPr="00B736B8">
        <w:t>6.9.3.3.2</w:t>
      </w:r>
      <w:r w:rsidRPr="00B736B8">
        <w:tab/>
        <w:t>FRP service equipment shall be designed and manufactured to withstand the test pressures specified in 6.9.3.2.3.3.</w:t>
      </w:r>
    </w:p>
    <w:p w14:paraId="39EF042D" w14:textId="77777777" w:rsidR="00FB5C94" w:rsidRPr="00B736B8" w:rsidRDefault="00FB5C94" w:rsidP="00FB5C94">
      <w:pPr>
        <w:pStyle w:val="SingleTxtG"/>
        <w:tabs>
          <w:tab w:val="clear" w:pos="1701"/>
        </w:tabs>
      </w:pPr>
      <w:r w:rsidRPr="00B736B8">
        <w:t>6.9.3.3.3</w:t>
      </w:r>
      <w:r w:rsidRPr="00B736B8">
        <w:tab/>
        <w:t>At the specified test pressure, the maximum tensile relative deformation measured in mm/mm in the FRP service equipment shall not result in the formation of microcracks, and therefore not be greater than the first measured point of elongation-based fracture or damage of the resin, measured during the tensile tests prescribed under 6.9.2.7.1.2 (c) and 6.9.3.4.1.1.</w:t>
      </w:r>
    </w:p>
    <w:p w14:paraId="217FFCE7" w14:textId="77777777" w:rsidR="00FB5C94" w:rsidRPr="00B736B8" w:rsidRDefault="00FB5C94" w:rsidP="00FB5C94">
      <w:pPr>
        <w:pStyle w:val="SingleTxtG"/>
        <w:tabs>
          <w:tab w:val="clear" w:pos="1701"/>
        </w:tabs>
      </w:pPr>
      <w:r w:rsidRPr="00B736B8">
        <w:t>6.9.3.3.4</w:t>
      </w:r>
      <w:r w:rsidRPr="00B736B8">
        <w:tab/>
        <w:t>For the internal test pressure specified in 6.9.3.2.3.3, the failure criteri</w:t>
      </w:r>
      <w:r>
        <w:t>on</w:t>
      </w:r>
      <w:r w:rsidRPr="00B736B8">
        <w:t xml:space="preserve"> (</w:t>
      </w:r>
      <w:r w:rsidRPr="00B736B8">
        <w:rPr>
          <w:i/>
          <w:iCs/>
        </w:rPr>
        <w:t>FC</w:t>
      </w:r>
      <w:r w:rsidRPr="00B736B8">
        <w:t>) shall not exceed the following value:</w:t>
      </w:r>
    </w:p>
    <w:p w14:paraId="4615F97E" w14:textId="77777777" w:rsidR="00FB5C94" w:rsidRPr="00B736B8" w:rsidRDefault="00FB5C94" w:rsidP="00FB5C94">
      <w:pPr>
        <w:pStyle w:val="SingleTxtG"/>
      </w:pPr>
      <m:oMathPara>
        <m:oMath>
          <m:r>
            <w:rPr>
              <w:rFonts w:ascii="Cambria Math" w:hAnsi="Cambria Math"/>
            </w:rPr>
            <m:t>FC</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K</m:t>
              </m:r>
            </m:den>
          </m:f>
          <m:r>
            <m:rPr>
              <m:sty m:val="p"/>
            </m:rPr>
            <w:rPr>
              <w:rFonts w:ascii="Cambria Math" w:hAnsi="Cambria Math"/>
            </w:rPr>
            <m:t xml:space="preserve"> </m:t>
          </m:r>
        </m:oMath>
      </m:oMathPara>
    </w:p>
    <w:p w14:paraId="54112CDD" w14:textId="77777777" w:rsidR="00FB5C94" w:rsidRPr="00B736B8" w:rsidRDefault="00FB5C94" w:rsidP="00FB5C94">
      <w:pPr>
        <w:pStyle w:val="SingleTxtG"/>
      </w:pPr>
      <w:r w:rsidRPr="00B736B8">
        <w:tab/>
        <w:t>where:</w:t>
      </w:r>
    </w:p>
    <w:p w14:paraId="31F30F2D" w14:textId="77777777" w:rsidR="00FB5C94" w:rsidRPr="00B736B8" w:rsidRDefault="00FB5C94" w:rsidP="00FB5C94">
      <w:pPr>
        <w:pStyle w:val="SingleTxtG"/>
      </w:pPr>
      <m:oMathPara>
        <m:oMathParaPr>
          <m:jc m:val="center"/>
        </m:oMathParaP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5</m:t>
              </m:r>
            </m:sub>
          </m:sSub>
        </m:oMath>
      </m:oMathPara>
    </w:p>
    <w:p w14:paraId="5499F29C" w14:textId="77777777" w:rsidR="00FB5C94" w:rsidRPr="00B736B8" w:rsidRDefault="00FB5C94" w:rsidP="00FB5C94">
      <w:pPr>
        <w:pStyle w:val="SingleTxtG"/>
      </w:pPr>
      <w:r w:rsidRPr="00B736B8">
        <w:tab/>
        <w:t>where:</w:t>
      </w:r>
    </w:p>
    <w:p w14:paraId="30FD2C88" w14:textId="77777777" w:rsidR="00FB5C94" w:rsidRPr="00BA0B6F" w:rsidRDefault="00FB5C94" w:rsidP="00FB5C94">
      <w:pPr>
        <w:pStyle w:val="SingleTxtG"/>
        <w:ind w:left="2835" w:hanging="567"/>
        <w:rPr>
          <w:bCs/>
        </w:rPr>
      </w:pPr>
      <w:r w:rsidRPr="00BA0B6F">
        <w:rPr>
          <w:bCs/>
          <w:i/>
        </w:rPr>
        <w:t>K</w:t>
      </w:r>
      <w:r w:rsidRPr="00142FDF">
        <w:rPr>
          <w:bCs/>
          <w:i/>
        </w:rPr>
        <w:tab/>
      </w:r>
      <w:r w:rsidRPr="00BA0B6F">
        <w:rPr>
          <w:bCs/>
        </w:rPr>
        <w:t xml:space="preserve">shall have a </w:t>
      </w:r>
      <w:r w:rsidRPr="00142FDF">
        <w:rPr>
          <w:bCs/>
          <w:color w:val="000000"/>
          <w:lang w:eastAsia="ru-RU"/>
        </w:rPr>
        <w:t>minimum</w:t>
      </w:r>
      <w:r w:rsidRPr="00BA0B6F">
        <w:rPr>
          <w:bCs/>
        </w:rPr>
        <w:t xml:space="preserve"> value of 4.</w:t>
      </w:r>
    </w:p>
    <w:p w14:paraId="7BA2196C" w14:textId="77777777" w:rsidR="00FB5C94" w:rsidRPr="00BA0B6F" w:rsidRDefault="005C13A1" w:rsidP="00FB5C94">
      <w:pPr>
        <w:pStyle w:val="SingleTxtG"/>
        <w:ind w:left="2835" w:hanging="567"/>
        <w:rPr>
          <w:bCs/>
        </w:rPr>
      </w:pPr>
      <m:oMath>
        <m:sSub>
          <m:sSubPr>
            <m:ctrlPr>
              <w:rPr>
                <w:rFonts w:ascii="Cambria Math" w:hAnsi="Cambria Math"/>
                <w:bCs/>
              </w:rPr>
            </m:ctrlPr>
          </m:sSubPr>
          <m:e>
            <m:r>
              <w:rPr>
                <w:rFonts w:ascii="Cambria Math" w:hAnsi="Cambria Math"/>
              </w:rPr>
              <m:t>K</m:t>
            </m:r>
          </m:e>
          <m:sub>
            <m:r>
              <m:rPr>
                <m:sty m:val="p"/>
              </m:rPr>
              <w:rPr>
                <w:rFonts w:ascii="Cambria Math" w:hAnsi="Cambria Math"/>
              </w:rPr>
              <m:t>0</m:t>
            </m:r>
          </m:sub>
        </m:sSub>
        <m:r>
          <m:rPr>
            <m:sty m:val="p"/>
          </m:rPr>
          <w:rPr>
            <w:rFonts w:ascii="Cambria Math" w:hAnsi="Cambria Math"/>
          </w:rPr>
          <m:t>,</m:t>
        </m:r>
        <m:sSub>
          <m:sSubPr>
            <m:ctrlPr>
              <w:rPr>
                <w:rFonts w:ascii="Cambria Math" w:hAnsi="Cambria Math"/>
                <w:bCs/>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Cs/>
              </w:rPr>
            </m:ctrlPr>
          </m:sSubPr>
          <m:e>
            <m: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Cs/>
              </w:rPr>
            </m:ctrlPr>
          </m:sSubPr>
          <m:e>
            <m:r>
              <w:rPr>
                <w:rFonts w:ascii="Cambria Math" w:hAnsi="Cambria Math"/>
              </w:rPr>
              <m:t>K</m:t>
            </m:r>
          </m:e>
          <m:sub>
            <m:r>
              <m:rPr>
                <m:sty m:val="p"/>
              </m:rPr>
              <w:rPr>
                <w:rFonts w:ascii="Cambria Math" w:hAnsi="Cambria Math"/>
              </w:rPr>
              <m:t>3</m:t>
            </m:r>
          </m:sub>
        </m:sSub>
        <m:r>
          <m:rPr>
            <m:sty m:val="p"/>
          </m:rPr>
          <w:rPr>
            <w:rFonts w:ascii="Cambria Math" w:hAnsi="Cambria Math"/>
          </w:rPr>
          <m:t>,</m:t>
        </m:r>
        <m:sSub>
          <m:sSubPr>
            <m:ctrlPr>
              <w:rPr>
                <w:rFonts w:ascii="Cambria Math" w:hAnsi="Cambria Math"/>
                <w:bCs/>
              </w:rPr>
            </m:ctrlPr>
          </m:sSubPr>
          <m:e>
            <m:r>
              <w:rPr>
                <w:rFonts w:ascii="Cambria Math" w:hAnsi="Cambria Math"/>
              </w:rPr>
              <m:t>K</m:t>
            </m:r>
          </m:e>
          <m:sub>
            <m:r>
              <m:rPr>
                <m:sty m:val="p"/>
              </m:rPr>
              <w:rPr>
                <w:rFonts w:ascii="Cambria Math" w:hAnsi="Cambria Math"/>
              </w:rPr>
              <m:t>4</m:t>
            </m:r>
          </m:sub>
        </m:sSub>
      </m:oMath>
      <w:r w:rsidR="00FB5C94" w:rsidRPr="00BA0B6F">
        <w:rPr>
          <w:bCs/>
        </w:rPr>
        <w:t xml:space="preserve"> are given in 6.9.2.3.4.</w:t>
      </w:r>
    </w:p>
    <w:p w14:paraId="14B63109" w14:textId="77777777" w:rsidR="00FB5C94" w:rsidRPr="00BA0B6F" w:rsidRDefault="005C13A1" w:rsidP="00FB5C94">
      <w:pPr>
        <w:pStyle w:val="SingleTxtG"/>
        <w:ind w:left="2835" w:hanging="567"/>
        <w:rPr>
          <w:bCs/>
        </w:rPr>
      </w:pPr>
      <m:oMath>
        <m:sSub>
          <m:sSubPr>
            <m:ctrlPr>
              <w:rPr>
                <w:rFonts w:ascii="Cambria Math" w:hAnsi="Cambria Math"/>
                <w:bCs/>
              </w:rPr>
            </m:ctrlPr>
          </m:sSubPr>
          <m:e>
            <m:r>
              <w:rPr>
                <w:rFonts w:ascii="Cambria Math" w:hAnsi="Cambria Math"/>
              </w:rPr>
              <m:t>K</m:t>
            </m:r>
          </m:e>
          <m:sub>
            <m:r>
              <m:rPr>
                <m:sty m:val="p"/>
              </m:rPr>
              <w:rPr>
                <w:rFonts w:ascii="Cambria Math" w:hAnsi="Cambria Math"/>
              </w:rPr>
              <m:t>5</m:t>
            </m:r>
          </m:sub>
        </m:sSub>
      </m:oMath>
      <w:r w:rsidR="00FB5C94" w:rsidRPr="00BA0B6F">
        <w:rPr>
          <w:bCs/>
        </w:rPr>
        <w:tab/>
        <w:t>is a factor related to the deterioration in the material properties due to effects of salt fog spray and ultraviolet exposure. It shall be determined by the formula:</w:t>
      </w:r>
    </w:p>
    <w:p w14:paraId="2C83CFDB" w14:textId="77777777" w:rsidR="00FB5C94" w:rsidRPr="00BA0B6F" w:rsidRDefault="005C13A1" w:rsidP="00FB5C94">
      <w:pPr>
        <w:pStyle w:val="SingleTxtG"/>
        <w:ind w:left="2835" w:hanging="567"/>
        <w:jc w:val="center"/>
        <w:rPr>
          <w:bCs/>
        </w:rPr>
      </w:pPr>
      <m:oMath>
        <m:sSub>
          <m:sSubPr>
            <m:ctrlPr>
              <w:rPr>
                <w:rFonts w:ascii="Cambria Math" w:hAnsi="Cambria Math"/>
                <w:bCs/>
              </w:rPr>
            </m:ctrlPr>
          </m:sSubPr>
          <m:e>
            <m:r>
              <w:rPr>
                <w:rFonts w:ascii="Cambria Math" w:hAnsi="Cambria Math"/>
              </w:rPr>
              <m:t>K</m:t>
            </m:r>
          </m:e>
          <m:sub>
            <m:r>
              <m:rPr>
                <m:sty m:val="p"/>
              </m:rPr>
              <w:rPr>
                <w:rFonts w:ascii="Cambria Math" w:hAnsi="Cambria Math"/>
              </w:rPr>
              <m:t>5</m:t>
            </m:r>
          </m:sub>
        </m:sSub>
        <m:r>
          <m:rPr>
            <m:sty m:val="p"/>
          </m:rPr>
          <w:rPr>
            <w:rFonts w:ascii="Cambria Math" w:hAns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σ</m:t>
                </m:r>
              </m:e>
              <m:sub>
                <m:r>
                  <w:rPr>
                    <w:rFonts w:ascii="Cambria Math" w:hAnsi="Cambria Math"/>
                  </w:rPr>
                  <m:t>n</m:t>
                </m:r>
              </m:sub>
            </m:sSub>
          </m:num>
          <m:den>
            <m:sSub>
              <m:sSubPr>
                <m:ctrlPr>
                  <w:rPr>
                    <w:rFonts w:ascii="Cambria Math" w:hAnsi="Cambria Math"/>
                    <w:bCs/>
                  </w:rPr>
                </m:ctrlPr>
              </m:sSubPr>
              <m:e>
                <m:r>
                  <w:rPr>
                    <w:rFonts w:ascii="Cambria Math" w:hAnsi="Cambria Math"/>
                  </w:rPr>
                  <m:t>σ</m:t>
                </m:r>
              </m:e>
              <m:sub>
                <m:r>
                  <w:rPr>
                    <w:rFonts w:ascii="Cambria Math" w:hAnsi="Cambria Math"/>
                  </w:rPr>
                  <m:t>eff</m:t>
                </m:r>
              </m:sub>
            </m:sSub>
          </m:den>
        </m:f>
      </m:oMath>
      <w:r w:rsidR="00FB5C94" w:rsidRPr="00BA0B6F">
        <w:rPr>
          <w:bCs/>
        </w:rPr>
        <w:t>,</w:t>
      </w:r>
    </w:p>
    <w:p w14:paraId="57C9D721" w14:textId="77777777" w:rsidR="00FB5C94" w:rsidRPr="00BA0B6F" w:rsidRDefault="00FB5C94" w:rsidP="00FB5C94">
      <w:pPr>
        <w:pStyle w:val="SingleTxtG"/>
        <w:ind w:left="2835" w:hanging="567"/>
        <w:rPr>
          <w:bCs/>
        </w:rPr>
      </w:pPr>
      <w:r w:rsidRPr="00142FDF">
        <w:rPr>
          <w:bCs/>
          <w:color w:val="000000"/>
          <w:lang w:eastAsia="ru-RU"/>
        </w:rPr>
        <w:t>where</w:t>
      </w:r>
      <w:r w:rsidRPr="00BA0B6F">
        <w:rPr>
          <w:bCs/>
        </w:rPr>
        <w:t>:</w:t>
      </w:r>
    </w:p>
    <w:p w14:paraId="754EED45" w14:textId="77777777" w:rsidR="00FB5C94" w:rsidRPr="00BA0B6F" w:rsidRDefault="005C13A1" w:rsidP="00FB5C94">
      <w:pPr>
        <w:pStyle w:val="SingleTxtG"/>
        <w:ind w:left="2835" w:hanging="567"/>
        <w:rPr>
          <w:bCs/>
        </w:rPr>
      </w:pPr>
      <m:oMath>
        <m:sSub>
          <m:sSubPr>
            <m:ctrlPr>
              <w:rPr>
                <w:rFonts w:ascii="Cambria Math" w:hAnsi="Cambria Math"/>
                <w:bCs/>
              </w:rPr>
            </m:ctrlPr>
          </m:sSubPr>
          <m:e>
            <m:r>
              <w:rPr>
                <w:rFonts w:ascii="Cambria Math" w:hAnsi="Cambria Math"/>
              </w:rPr>
              <m:t>σ</m:t>
            </m:r>
          </m:e>
          <m:sub>
            <m:r>
              <w:rPr>
                <w:rFonts w:ascii="Cambria Math" w:hAnsi="Cambria Math"/>
              </w:rPr>
              <m:t>n</m:t>
            </m:r>
          </m:sub>
        </m:sSub>
      </m:oMath>
      <w:r w:rsidR="00FB5C94" w:rsidRPr="00BA0B6F">
        <w:rPr>
          <w:bCs/>
        </w:rPr>
        <w:tab/>
        <w:t xml:space="preserve">is the nominal (under normal conditions) tensile strength of the FRP material and </w:t>
      </w:r>
      <m:oMath>
        <m:sSub>
          <m:sSubPr>
            <m:ctrlPr>
              <w:rPr>
                <w:rFonts w:ascii="Cambria Math" w:hAnsi="Cambria Math"/>
                <w:bCs/>
              </w:rPr>
            </m:ctrlPr>
          </m:sSubPr>
          <m:e>
            <m:r>
              <w:rPr>
                <w:rFonts w:ascii="Cambria Math" w:hAnsi="Cambria Math"/>
              </w:rPr>
              <m:t>σ</m:t>
            </m:r>
          </m:e>
          <m:sub>
            <m:r>
              <w:rPr>
                <w:rFonts w:ascii="Cambria Math" w:hAnsi="Cambria Math"/>
              </w:rPr>
              <m:t>eff</m:t>
            </m:r>
          </m:sub>
        </m:sSub>
      </m:oMath>
      <w:r w:rsidR="00FB5C94" w:rsidRPr="00BA0B6F">
        <w:rPr>
          <w:bCs/>
        </w:rPr>
        <w:t xml:space="preserve"> is the </w:t>
      </w:r>
      <w:r w:rsidR="00FB5C94" w:rsidRPr="00142FDF">
        <w:rPr>
          <w:bCs/>
          <w:color w:val="000000"/>
          <w:lang w:eastAsia="ru-RU"/>
        </w:rPr>
        <w:t>tensile</w:t>
      </w:r>
      <w:r w:rsidR="00FB5C94" w:rsidRPr="00BA0B6F">
        <w:rPr>
          <w:bCs/>
        </w:rPr>
        <w:t xml:space="preserve"> strength of the material after consecutive salt fog exposure in accordance with ISO 12944‑2:2017, ISO 12944-6:2018, 168 hours at +(35 ± 2) °С and ultraviolet exposure in accordance with ISO 4892-2, 168 hours at +(23 ± 2) °С.</w:t>
      </w:r>
    </w:p>
    <w:p w14:paraId="6FF15990" w14:textId="77777777" w:rsidR="00FB5C94" w:rsidRPr="00BA0B6F" w:rsidRDefault="00FB5C94" w:rsidP="00FB5C94">
      <w:pPr>
        <w:pStyle w:val="SingleTxtG"/>
        <w:ind w:left="2835" w:hanging="567"/>
        <w:rPr>
          <w:bCs/>
        </w:rPr>
      </w:pPr>
      <w:r w:rsidRPr="00BA0B6F">
        <w:rPr>
          <w:rFonts w:ascii="Cambria Math" w:hAnsi="Cambria Math" w:cs="Cambria Math"/>
          <w:bCs/>
        </w:rPr>
        <w:t>𝜎</w:t>
      </w:r>
      <w:r w:rsidRPr="00BA0B6F">
        <w:rPr>
          <w:rFonts w:ascii="Cambria Math" w:hAnsi="Cambria Math" w:cs="Cambria Math"/>
          <w:bCs/>
          <w:vertAlign w:val="subscript"/>
        </w:rPr>
        <w:t>𝑒𝑓𝑓</w:t>
      </w:r>
      <w:r w:rsidRPr="00BA0B6F">
        <w:rPr>
          <w:bCs/>
        </w:rPr>
        <w:tab/>
        <w:t xml:space="preserve">is the minimum of </w:t>
      </w:r>
      <w:r w:rsidRPr="00BA0B6F">
        <w:rPr>
          <w:rFonts w:ascii="Cambria Math" w:hAnsi="Cambria Math" w:cs="Cambria Math"/>
          <w:bCs/>
        </w:rPr>
        <w:t>𝜎</w:t>
      </w:r>
      <w:r w:rsidRPr="00BA0B6F">
        <w:rPr>
          <w:rFonts w:ascii="Cambria Math" w:hAnsi="Cambria Math" w:cs="Cambria Math"/>
          <w:bCs/>
          <w:vertAlign w:val="subscript"/>
        </w:rPr>
        <w:t>𝑒𝑓𝑓</w:t>
      </w:r>
      <w:r w:rsidRPr="00BA0B6F">
        <w:rPr>
          <w:bCs/>
          <w:vertAlign w:val="subscript"/>
        </w:rPr>
        <w:t>1</w:t>
      </w:r>
      <w:r w:rsidRPr="00BA0B6F">
        <w:rPr>
          <w:bCs/>
        </w:rPr>
        <w:t xml:space="preserve">, </w:t>
      </w:r>
      <w:r w:rsidRPr="00BA0B6F">
        <w:rPr>
          <w:rFonts w:ascii="Cambria Math" w:hAnsi="Cambria Math" w:cs="Cambria Math"/>
          <w:bCs/>
        </w:rPr>
        <w:t>𝜎</w:t>
      </w:r>
      <w:r w:rsidRPr="00BA0B6F">
        <w:rPr>
          <w:rFonts w:ascii="Cambria Math" w:hAnsi="Cambria Math" w:cs="Cambria Math"/>
          <w:bCs/>
          <w:vertAlign w:val="subscript"/>
        </w:rPr>
        <w:t>𝑒𝑓𝑓</w:t>
      </w:r>
      <w:r w:rsidRPr="00BA0B6F">
        <w:rPr>
          <w:bCs/>
          <w:vertAlign w:val="subscript"/>
        </w:rPr>
        <w:t>2</w:t>
      </w:r>
      <w:r w:rsidRPr="00BA0B6F">
        <w:rPr>
          <w:bCs/>
        </w:rPr>
        <w:t xml:space="preserve">, …, </w:t>
      </w:r>
      <w:r w:rsidRPr="00BA0B6F">
        <w:rPr>
          <w:rFonts w:ascii="Cambria Math" w:hAnsi="Cambria Math" w:cs="Cambria Math"/>
          <w:bCs/>
        </w:rPr>
        <w:t>𝜎</w:t>
      </w:r>
      <w:r w:rsidRPr="00BA0B6F">
        <w:rPr>
          <w:rFonts w:ascii="Cambria Math" w:hAnsi="Cambria Math" w:cs="Cambria Math"/>
          <w:bCs/>
          <w:vertAlign w:val="subscript"/>
        </w:rPr>
        <w:t>𝑒𝑓𝑓</w:t>
      </w:r>
      <w:r w:rsidRPr="00BA0B6F">
        <w:rPr>
          <w:bCs/>
          <w:vertAlign w:val="subscript"/>
        </w:rPr>
        <w:t>k</w:t>
      </w:r>
      <w:r w:rsidRPr="00BA0B6F">
        <w:rPr>
          <w:bCs/>
        </w:rPr>
        <w:t xml:space="preserve">), where 1, 2, ... k are identifiers of substances </w:t>
      </w:r>
      <w:r w:rsidRPr="00142FDF">
        <w:rPr>
          <w:bCs/>
          <w:color w:val="000000"/>
          <w:lang w:eastAsia="ru-RU"/>
        </w:rPr>
        <w:t>approved</w:t>
      </w:r>
      <w:r w:rsidRPr="00BA0B6F">
        <w:rPr>
          <w:bCs/>
        </w:rPr>
        <w:t xml:space="preserve"> for transportation by the given portable tank. If a protective coating is used, the samples with the coating shall be fabricated and tested.</w:t>
      </w:r>
    </w:p>
    <w:p w14:paraId="1905DFED" w14:textId="77777777" w:rsidR="00FB5C94" w:rsidRPr="00B736B8" w:rsidRDefault="00FB5C94" w:rsidP="00FB5C94">
      <w:pPr>
        <w:pStyle w:val="SingleTxtG"/>
        <w:tabs>
          <w:tab w:val="clear" w:pos="1701"/>
        </w:tabs>
      </w:pPr>
      <w:r w:rsidRPr="00B736B8">
        <w:tab/>
        <w:t>A design validation exercise using numerical analysis and a suitable composite failure criteri</w:t>
      </w:r>
      <w:r>
        <w:t>on</w:t>
      </w:r>
      <w:r w:rsidRPr="00B736B8">
        <w:t xml:space="preserve"> is to be undertaken to verify that </w:t>
      </w:r>
      <w:r>
        <w:t xml:space="preserve">stresses in </w:t>
      </w:r>
      <w:r w:rsidRPr="00B736B8">
        <w:t>the FRP service equipment are below the allowables. Suitable composite failure criteria include, but are not limited to strain invariant failure theory, maximum strain, or maximum stress. Other relations for the strength criteri</w:t>
      </w:r>
      <w:r>
        <w:t>on</w:t>
      </w:r>
      <w:r w:rsidRPr="00B736B8">
        <w:t xml:space="preserve"> are allowed upon agreement with the competent authority. The method, a proof of suitability for the chosen failure criteri</w:t>
      </w:r>
      <w:r>
        <w:t>on</w:t>
      </w:r>
      <w:r w:rsidRPr="00B736B8">
        <w:t xml:space="preserve"> with a list of relevant experiments for all parameters used in the chosen failure criteri</w:t>
      </w:r>
      <w:r>
        <w:t>on</w:t>
      </w:r>
      <w:r w:rsidRPr="00B736B8">
        <w:t>, and results of this design validation exercise are to be submitted to the competent authority.</w:t>
      </w:r>
    </w:p>
    <w:p w14:paraId="116C4F42" w14:textId="77777777" w:rsidR="00FB5C94" w:rsidRPr="00B736B8" w:rsidRDefault="00FB5C94" w:rsidP="00FB5C94">
      <w:pPr>
        <w:pStyle w:val="SingleTxtG"/>
        <w:tabs>
          <w:tab w:val="clear" w:pos="1701"/>
        </w:tabs>
      </w:pPr>
      <w:r w:rsidRPr="00B736B8">
        <w:tab/>
        <w:t>The parameters used in the chosen failure criteri</w:t>
      </w:r>
      <w:r>
        <w:t>on</w:t>
      </w:r>
      <w:r w:rsidRPr="00B736B8">
        <w:t xml:space="preserve"> are to be determined using the relevant experiments and the maximum strain in tension prescribed in 6.9.2.3.5, combined with factor of safety </w:t>
      </w:r>
      <w:r w:rsidRPr="00B736B8">
        <w:rPr>
          <w:i/>
          <w:iCs/>
        </w:rPr>
        <w:t>K</w:t>
      </w:r>
      <w:r w:rsidRPr="00B736B8">
        <w:t>. At least all experiments defined in 6.9.3.4.2 shall be performed.</w:t>
      </w:r>
    </w:p>
    <w:p w14:paraId="03294762" w14:textId="77777777" w:rsidR="00FB5C94" w:rsidRPr="00B736B8" w:rsidRDefault="00FB5C94" w:rsidP="00FB5C94">
      <w:pPr>
        <w:pStyle w:val="SingleTxtG"/>
      </w:pPr>
      <w:r w:rsidRPr="00B736B8">
        <w:t>6.9.3.3.5</w:t>
      </w:r>
      <w:r w:rsidRPr="00B736B8">
        <w:tab/>
        <w:t>Check calculations of the strength for FRP service equipment and its joints to the portable tank shell shall be performed by finite element method. Treatment of singularities shall be undertaken using an appropriate method according to the applicable pressure vessel code.</w:t>
      </w:r>
    </w:p>
    <w:p w14:paraId="61A43B1D" w14:textId="77777777" w:rsidR="00FB5C94" w:rsidRPr="00635DAD" w:rsidRDefault="00FB5C94" w:rsidP="00FB5C94">
      <w:pPr>
        <w:pStyle w:val="SingleTxtG"/>
        <w:tabs>
          <w:tab w:val="clear" w:pos="1701"/>
        </w:tabs>
        <w:rPr>
          <w:b/>
          <w:bCs/>
          <w:i/>
          <w:iCs/>
        </w:rPr>
      </w:pPr>
      <w:r w:rsidRPr="00635DAD">
        <w:rPr>
          <w:b/>
          <w:bCs/>
        </w:rPr>
        <w:t>6.9.3.4</w:t>
      </w:r>
      <w:r w:rsidRPr="00635DAD">
        <w:rPr>
          <w:b/>
          <w:bCs/>
        </w:rPr>
        <w:tab/>
      </w:r>
      <w:r w:rsidRPr="00635DAD">
        <w:rPr>
          <w:b/>
          <w:bCs/>
          <w:i/>
          <w:iCs/>
        </w:rPr>
        <w:t>Material testing</w:t>
      </w:r>
    </w:p>
    <w:p w14:paraId="747CB06F" w14:textId="77777777" w:rsidR="00FB5C94" w:rsidRPr="00635DAD" w:rsidRDefault="00FB5C94" w:rsidP="00FB5C94">
      <w:pPr>
        <w:pStyle w:val="SingleTxtG"/>
        <w:tabs>
          <w:tab w:val="clear" w:pos="1701"/>
        </w:tabs>
        <w:rPr>
          <w:i/>
          <w:iCs/>
        </w:rPr>
      </w:pPr>
      <w:r w:rsidRPr="00B736B8">
        <w:t>6.9.3.4.1</w:t>
      </w:r>
      <w:r w:rsidRPr="00B736B8">
        <w:tab/>
      </w:r>
      <w:r w:rsidRPr="00635DAD">
        <w:rPr>
          <w:i/>
          <w:iCs/>
        </w:rPr>
        <w:t>Resins</w:t>
      </w:r>
    </w:p>
    <w:p w14:paraId="6E898E8E" w14:textId="77777777" w:rsidR="00FB5C94" w:rsidRPr="00B736B8" w:rsidRDefault="00FB5C94" w:rsidP="00FB5C94">
      <w:pPr>
        <w:pStyle w:val="SingleTxtG"/>
        <w:tabs>
          <w:tab w:val="clear" w:pos="1701"/>
        </w:tabs>
      </w:pPr>
      <w:r w:rsidRPr="00B736B8">
        <w:tab/>
        <w:t>Where neat resin specimens are used for the materials testing set out in 6.9.3.4.1.1 and 6.9.3.4.1.2, the resin shall be processed in the same manner as when it is used in a composite material, taking into account mix ratios, resin additives, post-cure, and any other parameters deemed relevant to cure.</w:t>
      </w:r>
    </w:p>
    <w:p w14:paraId="2E2EBDB8" w14:textId="77777777" w:rsidR="00FB5C94" w:rsidRPr="00B736B8" w:rsidRDefault="00FB5C94" w:rsidP="00FB5C94">
      <w:pPr>
        <w:pStyle w:val="SingleTxtG"/>
        <w:tabs>
          <w:tab w:val="clear" w:pos="1701"/>
        </w:tabs>
      </w:pPr>
      <w:r w:rsidRPr="00B736B8">
        <w:t>6.9.3.4.1.1</w:t>
      </w:r>
      <w:r w:rsidRPr="00B736B8">
        <w:tab/>
        <w:t xml:space="preserve">Resin tensile elongation shall be tested according to ISО 527-2:2012. </w:t>
      </w:r>
    </w:p>
    <w:p w14:paraId="5231177B" w14:textId="77777777" w:rsidR="00FB5C94" w:rsidRPr="00B736B8" w:rsidRDefault="00FB5C94" w:rsidP="00FB5C94">
      <w:pPr>
        <w:pStyle w:val="SingleTxtG"/>
        <w:tabs>
          <w:tab w:val="clear" w:pos="1701"/>
        </w:tabs>
      </w:pPr>
      <w:r w:rsidRPr="00B736B8">
        <w:t>6.9.3.4.1.2</w:t>
      </w:r>
      <w:r w:rsidRPr="00B736B8">
        <w:tab/>
        <w:t>Heat distortion temperature shall be tested according to ISO 75-1:2020.</w:t>
      </w:r>
    </w:p>
    <w:p w14:paraId="405EA924" w14:textId="77777777" w:rsidR="00FB5C94" w:rsidRPr="00635DAD" w:rsidRDefault="00FB5C94" w:rsidP="00FB5C94">
      <w:pPr>
        <w:pStyle w:val="SingleTxtG"/>
        <w:tabs>
          <w:tab w:val="clear" w:pos="1701"/>
        </w:tabs>
        <w:rPr>
          <w:i/>
          <w:iCs/>
        </w:rPr>
      </w:pPr>
      <w:r w:rsidRPr="00B736B8">
        <w:t>6.9.3.4.2</w:t>
      </w:r>
      <w:r w:rsidRPr="00B736B8">
        <w:tab/>
      </w:r>
      <w:r w:rsidRPr="00635DAD">
        <w:rPr>
          <w:i/>
          <w:iCs/>
        </w:rPr>
        <w:t>Coupon-samples</w:t>
      </w:r>
    </w:p>
    <w:p w14:paraId="0A8BB3A8" w14:textId="77777777" w:rsidR="00FB5C94" w:rsidRPr="00B736B8" w:rsidRDefault="00FB5C94" w:rsidP="00FB5C94">
      <w:pPr>
        <w:pStyle w:val="SingleTxtG"/>
        <w:tabs>
          <w:tab w:val="clear" w:pos="1701"/>
        </w:tabs>
      </w:pPr>
      <w:r w:rsidRPr="00B736B8">
        <w:tab/>
        <w:t>Coupon-samples shall be manufactured by the same technology as the appropriate FRP service equipment.</w:t>
      </w:r>
    </w:p>
    <w:p w14:paraId="2C77E4E3" w14:textId="77777777" w:rsidR="00FB5C94" w:rsidRPr="00B736B8" w:rsidRDefault="00FB5C94" w:rsidP="00FB5C94">
      <w:pPr>
        <w:pStyle w:val="SingleTxtG"/>
        <w:tabs>
          <w:tab w:val="clear" w:pos="1701"/>
        </w:tabs>
      </w:pPr>
      <w:r w:rsidRPr="00B736B8">
        <w:t>6.9.3.4.2.1</w:t>
      </w:r>
      <w:r w:rsidRPr="00B736B8">
        <w:tab/>
        <w:t xml:space="preserve">Ultimate tensile strength and elongation shall be tested according to ISO 527-4:2021 or ISO 527-5:2021 according to according to reinforcing fibres and layups. </w:t>
      </w:r>
    </w:p>
    <w:p w14:paraId="0E949C6E" w14:textId="77777777" w:rsidR="00FB5C94" w:rsidRPr="00B736B8" w:rsidRDefault="00FB5C94" w:rsidP="00FB5C94">
      <w:pPr>
        <w:pStyle w:val="SingleTxtG"/>
        <w:tabs>
          <w:tab w:val="clear" w:pos="1701"/>
        </w:tabs>
      </w:pPr>
      <w:r w:rsidRPr="00B736B8">
        <w:t>6.9.3.4.2.2</w:t>
      </w:r>
      <w:r w:rsidRPr="00B736B8">
        <w:tab/>
        <w:t>Determination of compressive properties shall be tested in the in-plane direction according to ISO 14126:1999 + Cor 1:2001.</w:t>
      </w:r>
    </w:p>
    <w:p w14:paraId="7641D1C5" w14:textId="77777777" w:rsidR="00FB5C94" w:rsidRPr="00B736B8" w:rsidRDefault="00FB5C94" w:rsidP="00FB5C94">
      <w:pPr>
        <w:pStyle w:val="SingleTxtG"/>
      </w:pPr>
      <w:r w:rsidRPr="00B736B8">
        <w:t>6.9.3.4.2.3</w:t>
      </w:r>
      <w:r w:rsidRPr="00B736B8">
        <w:tab/>
        <w:t>Determination of the in-plane shear stress/strain response and shear modulus shall be tested according to ISO 20337:2018.</w:t>
      </w:r>
    </w:p>
    <w:p w14:paraId="56195A0B" w14:textId="77777777" w:rsidR="00FB5C94" w:rsidRPr="00B736B8" w:rsidRDefault="00FB5C94" w:rsidP="00FB5C94">
      <w:pPr>
        <w:pStyle w:val="SingleTxtG"/>
      </w:pPr>
      <w:r w:rsidRPr="00B736B8">
        <w:t>6.9.3.4.2.4</w:t>
      </w:r>
      <w:r w:rsidRPr="00B736B8">
        <w:tab/>
        <w:t>Mass density shall be tested according to ISO 1183-1:2019.</w:t>
      </w:r>
    </w:p>
    <w:p w14:paraId="25A02BFE" w14:textId="77777777" w:rsidR="00FB5C94" w:rsidRPr="00B736B8" w:rsidRDefault="00FB5C94" w:rsidP="00FB5C94">
      <w:pPr>
        <w:pStyle w:val="SingleTxtG"/>
      </w:pPr>
      <w:r w:rsidRPr="00B736B8">
        <w:lastRenderedPageBreak/>
        <w:t>6.9.3.4.2.5</w:t>
      </w:r>
      <w:r w:rsidRPr="00B736B8">
        <w:tab/>
        <w:t>Mass content and composition of the reinforcement fibres shall be tested according to ISO 1172:1996 or ISO 14127:2008. The fibre mass content of the coupon-samples shall be between 90 % and 100 % of the minimum fibre mass content specified for the appropriate FRP service equipment and obtained from testing of the inspection-samples.</w:t>
      </w:r>
    </w:p>
    <w:p w14:paraId="0CC47A81" w14:textId="77777777" w:rsidR="00FB5C94" w:rsidRPr="00B736B8" w:rsidRDefault="00FB5C94" w:rsidP="00FB5C94">
      <w:pPr>
        <w:pStyle w:val="SingleTxtG"/>
      </w:pPr>
      <w:r w:rsidRPr="00B736B8">
        <w:t>6.9.3.4.2.6</w:t>
      </w:r>
      <w:r w:rsidRPr="00B736B8">
        <w:tab/>
        <w:t>Heat distortion temperature shall be tested according to ISO 75-1:2020, ISO 75-2:2013, ISO 75-3:2004 according to reinforcing fibres and layups.</w:t>
      </w:r>
    </w:p>
    <w:p w14:paraId="689C686C" w14:textId="77777777" w:rsidR="00FB5C94" w:rsidRPr="00B736B8" w:rsidRDefault="00FB5C94" w:rsidP="00FB5C94">
      <w:pPr>
        <w:pStyle w:val="SingleTxtG"/>
      </w:pPr>
      <w:r w:rsidRPr="00B736B8">
        <w:t>6.9.3.4.2.7</w:t>
      </w:r>
      <w:r w:rsidRPr="00B736B8">
        <w:tab/>
        <w:t>Hardness shall be tested according to ISO 868:2003.</w:t>
      </w:r>
    </w:p>
    <w:p w14:paraId="535EF4F7" w14:textId="77777777" w:rsidR="00FB5C94" w:rsidRPr="00B736B8" w:rsidRDefault="00FB5C94" w:rsidP="00FB5C94">
      <w:pPr>
        <w:pStyle w:val="SingleTxtG"/>
      </w:pPr>
      <w:r w:rsidRPr="00B736B8">
        <w:t>6.9.3.4.2.8</w:t>
      </w:r>
      <w:r w:rsidRPr="00B736B8">
        <w:tab/>
        <w:t>Creep factor α shall be measured according to procedure prescribed by 6.9.2.7.1.2 (e). The test samples shall be taken according to ISO 14125:1998.</w:t>
      </w:r>
    </w:p>
    <w:p w14:paraId="7CE879A0" w14:textId="77777777" w:rsidR="00FB5C94" w:rsidRPr="00B736B8" w:rsidRDefault="00FB5C94" w:rsidP="00FB5C94">
      <w:pPr>
        <w:pStyle w:val="SingleTxtG"/>
      </w:pPr>
      <w:r w:rsidRPr="00B736B8">
        <w:t>6.9.3.4.2.9</w:t>
      </w:r>
      <w:r w:rsidRPr="00B736B8">
        <w:tab/>
        <w:t>Aging factor β shall be determined according to the procedure prescribed by 6.9.2.7.1.2 (f). The test samples shall be taken according to ISO 14125:1998. This testing may be undertaken on either pristine samples or on samples pre-subjected to salt fog spray exposure conditioning as outlined in 6.9.3.2.4.10.</w:t>
      </w:r>
    </w:p>
    <w:p w14:paraId="7D8EDD6A" w14:textId="77777777" w:rsidR="00FB5C94" w:rsidRPr="00B736B8" w:rsidRDefault="00FB5C94" w:rsidP="00FB5C94">
      <w:pPr>
        <w:pStyle w:val="SingleTxtG"/>
        <w:tabs>
          <w:tab w:val="clear" w:pos="1701"/>
        </w:tabs>
      </w:pPr>
      <w:r w:rsidRPr="00B736B8">
        <w:t>6.9.3.4.2.10</w:t>
      </w:r>
      <w:r w:rsidRPr="00B736B8">
        <w:tab/>
        <w:t>Salt fog exposure test shall be determined in accordance with ISO 12944‑2:2017, ISO 12944-6:2018, 168 hours at +(35 ± 2) °C.</w:t>
      </w:r>
    </w:p>
    <w:p w14:paraId="6CD13A18" w14:textId="77777777" w:rsidR="00FB5C94" w:rsidRPr="00B736B8" w:rsidRDefault="00FB5C94" w:rsidP="00FB5C94">
      <w:pPr>
        <w:pStyle w:val="SingleTxtG"/>
        <w:tabs>
          <w:tab w:val="clear" w:pos="1701"/>
        </w:tabs>
      </w:pPr>
      <w:r w:rsidRPr="00B736B8">
        <w:t>6.9.3.4.2.11</w:t>
      </w:r>
      <w:r w:rsidRPr="00B736B8">
        <w:tab/>
        <w:t>Ultraviolet exposure test shall be determined in accordance with ISO 4892-2:2013, 168 hours at +(23 ± 2) °С.</w:t>
      </w:r>
    </w:p>
    <w:p w14:paraId="31AE9E09" w14:textId="77777777" w:rsidR="00FB5C94" w:rsidRPr="00B736B8" w:rsidRDefault="00FB5C94" w:rsidP="00FB5C94">
      <w:pPr>
        <w:pStyle w:val="SingleTxtG"/>
        <w:tabs>
          <w:tab w:val="clear" w:pos="1701"/>
        </w:tabs>
      </w:pPr>
      <w:r w:rsidRPr="00B736B8">
        <w:t>6.9.3.4.2.12</w:t>
      </w:r>
      <w:r w:rsidRPr="00B736B8">
        <w:tab/>
        <w:t>The chemical compatibility with the transported substances shall be tested according to 6.9.2.7.1.3.</w:t>
      </w:r>
    </w:p>
    <w:p w14:paraId="12F187BA" w14:textId="77777777" w:rsidR="00FB5C94" w:rsidRPr="00B736B8" w:rsidRDefault="00FB5C94" w:rsidP="00FB5C94">
      <w:pPr>
        <w:pStyle w:val="SingleTxtG"/>
        <w:tabs>
          <w:tab w:val="clear" w:pos="1701"/>
        </w:tabs>
        <w:rPr>
          <w:bCs/>
        </w:rPr>
      </w:pPr>
      <w:r w:rsidRPr="00B736B8">
        <w:rPr>
          <w:bCs/>
        </w:rPr>
        <w:t>6.9.3.4.3</w:t>
      </w:r>
      <w:r w:rsidRPr="00B736B8">
        <w:rPr>
          <w:bCs/>
        </w:rPr>
        <w:tab/>
      </w:r>
      <w:r w:rsidRPr="00B736B8">
        <w:rPr>
          <w:bCs/>
          <w:i/>
          <w:iCs/>
        </w:rPr>
        <w:t>Additional material tests</w:t>
      </w:r>
    </w:p>
    <w:p w14:paraId="56F0B6D9" w14:textId="77777777" w:rsidR="00FB5C94" w:rsidRPr="00B736B8" w:rsidRDefault="00FB5C94" w:rsidP="00FB5C94">
      <w:pPr>
        <w:pStyle w:val="SingleTxtG"/>
        <w:tabs>
          <w:tab w:val="clear" w:pos="1701"/>
        </w:tabs>
      </w:pPr>
      <w:r w:rsidRPr="00B736B8">
        <w:tab/>
        <w:t>The additional material tests shall be carried out for determination of material properties required for design calculation.</w:t>
      </w:r>
    </w:p>
    <w:p w14:paraId="6BA37939" w14:textId="77777777" w:rsidR="00FB5C94" w:rsidRPr="00B736B8" w:rsidRDefault="00FB5C94" w:rsidP="00FB5C94">
      <w:pPr>
        <w:pStyle w:val="SingleTxtG"/>
        <w:tabs>
          <w:tab w:val="clear" w:pos="1701"/>
        </w:tabs>
      </w:pPr>
      <w:r w:rsidRPr="00B736B8">
        <w:t>6.9.3.4.3.1</w:t>
      </w:r>
      <w:r w:rsidRPr="00B736B8">
        <w:tab/>
        <w:t xml:space="preserve">Flexural strength shall be measured according to ISO 14125:1998. </w:t>
      </w:r>
    </w:p>
    <w:p w14:paraId="796E6A1A" w14:textId="77777777" w:rsidR="00FB5C94" w:rsidRPr="00B736B8" w:rsidRDefault="00FB5C94" w:rsidP="00FB5C94">
      <w:pPr>
        <w:pStyle w:val="SingleTxtG"/>
        <w:tabs>
          <w:tab w:val="clear" w:pos="1701"/>
        </w:tabs>
      </w:pPr>
      <w:r w:rsidRPr="00B736B8">
        <w:t>6.9.3.4.3.2</w:t>
      </w:r>
      <w:r w:rsidRPr="00B736B8">
        <w:tab/>
        <w:t>Bearing test shall be determined according to ISO 12815:2013.</w:t>
      </w:r>
    </w:p>
    <w:p w14:paraId="1BE964F4" w14:textId="77777777" w:rsidR="00FB5C94" w:rsidRPr="00B736B8" w:rsidRDefault="00FB5C94" w:rsidP="00FB5C94">
      <w:pPr>
        <w:pStyle w:val="SingleTxtG"/>
        <w:tabs>
          <w:tab w:val="clear" w:pos="1701"/>
        </w:tabs>
      </w:pPr>
      <w:r w:rsidRPr="00B736B8">
        <w:t>6.9.3.4.4</w:t>
      </w:r>
      <w:r w:rsidRPr="00B736B8">
        <w:tab/>
      </w:r>
      <w:r w:rsidRPr="00B736B8">
        <w:rPr>
          <w:i/>
          <w:iCs/>
        </w:rPr>
        <w:t>Inspection-samples</w:t>
      </w:r>
    </w:p>
    <w:p w14:paraId="63D2A1B5" w14:textId="77777777" w:rsidR="00FB5C94" w:rsidRPr="00B736B8" w:rsidRDefault="00FB5C94" w:rsidP="00FB5C94">
      <w:pPr>
        <w:pStyle w:val="SingleTxtG"/>
        <w:tabs>
          <w:tab w:val="clear" w:pos="1701"/>
        </w:tabs>
      </w:pPr>
      <w:r w:rsidRPr="00B736B8">
        <w:tab/>
        <w:t>Prior to testing all coatings shall be removed from the samples. The tests shall cover 6.9.3.4.2.1 to 6.9.3.4.2.8.</w:t>
      </w:r>
    </w:p>
    <w:p w14:paraId="22927805" w14:textId="77777777" w:rsidR="00FB5C94" w:rsidRPr="00F41B4A" w:rsidRDefault="00FB5C94" w:rsidP="00FB5C94">
      <w:pPr>
        <w:pStyle w:val="SingleTxtG"/>
        <w:tabs>
          <w:tab w:val="clear" w:pos="1701"/>
        </w:tabs>
        <w:rPr>
          <w:b/>
          <w:bCs/>
          <w:i/>
          <w:iCs/>
        </w:rPr>
      </w:pPr>
      <w:r w:rsidRPr="00F41B4A">
        <w:rPr>
          <w:b/>
          <w:bCs/>
        </w:rPr>
        <w:t>6.9.3.5</w:t>
      </w:r>
      <w:r w:rsidRPr="00F41B4A">
        <w:rPr>
          <w:b/>
          <w:bCs/>
        </w:rPr>
        <w:tab/>
      </w:r>
      <w:r w:rsidRPr="00F41B4A">
        <w:rPr>
          <w:b/>
          <w:bCs/>
          <w:i/>
          <w:iCs/>
        </w:rPr>
        <w:t>Design approval</w:t>
      </w:r>
    </w:p>
    <w:p w14:paraId="6813146E" w14:textId="77777777" w:rsidR="00FB5C94" w:rsidRPr="00B736B8" w:rsidRDefault="00FB5C94" w:rsidP="00FB5C94">
      <w:pPr>
        <w:pStyle w:val="SingleTxtG"/>
        <w:tabs>
          <w:tab w:val="clear" w:pos="1701"/>
        </w:tabs>
      </w:pPr>
      <w:r w:rsidRPr="00B736B8">
        <w:t>6.9.3.5.1</w:t>
      </w:r>
      <w:r w:rsidRPr="00B736B8">
        <w:tab/>
        <w:t>The competent authority or its authorized body shall issue the type approval certificate for FRP service equipment. This certificate shall attest that the design has been surveyed by the authority and is suitable for its intended purpose and meets the requirements of this chapter. The certificate shall have a reference that prototype testing was carried out according to 6.9.3.5.2, the information on the substances allowed for transportation, body and seal materials and certificate number.</w:t>
      </w:r>
    </w:p>
    <w:p w14:paraId="3F03BE24" w14:textId="77777777" w:rsidR="00FB5C94" w:rsidRPr="00B736B8" w:rsidRDefault="00FB5C94" w:rsidP="00FB5C94">
      <w:pPr>
        <w:pStyle w:val="SingleTxtG"/>
        <w:tabs>
          <w:tab w:val="clear" w:pos="1701"/>
        </w:tabs>
      </w:pPr>
      <w:r w:rsidRPr="00B736B8">
        <w:t>6.9.3.5.2</w:t>
      </w:r>
      <w:r w:rsidRPr="00B736B8">
        <w:tab/>
        <w:t>The FRP service equipment prototype test report shall include at least the following:</w:t>
      </w:r>
    </w:p>
    <w:p w14:paraId="0DA2406D" w14:textId="77777777" w:rsidR="00FB5C94" w:rsidRPr="00B736B8" w:rsidRDefault="00FB5C94" w:rsidP="00FB5C94">
      <w:pPr>
        <w:pStyle w:val="SingleTxtG"/>
        <w:ind w:left="2835" w:hanging="567"/>
      </w:pPr>
      <w:r w:rsidRPr="00B736B8">
        <w:t>(a)</w:t>
      </w:r>
      <w:r w:rsidRPr="00B736B8">
        <w:tab/>
      </w:r>
      <w:r w:rsidRPr="00D200B6">
        <w:rPr>
          <w:bCs/>
          <w:color w:val="000000"/>
          <w:lang w:eastAsia="ru-RU"/>
        </w:rPr>
        <w:t>Results</w:t>
      </w:r>
      <w:r w:rsidRPr="00B736B8">
        <w:t xml:space="preserve"> of the material tests used for fabrication of FRP service equipment in accordance with 6.9.3.4.1 to 6.9.3.4.3.</w:t>
      </w:r>
    </w:p>
    <w:p w14:paraId="248E44CE" w14:textId="77777777" w:rsidR="00FB5C94" w:rsidRPr="00B736B8" w:rsidRDefault="00FB5C94" w:rsidP="00FB5C94">
      <w:pPr>
        <w:pStyle w:val="SingleTxtG"/>
        <w:ind w:left="2835" w:hanging="567"/>
      </w:pPr>
      <w:r w:rsidRPr="00B736B8">
        <w:t>(b)</w:t>
      </w:r>
      <w:r w:rsidRPr="00B736B8">
        <w:tab/>
      </w:r>
      <w:r w:rsidRPr="00D200B6">
        <w:rPr>
          <w:bCs/>
          <w:color w:val="000000"/>
          <w:lang w:eastAsia="ru-RU"/>
        </w:rPr>
        <w:t>Results</w:t>
      </w:r>
      <w:r w:rsidRPr="00B736B8">
        <w:t xml:space="preserve"> of tests according to ISO 4126-1:2013 for the appropriate relief devices.</w:t>
      </w:r>
    </w:p>
    <w:p w14:paraId="00F256F3" w14:textId="77777777" w:rsidR="00FB5C94" w:rsidRPr="00B736B8" w:rsidRDefault="00FB5C94" w:rsidP="00FB5C94">
      <w:pPr>
        <w:pStyle w:val="SingleTxtG"/>
        <w:ind w:left="2835" w:hanging="567"/>
        <w:rPr>
          <w:strike/>
        </w:rPr>
      </w:pPr>
      <w:r w:rsidRPr="00B736B8">
        <w:t>(c)</w:t>
      </w:r>
      <w:r w:rsidRPr="00B736B8">
        <w:tab/>
      </w:r>
      <w:r w:rsidRPr="00D200B6">
        <w:rPr>
          <w:bCs/>
          <w:color w:val="000000"/>
          <w:lang w:eastAsia="ru-RU"/>
        </w:rPr>
        <w:t>Results</w:t>
      </w:r>
      <w:r w:rsidRPr="00B736B8">
        <w:t xml:space="preserve"> of the pressure tests carried out in accordance with relevant ISO standards, where applicable, or according to procedure approved by the competent authority. The test pressure shall not be less than the pressure defined in 6.9.3.2.3.3.</w:t>
      </w:r>
    </w:p>
    <w:p w14:paraId="6BFE6006" w14:textId="77777777" w:rsidR="00FB5C94" w:rsidRPr="00B736B8" w:rsidRDefault="00FB5C94" w:rsidP="00FB5C94">
      <w:pPr>
        <w:pStyle w:val="SingleTxtG"/>
        <w:ind w:left="2835" w:hanging="567"/>
      </w:pPr>
      <w:r w:rsidRPr="00B736B8">
        <w:t>(d)</w:t>
      </w:r>
      <w:r w:rsidRPr="00B736B8">
        <w:tab/>
        <w:t xml:space="preserve">A </w:t>
      </w:r>
      <w:r w:rsidRPr="00D200B6">
        <w:rPr>
          <w:bCs/>
          <w:color w:val="000000"/>
          <w:lang w:eastAsia="ru-RU"/>
        </w:rPr>
        <w:t>representative</w:t>
      </w:r>
      <w:r w:rsidRPr="00B736B8">
        <w:t xml:space="preserve"> prototype of FRP service equipment shall be subjected to the fire test prescribed in the </w:t>
      </w:r>
      <w:r w:rsidRPr="00B736B8">
        <w:rPr>
          <w:i/>
          <w:iCs/>
        </w:rPr>
        <w:t>Manual of Tests and Criteria</w:t>
      </w:r>
      <w:r w:rsidRPr="00B736B8">
        <w:t xml:space="preserve">, part IV, section 42. </w:t>
      </w:r>
    </w:p>
    <w:p w14:paraId="18B6A56B" w14:textId="77777777" w:rsidR="00FB5C94" w:rsidRPr="00B736B8" w:rsidRDefault="00FB5C94" w:rsidP="00FB5C94">
      <w:pPr>
        <w:pStyle w:val="SingleTxtG"/>
        <w:ind w:left="2835" w:hanging="567"/>
      </w:pPr>
      <w:r w:rsidRPr="00B736B8">
        <w:t>(e)</w:t>
      </w:r>
      <w:r w:rsidRPr="00B736B8">
        <w:tab/>
        <w:t xml:space="preserve">Results of the electrical resistance tests according to a procedure recognized by the competent </w:t>
      </w:r>
      <w:r w:rsidRPr="00D200B6">
        <w:rPr>
          <w:bCs/>
          <w:color w:val="000000"/>
          <w:lang w:eastAsia="ru-RU"/>
        </w:rPr>
        <w:t>authority</w:t>
      </w:r>
      <w:r w:rsidRPr="00B736B8">
        <w:t xml:space="preserve">. </w:t>
      </w:r>
    </w:p>
    <w:p w14:paraId="31F4B3CB" w14:textId="77777777" w:rsidR="00FB5C94" w:rsidRPr="00B736B8" w:rsidRDefault="00FB5C94" w:rsidP="00FB5C94">
      <w:pPr>
        <w:pStyle w:val="SingleTxtG"/>
        <w:ind w:left="2835" w:hanging="567"/>
      </w:pPr>
      <w:r w:rsidRPr="00B736B8">
        <w:lastRenderedPageBreak/>
        <w:t>(f)</w:t>
      </w:r>
      <w:r w:rsidRPr="00B736B8">
        <w:tab/>
        <w:t xml:space="preserve">Results of </w:t>
      </w:r>
      <w:r w:rsidRPr="00D200B6">
        <w:rPr>
          <w:bCs/>
          <w:color w:val="000000"/>
          <w:lang w:eastAsia="ru-RU"/>
        </w:rPr>
        <w:t>the</w:t>
      </w:r>
      <w:r w:rsidRPr="00B736B8">
        <w:t xml:space="preserve"> other tests prescribed in applicable pressure equipment standards or codes in agreement with the competent authority.</w:t>
      </w:r>
    </w:p>
    <w:p w14:paraId="13A235E3" w14:textId="77777777" w:rsidR="00FB5C94" w:rsidRPr="00B736B8" w:rsidRDefault="00FB5C94" w:rsidP="00FB5C94">
      <w:pPr>
        <w:pStyle w:val="SingleTxtG"/>
      </w:pPr>
      <w:r w:rsidRPr="00B736B8">
        <w:t>6.9.3.5.3</w:t>
      </w:r>
      <w:r w:rsidRPr="00B736B8">
        <w:tab/>
        <w:t>A service life inspection program shall be established, which shall be a part of the operation manual, to monitor the condition of the FRP service equipment at periodic inspections. The service life inspection program shall be approved by the competent authority.</w:t>
      </w:r>
    </w:p>
    <w:p w14:paraId="50F9EF59" w14:textId="77777777" w:rsidR="00FB5C94" w:rsidRPr="00D200B6" w:rsidRDefault="00FB5C94" w:rsidP="00FB5C94">
      <w:pPr>
        <w:pStyle w:val="SingleTxtG"/>
        <w:tabs>
          <w:tab w:val="clear" w:pos="1701"/>
        </w:tabs>
        <w:rPr>
          <w:b/>
          <w:bCs/>
          <w:i/>
          <w:iCs/>
        </w:rPr>
      </w:pPr>
      <w:r w:rsidRPr="00D200B6">
        <w:rPr>
          <w:b/>
          <w:bCs/>
        </w:rPr>
        <w:t>6.9.3.6</w:t>
      </w:r>
      <w:r w:rsidRPr="00D200B6">
        <w:rPr>
          <w:b/>
          <w:bCs/>
        </w:rPr>
        <w:tab/>
      </w:r>
      <w:r w:rsidRPr="00D200B6">
        <w:rPr>
          <w:b/>
          <w:bCs/>
          <w:i/>
          <w:iCs/>
        </w:rPr>
        <w:t>Inspection and testing</w:t>
      </w:r>
    </w:p>
    <w:p w14:paraId="1F6017C7" w14:textId="77777777" w:rsidR="00FB5C94" w:rsidRPr="00B736B8" w:rsidRDefault="00FB5C94" w:rsidP="00FB5C94">
      <w:pPr>
        <w:pStyle w:val="SingleTxtG"/>
      </w:pPr>
      <w:r w:rsidRPr="00B736B8">
        <w:t>6.9.3.6.1</w:t>
      </w:r>
      <w:r w:rsidRPr="00B736B8">
        <w:tab/>
        <w:t>FRP service equipment shall be inspected and tested before being put into service. The initial inspection and test after manufacture shall include a check of the design characteristics and an external examination of FRP service equipment with due regard to the substances to be transported, and a pressure test. Before putting the FRP service equipment into service, a leakproofness test and a test of the satisfactory operation shall also be performed. Relief valves shall be tested for opening/closing pressure before installation. The initial inspection and testing program shall be approved by the competent authority.</w:t>
      </w:r>
    </w:p>
    <w:p w14:paraId="447CFD17" w14:textId="77777777" w:rsidR="00FB5C94" w:rsidRPr="00B736B8" w:rsidRDefault="00FB5C94" w:rsidP="00FB5C94">
      <w:pPr>
        <w:pStyle w:val="SingleTxtG"/>
      </w:pPr>
      <w:r w:rsidRPr="00B736B8">
        <w:t>6.9.3.6.2</w:t>
      </w:r>
      <w:r w:rsidRPr="00B736B8">
        <w:tab/>
        <w:t>Periodic inspection and testing of FRP service equipment shall be carried out during inspection of the portable tank according to 6.7.2.19.2, 6.7.2.19.4, and 6.7.2.19.5 or 6.9.2.8.1 according to the service life inspection program approved by the competent authority.</w:t>
      </w:r>
    </w:p>
    <w:p w14:paraId="0A06465B" w14:textId="77777777" w:rsidR="00FB5C94" w:rsidRPr="00B736B8" w:rsidRDefault="00FB5C94" w:rsidP="00FB5C94">
      <w:pPr>
        <w:pStyle w:val="SingleTxtG"/>
      </w:pPr>
      <w:r w:rsidRPr="00B736B8">
        <w:t>6.9.3.6.3</w:t>
      </w:r>
      <w:r w:rsidRPr="00B736B8">
        <w:tab/>
        <w:t xml:space="preserve">The inspections and tests in 6.9.3.6.1 and 6.9.3.6.2 shall be performed or witnessed by an expert approved by the competent authority. </w:t>
      </w:r>
    </w:p>
    <w:p w14:paraId="2DC5D339" w14:textId="77777777" w:rsidR="00FB5C94" w:rsidRPr="00B736B8" w:rsidRDefault="00FB5C94" w:rsidP="00FB5C94">
      <w:pPr>
        <w:pStyle w:val="SingleTxtG"/>
      </w:pPr>
      <w:r w:rsidRPr="00B736B8">
        <w:t>6.9.3.6.4</w:t>
      </w:r>
      <w:r w:rsidRPr="00B736B8">
        <w:tab/>
        <w:t>Repair work of FRP service equipment shall be limited to replacement of damaged components by components covered by the type approval of the service equipment.</w:t>
      </w:r>
    </w:p>
    <w:p w14:paraId="1944F419" w14:textId="77777777" w:rsidR="00FB5C94" w:rsidRPr="00000108" w:rsidRDefault="00FB5C94" w:rsidP="00FB5C94">
      <w:pPr>
        <w:pStyle w:val="SingleTxtG"/>
        <w:tabs>
          <w:tab w:val="clear" w:pos="1701"/>
        </w:tabs>
        <w:rPr>
          <w:b/>
          <w:bCs/>
        </w:rPr>
      </w:pPr>
      <w:r w:rsidRPr="00000108">
        <w:rPr>
          <w:b/>
          <w:bCs/>
        </w:rPr>
        <w:t>6.9.3.7</w:t>
      </w:r>
      <w:r w:rsidRPr="00000108">
        <w:rPr>
          <w:b/>
          <w:bCs/>
        </w:rPr>
        <w:tab/>
      </w:r>
      <w:r w:rsidRPr="00000108">
        <w:rPr>
          <w:b/>
          <w:bCs/>
          <w:i/>
          <w:iCs/>
        </w:rPr>
        <w:t>Marking</w:t>
      </w:r>
    </w:p>
    <w:p w14:paraId="05551404" w14:textId="77777777" w:rsidR="00FB5C94" w:rsidRPr="00000108" w:rsidRDefault="00FB5C94" w:rsidP="00FB5C94">
      <w:pPr>
        <w:pStyle w:val="SingleTxtG"/>
        <w:rPr>
          <w:i/>
          <w:iCs/>
        </w:rPr>
      </w:pPr>
      <w:r w:rsidRPr="00B736B8">
        <w:t>6.9.3.7.1</w:t>
      </w:r>
      <w:r w:rsidRPr="00B736B8">
        <w:tab/>
      </w:r>
      <w:r w:rsidRPr="00000108">
        <w:rPr>
          <w:i/>
          <w:iCs/>
        </w:rPr>
        <w:t>Marking of relief devices</w:t>
      </w:r>
    </w:p>
    <w:p w14:paraId="2BED8205" w14:textId="77777777" w:rsidR="00FB5C94" w:rsidRPr="00B736B8" w:rsidRDefault="00FB5C94" w:rsidP="00FB5C94">
      <w:pPr>
        <w:pStyle w:val="SingleTxtG"/>
        <w:tabs>
          <w:tab w:val="clear" w:pos="1701"/>
        </w:tabs>
      </w:pPr>
      <w:r w:rsidRPr="00B736B8">
        <w:tab/>
        <w:t xml:space="preserve">Each relief device shall be marked as follows: </w:t>
      </w:r>
    </w:p>
    <w:p w14:paraId="51A1C5DE" w14:textId="77777777" w:rsidR="00FB5C94" w:rsidRPr="00F904BC" w:rsidRDefault="00FB5C94" w:rsidP="00FB5C94">
      <w:pPr>
        <w:pStyle w:val="SingleTxtG"/>
        <w:ind w:left="2835" w:hanging="567"/>
        <w:rPr>
          <w:bCs/>
          <w:color w:val="000000"/>
          <w:lang w:eastAsia="ru-RU"/>
        </w:rPr>
      </w:pPr>
      <w:r w:rsidRPr="00B736B8">
        <w:t>(a)</w:t>
      </w:r>
      <w:r w:rsidRPr="00B736B8">
        <w:tab/>
        <w:t xml:space="preserve">name of </w:t>
      </w:r>
      <w:r w:rsidRPr="00F904BC">
        <w:rPr>
          <w:bCs/>
          <w:color w:val="000000"/>
          <w:lang w:eastAsia="ru-RU"/>
        </w:rPr>
        <w:t>the manufacturer and the serial number of the equipment;</w:t>
      </w:r>
    </w:p>
    <w:p w14:paraId="4630BD80" w14:textId="77777777" w:rsidR="00FB5C94" w:rsidRPr="00F904BC" w:rsidRDefault="00FB5C94" w:rsidP="00FB5C94">
      <w:pPr>
        <w:pStyle w:val="SingleTxtG"/>
        <w:ind w:left="2835" w:hanging="567"/>
        <w:rPr>
          <w:bCs/>
          <w:color w:val="000000"/>
          <w:lang w:eastAsia="ru-RU"/>
        </w:rPr>
      </w:pPr>
      <w:r w:rsidRPr="00F904BC">
        <w:rPr>
          <w:bCs/>
          <w:color w:val="000000"/>
          <w:lang w:eastAsia="ru-RU"/>
        </w:rPr>
        <w:t>(b)</w:t>
      </w:r>
      <w:r w:rsidRPr="00F904BC">
        <w:rPr>
          <w:bCs/>
          <w:color w:val="000000"/>
          <w:lang w:eastAsia="ru-RU"/>
        </w:rPr>
        <w:tab/>
        <w:t>name of body and seal materials;</w:t>
      </w:r>
    </w:p>
    <w:p w14:paraId="56E2A7E6" w14:textId="77777777" w:rsidR="00FB5C94" w:rsidRPr="00F904BC" w:rsidRDefault="00FB5C94" w:rsidP="00FB5C94">
      <w:pPr>
        <w:pStyle w:val="SingleTxtG"/>
        <w:ind w:left="2835" w:hanging="567"/>
        <w:rPr>
          <w:bCs/>
          <w:color w:val="000000"/>
          <w:lang w:eastAsia="ru-RU"/>
        </w:rPr>
      </w:pPr>
      <w:r w:rsidRPr="00F904BC">
        <w:rPr>
          <w:bCs/>
          <w:color w:val="000000"/>
          <w:lang w:eastAsia="ru-RU"/>
        </w:rPr>
        <w:t>(c)</w:t>
      </w:r>
      <w:r w:rsidRPr="00F904BC">
        <w:rPr>
          <w:bCs/>
          <w:color w:val="000000"/>
          <w:lang w:eastAsia="ru-RU"/>
        </w:rPr>
        <w:tab/>
        <w:t>type approval certificate number;</w:t>
      </w:r>
    </w:p>
    <w:p w14:paraId="504FF892" w14:textId="77777777" w:rsidR="00FB5C94" w:rsidRPr="00F904BC" w:rsidRDefault="00FB5C94" w:rsidP="00FB5C94">
      <w:pPr>
        <w:pStyle w:val="SingleTxtG"/>
        <w:ind w:left="2835" w:hanging="567"/>
        <w:rPr>
          <w:bCs/>
          <w:color w:val="000000"/>
          <w:lang w:eastAsia="ru-RU"/>
        </w:rPr>
      </w:pPr>
      <w:r w:rsidRPr="00F904BC">
        <w:rPr>
          <w:bCs/>
          <w:color w:val="000000"/>
          <w:lang w:eastAsia="ru-RU"/>
        </w:rPr>
        <w:t>(d)</w:t>
      </w:r>
      <w:r w:rsidRPr="00F904BC">
        <w:rPr>
          <w:bCs/>
          <w:color w:val="000000"/>
          <w:lang w:eastAsia="ru-RU"/>
        </w:rPr>
        <w:tab/>
        <w:t xml:space="preserve">the pressure at which the device is set to discharge (MPa or bar); </w:t>
      </w:r>
    </w:p>
    <w:p w14:paraId="26FFE6F6" w14:textId="77777777" w:rsidR="00FB5C94" w:rsidRPr="00F904BC" w:rsidRDefault="00FB5C94" w:rsidP="00FB5C94">
      <w:pPr>
        <w:pStyle w:val="SingleTxtG"/>
        <w:ind w:left="2835" w:hanging="567"/>
        <w:rPr>
          <w:bCs/>
          <w:color w:val="000000"/>
          <w:lang w:eastAsia="ru-RU"/>
        </w:rPr>
      </w:pPr>
      <w:r w:rsidRPr="00F904BC">
        <w:rPr>
          <w:bCs/>
          <w:color w:val="000000"/>
          <w:lang w:eastAsia="ru-RU"/>
        </w:rPr>
        <w:t>(e)</w:t>
      </w:r>
      <w:r w:rsidRPr="00F904BC">
        <w:rPr>
          <w:bCs/>
          <w:color w:val="000000"/>
          <w:lang w:eastAsia="ru-RU"/>
        </w:rPr>
        <w:tab/>
        <w:t xml:space="preserve">the allowable tolerance at the discharge pressure for spring-loaded devices; </w:t>
      </w:r>
    </w:p>
    <w:p w14:paraId="424C30C0" w14:textId="77777777" w:rsidR="00FB5C94" w:rsidRPr="00F904BC" w:rsidRDefault="00FB5C94" w:rsidP="00FB5C94">
      <w:pPr>
        <w:pStyle w:val="SingleTxtG"/>
        <w:ind w:left="2835" w:hanging="567"/>
        <w:rPr>
          <w:bCs/>
          <w:color w:val="000000"/>
          <w:lang w:eastAsia="ru-RU"/>
        </w:rPr>
      </w:pPr>
      <w:r w:rsidRPr="00F904BC">
        <w:rPr>
          <w:bCs/>
          <w:color w:val="000000"/>
          <w:lang w:eastAsia="ru-RU"/>
        </w:rPr>
        <w:t>(f)</w:t>
      </w:r>
      <w:r w:rsidRPr="00F904BC">
        <w:rPr>
          <w:bCs/>
          <w:color w:val="000000"/>
          <w:lang w:eastAsia="ru-RU"/>
        </w:rPr>
        <w:tab/>
        <w:t>the rated flow capacity of spring-loaded pressure relief devices under normal conditions (external pressure is 1 bar and ambient temperature is 0 °C) in standard (normal) cubic meters of air per second, m³/s (determined according to 6.7.2.13.2);</w:t>
      </w:r>
    </w:p>
    <w:p w14:paraId="7FF7173A" w14:textId="77777777" w:rsidR="00FB5C94" w:rsidRPr="00F904BC" w:rsidRDefault="00FB5C94" w:rsidP="00FB5C94">
      <w:pPr>
        <w:pStyle w:val="SingleTxtG"/>
        <w:ind w:left="2835" w:hanging="567"/>
        <w:rPr>
          <w:bCs/>
          <w:color w:val="000000"/>
          <w:lang w:eastAsia="ru-RU"/>
        </w:rPr>
      </w:pPr>
      <w:r w:rsidRPr="00F904BC">
        <w:rPr>
          <w:bCs/>
          <w:color w:val="000000"/>
          <w:lang w:eastAsia="ru-RU"/>
        </w:rPr>
        <w:t>(g)</w:t>
      </w:r>
      <w:r w:rsidRPr="00F904BC">
        <w:rPr>
          <w:bCs/>
          <w:color w:val="000000"/>
          <w:lang w:eastAsia="ru-RU"/>
        </w:rPr>
        <w:tab/>
        <w:t>cross-sectional area of spring-loaded pressure relief devices, mm²;</w:t>
      </w:r>
    </w:p>
    <w:p w14:paraId="45431856" w14:textId="77777777" w:rsidR="00FB5C94" w:rsidRPr="00F904BC" w:rsidRDefault="00FB5C94" w:rsidP="00FB5C94">
      <w:pPr>
        <w:pStyle w:val="SingleTxtG"/>
        <w:ind w:left="2835" w:hanging="567"/>
        <w:rPr>
          <w:bCs/>
          <w:color w:val="000000"/>
          <w:lang w:eastAsia="ru-RU"/>
        </w:rPr>
      </w:pPr>
      <w:r w:rsidRPr="00F904BC">
        <w:rPr>
          <w:bCs/>
          <w:color w:val="000000"/>
          <w:lang w:eastAsia="ru-RU"/>
        </w:rPr>
        <w:t>(h)</w:t>
      </w:r>
      <w:r w:rsidRPr="00F904BC">
        <w:rPr>
          <w:bCs/>
          <w:color w:val="000000"/>
          <w:lang w:eastAsia="ru-RU"/>
        </w:rPr>
        <w:tab/>
        <w:t>maximum allowable working pressure (MAWP), MPa or bar;</w:t>
      </w:r>
    </w:p>
    <w:p w14:paraId="3A097648" w14:textId="77777777" w:rsidR="00FB5C94" w:rsidRPr="00F904BC" w:rsidRDefault="00FB5C94" w:rsidP="00FB5C94">
      <w:pPr>
        <w:pStyle w:val="SingleTxtG"/>
        <w:ind w:left="2835" w:hanging="567"/>
        <w:rPr>
          <w:bCs/>
          <w:color w:val="000000"/>
          <w:lang w:eastAsia="ru-RU"/>
        </w:rPr>
      </w:pPr>
      <w:r w:rsidRPr="00F904BC">
        <w:rPr>
          <w:bCs/>
          <w:color w:val="000000"/>
          <w:lang w:eastAsia="ru-RU"/>
        </w:rPr>
        <w:t>(i)</w:t>
      </w:r>
      <w:r w:rsidRPr="00F904BC">
        <w:rPr>
          <w:bCs/>
          <w:color w:val="000000"/>
          <w:lang w:eastAsia="ru-RU"/>
        </w:rPr>
        <w:tab/>
        <w:t>external design pressure (if relevant), MPa or bar; and</w:t>
      </w:r>
    </w:p>
    <w:p w14:paraId="180B763C" w14:textId="77777777" w:rsidR="00FB5C94" w:rsidRPr="00B736B8" w:rsidRDefault="00FB5C94" w:rsidP="00FB5C94">
      <w:pPr>
        <w:pStyle w:val="SingleTxtG"/>
        <w:ind w:left="2835" w:hanging="567"/>
      </w:pPr>
      <w:r w:rsidRPr="00F904BC">
        <w:rPr>
          <w:bCs/>
          <w:color w:val="000000"/>
          <w:lang w:eastAsia="ru-RU"/>
        </w:rPr>
        <w:t>(j)</w:t>
      </w:r>
      <w:r w:rsidRPr="00F904BC">
        <w:rPr>
          <w:bCs/>
          <w:color w:val="000000"/>
          <w:lang w:eastAsia="ru-RU"/>
        </w:rPr>
        <w:tab/>
        <w:t>design temper</w:t>
      </w:r>
      <w:r w:rsidRPr="00B736B8">
        <w:t>ature range.</w:t>
      </w:r>
    </w:p>
    <w:p w14:paraId="0AC3999E" w14:textId="77777777" w:rsidR="00FB5C94" w:rsidRPr="00000108" w:rsidRDefault="00FB5C94" w:rsidP="00FB5C94">
      <w:pPr>
        <w:pStyle w:val="SingleTxtG"/>
        <w:rPr>
          <w:i/>
          <w:iCs/>
        </w:rPr>
      </w:pPr>
      <w:r w:rsidRPr="00B736B8">
        <w:t>6.9.3.7.2</w:t>
      </w:r>
      <w:r w:rsidRPr="00B736B8">
        <w:tab/>
      </w:r>
      <w:r w:rsidRPr="00000108">
        <w:rPr>
          <w:i/>
          <w:iCs/>
        </w:rPr>
        <w:t>Marking of stop valves</w:t>
      </w:r>
    </w:p>
    <w:p w14:paraId="0CE8F042" w14:textId="77777777" w:rsidR="00FB5C94" w:rsidRPr="00B736B8" w:rsidRDefault="00FB5C94" w:rsidP="00FB5C94">
      <w:pPr>
        <w:pStyle w:val="SingleTxtG"/>
        <w:tabs>
          <w:tab w:val="clear" w:pos="1701"/>
        </w:tabs>
      </w:pPr>
      <w:r w:rsidRPr="00B736B8">
        <w:tab/>
        <w:t>Each stop valves shall be marked as follows:</w:t>
      </w:r>
    </w:p>
    <w:p w14:paraId="5F55CDBF" w14:textId="77777777" w:rsidR="00FB5C94" w:rsidRPr="00F904BC" w:rsidRDefault="00FB5C94" w:rsidP="00FB5C94">
      <w:pPr>
        <w:pStyle w:val="SingleTxtG"/>
        <w:ind w:left="2835" w:hanging="567"/>
        <w:rPr>
          <w:bCs/>
          <w:color w:val="000000"/>
          <w:lang w:eastAsia="ru-RU"/>
        </w:rPr>
      </w:pPr>
      <w:r w:rsidRPr="00B736B8">
        <w:t>(a)</w:t>
      </w:r>
      <w:r w:rsidRPr="00B736B8">
        <w:tab/>
        <w:t xml:space="preserve">name </w:t>
      </w:r>
      <w:r w:rsidRPr="00F904BC">
        <w:rPr>
          <w:bCs/>
          <w:color w:val="000000"/>
          <w:lang w:eastAsia="ru-RU"/>
        </w:rPr>
        <w:t>of the manufacturer and the serial number of the equipment;</w:t>
      </w:r>
    </w:p>
    <w:p w14:paraId="79C2F3F2" w14:textId="77777777" w:rsidR="00FB5C94" w:rsidRPr="00F904BC" w:rsidRDefault="00FB5C94" w:rsidP="00FB5C94">
      <w:pPr>
        <w:pStyle w:val="SingleTxtG"/>
        <w:ind w:left="2835" w:hanging="567"/>
        <w:rPr>
          <w:bCs/>
          <w:color w:val="000000"/>
          <w:lang w:eastAsia="ru-RU"/>
        </w:rPr>
      </w:pPr>
      <w:r w:rsidRPr="00F904BC">
        <w:rPr>
          <w:bCs/>
          <w:color w:val="000000"/>
          <w:lang w:eastAsia="ru-RU"/>
        </w:rPr>
        <w:t>(b)</w:t>
      </w:r>
      <w:r w:rsidRPr="00F904BC">
        <w:rPr>
          <w:bCs/>
          <w:color w:val="000000"/>
          <w:lang w:eastAsia="ru-RU"/>
        </w:rPr>
        <w:tab/>
        <w:t>name of body and seal materials;</w:t>
      </w:r>
    </w:p>
    <w:p w14:paraId="471589C4" w14:textId="77777777" w:rsidR="00FB5C94" w:rsidRPr="00F904BC" w:rsidRDefault="00FB5C94" w:rsidP="00FB5C94">
      <w:pPr>
        <w:pStyle w:val="SingleTxtG"/>
        <w:ind w:left="2835" w:hanging="567"/>
        <w:rPr>
          <w:bCs/>
          <w:color w:val="000000"/>
          <w:lang w:eastAsia="ru-RU"/>
        </w:rPr>
      </w:pPr>
      <w:r w:rsidRPr="00F904BC">
        <w:rPr>
          <w:bCs/>
          <w:color w:val="000000"/>
          <w:lang w:eastAsia="ru-RU"/>
        </w:rPr>
        <w:t>(c)</w:t>
      </w:r>
      <w:r w:rsidRPr="00F904BC">
        <w:rPr>
          <w:bCs/>
          <w:color w:val="000000"/>
          <w:lang w:eastAsia="ru-RU"/>
        </w:rPr>
        <w:tab/>
        <w:t>type approval certificate number;</w:t>
      </w:r>
    </w:p>
    <w:p w14:paraId="205311FA" w14:textId="77777777" w:rsidR="00FB5C94" w:rsidRPr="00F904BC" w:rsidRDefault="00FB5C94" w:rsidP="00FB5C94">
      <w:pPr>
        <w:pStyle w:val="SingleTxtG"/>
        <w:ind w:left="2835" w:hanging="567"/>
        <w:rPr>
          <w:bCs/>
          <w:color w:val="000000"/>
          <w:lang w:eastAsia="ru-RU"/>
        </w:rPr>
      </w:pPr>
      <w:r w:rsidRPr="00F904BC">
        <w:rPr>
          <w:bCs/>
          <w:color w:val="000000"/>
          <w:lang w:eastAsia="ru-RU"/>
        </w:rPr>
        <w:t>(d)</w:t>
      </w:r>
      <w:r w:rsidRPr="00F904BC">
        <w:rPr>
          <w:bCs/>
          <w:color w:val="000000"/>
          <w:lang w:eastAsia="ru-RU"/>
        </w:rPr>
        <w:tab/>
        <w:t>designation of the stop device;</w:t>
      </w:r>
    </w:p>
    <w:p w14:paraId="2DE55B45" w14:textId="77777777" w:rsidR="00FB5C94" w:rsidRPr="00F904BC" w:rsidRDefault="00FB5C94" w:rsidP="00FB5C94">
      <w:pPr>
        <w:pStyle w:val="SingleTxtG"/>
        <w:ind w:left="2835" w:hanging="567"/>
        <w:rPr>
          <w:bCs/>
          <w:color w:val="000000"/>
          <w:lang w:eastAsia="ru-RU"/>
        </w:rPr>
      </w:pPr>
      <w:r w:rsidRPr="00F904BC">
        <w:rPr>
          <w:bCs/>
          <w:color w:val="000000"/>
          <w:lang w:eastAsia="ru-RU"/>
        </w:rPr>
        <w:t>(e)</w:t>
      </w:r>
      <w:r w:rsidRPr="00F904BC">
        <w:rPr>
          <w:bCs/>
          <w:color w:val="000000"/>
          <w:lang w:eastAsia="ru-RU"/>
        </w:rPr>
        <w:tab/>
        <w:t>nominal diameter, mm;</w:t>
      </w:r>
    </w:p>
    <w:p w14:paraId="52EB296D" w14:textId="77777777" w:rsidR="00FB5C94" w:rsidRPr="00F904BC" w:rsidRDefault="00FB5C94" w:rsidP="00FB5C94">
      <w:pPr>
        <w:pStyle w:val="SingleTxtG"/>
        <w:ind w:left="2835" w:hanging="567"/>
        <w:rPr>
          <w:bCs/>
          <w:color w:val="000000"/>
          <w:lang w:eastAsia="ru-RU"/>
        </w:rPr>
      </w:pPr>
      <w:r w:rsidRPr="00F904BC">
        <w:rPr>
          <w:bCs/>
          <w:color w:val="000000"/>
          <w:lang w:eastAsia="ru-RU"/>
        </w:rPr>
        <w:t>(f)</w:t>
      </w:r>
      <w:r w:rsidRPr="00F904BC">
        <w:rPr>
          <w:bCs/>
          <w:color w:val="000000"/>
          <w:lang w:eastAsia="ru-RU"/>
        </w:rPr>
        <w:tab/>
        <w:t>maximum allowable working pressure (MAWP), MPa or bar;</w:t>
      </w:r>
    </w:p>
    <w:p w14:paraId="22A11FC1" w14:textId="77777777" w:rsidR="00FB5C94" w:rsidRPr="00F904BC" w:rsidRDefault="00FB5C94" w:rsidP="00FB5C94">
      <w:pPr>
        <w:pStyle w:val="SingleTxtG"/>
        <w:ind w:left="2835" w:hanging="567"/>
        <w:rPr>
          <w:bCs/>
          <w:color w:val="000000"/>
          <w:lang w:eastAsia="ru-RU"/>
        </w:rPr>
      </w:pPr>
      <w:r w:rsidRPr="00F904BC">
        <w:rPr>
          <w:bCs/>
          <w:color w:val="000000"/>
          <w:lang w:eastAsia="ru-RU"/>
        </w:rPr>
        <w:lastRenderedPageBreak/>
        <w:t>(g)</w:t>
      </w:r>
      <w:r w:rsidRPr="00F904BC">
        <w:rPr>
          <w:bCs/>
          <w:color w:val="000000"/>
          <w:lang w:eastAsia="ru-RU"/>
        </w:rPr>
        <w:tab/>
        <w:t>test pressure, MPa or bar;</w:t>
      </w:r>
    </w:p>
    <w:p w14:paraId="1A4BEAD5" w14:textId="77777777" w:rsidR="00FB5C94" w:rsidRPr="00F904BC" w:rsidRDefault="00FB5C94" w:rsidP="00FB5C94">
      <w:pPr>
        <w:pStyle w:val="SingleTxtG"/>
        <w:ind w:left="2835" w:hanging="567"/>
        <w:rPr>
          <w:bCs/>
          <w:color w:val="000000"/>
          <w:lang w:eastAsia="ru-RU"/>
        </w:rPr>
      </w:pPr>
      <w:r w:rsidRPr="00F904BC">
        <w:rPr>
          <w:bCs/>
          <w:color w:val="000000"/>
          <w:lang w:eastAsia="ru-RU"/>
        </w:rPr>
        <w:t>(h)</w:t>
      </w:r>
      <w:r w:rsidRPr="00F904BC">
        <w:rPr>
          <w:bCs/>
          <w:color w:val="000000"/>
          <w:lang w:eastAsia="ru-RU"/>
        </w:rPr>
        <w:tab/>
        <w:t>direction of medium flow; and</w:t>
      </w:r>
    </w:p>
    <w:p w14:paraId="6D7CBE4D" w14:textId="77777777" w:rsidR="00FB5C94" w:rsidRPr="00F904BC" w:rsidRDefault="00FB5C94" w:rsidP="00FB5C94">
      <w:pPr>
        <w:pStyle w:val="SingleTxtG"/>
        <w:ind w:left="2835" w:hanging="567"/>
        <w:rPr>
          <w:bCs/>
          <w:color w:val="000000"/>
          <w:lang w:eastAsia="ru-RU"/>
        </w:rPr>
      </w:pPr>
      <w:r w:rsidRPr="00F904BC">
        <w:rPr>
          <w:bCs/>
          <w:color w:val="000000"/>
          <w:lang w:eastAsia="ru-RU"/>
        </w:rPr>
        <w:t>(i)</w:t>
      </w:r>
      <w:r w:rsidRPr="00F904BC">
        <w:rPr>
          <w:bCs/>
          <w:color w:val="000000"/>
          <w:lang w:eastAsia="ru-RU"/>
        </w:rPr>
        <w:tab/>
        <w:t>design temperature range.</w:t>
      </w:r>
      <w:r>
        <w:rPr>
          <w:bCs/>
          <w:color w:val="000000"/>
          <w:lang w:eastAsia="ru-RU"/>
        </w:rPr>
        <w:t>”]</w:t>
      </w:r>
    </w:p>
    <w:p w14:paraId="659D7067"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63EE16ED" w14:textId="77777777" w:rsidR="00FB5C94" w:rsidRPr="00FF3E52" w:rsidRDefault="00FB5C94" w:rsidP="00FB5C94">
      <w:pPr>
        <w:pStyle w:val="H1G"/>
      </w:pPr>
      <w:r>
        <w:tab/>
      </w:r>
      <w:r>
        <w:tab/>
        <w:t>Chapter 7.1</w:t>
      </w:r>
    </w:p>
    <w:p w14:paraId="3FF27770" w14:textId="77777777" w:rsidR="00FB5C94" w:rsidRPr="001C22A9" w:rsidRDefault="00FB5C94" w:rsidP="00FB5C94">
      <w:pPr>
        <w:pStyle w:val="SingleTxtG"/>
        <w:tabs>
          <w:tab w:val="clear" w:pos="1701"/>
          <w:tab w:val="clear" w:pos="2268"/>
          <w:tab w:val="clear" w:pos="2835"/>
        </w:tabs>
        <w:ind w:left="2268" w:hanging="1134"/>
      </w:pPr>
      <w:r w:rsidRPr="001C22A9">
        <w:t>7.1.1.9</w:t>
      </w:r>
      <w:r w:rsidRPr="001C22A9">
        <w:tab/>
        <w:t>Add a new second sentence to read “Unless otherwise indicated, packagings that have had a stacking test shall be loaded in the same orientation as the samples were tested.”</w:t>
      </w:r>
    </w:p>
    <w:p w14:paraId="53DCC865" w14:textId="77777777" w:rsidR="00FB5C94" w:rsidRPr="001C22A9" w:rsidRDefault="00FB5C94" w:rsidP="00FB5C94">
      <w:pPr>
        <w:pStyle w:val="SingleTxtG"/>
        <w:tabs>
          <w:tab w:val="clear" w:pos="1701"/>
          <w:tab w:val="clear" w:pos="2268"/>
          <w:tab w:val="clear" w:pos="2835"/>
        </w:tabs>
        <w:ind w:left="2268" w:hanging="1134"/>
      </w:pPr>
      <w:r w:rsidRPr="001C22A9">
        <w:tab/>
        <w:t>At the end, add the following new note:</w:t>
      </w:r>
    </w:p>
    <w:p w14:paraId="5800BA2F" w14:textId="77777777" w:rsidR="00FB5C94" w:rsidRPr="001C22A9" w:rsidRDefault="00FB5C94" w:rsidP="00FB5C94">
      <w:pPr>
        <w:pStyle w:val="SingleTxtG"/>
        <w:tabs>
          <w:tab w:val="clear" w:pos="1701"/>
          <w:tab w:val="clear" w:pos="2268"/>
          <w:tab w:val="clear" w:pos="2835"/>
        </w:tabs>
        <w:ind w:left="2268" w:hanging="1134"/>
      </w:pPr>
      <w:r w:rsidRPr="001C22A9">
        <w:t>“</w:t>
      </w:r>
      <w:r w:rsidRPr="001C22A9">
        <w:rPr>
          <w:b/>
          <w:bCs/>
          <w:i/>
          <w:iCs/>
        </w:rPr>
        <w:t>NOTE:</w:t>
      </w:r>
      <w:r w:rsidRPr="001C22A9">
        <w:rPr>
          <w:i/>
          <w:iCs/>
        </w:rPr>
        <w:tab/>
        <w:t>The stacking test is generally carried out on the top surface of the packaging. Packages, other than bags, should therefore be stacked on the top surface of the packages unless indicated otherwise.</w:t>
      </w:r>
      <w:r w:rsidRPr="001C22A9">
        <w:t>”</w:t>
      </w:r>
    </w:p>
    <w:p w14:paraId="2EF381B4"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II</w:t>
      </w:r>
      <w:r w:rsidRPr="00804977">
        <w:rPr>
          <w:i/>
          <w:iCs/>
        </w:rPr>
        <w:t>)</w:t>
      </w:r>
    </w:p>
    <w:p w14:paraId="4EC3AE0E" w14:textId="77777777" w:rsidR="00FB5C94" w:rsidRPr="004E1EC6" w:rsidRDefault="00FB5C94" w:rsidP="00FB5C94">
      <w:pPr>
        <w:pStyle w:val="SingleTxtG"/>
        <w:ind w:left="2268" w:hanging="1134"/>
        <w:rPr>
          <w:rFonts w:asciiTheme="majorBidi" w:hAnsiTheme="majorBidi" w:cstheme="majorBidi"/>
        </w:rPr>
      </w:pPr>
      <w:r>
        <w:rPr>
          <w:rFonts w:asciiTheme="majorBidi" w:hAnsiTheme="majorBidi" w:cstheme="majorBidi"/>
        </w:rPr>
        <w:t>7.1.7.2.3</w:t>
      </w:r>
      <w:r w:rsidRPr="004E1EC6">
        <w:rPr>
          <w:rFonts w:asciiTheme="majorBidi" w:hAnsiTheme="majorBidi" w:cstheme="majorBidi"/>
        </w:rPr>
        <w:tab/>
      </w:r>
      <w:r>
        <w:rPr>
          <w:rFonts w:asciiTheme="majorBidi" w:hAnsiTheme="majorBidi" w:cstheme="majorBidi"/>
        </w:rPr>
        <w:t>The amendment does not apply to the English version.</w:t>
      </w:r>
    </w:p>
    <w:p w14:paraId="43F93CDB" w14:textId="77777777" w:rsidR="00FB5C94" w:rsidRPr="00843762" w:rsidRDefault="00FB5C94" w:rsidP="00FB5C94">
      <w:pPr>
        <w:pStyle w:val="SingleTxtG"/>
        <w:rPr>
          <w:i/>
          <w:iCs/>
        </w:rPr>
      </w:pPr>
      <w:r w:rsidRPr="00804977">
        <w:rPr>
          <w:i/>
          <w:iCs/>
        </w:rPr>
        <w:t xml:space="preserve">(Reference document: </w:t>
      </w:r>
      <w:r>
        <w:rPr>
          <w:i/>
          <w:iCs/>
        </w:rPr>
        <w:t>ST/SG/AC.10/C.3/126, Annex I</w:t>
      </w:r>
      <w:r w:rsidRPr="00804977">
        <w:rPr>
          <w:i/>
          <w:iCs/>
        </w:rPr>
        <w:t>)</w:t>
      </w:r>
    </w:p>
    <w:p w14:paraId="4BA07B5E" w14:textId="5BECC56D" w:rsidR="00FB5C94" w:rsidRPr="001C5029" w:rsidRDefault="00FB5C94" w:rsidP="00FB5C94">
      <w:pPr>
        <w:pStyle w:val="H1G"/>
      </w:pPr>
      <w:r w:rsidRPr="001C5029">
        <w:tab/>
      </w:r>
      <w:r w:rsidRPr="001C5029">
        <w:tab/>
      </w:r>
      <w:r w:rsidRPr="00AF65EB">
        <w:t>Documents ST/SG/AC.10/C.3/2023/3, ST/SG/AC.10/C.3/2023/4, ST/SG/AC.10/C.3/2024/9 and ST/SG/AC.10/C.3/2024/30 (with an additional amendment to the alphabetical index) and informal documents INF.7 of the sixty-second session and INF.17 of the sixty-fourth session with amendments to the Spanish version were adopted.</w:t>
      </w:r>
    </w:p>
    <w:p w14:paraId="66A9AEDF" w14:textId="77777777" w:rsidR="00FB5C94" w:rsidRPr="00843762" w:rsidRDefault="00FB5C94" w:rsidP="00FB5C94">
      <w:pPr>
        <w:pStyle w:val="SingleTxtG"/>
        <w:rPr>
          <w:i/>
          <w:iCs/>
        </w:rPr>
      </w:pPr>
      <w:r w:rsidRPr="00804977">
        <w:rPr>
          <w:i/>
          <w:iCs/>
        </w:rPr>
        <w:t xml:space="preserve">(Reference document: </w:t>
      </w:r>
      <w:r>
        <w:rPr>
          <w:i/>
          <w:iCs/>
        </w:rPr>
        <w:t>ST/SG/AC.10/C.3/124, Annex I and ST/SG/AC.10/C.3/128, Annex II</w:t>
      </w:r>
      <w:r w:rsidRPr="00804977">
        <w:rPr>
          <w:i/>
          <w:iCs/>
        </w:rPr>
        <w:t>)</w:t>
      </w:r>
    </w:p>
    <w:p w14:paraId="16A6862B" w14:textId="77777777" w:rsidR="00FB5C94" w:rsidRPr="00024F0F" w:rsidRDefault="00FB5C94" w:rsidP="00FB5C94">
      <w:pPr>
        <w:pStyle w:val="HChG"/>
        <w:tabs>
          <w:tab w:val="left" w:pos="567"/>
        </w:tabs>
        <w:rPr>
          <w:i/>
          <w:iCs/>
        </w:rPr>
      </w:pPr>
      <w:r>
        <w:tab/>
      </w:r>
      <w:r w:rsidRPr="008F7B6D">
        <w:t>I</w:t>
      </w:r>
      <w:r>
        <w:t>I</w:t>
      </w:r>
      <w:r w:rsidRPr="008F7B6D">
        <w:t>.</w:t>
      </w:r>
      <w:r w:rsidRPr="008F7B6D">
        <w:tab/>
        <w:t xml:space="preserve">Draft amendments to the </w:t>
      </w:r>
      <w:r>
        <w:t xml:space="preserve">eighth </w:t>
      </w:r>
      <w:r w:rsidRPr="001C5029">
        <w:t xml:space="preserve">revised edition of the </w:t>
      </w:r>
      <w:r w:rsidRPr="008F7B6D">
        <w:t>Manual of Tests and Criteria (ST/SG/AC.10/11/Rev.</w:t>
      </w:r>
      <w:r>
        <w:t>8</w:t>
      </w:r>
      <w:r w:rsidRPr="008F7B6D">
        <w:t>)</w:t>
      </w:r>
    </w:p>
    <w:p w14:paraId="0D75DB58" w14:textId="77777777" w:rsidR="00FB5C94" w:rsidRPr="001C22A9" w:rsidRDefault="00FB5C94" w:rsidP="00FB5C94">
      <w:pPr>
        <w:pStyle w:val="H1G"/>
      </w:pPr>
      <w:r w:rsidRPr="001C22A9">
        <w:tab/>
      </w:r>
      <w:r w:rsidRPr="001C22A9">
        <w:tab/>
        <w:t>Section 1</w:t>
      </w:r>
      <w:r>
        <w:t>0</w:t>
      </w:r>
    </w:p>
    <w:p w14:paraId="7D6C6986" w14:textId="77777777" w:rsidR="00FB5C94" w:rsidRDefault="00FB5C94" w:rsidP="00FB5C94">
      <w:pPr>
        <w:pStyle w:val="SingleTxtG"/>
        <w:tabs>
          <w:tab w:val="clear" w:pos="1701"/>
          <w:tab w:val="clear" w:pos="2268"/>
          <w:tab w:val="clear" w:pos="2835"/>
        </w:tabs>
        <w:ind w:left="2268" w:hanging="1134"/>
      </w:pPr>
      <w:r>
        <w:t>The amendments do not apply to the English text.</w:t>
      </w:r>
    </w:p>
    <w:p w14:paraId="4319407A"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3ACB5978" w14:textId="77777777" w:rsidR="00FB5C94" w:rsidRPr="001C22A9" w:rsidRDefault="00FB5C94" w:rsidP="00FB5C94">
      <w:pPr>
        <w:pStyle w:val="H1G"/>
      </w:pPr>
      <w:r w:rsidRPr="001C22A9">
        <w:tab/>
      </w:r>
      <w:r w:rsidRPr="001C22A9">
        <w:tab/>
        <w:t>Section 11</w:t>
      </w:r>
    </w:p>
    <w:p w14:paraId="26341F92" w14:textId="77777777" w:rsidR="00FB5C94" w:rsidRPr="001C22A9" w:rsidRDefault="00FB5C94" w:rsidP="00FB5C94">
      <w:pPr>
        <w:pStyle w:val="SingleTxtG"/>
        <w:tabs>
          <w:tab w:val="clear" w:pos="1701"/>
          <w:tab w:val="clear" w:pos="2268"/>
          <w:tab w:val="clear" w:pos="2835"/>
        </w:tabs>
        <w:ind w:left="2268" w:hanging="1134"/>
      </w:pPr>
      <w:r w:rsidRPr="001C22A9">
        <w:t>11.1.1</w:t>
      </w:r>
      <w:r w:rsidRPr="001C22A9">
        <w:tab/>
        <w:t>In the first sentence, replace “"Is it an explosive substance?"” by “"Does the substance have explosive properties?"”.</w:t>
      </w:r>
    </w:p>
    <w:p w14:paraId="38ABE8C0"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360CD6E2" w14:textId="77777777" w:rsidR="00FB5C94" w:rsidRDefault="00FB5C94" w:rsidP="00FB5C94">
      <w:pPr>
        <w:pStyle w:val="SingleTxtG"/>
        <w:ind w:left="2268" w:hanging="1134"/>
      </w:pPr>
      <w:r>
        <w:rPr>
          <w:iCs/>
        </w:rPr>
        <w:t>11.6.1.3.1</w:t>
      </w:r>
      <w:r>
        <w:rPr>
          <w:iCs/>
        </w:rPr>
        <w:tab/>
        <w:t>In the fifth sentence, replace “weight” by “mass”.</w:t>
      </w:r>
    </w:p>
    <w:p w14:paraId="259C5A5E"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7A439FD0" w14:textId="77777777" w:rsidR="00FB5C94" w:rsidRPr="001C22A9" w:rsidRDefault="00FB5C94" w:rsidP="00FB5C94">
      <w:pPr>
        <w:pStyle w:val="H1G"/>
      </w:pPr>
      <w:r w:rsidRPr="001C22A9">
        <w:tab/>
      </w:r>
      <w:r w:rsidRPr="001C22A9">
        <w:tab/>
        <w:t>Section 12</w:t>
      </w:r>
    </w:p>
    <w:p w14:paraId="0F56DC56" w14:textId="77777777" w:rsidR="00FB5C94" w:rsidRPr="001C22A9" w:rsidRDefault="00FB5C94" w:rsidP="00FB5C94">
      <w:pPr>
        <w:pStyle w:val="SingleTxtG"/>
        <w:tabs>
          <w:tab w:val="clear" w:pos="1701"/>
          <w:tab w:val="clear" w:pos="2268"/>
          <w:tab w:val="clear" w:pos="2835"/>
        </w:tabs>
        <w:ind w:left="2268" w:hanging="1134"/>
      </w:pPr>
      <w:r w:rsidRPr="001C22A9">
        <w:t>12.1.1</w:t>
      </w:r>
      <w:r w:rsidRPr="001C22A9">
        <w:tab/>
        <w:t>In the first sentence, replace “inclusion” by “acceptance”.</w:t>
      </w:r>
    </w:p>
    <w:p w14:paraId="124F86C4"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0FF1D789" w14:textId="77777777" w:rsidR="00FB5C94" w:rsidRDefault="00FB5C94" w:rsidP="008A60C4">
      <w:pPr>
        <w:pStyle w:val="SingleTxtG"/>
        <w:keepNext/>
        <w:ind w:left="2268" w:hanging="1134"/>
      </w:pPr>
      <w:r>
        <w:rPr>
          <w:iCs/>
        </w:rPr>
        <w:lastRenderedPageBreak/>
        <w:t>12.6.1.3.1</w:t>
      </w:r>
      <w:r>
        <w:rPr>
          <w:iCs/>
        </w:rPr>
        <w:tab/>
        <w:t>In the fifth sentence, replace “weight” by “mass”.</w:t>
      </w:r>
    </w:p>
    <w:p w14:paraId="4BE65D70"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5F9B7424" w14:textId="77777777" w:rsidR="00FB5C94" w:rsidRPr="00FF3E52" w:rsidRDefault="00FB5C94" w:rsidP="00FB5C94">
      <w:pPr>
        <w:pStyle w:val="H1G"/>
      </w:pPr>
      <w:r>
        <w:tab/>
      </w:r>
      <w:r>
        <w:tab/>
        <w:t>Section 13</w:t>
      </w:r>
    </w:p>
    <w:p w14:paraId="69C37CD7" w14:textId="77777777" w:rsidR="00FB5C94" w:rsidRDefault="00FB5C94" w:rsidP="00FB5C94">
      <w:pPr>
        <w:pStyle w:val="SingleTxtG"/>
        <w:ind w:left="2268" w:hanging="1134"/>
      </w:pPr>
      <w:r>
        <w:rPr>
          <w:iCs/>
        </w:rPr>
        <w:t>13.4.1.3.1</w:t>
      </w:r>
      <w:r>
        <w:rPr>
          <w:iCs/>
        </w:rPr>
        <w:tab/>
        <w:t>The amendment does not apply to the English version.</w:t>
      </w:r>
    </w:p>
    <w:p w14:paraId="0B99364D"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0FC4D48F" w14:textId="77777777" w:rsidR="00FB5C94" w:rsidRDefault="00FB5C94" w:rsidP="00FB5C94">
      <w:pPr>
        <w:pStyle w:val="SingleTxtG"/>
        <w:ind w:left="2268" w:hanging="1134"/>
      </w:pPr>
      <w:r>
        <w:rPr>
          <w:iCs/>
        </w:rPr>
        <w:t>13.4.2.2.2</w:t>
      </w:r>
      <w:r>
        <w:rPr>
          <w:iCs/>
        </w:rPr>
        <w:tab/>
        <w:t>The amendment does not apply to the English version.</w:t>
      </w:r>
    </w:p>
    <w:p w14:paraId="0D1B285A"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65E7B339" w14:textId="77777777" w:rsidR="00FB5C94" w:rsidRPr="001C22A9" w:rsidRDefault="00FB5C94" w:rsidP="00FB5C94">
      <w:pPr>
        <w:pStyle w:val="H1G"/>
      </w:pPr>
      <w:r w:rsidRPr="001C22A9">
        <w:tab/>
      </w:r>
      <w:r w:rsidRPr="001C22A9">
        <w:tab/>
        <w:t>Section 18</w:t>
      </w:r>
    </w:p>
    <w:p w14:paraId="04D38A32" w14:textId="77777777" w:rsidR="00FB5C94" w:rsidRPr="001C22A9" w:rsidRDefault="00FB5C94" w:rsidP="00FB5C94">
      <w:pPr>
        <w:pStyle w:val="SingleTxtG"/>
        <w:tabs>
          <w:tab w:val="clear" w:pos="1701"/>
          <w:tab w:val="clear" w:pos="2268"/>
          <w:tab w:val="clear" w:pos="2835"/>
        </w:tabs>
        <w:ind w:left="2268" w:hanging="1134"/>
      </w:pPr>
      <w:r w:rsidRPr="001C22A9">
        <w:t>18.8.1.2.1</w:t>
      </w:r>
      <w:r w:rsidRPr="001C22A9">
        <w:tab/>
        <w:t>In the fourth sentence, at the end, add “e.g. by use of a syringe, piping bag, or pastry bag where the viscosity of the sample allows”.</w:t>
      </w:r>
    </w:p>
    <w:p w14:paraId="426956A3"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5E2D8713" w14:textId="77777777" w:rsidR="00FB5C94" w:rsidRPr="001C22A9" w:rsidRDefault="00FB5C94" w:rsidP="00FB5C94">
      <w:pPr>
        <w:pStyle w:val="SingleTxtG"/>
        <w:tabs>
          <w:tab w:val="clear" w:pos="1701"/>
          <w:tab w:val="clear" w:pos="2268"/>
          <w:tab w:val="clear" w:pos="2835"/>
        </w:tabs>
        <w:ind w:left="2268" w:hanging="1134"/>
      </w:pPr>
      <w:r w:rsidRPr="001C22A9">
        <w:t>18.8.1.2.2</w:t>
      </w:r>
      <w:r w:rsidRPr="001C22A9">
        <w:tab/>
        <w:t>In the first sentence, replace “0.51 mm” by “0.50 to 0.51 mm” and replace “5.5 Ω m</w:t>
      </w:r>
      <w:r w:rsidRPr="001C22A9">
        <w:rPr>
          <w:vertAlign w:val="superscript"/>
        </w:rPr>
        <w:t>-1</w:t>
      </w:r>
      <w:r w:rsidRPr="001C22A9">
        <w:t>” by “5.50 to 5.75 Ω·m</w:t>
      </w:r>
      <w:r w:rsidRPr="001C22A9">
        <w:rPr>
          <w:vertAlign w:val="superscript"/>
        </w:rPr>
        <w:t>-1</w:t>
      </w:r>
      <w:r w:rsidRPr="001C22A9">
        <w:t>”.</w:t>
      </w:r>
    </w:p>
    <w:p w14:paraId="13A3D845"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0FAC85EB" w14:textId="77777777" w:rsidR="00FB5C94" w:rsidRPr="001C22A9" w:rsidRDefault="00FB5C94" w:rsidP="00FB5C94">
      <w:pPr>
        <w:pStyle w:val="SingleTxtG"/>
        <w:tabs>
          <w:tab w:val="clear" w:pos="1701"/>
          <w:tab w:val="clear" w:pos="2268"/>
          <w:tab w:val="clear" w:pos="2835"/>
        </w:tabs>
        <w:ind w:left="2268" w:hanging="1134"/>
      </w:pPr>
      <w:r w:rsidRPr="001C22A9">
        <w:t>18.8.1.2.3</w:t>
      </w:r>
      <w:r w:rsidRPr="001C22A9">
        <w:tab/>
        <w:t>At the end, add “and a Type-K thermocouple to measure the gas temperature”.</w:t>
      </w:r>
    </w:p>
    <w:p w14:paraId="689A3A59"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7FBD4816" w14:textId="77777777" w:rsidR="00FB5C94" w:rsidRPr="001C22A9" w:rsidRDefault="00FB5C94" w:rsidP="00FB5C94">
      <w:pPr>
        <w:pStyle w:val="SingleTxtG"/>
        <w:tabs>
          <w:tab w:val="clear" w:pos="1701"/>
          <w:tab w:val="clear" w:pos="2268"/>
          <w:tab w:val="clear" w:pos="2835"/>
        </w:tabs>
        <w:ind w:left="2268" w:hanging="1134"/>
      </w:pPr>
      <w:r w:rsidRPr="001C22A9">
        <w:t>18.8.1.3.3</w:t>
      </w:r>
      <w:r w:rsidRPr="001C22A9">
        <w:tab/>
        <w:t>At the end, add the following two new sentences: “The test should be started after the gas temperature drops to room temperature or the gas pressure has stabilised. The value of the pressure transducer is then recorded as the initial pressure.”.</w:t>
      </w:r>
    </w:p>
    <w:p w14:paraId="1B837971"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1DD6AADC" w14:textId="77777777" w:rsidR="00FB5C94" w:rsidRPr="00FF3E52" w:rsidRDefault="00FB5C94" w:rsidP="00FB5C94">
      <w:pPr>
        <w:pStyle w:val="H1G"/>
      </w:pPr>
      <w:r>
        <w:tab/>
      </w:r>
      <w:r>
        <w:tab/>
        <w:t>Section 23</w:t>
      </w:r>
    </w:p>
    <w:p w14:paraId="4F658659" w14:textId="77777777" w:rsidR="00FB5C94" w:rsidRDefault="00FB5C94" w:rsidP="00FB5C94">
      <w:pPr>
        <w:pStyle w:val="SingleTxtG"/>
        <w:ind w:left="2268" w:hanging="1134"/>
      </w:pPr>
      <w:r>
        <w:rPr>
          <w:iCs/>
        </w:rPr>
        <w:t>23.4.1.3.1</w:t>
      </w:r>
      <w:r>
        <w:rPr>
          <w:iCs/>
        </w:rPr>
        <w:tab/>
        <w:t>The first amendment does not apply to the English version. In the fifth sentence, replace “weight” by “mass”.</w:t>
      </w:r>
    </w:p>
    <w:p w14:paraId="04DFE8AA"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1CED7D8E" w14:textId="77777777" w:rsidR="00FB5C94" w:rsidRPr="00FF3E52" w:rsidRDefault="00FB5C94" w:rsidP="00FB5C94">
      <w:pPr>
        <w:pStyle w:val="H1G"/>
      </w:pPr>
      <w:r>
        <w:tab/>
      </w:r>
      <w:r>
        <w:tab/>
        <w:t>Section 26</w:t>
      </w:r>
    </w:p>
    <w:p w14:paraId="5DF6621D" w14:textId="77777777" w:rsidR="00FB5C94" w:rsidRDefault="00FB5C94" w:rsidP="00FB5C94">
      <w:pPr>
        <w:pStyle w:val="SingleTxtG"/>
        <w:ind w:left="2268" w:hanging="1134"/>
      </w:pPr>
      <w:r>
        <w:rPr>
          <w:iCs/>
        </w:rPr>
        <w:t>26.4.1.2.1</w:t>
      </w:r>
      <w:r>
        <w:rPr>
          <w:iCs/>
        </w:rPr>
        <w:tab/>
        <w:t>In the third sentence, replace “weight” by “mass”.</w:t>
      </w:r>
    </w:p>
    <w:p w14:paraId="501ECED9"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48F22C47" w14:textId="77777777" w:rsidR="00FB5C94" w:rsidRPr="00FF3E52" w:rsidRDefault="00FB5C94" w:rsidP="00FB5C94">
      <w:pPr>
        <w:pStyle w:val="H1G"/>
      </w:pPr>
      <w:r>
        <w:tab/>
      </w:r>
      <w:r>
        <w:tab/>
        <w:t>Section 28</w:t>
      </w:r>
    </w:p>
    <w:p w14:paraId="0D998AA5" w14:textId="77777777" w:rsidR="00FB5C94" w:rsidRDefault="00FB5C94" w:rsidP="00FB5C94">
      <w:pPr>
        <w:pStyle w:val="SingleTxtG"/>
        <w:ind w:left="2268" w:hanging="1134"/>
      </w:pPr>
      <w:r w:rsidRPr="00852CDB">
        <w:rPr>
          <w:iCs/>
        </w:rPr>
        <w:t>28.4.2.2.2.3</w:t>
      </w:r>
      <w:r>
        <w:rPr>
          <w:iCs/>
        </w:rPr>
        <w:tab/>
        <w:t>In the second sentence, replace “weight” by “mass”.</w:t>
      </w:r>
    </w:p>
    <w:p w14:paraId="5668902A"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046F8C41" w14:textId="77777777" w:rsidR="00FB5C94" w:rsidRPr="001C22A9" w:rsidRDefault="00FB5C94" w:rsidP="00FB5C94">
      <w:pPr>
        <w:pStyle w:val="H1G"/>
      </w:pPr>
      <w:r w:rsidRPr="001C22A9">
        <w:tab/>
      </w:r>
      <w:r w:rsidRPr="001C22A9">
        <w:tab/>
        <w:t>Section 32</w:t>
      </w:r>
    </w:p>
    <w:p w14:paraId="466449CB" w14:textId="42885718" w:rsidR="00FB5C94" w:rsidRPr="001C22A9" w:rsidRDefault="00FB5C94" w:rsidP="00FB5C94">
      <w:pPr>
        <w:pStyle w:val="SingleTxtG"/>
        <w:tabs>
          <w:tab w:val="clear" w:pos="1701"/>
          <w:tab w:val="clear" w:pos="2268"/>
          <w:tab w:val="clear" w:pos="2835"/>
        </w:tabs>
        <w:ind w:left="2268" w:hanging="1134"/>
      </w:pPr>
      <w:r w:rsidRPr="001C22A9">
        <w:t>32.3.2.1</w:t>
      </w:r>
      <w:r w:rsidRPr="001C22A9">
        <w:tab/>
        <w:t>In the first sentence, replace “note 2 to paragraph 2.1.</w:t>
      </w:r>
      <w:r w:rsidR="00EB3293">
        <w:t>1</w:t>
      </w:r>
      <w:r w:rsidRPr="001C22A9">
        <w:t xml:space="preserve"> of the </w:t>
      </w:r>
      <w:r w:rsidRPr="001C22A9">
        <w:rPr>
          <w:i/>
          <w:iCs/>
        </w:rPr>
        <w:t>GHS</w:t>
      </w:r>
      <w:r w:rsidRPr="001C22A9">
        <w:t xml:space="preserve">” by “2.17.1.2 (b) of the </w:t>
      </w:r>
      <w:r w:rsidRPr="001C22A9">
        <w:rPr>
          <w:i/>
          <w:iCs/>
        </w:rPr>
        <w:t>GHS</w:t>
      </w:r>
      <w:r w:rsidRPr="001C22A9">
        <w:t>”.</w:t>
      </w:r>
    </w:p>
    <w:p w14:paraId="106FC2B9" w14:textId="77777777" w:rsidR="00FB5C94"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2A8DDBBF" w14:textId="77777777" w:rsidR="00FB5C94" w:rsidRPr="007A3093" w:rsidRDefault="00FB5C94" w:rsidP="00FB5C94">
      <w:pPr>
        <w:pStyle w:val="SingleTxtG"/>
        <w:rPr>
          <w:i/>
          <w:iCs/>
        </w:rPr>
      </w:pPr>
      <w:r w:rsidRPr="002045B4">
        <w:rPr>
          <w:b/>
          <w:bCs/>
          <w:i/>
          <w:iCs/>
        </w:rPr>
        <w:lastRenderedPageBreak/>
        <w:t>Note by the secretariat:</w:t>
      </w:r>
      <w:r w:rsidRPr="002045B4">
        <w:rPr>
          <w:i/>
          <w:iCs/>
        </w:rPr>
        <w:t xml:space="preserve"> At its forty-sixth session, the </w:t>
      </w:r>
      <w:r w:rsidRPr="00B8677A">
        <w:rPr>
          <w:i/>
          <w:iCs/>
        </w:rPr>
        <w:t>Sub-Committee of Experts on the Globally Harmonized</w:t>
      </w:r>
      <w:r>
        <w:rPr>
          <w:i/>
          <w:iCs/>
        </w:rPr>
        <w:t xml:space="preserve"> </w:t>
      </w:r>
      <w:r w:rsidRPr="00B8677A">
        <w:rPr>
          <w:i/>
          <w:iCs/>
        </w:rPr>
        <w:t xml:space="preserve">System of Classification and Labelling of Chemicals </w:t>
      </w:r>
      <w:r>
        <w:rPr>
          <w:i/>
          <w:iCs/>
        </w:rPr>
        <w:t>(</w:t>
      </w:r>
      <w:r w:rsidRPr="002045B4">
        <w:rPr>
          <w:i/>
          <w:iCs/>
        </w:rPr>
        <w:t>GHS Sub-Committee</w:t>
      </w:r>
      <w:r>
        <w:rPr>
          <w:i/>
          <w:iCs/>
        </w:rPr>
        <w:t>)</w:t>
      </w:r>
      <w:r w:rsidRPr="007A3093">
        <w:rPr>
          <w:i/>
          <w:iCs/>
        </w:rPr>
        <w:t xml:space="preserve"> considered the proposals in the document from AEISG and the recommendations from the Sub-Committee. After discussion, the GHS Sub-Committee proposed the following alternative amendment for consideration by the Sub-Committee at its sixty-fifth session (for additional background refer to the report of the GHS Sub-Committee, document ST/SG/AC.10/C.4/92, paragraph 12 and annex II):</w:t>
      </w:r>
    </w:p>
    <w:p w14:paraId="1F33EC21" w14:textId="77777777" w:rsidR="00FB5C94" w:rsidRDefault="00FB5C94" w:rsidP="00FB5C94">
      <w:pPr>
        <w:pStyle w:val="SingleTxtG"/>
        <w:tabs>
          <w:tab w:val="clear" w:pos="1701"/>
          <w:tab w:val="clear" w:pos="2268"/>
          <w:tab w:val="clear" w:pos="2835"/>
        </w:tabs>
        <w:ind w:left="2268" w:hanging="1134"/>
      </w:pPr>
      <w:r w:rsidRPr="007A3093">
        <w:t>32.3.2.1</w:t>
      </w:r>
      <w:r w:rsidRPr="007A3093">
        <w:tab/>
        <w:t xml:space="preserve">Amend the first sentence to read as follows: “This subsection presents the </w:t>
      </w:r>
      <w:r w:rsidRPr="007A3093">
        <w:rPr>
          <w:i/>
          <w:iCs/>
        </w:rPr>
        <w:t>Model Regulations</w:t>
      </w:r>
      <w:r w:rsidRPr="007A3093">
        <w:t xml:space="preserve"> scheme for the classification of liquid desensitized explosives as flammable liquids (see paragraph 2.3.1.4 of the </w:t>
      </w:r>
      <w:r w:rsidRPr="007A3093">
        <w:rPr>
          <w:i/>
          <w:iCs/>
        </w:rPr>
        <w:t>Model Regulations</w:t>
      </w:r>
      <w:r w:rsidRPr="007A3093">
        <w:t xml:space="preserve">; for the </w:t>
      </w:r>
      <w:r w:rsidRPr="007A3093">
        <w:rPr>
          <w:i/>
          <w:iCs/>
        </w:rPr>
        <w:t>GHS</w:t>
      </w:r>
      <w:r w:rsidRPr="007A3093">
        <w:t xml:space="preserve"> see sub-paragraph 2.17.1.2 (b) of the </w:t>
      </w:r>
      <w:r w:rsidRPr="007A3093">
        <w:rPr>
          <w:i/>
          <w:iCs/>
        </w:rPr>
        <w:t>GHS</w:t>
      </w:r>
      <w:r w:rsidRPr="007A3093">
        <w:t>).”</w:t>
      </w:r>
      <w:r>
        <w:t>.</w:t>
      </w:r>
    </w:p>
    <w:p w14:paraId="25F67B3E" w14:textId="77777777" w:rsidR="00FB5C94" w:rsidRPr="001C22A9" w:rsidRDefault="00FB5C94" w:rsidP="00FB5C94">
      <w:pPr>
        <w:pStyle w:val="H1G"/>
      </w:pPr>
      <w:r w:rsidRPr="001C22A9">
        <w:tab/>
      </w:r>
      <w:r w:rsidRPr="001C22A9">
        <w:tab/>
        <w:t>Section 33</w:t>
      </w:r>
    </w:p>
    <w:p w14:paraId="7BE2B769" w14:textId="77777777" w:rsidR="00FB5C94" w:rsidRPr="001C22A9" w:rsidRDefault="00FB5C94" w:rsidP="00FB5C94">
      <w:pPr>
        <w:pStyle w:val="SingleTxtG"/>
        <w:tabs>
          <w:tab w:val="clear" w:pos="1701"/>
          <w:tab w:val="clear" w:pos="2268"/>
          <w:tab w:val="clear" w:pos="2835"/>
        </w:tabs>
        <w:ind w:left="2268" w:hanging="1134"/>
      </w:pPr>
      <w:r w:rsidRPr="001C22A9">
        <w:t>33.3.1</w:t>
      </w:r>
      <w:r w:rsidRPr="001C22A9">
        <w:tab/>
        <w:t xml:space="preserve">In the first sentence, replace “note 2 to paragraph 2.1.2.2 of the </w:t>
      </w:r>
      <w:r w:rsidRPr="001C22A9">
        <w:rPr>
          <w:i/>
          <w:iCs/>
        </w:rPr>
        <w:t>GHS</w:t>
      </w:r>
      <w:r w:rsidRPr="001C22A9">
        <w:t xml:space="preserve">” by “2.17.1.2 (a) of the </w:t>
      </w:r>
      <w:r w:rsidRPr="001C22A9">
        <w:rPr>
          <w:i/>
          <w:iCs/>
        </w:rPr>
        <w:t>GHS</w:t>
      </w:r>
      <w:r w:rsidRPr="001C22A9">
        <w:t>”.</w:t>
      </w:r>
    </w:p>
    <w:p w14:paraId="43A338B2"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67C2E0C0" w14:textId="77777777" w:rsidR="00FB5C94" w:rsidRPr="007A3093" w:rsidRDefault="00FB5C94" w:rsidP="00FB5C94">
      <w:pPr>
        <w:pStyle w:val="SingleTxtG"/>
        <w:rPr>
          <w:i/>
          <w:iCs/>
        </w:rPr>
      </w:pPr>
      <w:r w:rsidRPr="007A3093">
        <w:rPr>
          <w:b/>
          <w:bCs/>
          <w:i/>
          <w:iCs/>
        </w:rPr>
        <w:t>Note by the secretariat:</w:t>
      </w:r>
      <w:r w:rsidRPr="007A3093">
        <w:rPr>
          <w:i/>
          <w:iCs/>
        </w:rPr>
        <w:t xml:space="preserve"> At its forty-sixth session, the GHS Sub-Committee considered the proposals in the document from AEISG and the recommendations from the Sub-Committee. After discussion, the GHS Sub-Committee proposed the following alternative amendment for consideration by the Sub-Committee at its sixty-fifth session (for additional background refer to the report of the GHS Sub-Committee, document ST/SG/AC.10/C.4/92, paragraph 12 and annex II):</w:t>
      </w:r>
    </w:p>
    <w:p w14:paraId="3A3508A8" w14:textId="77777777" w:rsidR="00FB5C94" w:rsidRDefault="00FB5C94" w:rsidP="00FB5C94">
      <w:pPr>
        <w:pStyle w:val="SingleTxtG"/>
        <w:tabs>
          <w:tab w:val="clear" w:pos="1701"/>
          <w:tab w:val="clear" w:pos="2268"/>
          <w:tab w:val="clear" w:pos="2835"/>
        </w:tabs>
        <w:ind w:left="2268" w:hanging="1134"/>
      </w:pPr>
      <w:r w:rsidRPr="007A3093">
        <w:t>33.3.1</w:t>
      </w:r>
      <w:r w:rsidRPr="007A3093">
        <w:tab/>
        <w:t xml:space="preserve">Amend the first sentence to read as follows: “This subsection presents the </w:t>
      </w:r>
      <w:r w:rsidRPr="007A3093">
        <w:rPr>
          <w:i/>
          <w:iCs/>
        </w:rPr>
        <w:t>Model Regulations</w:t>
      </w:r>
      <w:r w:rsidRPr="007A3093">
        <w:t xml:space="preserve"> scheme for the classification of desensitized explosives as flammable solids of Division 4.1 (see subsection 2.4.2.4 of the </w:t>
      </w:r>
      <w:r w:rsidRPr="007A3093">
        <w:rPr>
          <w:i/>
          <w:iCs/>
        </w:rPr>
        <w:t>Model Regulations</w:t>
      </w:r>
      <w:r w:rsidRPr="007A3093">
        <w:t xml:space="preserve">; for the </w:t>
      </w:r>
      <w:r w:rsidRPr="007A3093">
        <w:rPr>
          <w:i/>
          <w:iCs/>
        </w:rPr>
        <w:t>GHS</w:t>
      </w:r>
      <w:r w:rsidRPr="007A3093">
        <w:t xml:space="preserve"> see sub-paragraph 2.17.1.2 (a) of the </w:t>
      </w:r>
      <w:r w:rsidRPr="007A3093">
        <w:rPr>
          <w:i/>
          <w:iCs/>
        </w:rPr>
        <w:t>GHS</w:t>
      </w:r>
      <w:r w:rsidRPr="007A3093">
        <w:t>).”</w:t>
      </w:r>
    </w:p>
    <w:p w14:paraId="1F99E5E2" w14:textId="77777777" w:rsidR="00FB5C94" w:rsidRPr="001C22A9" w:rsidRDefault="00FB5C94" w:rsidP="00FB5C94">
      <w:pPr>
        <w:pStyle w:val="H1G"/>
      </w:pPr>
      <w:r w:rsidRPr="001C22A9">
        <w:tab/>
      </w:r>
      <w:r w:rsidRPr="001C22A9">
        <w:tab/>
        <w:t>Section 38</w:t>
      </w:r>
    </w:p>
    <w:p w14:paraId="6E14C233" w14:textId="77777777" w:rsidR="00FB5C94" w:rsidRPr="001C22A9" w:rsidRDefault="00FB5C94" w:rsidP="00FB5C94">
      <w:pPr>
        <w:pStyle w:val="SingleTxtG"/>
        <w:tabs>
          <w:tab w:val="clear" w:pos="1701"/>
          <w:tab w:val="clear" w:pos="2268"/>
          <w:tab w:val="clear" w:pos="2835"/>
        </w:tabs>
        <w:ind w:left="2268" w:hanging="1134"/>
      </w:pPr>
      <w:r w:rsidRPr="001C22A9">
        <w:t>38.3.4.5.2</w:t>
      </w:r>
      <w:r w:rsidRPr="001C22A9">
        <w:tab/>
        <w:t>In the first paragraph, first sentence, replace “on external case” by “on the external case or on an internal cell”. In the second paragraph, replace “the cell or battery external case temperature” by “the measured temperature”.</w:t>
      </w:r>
    </w:p>
    <w:p w14:paraId="2D6B1A16"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00D485B4" w14:textId="77777777" w:rsidR="00FB5C94" w:rsidRPr="001C22A9" w:rsidRDefault="00FB5C94" w:rsidP="00FB5C94">
      <w:pPr>
        <w:pStyle w:val="SingleTxtG"/>
        <w:tabs>
          <w:tab w:val="clear" w:pos="1701"/>
          <w:tab w:val="clear" w:pos="2268"/>
          <w:tab w:val="clear" w:pos="2835"/>
        </w:tabs>
        <w:ind w:left="2268" w:hanging="1134"/>
      </w:pPr>
      <w:r w:rsidRPr="001C22A9">
        <w:t>38.3.4.5.3</w:t>
      </w:r>
      <w:r w:rsidRPr="001C22A9">
        <w:tab/>
        <w:t>Replace “external” by “measured”.</w:t>
      </w:r>
    </w:p>
    <w:p w14:paraId="7419F758"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2332EA93" w14:textId="77777777" w:rsidR="00FB5C94" w:rsidRPr="001C22A9" w:rsidRDefault="00FB5C94" w:rsidP="00FB5C94">
      <w:pPr>
        <w:pStyle w:val="SingleTxtG"/>
        <w:tabs>
          <w:tab w:val="clear" w:pos="1701"/>
          <w:tab w:val="clear" w:pos="2268"/>
          <w:tab w:val="clear" w:pos="2835"/>
        </w:tabs>
        <w:ind w:left="2268" w:hanging="1134"/>
      </w:pPr>
      <w:r w:rsidRPr="001C22A9">
        <w:t>38.3.4.6.3</w:t>
      </w:r>
      <w:r w:rsidRPr="001C22A9">
        <w:tab/>
        <w:t>In the first paragraph under the note, at the end of the first sentence, add “, each having sufficient surface area to ensure the crushing force is applied evenly across the entire surface of the cell”.</w:t>
      </w:r>
    </w:p>
    <w:p w14:paraId="735DD54D"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71CCEB3F" w14:textId="77777777" w:rsidR="00FB5C94" w:rsidRPr="00FF3E52" w:rsidRDefault="00FB5C94" w:rsidP="00FB5C94">
      <w:pPr>
        <w:pStyle w:val="H1G"/>
      </w:pPr>
      <w:r>
        <w:tab/>
      </w:r>
      <w:r>
        <w:tab/>
        <w:t>Section 40</w:t>
      </w:r>
    </w:p>
    <w:p w14:paraId="5D69CEE4" w14:textId="77777777" w:rsidR="00FB5C94" w:rsidRDefault="00FB5C94" w:rsidP="00FB5C94">
      <w:pPr>
        <w:pStyle w:val="SingleTxtG"/>
        <w:tabs>
          <w:tab w:val="clear" w:pos="1701"/>
        </w:tabs>
        <w:ind w:left="2268" w:hanging="1134"/>
        <w:rPr>
          <w:iCs/>
        </w:rPr>
      </w:pPr>
      <w:r>
        <w:rPr>
          <w:iCs/>
        </w:rPr>
        <w:t>[40.1.1</w:t>
      </w:r>
      <w:r>
        <w:rPr>
          <w:iCs/>
        </w:rPr>
        <w:tab/>
        <w:t>After “schemes for”, add a colon, transfer the rest of the text to a new indent (a) and, at the end, replace the full stop with “; and”. Add a new (b) as follows:</w:t>
      </w:r>
    </w:p>
    <w:p w14:paraId="3F32D62C" w14:textId="77777777" w:rsidR="00FB5C94" w:rsidRDefault="00FB5C94" w:rsidP="00FB5C94">
      <w:pPr>
        <w:pStyle w:val="SingleTxtG"/>
        <w:tabs>
          <w:tab w:val="clear" w:pos="1701"/>
        </w:tabs>
        <w:ind w:left="2268" w:hanging="1134"/>
        <w:rPr>
          <w:iCs/>
        </w:rPr>
      </w:pPr>
      <w:r>
        <w:rPr>
          <w:iCs/>
        </w:rPr>
        <w:t>“(b)</w:t>
      </w:r>
      <w:r w:rsidRPr="00F246BB">
        <w:rPr>
          <w:iCs/>
        </w:rPr>
        <w:tab/>
        <w:t xml:space="preserve">the requirements to the fire resistance test of service equipment made from fibre reinforced plastic (FRP) for portable tanks (see section 42 of this </w:t>
      </w:r>
      <w:r w:rsidRPr="001A725D">
        <w:rPr>
          <w:i/>
        </w:rPr>
        <w:t>Manual</w:t>
      </w:r>
      <w:r w:rsidRPr="00F246BB">
        <w:rPr>
          <w:iCs/>
        </w:rPr>
        <w:t xml:space="preserve"> and 6.9.2.7.1.5 and 6.9.3.5.2 (d) of the </w:t>
      </w:r>
      <w:r w:rsidRPr="00D80EA0">
        <w:rPr>
          <w:i/>
        </w:rPr>
        <w:t>Model Regulations</w:t>
      </w:r>
      <w:r w:rsidRPr="00F246BB">
        <w:rPr>
          <w:iCs/>
        </w:rPr>
        <w:t>).”</w:t>
      </w:r>
      <w:r>
        <w:rPr>
          <w:iCs/>
        </w:rPr>
        <w:t>]</w:t>
      </w:r>
    </w:p>
    <w:p w14:paraId="1C4F2B8E"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2446AAB3" w14:textId="77777777" w:rsidR="00FB5C94" w:rsidRPr="00FF3E52" w:rsidRDefault="00FB5C94" w:rsidP="00FB5C94">
      <w:pPr>
        <w:pStyle w:val="H1G"/>
      </w:pPr>
      <w:r>
        <w:lastRenderedPageBreak/>
        <w:tab/>
      </w:r>
      <w:r>
        <w:tab/>
        <w:t>Section 42</w:t>
      </w:r>
    </w:p>
    <w:p w14:paraId="460F4CC6" w14:textId="77777777" w:rsidR="00FB5C94" w:rsidRDefault="00FB5C94" w:rsidP="00FB5C94">
      <w:pPr>
        <w:pStyle w:val="SingleTxtG"/>
        <w:ind w:left="2268" w:hanging="1134"/>
        <w:rPr>
          <w:iCs/>
        </w:rPr>
      </w:pPr>
      <w:r>
        <w:rPr>
          <w:iCs/>
        </w:rPr>
        <w:t>[Add a new section 42 to read as follows:</w:t>
      </w:r>
    </w:p>
    <w:p w14:paraId="5401272A" w14:textId="77777777" w:rsidR="00FB5C94" w:rsidRDefault="00FB5C94" w:rsidP="00445D5A">
      <w:pPr>
        <w:pStyle w:val="SingleTxtG"/>
        <w:tabs>
          <w:tab w:val="clear" w:pos="1701"/>
          <w:tab w:val="clear" w:pos="2268"/>
          <w:tab w:val="clear" w:pos="2835"/>
          <w:tab w:val="center" w:pos="4820"/>
        </w:tabs>
        <w:jc w:val="left"/>
        <w:rPr>
          <w:b/>
          <w:bCs/>
        </w:rPr>
      </w:pPr>
      <w:r w:rsidRPr="002B3D2B">
        <w:t>“</w:t>
      </w:r>
      <w:r>
        <w:rPr>
          <w:b/>
          <w:bCs/>
        </w:rPr>
        <w:tab/>
        <w:t>SECTION 42</w:t>
      </w:r>
    </w:p>
    <w:p w14:paraId="4B484AED" w14:textId="77777777" w:rsidR="00FB5C94" w:rsidRPr="00B308A4" w:rsidRDefault="00FB5C94" w:rsidP="00FB5C94">
      <w:pPr>
        <w:pStyle w:val="SingleTxtG"/>
        <w:jc w:val="center"/>
        <w:rPr>
          <w:b/>
          <w:bCs/>
        </w:rPr>
      </w:pPr>
      <w:r w:rsidRPr="00B308A4">
        <w:rPr>
          <w:b/>
          <w:bCs/>
        </w:rPr>
        <w:t xml:space="preserve">FIRE RESISTANCE TEST OF FIBRE REINFORCED PLASTICS (FRP) </w:t>
      </w:r>
      <w:r w:rsidRPr="00B308A4">
        <w:rPr>
          <w:b/>
          <w:bCs/>
        </w:rPr>
        <w:br/>
        <w:t>SERVICE EQUIPMENT FOR PORTABLE TANKS</w:t>
      </w:r>
    </w:p>
    <w:p w14:paraId="2F6F49AE" w14:textId="77777777" w:rsidR="00FB5C94" w:rsidRPr="0084719A" w:rsidRDefault="00FB5C94" w:rsidP="00FB5C94">
      <w:pPr>
        <w:pStyle w:val="SingleTxtG"/>
        <w:tabs>
          <w:tab w:val="clear" w:pos="1701"/>
        </w:tabs>
        <w:rPr>
          <w:b/>
          <w:bCs/>
        </w:rPr>
      </w:pPr>
      <w:r w:rsidRPr="0084719A">
        <w:rPr>
          <w:b/>
          <w:bCs/>
        </w:rPr>
        <w:t>42.1</w:t>
      </w:r>
      <w:r w:rsidRPr="0084719A">
        <w:rPr>
          <w:b/>
          <w:bCs/>
        </w:rPr>
        <w:tab/>
        <w:t>General</w:t>
      </w:r>
    </w:p>
    <w:p w14:paraId="5B6A5B0C" w14:textId="77777777" w:rsidR="00FB5C94" w:rsidRPr="00576F74" w:rsidRDefault="00FB5C94" w:rsidP="00FB5C94">
      <w:pPr>
        <w:pStyle w:val="SingleTxtG"/>
        <w:tabs>
          <w:tab w:val="clear" w:pos="1701"/>
        </w:tabs>
        <w:rPr>
          <w:lang w:eastAsia="en-US"/>
        </w:rPr>
      </w:pPr>
      <w:r w:rsidRPr="00576F74">
        <w:rPr>
          <w:lang w:eastAsia="en-US"/>
        </w:rPr>
        <w:t>42.1.1</w:t>
      </w:r>
      <w:r w:rsidRPr="00576F74">
        <w:rPr>
          <w:lang w:eastAsia="en-US"/>
        </w:rPr>
        <w:tab/>
      </w:r>
      <w:r w:rsidRPr="00576F74">
        <w:t>This</w:t>
      </w:r>
      <w:r w:rsidRPr="00576F74">
        <w:rPr>
          <w:lang w:eastAsia="en-US"/>
        </w:rPr>
        <w:t xml:space="preserve"> test method is intended to prove the fire resistance of FRP service equipment for portable tanks which meet the requirements of 6.7.2 or 6.9.2 of the </w:t>
      </w:r>
      <w:r w:rsidRPr="00576F74">
        <w:rPr>
          <w:i/>
          <w:lang w:eastAsia="en-US"/>
        </w:rPr>
        <w:t>Model Regulations</w:t>
      </w:r>
      <w:r w:rsidRPr="00576F74">
        <w:rPr>
          <w:lang w:eastAsia="en-US"/>
        </w:rPr>
        <w:t>.</w:t>
      </w:r>
    </w:p>
    <w:p w14:paraId="1A33B61A" w14:textId="77777777" w:rsidR="00FB5C94" w:rsidRPr="00576F74" w:rsidRDefault="00FB5C94" w:rsidP="00FB5C94">
      <w:pPr>
        <w:pStyle w:val="SingleTxtG"/>
        <w:tabs>
          <w:tab w:val="clear" w:pos="1701"/>
        </w:tabs>
        <w:rPr>
          <w:lang w:eastAsia="en-US"/>
        </w:rPr>
      </w:pPr>
      <w:r w:rsidRPr="00576F74">
        <w:rPr>
          <w:lang w:eastAsia="en-US"/>
        </w:rPr>
        <w:t>42.1.2</w:t>
      </w:r>
      <w:r w:rsidRPr="00576F74">
        <w:rPr>
          <w:lang w:eastAsia="en-US"/>
        </w:rPr>
        <w:tab/>
      </w:r>
      <w:r w:rsidRPr="00576F74">
        <w:t>The</w:t>
      </w:r>
      <w:r w:rsidRPr="00576F74">
        <w:rPr>
          <w:lang w:eastAsia="en-US"/>
        </w:rPr>
        <w:t xml:space="preserve"> representative prototype of FRP service equipment meeting the definition of 6.9.3.1 of the </w:t>
      </w:r>
      <w:r w:rsidRPr="00576F74">
        <w:rPr>
          <w:i/>
          <w:lang w:eastAsia="en-US"/>
        </w:rPr>
        <w:t>Model Regulations</w:t>
      </w:r>
      <w:r w:rsidRPr="00576F74">
        <w:rPr>
          <w:lang w:eastAsia="en-US"/>
        </w:rPr>
        <w:t xml:space="preserve"> shall be subjected to and satisfy the requirements of the fire resistance test. The fire resistance test shall be conducted by test facilities approved by the competent authorities.</w:t>
      </w:r>
    </w:p>
    <w:p w14:paraId="4CDDB5A6" w14:textId="77777777" w:rsidR="00FB5C94" w:rsidRPr="0084719A" w:rsidRDefault="00FB5C94" w:rsidP="00FB5C94">
      <w:pPr>
        <w:pStyle w:val="SingleTxtG"/>
        <w:tabs>
          <w:tab w:val="clear" w:pos="1701"/>
        </w:tabs>
        <w:rPr>
          <w:b/>
          <w:bCs/>
        </w:rPr>
      </w:pPr>
      <w:r w:rsidRPr="0084719A">
        <w:rPr>
          <w:b/>
          <w:bCs/>
        </w:rPr>
        <w:t>42.2</w:t>
      </w:r>
      <w:r w:rsidRPr="0084719A">
        <w:rPr>
          <w:b/>
          <w:bCs/>
        </w:rPr>
        <w:tab/>
        <w:t>Definitions</w:t>
      </w:r>
    </w:p>
    <w:p w14:paraId="708E6F9A" w14:textId="77777777" w:rsidR="00FB5C94" w:rsidRPr="00576F74" w:rsidRDefault="00FB5C94" w:rsidP="00FB5C94">
      <w:pPr>
        <w:pStyle w:val="SingleTxtG"/>
        <w:tabs>
          <w:tab w:val="clear" w:pos="1701"/>
        </w:tabs>
        <w:rPr>
          <w:lang w:eastAsia="en-US"/>
        </w:rPr>
      </w:pPr>
      <w:r w:rsidRPr="00576F74">
        <w:rPr>
          <w:i/>
          <w:iCs/>
          <w:lang w:eastAsia="en-US"/>
        </w:rPr>
        <w:tab/>
        <w:t>Test specimen</w:t>
      </w:r>
      <w:r w:rsidRPr="00576F74">
        <w:rPr>
          <w:lang w:eastAsia="en-US"/>
        </w:rPr>
        <w:t xml:space="preserve"> means an instance of FRP service equipment including gate and seal assemblies subjected to the fire </w:t>
      </w:r>
      <w:r w:rsidRPr="00576F74">
        <w:t>resistance</w:t>
      </w:r>
      <w:r w:rsidRPr="00576F74">
        <w:rPr>
          <w:lang w:eastAsia="en-US"/>
        </w:rPr>
        <w:t xml:space="preserve"> test.</w:t>
      </w:r>
    </w:p>
    <w:p w14:paraId="235C6008" w14:textId="77777777" w:rsidR="00FB5C94" w:rsidRPr="00576F74" w:rsidRDefault="00FB5C94" w:rsidP="00FB5C94">
      <w:pPr>
        <w:pStyle w:val="SingleTxtG"/>
        <w:tabs>
          <w:tab w:val="clear" w:pos="1701"/>
        </w:tabs>
        <w:rPr>
          <w:lang w:eastAsia="en-US"/>
        </w:rPr>
      </w:pPr>
      <w:r w:rsidRPr="00576F74">
        <w:rPr>
          <w:lang w:eastAsia="en-US"/>
        </w:rPr>
        <w:tab/>
      </w:r>
      <w:r w:rsidRPr="00576F74">
        <w:t>Relevant</w:t>
      </w:r>
      <w:r w:rsidRPr="00576F74">
        <w:rPr>
          <w:lang w:eastAsia="en-US"/>
        </w:rPr>
        <w:t xml:space="preserve"> definitions of standard ISO 21843:2018 and chapters 6.7.2, 6.9.2 and 6.9.3 of the </w:t>
      </w:r>
      <w:r w:rsidRPr="00576F74">
        <w:rPr>
          <w:i/>
          <w:lang w:eastAsia="en-US"/>
        </w:rPr>
        <w:t>Model Regulations</w:t>
      </w:r>
      <w:r w:rsidRPr="00576F74">
        <w:rPr>
          <w:lang w:eastAsia="en-US"/>
        </w:rPr>
        <w:t xml:space="preserve"> are applicable to this section.</w:t>
      </w:r>
    </w:p>
    <w:p w14:paraId="29DCDAC4" w14:textId="77777777" w:rsidR="00FB5C94" w:rsidRPr="0084719A" w:rsidRDefault="00FB5C94" w:rsidP="00FB5C94">
      <w:pPr>
        <w:pStyle w:val="SingleTxtG"/>
        <w:tabs>
          <w:tab w:val="clear" w:pos="1701"/>
        </w:tabs>
        <w:rPr>
          <w:b/>
          <w:bCs/>
        </w:rPr>
      </w:pPr>
      <w:r w:rsidRPr="0084719A">
        <w:rPr>
          <w:b/>
          <w:bCs/>
        </w:rPr>
        <w:t>42.3</w:t>
      </w:r>
      <w:r w:rsidRPr="0084719A">
        <w:rPr>
          <w:b/>
          <w:bCs/>
        </w:rPr>
        <w:tab/>
        <w:t>Test method</w:t>
      </w:r>
    </w:p>
    <w:p w14:paraId="18C14C19" w14:textId="77777777" w:rsidR="00FB5C94" w:rsidRPr="00576F74" w:rsidRDefault="00FB5C94" w:rsidP="00FB5C94">
      <w:pPr>
        <w:pStyle w:val="SingleTxtG"/>
        <w:tabs>
          <w:tab w:val="clear" w:pos="1701"/>
        </w:tabs>
        <w:rPr>
          <w:lang w:eastAsia="en-US"/>
        </w:rPr>
      </w:pPr>
      <w:r w:rsidRPr="00576F74">
        <w:rPr>
          <w:lang w:eastAsia="en-US"/>
        </w:rPr>
        <w:t>42.3.1</w:t>
      </w:r>
      <w:r w:rsidRPr="00576F74">
        <w:rPr>
          <w:lang w:eastAsia="en-US"/>
        </w:rPr>
        <w:tab/>
        <w:t>The fire resistance test is carried out for the test specimen installed in a closed position, filled with water with initial temperature of 20 ±5°C under maximum allowable working pressure (</w:t>
      </w:r>
      <w:r w:rsidRPr="00576F74">
        <w:t xml:space="preserve">MAWP, 6.7.2.1 of the </w:t>
      </w:r>
      <w:r w:rsidRPr="00576F74">
        <w:rPr>
          <w:i/>
          <w:iCs/>
        </w:rPr>
        <w:t>Model Regulations</w:t>
      </w:r>
      <w:r w:rsidRPr="00576F74">
        <w:t>)</w:t>
      </w:r>
      <w:r w:rsidRPr="00576F74">
        <w:rPr>
          <w:lang w:eastAsia="en-US"/>
        </w:rPr>
        <w:t xml:space="preserve">, and exposures to flame for at least 30 minutes. </w:t>
      </w:r>
      <w:r w:rsidRPr="00A3723D">
        <w:rPr>
          <w:lang w:eastAsia="en-US"/>
        </w:rPr>
        <w:t xml:space="preserve">Pressure relief devices are subjected to pressure, which is 10% below nominal pressure set to discharge (6.7.2.9.2 of the </w:t>
      </w:r>
      <w:r w:rsidRPr="00A3723D">
        <w:rPr>
          <w:i/>
          <w:iCs/>
          <w:lang w:eastAsia="en-US"/>
        </w:rPr>
        <w:t>Model Regulations</w:t>
      </w:r>
      <w:r w:rsidRPr="00A3723D">
        <w:rPr>
          <w:lang w:eastAsia="en-US"/>
        </w:rPr>
        <w:t xml:space="preserve">). </w:t>
      </w:r>
      <w:r w:rsidRPr="00576F74">
        <w:rPr>
          <w:lang w:eastAsia="en-US"/>
        </w:rPr>
        <w:t>The test specimen shall be completely engulfed in the flame including the gate and seal assemblies. The general test scheme is given in figure 42.3.1. If the test specimen is a part of equipment which is not intended to be the outermost closure in a multi-closure system (such as a valve), then the test specimen may be equipped with a blind flange, at its outermost interface which would otherwise be exposed to flame during the test.</w:t>
      </w:r>
    </w:p>
    <w:p w14:paraId="4A912C14" w14:textId="77777777" w:rsidR="00FB5C94" w:rsidRPr="00576F74" w:rsidRDefault="00FB5C94" w:rsidP="00FB5C94">
      <w:pPr>
        <w:pStyle w:val="SingleTxtG"/>
        <w:tabs>
          <w:tab w:val="clear" w:pos="1701"/>
        </w:tabs>
        <w:rPr>
          <w:lang w:eastAsia="en-US"/>
        </w:rPr>
      </w:pPr>
      <w:r w:rsidRPr="00576F74">
        <w:rPr>
          <w:lang w:eastAsia="en-US"/>
        </w:rPr>
        <w:t>42.3.2</w:t>
      </w:r>
      <w:r w:rsidRPr="00576F74">
        <w:rPr>
          <w:lang w:eastAsia="en-US"/>
        </w:rPr>
        <w:tab/>
        <w:t xml:space="preserve">The fire exposure parameters shall comply with paragraph 6.9.2.7.1.5.1 of the </w:t>
      </w:r>
      <w:r w:rsidRPr="00576F74">
        <w:rPr>
          <w:i/>
          <w:lang w:eastAsia="en-US"/>
        </w:rPr>
        <w:t>Model Regulations</w:t>
      </w:r>
      <w:r w:rsidRPr="00576F74">
        <w:rPr>
          <w:lang w:eastAsia="en-US"/>
        </w:rPr>
        <w:t>. The fire shall be equivalent to a theoretical fire with a flame temperature of 800 °C, emissivity of 0.9 and a minimum net heat flux of 75 kW/m² calibrated according to ISO 21843:2018.</w:t>
      </w:r>
    </w:p>
    <w:p w14:paraId="3E54E2AB" w14:textId="77777777" w:rsidR="00FB5C94" w:rsidRPr="00576F74" w:rsidRDefault="00FB5C94" w:rsidP="00FB5C94">
      <w:pPr>
        <w:pStyle w:val="SingleTxtG"/>
        <w:tabs>
          <w:tab w:val="clear" w:pos="1701"/>
        </w:tabs>
        <w:rPr>
          <w:lang w:eastAsia="en-US"/>
        </w:rPr>
      </w:pPr>
      <w:r w:rsidRPr="00576F74">
        <w:rPr>
          <w:lang w:eastAsia="en-US"/>
        </w:rPr>
        <w:t>42.3.3</w:t>
      </w:r>
      <w:r w:rsidRPr="00576F74">
        <w:rPr>
          <w:lang w:eastAsia="en-US"/>
        </w:rPr>
        <w:tab/>
        <w:t>The intensity of heat exposure shall be measured using temperature and heat flux sensors in accordance with the requirements of ISO 21843-2018.</w:t>
      </w:r>
    </w:p>
    <w:p w14:paraId="59888712" w14:textId="77777777" w:rsidR="00FB5C94" w:rsidRPr="00863128" w:rsidRDefault="00FB5C94" w:rsidP="00FB5C94">
      <w:pPr>
        <w:pStyle w:val="SingleTxtG"/>
        <w:tabs>
          <w:tab w:val="clear" w:pos="1701"/>
        </w:tabs>
      </w:pPr>
      <w:r w:rsidRPr="00576F74">
        <w:t>42.3.4</w:t>
      </w:r>
      <w:r w:rsidRPr="00576F74">
        <w:tab/>
        <w:t xml:space="preserve">After the fire exposure and cooling the test specimen is subjected to </w:t>
      </w:r>
      <w:r w:rsidRPr="00576F74">
        <w:rPr>
          <w:snapToGrid w:val="0"/>
        </w:rPr>
        <w:t>leakproofness</w:t>
      </w:r>
      <w:r w:rsidRPr="00576F74">
        <w:t xml:space="preserve"> test under MAWP.</w:t>
      </w:r>
    </w:p>
    <w:p w14:paraId="65B2AC48" w14:textId="77777777" w:rsidR="00FB5C94" w:rsidRPr="00863128" w:rsidRDefault="00FB5C94" w:rsidP="00FB5C94">
      <w:pPr>
        <w:pStyle w:val="SingleTxtG"/>
        <w:rPr>
          <w:b/>
          <w:bCs/>
          <w:sz w:val="22"/>
          <w:szCs w:val="22"/>
          <w:lang w:eastAsia="fr-FR"/>
        </w:rPr>
      </w:pPr>
      <w:r w:rsidRPr="00863128">
        <w:br w:type="page"/>
      </w:r>
    </w:p>
    <w:p w14:paraId="128831D5" w14:textId="77777777" w:rsidR="00FB5C94" w:rsidRPr="004844CF" w:rsidRDefault="00FB5C94" w:rsidP="00FB5C94">
      <w:pPr>
        <w:pStyle w:val="SingleTxtG"/>
        <w:jc w:val="center"/>
        <w:rPr>
          <w:b/>
          <w:bCs/>
        </w:rPr>
      </w:pPr>
      <w:r w:rsidRPr="004844CF">
        <w:rPr>
          <w:b/>
          <w:bCs/>
        </w:rPr>
        <w:lastRenderedPageBreak/>
        <w:t>Figure 42.3.1: Fire resistance test scheme</w:t>
      </w:r>
    </w:p>
    <w:p w14:paraId="0DEC6C88" w14:textId="77777777" w:rsidR="00FB5C94" w:rsidRPr="00863128" w:rsidRDefault="00FB5C94" w:rsidP="00FB5C94">
      <w:pPr>
        <w:pStyle w:val="SingleTxtG"/>
      </w:pPr>
    </w:p>
    <w:p w14:paraId="420C6111" w14:textId="77777777" w:rsidR="00FB5C94" w:rsidRPr="00863128" w:rsidRDefault="00FB5C94" w:rsidP="00FB5C94">
      <w:pPr>
        <w:pStyle w:val="SingleTxtG"/>
        <w:jc w:val="center"/>
      </w:pPr>
      <w:r w:rsidRPr="00863128">
        <w:rPr>
          <w:noProof/>
          <w:lang w:val="ru-RU" w:eastAsia="ru-RU"/>
        </w:rPr>
        <w:drawing>
          <wp:inline distT="0" distB="0" distL="0" distR="0" wp14:anchorId="203370E2" wp14:editId="707E4EC3">
            <wp:extent cx="3564255" cy="2483485"/>
            <wp:effectExtent l="0" t="0" r="0" b="0"/>
            <wp:docPr id="5" name="Picture 5" descr="WhatsApp Image 2023-03-28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3-03-28 at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4255" cy="2483485"/>
                    </a:xfrm>
                    <a:prstGeom prst="rect">
                      <a:avLst/>
                    </a:prstGeom>
                    <a:noFill/>
                    <a:ln>
                      <a:noFill/>
                    </a:ln>
                  </pic:spPr>
                </pic:pic>
              </a:graphicData>
            </a:graphic>
          </wp:inline>
        </w:drawing>
      </w:r>
    </w:p>
    <w:p w14:paraId="6FF4A3D6" w14:textId="77777777" w:rsidR="00FB5C94" w:rsidRPr="00863128" w:rsidRDefault="00FB5C94" w:rsidP="00FB5C94">
      <w:pPr>
        <w:pStyle w:val="SingleTxtG"/>
        <w:jc w:val="center"/>
      </w:pPr>
      <w:r w:rsidRPr="00863128">
        <w:t>A</w:t>
      </w:r>
    </w:p>
    <w:p w14:paraId="173E40B5" w14:textId="77777777" w:rsidR="00FB5C94" w:rsidRPr="00863128" w:rsidRDefault="00FB5C94" w:rsidP="00FB5C94">
      <w:pPr>
        <w:pStyle w:val="SingleTxtG"/>
        <w:jc w:val="center"/>
      </w:pPr>
    </w:p>
    <w:p w14:paraId="4A450BE3" w14:textId="77777777" w:rsidR="00FB5C94" w:rsidRPr="00863128" w:rsidRDefault="00FB5C94" w:rsidP="00FB5C94">
      <w:pPr>
        <w:pStyle w:val="SingleTxtG"/>
        <w:jc w:val="center"/>
      </w:pPr>
    </w:p>
    <w:p w14:paraId="55E5DCC7" w14:textId="77777777" w:rsidR="00FB5C94" w:rsidRPr="00863128" w:rsidRDefault="00FB5C94" w:rsidP="00FB5C94">
      <w:pPr>
        <w:pStyle w:val="SingleTxtG"/>
        <w:jc w:val="center"/>
      </w:pPr>
      <w:r w:rsidRPr="00863128">
        <w:rPr>
          <w:noProof/>
          <w:lang w:val="ru-RU" w:eastAsia="ru-RU"/>
        </w:rPr>
        <w:drawing>
          <wp:inline distT="0" distB="0" distL="0" distR="0" wp14:anchorId="38A085AD" wp14:editId="01351AFD">
            <wp:extent cx="2275840" cy="2296160"/>
            <wp:effectExtent l="0" t="0" r="0" b="8890"/>
            <wp:docPr id="6" name="Picture 6" descr="WhatsApp Image 2023-03-28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03-28 at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5840" cy="2296160"/>
                    </a:xfrm>
                    <a:prstGeom prst="rect">
                      <a:avLst/>
                    </a:prstGeom>
                    <a:noFill/>
                    <a:ln>
                      <a:noFill/>
                    </a:ln>
                  </pic:spPr>
                </pic:pic>
              </a:graphicData>
            </a:graphic>
          </wp:inline>
        </w:drawing>
      </w:r>
    </w:p>
    <w:p w14:paraId="6E53ABE9" w14:textId="77777777" w:rsidR="00FB5C94" w:rsidRPr="00863128" w:rsidRDefault="00FB5C94" w:rsidP="00FB5C94">
      <w:pPr>
        <w:pStyle w:val="SingleTxtG"/>
        <w:jc w:val="center"/>
      </w:pPr>
      <w:r w:rsidRPr="00863128">
        <w:t>B</w:t>
      </w:r>
    </w:p>
    <w:p w14:paraId="1AF6FFE2" w14:textId="77777777" w:rsidR="00FB5C94" w:rsidRPr="00863128" w:rsidRDefault="00FB5C94" w:rsidP="00FB5C94">
      <w:pPr>
        <w:pStyle w:val="SingleTxtG"/>
      </w:pP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4164"/>
        <w:gridCol w:w="424"/>
        <w:gridCol w:w="4536"/>
      </w:tblGrid>
      <w:tr w:rsidR="00FB5C94" w:rsidRPr="00863128" w14:paraId="79EA5B14" w14:textId="77777777" w:rsidTr="00C11390">
        <w:tc>
          <w:tcPr>
            <w:tcW w:w="267" w:type="pct"/>
            <w:tcBorders>
              <w:top w:val="single" w:sz="12" w:space="0" w:color="auto"/>
              <w:left w:val="nil"/>
              <w:bottom w:val="nil"/>
              <w:right w:val="nil"/>
            </w:tcBorders>
            <w:hideMark/>
          </w:tcPr>
          <w:p w14:paraId="10C34CDB"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(A)</w:t>
            </w:r>
          </w:p>
        </w:tc>
        <w:tc>
          <w:tcPr>
            <w:tcW w:w="2160" w:type="pct"/>
            <w:tcBorders>
              <w:top w:val="single" w:sz="12" w:space="0" w:color="auto"/>
              <w:left w:val="nil"/>
              <w:bottom w:val="nil"/>
              <w:right w:val="nil"/>
            </w:tcBorders>
            <w:hideMark/>
          </w:tcPr>
          <w:p w14:paraId="2F68398A"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Side view</w:t>
            </w:r>
          </w:p>
        </w:tc>
        <w:tc>
          <w:tcPr>
            <w:tcW w:w="220" w:type="pct"/>
            <w:tcBorders>
              <w:top w:val="single" w:sz="12" w:space="0" w:color="auto"/>
              <w:left w:val="nil"/>
              <w:bottom w:val="nil"/>
              <w:right w:val="nil"/>
            </w:tcBorders>
            <w:hideMark/>
          </w:tcPr>
          <w:p w14:paraId="4C741DA7"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(B)</w:t>
            </w:r>
          </w:p>
        </w:tc>
        <w:tc>
          <w:tcPr>
            <w:tcW w:w="2353" w:type="pct"/>
            <w:tcBorders>
              <w:top w:val="single" w:sz="12" w:space="0" w:color="auto"/>
              <w:left w:val="nil"/>
              <w:bottom w:val="nil"/>
              <w:right w:val="nil"/>
            </w:tcBorders>
            <w:hideMark/>
          </w:tcPr>
          <w:p w14:paraId="1DA26431"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End-face view</w:t>
            </w:r>
          </w:p>
        </w:tc>
      </w:tr>
      <w:tr w:rsidR="00FB5C94" w:rsidRPr="00863128" w14:paraId="52D00B32" w14:textId="77777777" w:rsidTr="00C11390">
        <w:tc>
          <w:tcPr>
            <w:tcW w:w="267" w:type="pct"/>
            <w:tcBorders>
              <w:top w:val="nil"/>
              <w:left w:val="nil"/>
              <w:bottom w:val="nil"/>
              <w:right w:val="nil"/>
            </w:tcBorders>
            <w:hideMark/>
          </w:tcPr>
          <w:p w14:paraId="2EB4FFB5"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(1)</w:t>
            </w:r>
          </w:p>
        </w:tc>
        <w:tc>
          <w:tcPr>
            <w:tcW w:w="2160" w:type="pct"/>
            <w:tcBorders>
              <w:top w:val="nil"/>
              <w:left w:val="nil"/>
              <w:bottom w:val="nil"/>
              <w:right w:val="nil"/>
            </w:tcBorders>
            <w:hideMark/>
          </w:tcPr>
          <w:p w14:paraId="70C29CE4"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Pressure system with water supply</w:t>
            </w:r>
          </w:p>
        </w:tc>
        <w:tc>
          <w:tcPr>
            <w:tcW w:w="220" w:type="pct"/>
            <w:tcBorders>
              <w:top w:val="nil"/>
              <w:left w:val="nil"/>
              <w:bottom w:val="nil"/>
              <w:right w:val="nil"/>
            </w:tcBorders>
            <w:hideMark/>
          </w:tcPr>
          <w:p w14:paraId="7509C45F"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(2)</w:t>
            </w:r>
          </w:p>
        </w:tc>
        <w:tc>
          <w:tcPr>
            <w:tcW w:w="2353" w:type="pct"/>
            <w:tcBorders>
              <w:top w:val="nil"/>
              <w:left w:val="nil"/>
              <w:bottom w:val="nil"/>
              <w:right w:val="nil"/>
            </w:tcBorders>
            <w:hideMark/>
          </w:tcPr>
          <w:p w14:paraId="12BF5FEF"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Fixture to join the test specimen to the pressure system</w:t>
            </w:r>
          </w:p>
        </w:tc>
      </w:tr>
      <w:tr w:rsidR="00FB5C94" w:rsidRPr="00863128" w14:paraId="056ADA6E" w14:textId="77777777" w:rsidTr="00C11390">
        <w:tc>
          <w:tcPr>
            <w:tcW w:w="267" w:type="pct"/>
            <w:tcBorders>
              <w:top w:val="nil"/>
              <w:left w:val="nil"/>
              <w:bottom w:val="nil"/>
              <w:right w:val="nil"/>
            </w:tcBorders>
            <w:hideMark/>
          </w:tcPr>
          <w:p w14:paraId="124A5FEC"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(3)</w:t>
            </w:r>
          </w:p>
        </w:tc>
        <w:tc>
          <w:tcPr>
            <w:tcW w:w="2160" w:type="pct"/>
            <w:tcBorders>
              <w:top w:val="nil"/>
              <w:left w:val="nil"/>
              <w:bottom w:val="nil"/>
              <w:right w:val="nil"/>
            </w:tcBorders>
            <w:hideMark/>
          </w:tcPr>
          <w:p w14:paraId="4A4EA3A5"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 xml:space="preserve">Flange of the test specimen </w:t>
            </w:r>
          </w:p>
        </w:tc>
        <w:tc>
          <w:tcPr>
            <w:tcW w:w="220" w:type="pct"/>
            <w:tcBorders>
              <w:top w:val="nil"/>
              <w:left w:val="nil"/>
              <w:bottom w:val="nil"/>
              <w:right w:val="nil"/>
            </w:tcBorders>
            <w:hideMark/>
          </w:tcPr>
          <w:p w14:paraId="45E8D2A6"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(4)</w:t>
            </w:r>
          </w:p>
        </w:tc>
        <w:tc>
          <w:tcPr>
            <w:tcW w:w="2353" w:type="pct"/>
            <w:tcBorders>
              <w:top w:val="nil"/>
              <w:left w:val="nil"/>
              <w:bottom w:val="nil"/>
              <w:right w:val="nil"/>
            </w:tcBorders>
            <w:hideMark/>
          </w:tcPr>
          <w:p w14:paraId="0FE5FEC1"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Test specimen</w:t>
            </w:r>
          </w:p>
        </w:tc>
      </w:tr>
      <w:tr w:rsidR="00FB5C94" w:rsidRPr="00863128" w14:paraId="220A74BD" w14:textId="77777777" w:rsidTr="00C11390">
        <w:tc>
          <w:tcPr>
            <w:tcW w:w="267" w:type="pct"/>
            <w:tcBorders>
              <w:top w:val="nil"/>
              <w:left w:val="nil"/>
              <w:bottom w:val="single" w:sz="12" w:space="0" w:color="auto"/>
              <w:right w:val="nil"/>
            </w:tcBorders>
            <w:hideMark/>
          </w:tcPr>
          <w:p w14:paraId="6F4A56CB"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(5)</w:t>
            </w:r>
          </w:p>
        </w:tc>
        <w:tc>
          <w:tcPr>
            <w:tcW w:w="2160" w:type="pct"/>
            <w:tcBorders>
              <w:top w:val="nil"/>
              <w:left w:val="nil"/>
              <w:bottom w:val="single" w:sz="12" w:space="0" w:color="auto"/>
              <w:right w:val="nil"/>
            </w:tcBorders>
            <w:hideMark/>
          </w:tcPr>
          <w:p w14:paraId="11F0A9BA"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Temperature and heat flow measuring system</w:t>
            </w:r>
          </w:p>
        </w:tc>
        <w:tc>
          <w:tcPr>
            <w:tcW w:w="220" w:type="pct"/>
            <w:tcBorders>
              <w:top w:val="nil"/>
              <w:left w:val="nil"/>
              <w:bottom w:val="single" w:sz="12" w:space="0" w:color="auto"/>
              <w:right w:val="nil"/>
            </w:tcBorders>
          </w:tcPr>
          <w:p w14:paraId="58AC0156"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(6)</w:t>
            </w:r>
          </w:p>
        </w:tc>
        <w:tc>
          <w:tcPr>
            <w:tcW w:w="2353" w:type="pct"/>
            <w:tcBorders>
              <w:top w:val="nil"/>
              <w:left w:val="nil"/>
              <w:bottom w:val="single" w:sz="12" w:space="0" w:color="auto"/>
              <w:right w:val="nil"/>
            </w:tcBorders>
          </w:tcPr>
          <w:p w14:paraId="59BC25FE" w14:textId="77777777" w:rsidR="00FB5C94" w:rsidRPr="007C047B" w:rsidRDefault="00FB5C94" w:rsidP="00C11390">
            <w:pPr>
              <w:numPr>
                <w:ilvl w:val="12"/>
                <w:numId w:val="0"/>
              </w:numPr>
              <w:spacing w:before="40" w:line="220" w:lineRule="exact"/>
              <w:ind w:left="-4"/>
              <w:rPr>
                <w:rFonts w:asciiTheme="majorBidi" w:eastAsia="SimSun" w:hAnsiTheme="majorBidi" w:cstheme="majorBidi"/>
                <w:lang w:val="en-GB" w:eastAsia="fr-FR"/>
              </w:rPr>
            </w:pPr>
            <w:r w:rsidRPr="007C047B">
              <w:rPr>
                <w:rFonts w:asciiTheme="majorBidi" w:eastAsia="SimSun" w:hAnsiTheme="majorBidi" w:cstheme="majorBidi"/>
                <w:lang w:val="en-GB" w:eastAsia="fr-FR"/>
              </w:rPr>
              <w:t>Flame</w:t>
            </w:r>
          </w:p>
        </w:tc>
      </w:tr>
    </w:tbl>
    <w:p w14:paraId="062D4CFB" w14:textId="77777777" w:rsidR="00FB5C94" w:rsidRPr="00863128" w:rsidRDefault="00FB5C94" w:rsidP="00FB5C94">
      <w:pPr>
        <w:pStyle w:val="SingleTxtG"/>
      </w:pPr>
      <w:r w:rsidRPr="00863128">
        <w:br w:type="page"/>
      </w:r>
    </w:p>
    <w:p w14:paraId="12EEF641" w14:textId="77777777" w:rsidR="00FB5C94" w:rsidRPr="004844CF" w:rsidRDefault="00FB5C94" w:rsidP="00FB5C94">
      <w:pPr>
        <w:pStyle w:val="SingleTxtG"/>
        <w:tabs>
          <w:tab w:val="clear" w:pos="1701"/>
        </w:tabs>
        <w:rPr>
          <w:b/>
          <w:bCs/>
        </w:rPr>
      </w:pPr>
      <w:r w:rsidRPr="004844CF">
        <w:rPr>
          <w:b/>
          <w:bCs/>
        </w:rPr>
        <w:lastRenderedPageBreak/>
        <w:t>42.4</w:t>
      </w:r>
      <w:r w:rsidRPr="004844CF">
        <w:rPr>
          <w:b/>
          <w:bCs/>
        </w:rPr>
        <w:tab/>
        <w:t>Test apparatus</w:t>
      </w:r>
    </w:p>
    <w:p w14:paraId="7469D083" w14:textId="77777777" w:rsidR="00FB5C94" w:rsidRPr="004844CF" w:rsidRDefault="00FB5C94" w:rsidP="00FB5C94">
      <w:pPr>
        <w:pStyle w:val="SingleTxtG"/>
        <w:tabs>
          <w:tab w:val="clear" w:pos="1701"/>
        </w:tabs>
        <w:rPr>
          <w:b/>
          <w:bCs/>
          <w:i/>
          <w:iCs/>
        </w:rPr>
      </w:pPr>
      <w:r w:rsidRPr="004844CF">
        <w:rPr>
          <w:b/>
          <w:bCs/>
        </w:rPr>
        <w:t>42.4.1</w:t>
      </w:r>
      <w:r w:rsidRPr="004844CF">
        <w:rPr>
          <w:b/>
          <w:bCs/>
        </w:rPr>
        <w:tab/>
      </w:r>
      <w:r w:rsidRPr="004844CF">
        <w:rPr>
          <w:b/>
          <w:bCs/>
          <w:i/>
          <w:iCs/>
        </w:rPr>
        <w:t>General requirements</w:t>
      </w:r>
    </w:p>
    <w:p w14:paraId="1A711493" w14:textId="77777777" w:rsidR="00FB5C94" w:rsidRPr="0032220A" w:rsidRDefault="00FB5C94" w:rsidP="00FB5C94">
      <w:pPr>
        <w:pStyle w:val="SingleTxtG"/>
        <w:tabs>
          <w:tab w:val="clear" w:pos="1701"/>
        </w:tabs>
        <w:rPr>
          <w:lang w:eastAsia="en-US"/>
        </w:rPr>
      </w:pPr>
      <w:r w:rsidRPr="0032220A">
        <w:rPr>
          <w:lang w:eastAsia="en-US"/>
        </w:rPr>
        <w:t>42.4.1.1</w:t>
      </w:r>
      <w:r w:rsidRPr="0032220A">
        <w:rPr>
          <w:lang w:eastAsia="en-US"/>
        </w:rPr>
        <w:tab/>
        <w:t>The fire resistance test bed shall include:</w:t>
      </w:r>
    </w:p>
    <w:p w14:paraId="7F2EFCED" w14:textId="77777777" w:rsidR="00FB5C94" w:rsidRPr="004844CF" w:rsidRDefault="00FB5C94" w:rsidP="00FB5C94">
      <w:pPr>
        <w:pStyle w:val="SingleTxtG"/>
        <w:tabs>
          <w:tab w:val="clear" w:pos="1701"/>
        </w:tabs>
        <w:ind w:left="2835" w:hanging="567"/>
        <w:rPr>
          <w:bCs/>
          <w:color w:val="000000"/>
          <w:lang w:eastAsia="ru-RU"/>
        </w:rPr>
      </w:pPr>
      <w:r w:rsidRPr="0032220A">
        <w:t>(a)</w:t>
      </w:r>
      <w:r w:rsidRPr="0032220A">
        <w:tab/>
        <w:t xml:space="preserve">a </w:t>
      </w:r>
      <w:r w:rsidRPr="004844CF">
        <w:rPr>
          <w:bCs/>
          <w:color w:val="000000"/>
          <w:lang w:eastAsia="ru-RU"/>
        </w:rPr>
        <w:t xml:space="preserve">fire chamber with dimensions sufficient to accommodate the test specimen and the temperature and heat flux measuring system; </w:t>
      </w:r>
    </w:p>
    <w:p w14:paraId="48AA12C6"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(b)</w:t>
      </w:r>
      <w:r w:rsidRPr="004844CF">
        <w:rPr>
          <w:bCs/>
          <w:color w:val="000000"/>
          <w:lang w:eastAsia="ru-RU"/>
        </w:rPr>
        <w:tab/>
        <w:t>a fuel supply and combustion system;</w:t>
      </w:r>
    </w:p>
    <w:p w14:paraId="3F9F0761"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(c)</w:t>
      </w:r>
      <w:r w:rsidRPr="004844CF">
        <w:rPr>
          <w:bCs/>
          <w:color w:val="000000"/>
          <w:lang w:eastAsia="ru-RU"/>
        </w:rPr>
        <w:tab/>
        <w:t>a pressure system with water supply ((1) in figure 42.3.1);</w:t>
      </w:r>
    </w:p>
    <w:p w14:paraId="52EAD8B9"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(d)</w:t>
      </w:r>
      <w:r w:rsidRPr="004844CF">
        <w:rPr>
          <w:bCs/>
          <w:color w:val="000000"/>
          <w:lang w:eastAsia="ru-RU"/>
        </w:rPr>
        <w:tab/>
        <w:t>a fixture to join the test specimen to the test bed ((2) in figure 42.3.1); and</w:t>
      </w:r>
    </w:p>
    <w:p w14:paraId="16890BCC" w14:textId="77777777" w:rsidR="00FB5C94" w:rsidRPr="0032220A" w:rsidRDefault="00FB5C94" w:rsidP="00FB5C94">
      <w:pPr>
        <w:pStyle w:val="SingleTxtG"/>
        <w:tabs>
          <w:tab w:val="clear" w:pos="1701"/>
        </w:tabs>
        <w:ind w:left="2835" w:hanging="567"/>
      </w:pPr>
      <w:r w:rsidRPr="004844CF">
        <w:rPr>
          <w:bCs/>
          <w:color w:val="000000"/>
          <w:lang w:eastAsia="ru-RU"/>
        </w:rPr>
        <w:t>(e)</w:t>
      </w:r>
      <w:r w:rsidRPr="004844CF">
        <w:rPr>
          <w:bCs/>
          <w:color w:val="000000"/>
          <w:lang w:eastAsia="ru-RU"/>
        </w:rPr>
        <w:tab/>
        <w:t>a temperature</w:t>
      </w:r>
      <w:r w:rsidRPr="0032220A">
        <w:t xml:space="preserve"> and heat flux measuring system ((5) in figure 42.3.1) according to ISO 21843:2018.</w:t>
      </w:r>
    </w:p>
    <w:p w14:paraId="22965BBD" w14:textId="77777777" w:rsidR="00FB5C94" w:rsidRPr="0032220A" w:rsidRDefault="00FB5C94" w:rsidP="00FB5C94">
      <w:pPr>
        <w:pStyle w:val="SingleTxtG"/>
        <w:tabs>
          <w:tab w:val="clear" w:pos="1701"/>
        </w:tabs>
      </w:pPr>
      <w:r w:rsidRPr="0032220A">
        <w:t>42.4.1.2</w:t>
      </w:r>
      <w:r w:rsidRPr="0032220A">
        <w:rPr>
          <w:b/>
        </w:rPr>
        <w:tab/>
      </w:r>
      <w:r w:rsidRPr="0032220A">
        <w:t>The specific types of testing equipment can be modified and supplemented in accordance with the requirements of the testing laboratory.</w:t>
      </w:r>
    </w:p>
    <w:p w14:paraId="7D4A3833" w14:textId="77777777" w:rsidR="00FB5C94" w:rsidRPr="0032220A" w:rsidRDefault="00FB5C94" w:rsidP="00FB5C94">
      <w:pPr>
        <w:pStyle w:val="SingleTxtG"/>
        <w:tabs>
          <w:tab w:val="clear" w:pos="1701"/>
        </w:tabs>
      </w:pPr>
      <w:r w:rsidRPr="0032220A">
        <w:t>42.4.1.3</w:t>
      </w:r>
      <w:r w:rsidRPr="0032220A">
        <w:rPr>
          <w:b/>
        </w:rPr>
        <w:tab/>
      </w:r>
      <w:r w:rsidRPr="0032220A">
        <w:t>The test bed facilities shall not expose the test specimen to external influences that can affect the test results.</w:t>
      </w:r>
    </w:p>
    <w:p w14:paraId="235AF4DD" w14:textId="77777777" w:rsidR="00FB5C94" w:rsidRPr="0032220A" w:rsidRDefault="00FB5C94" w:rsidP="00FB5C94">
      <w:pPr>
        <w:pStyle w:val="SingleTxtG"/>
        <w:tabs>
          <w:tab w:val="clear" w:pos="1701"/>
        </w:tabs>
      </w:pPr>
      <w:r w:rsidRPr="0032220A">
        <w:t>42.4.1.4</w:t>
      </w:r>
      <w:r w:rsidRPr="0032220A">
        <w:rPr>
          <w:b/>
        </w:rPr>
        <w:tab/>
      </w:r>
      <w:r w:rsidRPr="0032220A">
        <w:t>The heat regime shall be provided by burning liquid fuel or gas.</w:t>
      </w:r>
    </w:p>
    <w:p w14:paraId="73709155" w14:textId="77777777" w:rsidR="00FB5C94" w:rsidRPr="0032220A" w:rsidRDefault="00FB5C94" w:rsidP="00FB5C94">
      <w:pPr>
        <w:pStyle w:val="SingleTxtG"/>
        <w:tabs>
          <w:tab w:val="clear" w:pos="1701"/>
        </w:tabs>
      </w:pPr>
      <w:r w:rsidRPr="0032220A">
        <w:t>42.4.1.5</w:t>
      </w:r>
      <w:r w:rsidRPr="0032220A">
        <w:tab/>
        <w:t>The test bed shall ensure uniform flame coverage of the test specimen.</w:t>
      </w:r>
    </w:p>
    <w:p w14:paraId="40845BEC" w14:textId="77777777" w:rsidR="00FB5C94" w:rsidRPr="0032220A" w:rsidRDefault="00FB5C94" w:rsidP="00FB5C94">
      <w:pPr>
        <w:pStyle w:val="SingleTxtG"/>
        <w:tabs>
          <w:tab w:val="clear" w:pos="1701"/>
        </w:tabs>
      </w:pPr>
      <w:r w:rsidRPr="0032220A">
        <w:t>42.4.1.6</w:t>
      </w:r>
      <w:r w:rsidRPr="0032220A">
        <w:rPr>
          <w:b/>
        </w:rPr>
        <w:tab/>
      </w:r>
      <w:r w:rsidRPr="0032220A">
        <w:t>The firing chamber shall provide a horizontal gap between any part of the test specimen and its own shell of at least 150 mm.</w:t>
      </w:r>
    </w:p>
    <w:p w14:paraId="30C731E5" w14:textId="77777777" w:rsidR="00FB5C94" w:rsidRPr="0032220A" w:rsidRDefault="00FB5C94" w:rsidP="00FB5C94">
      <w:pPr>
        <w:pStyle w:val="SingleTxtG"/>
        <w:tabs>
          <w:tab w:val="clear" w:pos="1701"/>
        </w:tabs>
      </w:pPr>
      <w:r w:rsidRPr="0032220A">
        <w:t>42.4.1.7</w:t>
      </w:r>
      <w:r w:rsidRPr="0032220A">
        <w:rPr>
          <w:b/>
        </w:rPr>
        <w:tab/>
      </w:r>
      <w:r w:rsidRPr="0032220A">
        <w:t>The fire source (nozzles) shall be at least 150 mm away from the test specimen and temperature sensors and shall provide sufficient power to ensure that the test specimen is completely engulfed in flame.</w:t>
      </w:r>
    </w:p>
    <w:p w14:paraId="64D1EAC4" w14:textId="77777777" w:rsidR="00FB5C94" w:rsidRPr="0032220A" w:rsidRDefault="00FB5C94" w:rsidP="00FB5C94">
      <w:pPr>
        <w:pStyle w:val="SingleTxtG"/>
        <w:tabs>
          <w:tab w:val="clear" w:pos="1701"/>
        </w:tabs>
      </w:pPr>
      <w:r w:rsidRPr="0032220A">
        <w:t>42.4.1.8</w:t>
      </w:r>
      <w:r w:rsidRPr="0032220A">
        <w:rPr>
          <w:b/>
        </w:rPr>
        <w:tab/>
      </w:r>
      <w:r w:rsidRPr="0032220A">
        <w:t>The fuel supply and combustion system shall be controlled.</w:t>
      </w:r>
    </w:p>
    <w:p w14:paraId="64285378" w14:textId="77777777" w:rsidR="00FB5C94" w:rsidRPr="004844CF" w:rsidRDefault="00FB5C94" w:rsidP="00FB5C94">
      <w:pPr>
        <w:pStyle w:val="SingleTxtG"/>
        <w:tabs>
          <w:tab w:val="clear" w:pos="1701"/>
        </w:tabs>
        <w:rPr>
          <w:b/>
          <w:bCs/>
          <w:i/>
          <w:iCs/>
        </w:rPr>
      </w:pPr>
      <w:r w:rsidRPr="004844CF">
        <w:rPr>
          <w:b/>
          <w:bCs/>
        </w:rPr>
        <w:t>42.4.2</w:t>
      </w:r>
      <w:r w:rsidRPr="004844CF">
        <w:rPr>
          <w:b/>
          <w:bCs/>
        </w:rPr>
        <w:tab/>
      </w:r>
      <w:r w:rsidRPr="004844CF">
        <w:rPr>
          <w:b/>
          <w:bCs/>
          <w:i/>
          <w:iCs/>
        </w:rPr>
        <w:t>Requirements of the measuring system</w:t>
      </w:r>
    </w:p>
    <w:p w14:paraId="7A16FC81" w14:textId="77777777" w:rsidR="00FB5C94" w:rsidRPr="0032220A" w:rsidRDefault="00FB5C94" w:rsidP="00FB5C94">
      <w:pPr>
        <w:pStyle w:val="SingleTxtG"/>
        <w:tabs>
          <w:tab w:val="clear" w:pos="1701"/>
        </w:tabs>
      </w:pPr>
      <w:r w:rsidRPr="0032220A">
        <w:t>42.4.2.1</w:t>
      </w:r>
      <w:r w:rsidRPr="0032220A">
        <w:tab/>
        <w:t>During the test the following parameters shall be measured:</w:t>
      </w:r>
    </w:p>
    <w:p w14:paraId="5EE1DFDD" w14:textId="77777777" w:rsidR="00FB5C94" w:rsidRPr="004844CF" w:rsidRDefault="00FB5C94" w:rsidP="00FB5C94">
      <w:pPr>
        <w:pStyle w:val="SingleTxtG"/>
        <w:tabs>
          <w:tab w:val="clear" w:pos="1701"/>
        </w:tabs>
        <w:ind w:left="2835" w:hanging="567"/>
        <w:rPr>
          <w:bCs/>
          <w:color w:val="000000"/>
          <w:lang w:eastAsia="ru-RU"/>
        </w:rPr>
      </w:pPr>
      <w:r w:rsidRPr="0032220A">
        <w:t>(a)</w:t>
      </w:r>
      <w:r w:rsidRPr="0032220A">
        <w:tab/>
      </w:r>
      <w:r w:rsidRPr="004844CF">
        <w:rPr>
          <w:bCs/>
          <w:color w:val="000000"/>
          <w:lang w:eastAsia="ru-RU"/>
        </w:rPr>
        <w:t>temperature and heat flux on the surface of the test specimen;</w:t>
      </w:r>
    </w:p>
    <w:p w14:paraId="1A561CFF"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(b)</w:t>
      </w:r>
      <w:r w:rsidRPr="004844CF">
        <w:rPr>
          <w:bCs/>
          <w:color w:val="000000"/>
          <w:lang w:eastAsia="ru-RU"/>
        </w:rPr>
        <w:tab/>
        <w:t>internal pressure during fire and cooling (pressure gauge records);</w:t>
      </w:r>
    </w:p>
    <w:p w14:paraId="74A311D7" w14:textId="77777777" w:rsidR="00FB5C94" w:rsidRPr="0032220A" w:rsidRDefault="00FB5C94" w:rsidP="00FB5C94">
      <w:pPr>
        <w:pStyle w:val="SingleTxtG"/>
        <w:tabs>
          <w:tab w:val="clear" w:pos="1701"/>
        </w:tabs>
        <w:ind w:left="2835" w:hanging="567"/>
      </w:pPr>
      <w:r w:rsidRPr="004844CF">
        <w:rPr>
          <w:bCs/>
          <w:color w:val="000000"/>
          <w:lang w:eastAsia="ru-RU"/>
        </w:rPr>
        <w:t>(c)</w:t>
      </w:r>
      <w:r w:rsidRPr="004844CF">
        <w:rPr>
          <w:bCs/>
          <w:color w:val="000000"/>
          <w:lang w:eastAsia="ru-RU"/>
        </w:rPr>
        <w:tab/>
        <w:t>leakpro</w:t>
      </w:r>
      <w:r w:rsidRPr="0032220A">
        <w:t>ofness of the test specimen.</w:t>
      </w:r>
    </w:p>
    <w:p w14:paraId="2EF04F94" w14:textId="77777777" w:rsidR="00FB5C94" w:rsidRPr="0032220A" w:rsidRDefault="00FB5C94" w:rsidP="00FB5C94">
      <w:pPr>
        <w:pStyle w:val="SingleTxtG"/>
        <w:tabs>
          <w:tab w:val="clear" w:pos="1701"/>
        </w:tabs>
      </w:pPr>
      <w:r w:rsidRPr="0032220A">
        <w:t>42.4.2.2</w:t>
      </w:r>
      <w:r w:rsidRPr="0032220A">
        <w:tab/>
        <w:t>The general scheme of installation of the test specimen and temperature and heat flow sensors is shown in figure 42.3.1. Measurement errors shall not be more than:</w:t>
      </w:r>
    </w:p>
    <w:p w14:paraId="5429BEF3" w14:textId="77777777" w:rsidR="00FB5C94" w:rsidRPr="004844CF" w:rsidRDefault="00FB5C94" w:rsidP="00FB5C94">
      <w:pPr>
        <w:pStyle w:val="SingleTxtG"/>
        <w:tabs>
          <w:tab w:val="clear" w:pos="1701"/>
        </w:tabs>
        <w:ind w:left="2835" w:hanging="567"/>
        <w:rPr>
          <w:bCs/>
          <w:color w:val="000000"/>
          <w:lang w:eastAsia="ru-RU"/>
        </w:rPr>
      </w:pPr>
      <w:r w:rsidRPr="0032220A">
        <w:t xml:space="preserve">± 3 % when measuring </w:t>
      </w:r>
      <w:r w:rsidRPr="004844CF">
        <w:rPr>
          <w:bCs/>
          <w:color w:val="000000"/>
          <w:lang w:eastAsia="ru-RU"/>
        </w:rPr>
        <w:t>pressures;</w:t>
      </w:r>
    </w:p>
    <w:p w14:paraId="608F567A"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 5 % when measuring temperature and heat flux;</w:t>
      </w:r>
    </w:p>
    <w:p w14:paraId="75F57D3B" w14:textId="77777777" w:rsidR="00FB5C94" w:rsidRPr="0032220A" w:rsidRDefault="00FB5C94" w:rsidP="00FB5C94">
      <w:pPr>
        <w:pStyle w:val="SingleTxtG"/>
        <w:tabs>
          <w:tab w:val="clear" w:pos="1701"/>
        </w:tabs>
        <w:ind w:left="2835" w:hanging="567"/>
      </w:pPr>
      <w:r w:rsidRPr="004844CF">
        <w:rPr>
          <w:bCs/>
          <w:color w:val="000000"/>
          <w:lang w:eastAsia="ru-RU"/>
        </w:rPr>
        <w:t>± 2 % when measuring</w:t>
      </w:r>
      <w:r w:rsidRPr="0032220A">
        <w:t xml:space="preserve"> time.</w:t>
      </w:r>
    </w:p>
    <w:p w14:paraId="65D22463" w14:textId="77777777" w:rsidR="00FB5C94" w:rsidRPr="00F11A0C" w:rsidRDefault="00FB5C94" w:rsidP="00FB5C94">
      <w:pPr>
        <w:pStyle w:val="SingleTxtG"/>
        <w:tabs>
          <w:tab w:val="clear" w:pos="1701"/>
        </w:tabs>
        <w:rPr>
          <w:b/>
          <w:bCs/>
        </w:rPr>
      </w:pPr>
      <w:r w:rsidRPr="00F11A0C">
        <w:rPr>
          <w:b/>
          <w:bCs/>
        </w:rPr>
        <w:t>42.5</w:t>
      </w:r>
      <w:r w:rsidRPr="00F11A0C">
        <w:rPr>
          <w:b/>
          <w:bCs/>
        </w:rPr>
        <w:tab/>
        <w:t>Test procedure</w:t>
      </w:r>
    </w:p>
    <w:p w14:paraId="49CACFCB" w14:textId="77777777" w:rsidR="00FB5C94" w:rsidRPr="0032220A" w:rsidRDefault="00FB5C94" w:rsidP="00FB5C94">
      <w:pPr>
        <w:pStyle w:val="SingleTxtG"/>
        <w:tabs>
          <w:tab w:val="clear" w:pos="1701"/>
        </w:tabs>
        <w:rPr>
          <w:strike/>
        </w:rPr>
      </w:pPr>
      <w:r w:rsidRPr="0032220A">
        <w:t>42.5.1</w:t>
      </w:r>
      <w:r w:rsidRPr="0032220A">
        <w:tab/>
        <w:t xml:space="preserve">The temperature and heat flux sensors shall be installed and calibrated according to ISO 21843:2018. </w:t>
      </w:r>
    </w:p>
    <w:p w14:paraId="049272D2" w14:textId="77777777" w:rsidR="00FB5C94" w:rsidRPr="0032220A" w:rsidRDefault="00FB5C94" w:rsidP="00FB5C94">
      <w:pPr>
        <w:pStyle w:val="SingleTxtG"/>
        <w:tabs>
          <w:tab w:val="clear" w:pos="1701"/>
        </w:tabs>
      </w:pPr>
      <w:r w:rsidRPr="0032220A">
        <w:t>42.5.2</w:t>
      </w:r>
      <w:r w:rsidRPr="0032220A">
        <w:tab/>
        <w:t>Before the test, the test specimen and attachments shall be completely filled with water.</w:t>
      </w:r>
    </w:p>
    <w:p w14:paraId="014B8E20" w14:textId="77777777" w:rsidR="00FB5C94" w:rsidRPr="0032220A" w:rsidRDefault="00FB5C94" w:rsidP="00FB5C94">
      <w:pPr>
        <w:pStyle w:val="SingleTxtG"/>
        <w:tabs>
          <w:tab w:val="clear" w:pos="1701"/>
        </w:tabs>
      </w:pPr>
      <w:r w:rsidRPr="0032220A">
        <w:t>42.5.3</w:t>
      </w:r>
      <w:r w:rsidRPr="0032220A">
        <w:tab/>
        <w:t xml:space="preserve">After the system is completely filled with water, the system shall be loaded with </w:t>
      </w:r>
      <w:r w:rsidRPr="0032220A">
        <w:rPr>
          <w:snapToGrid w:val="0"/>
          <w:lang w:eastAsia="en-US"/>
        </w:rPr>
        <w:t>MAWP</w:t>
      </w:r>
      <w:r w:rsidRPr="0032220A">
        <w:t xml:space="preserve"> at a temperature of 20 °C. Then the leakproofness of the test specimen and pipelines shall be checked. </w:t>
      </w:r>
    </w:p>
    <w:p w14:paraId="4A981F11" w14:textId="77777777" w:rsidR="00FB5C94" w:rsidRPr="0032220A" w:rsidRDefault="00FB5C94" w:rsidP="00FB5C94">
      <w:pPr>
        <w:pStyle w:val="SingleTxtG"/>
        <w:tabs>
          <w:tab w:val="clear" w:pos="1701"/>
        </w:tabs>
      </w:pPr>
      <w:r w:rsidRPr="0032220A">
        <w:t>42.5.</w:t>
      </w:r>
      <w:r w:rsidRPr="0032220A">
        <w:rPr>
          <w:lang w:val="en-US"/>
        </w:rPr>
        <w:t>4</w:t>
      </w:r>
      <w:r w:rsidRPr="0032220A">
        <w:tab/>
        <w:t>The fuel supply to the burners shall be opened, ignited and the flame be adjusted with a control valve. The fire parameters shall be maintained in accordance with 42.3.2 at least for 30 minutes. The temperature and heat flux are recorded every 30 seconds with separate records for each sensor during the test.</w:t>
      </w:r>
    </w:p>
    <w:p w14:paraId="48ECA6EB" w14:textId="77777777" w:rsidR="00FB5C94" w:rsidRPr="0032220A" w:rsidRDefault="00FB5C94" w:rsidP="00FB5C94">
      <w:pPr>
        <w:pStyle w:val="SingleTxtG"/>
        <w:tabs>
          <w:tab w:val="clear" w:pos="1701"/>
        </w:tabs>
        <w:rPr>
          <w:strike/>
        </w:rPr>
      </w:pPr>
      <w:r w:rsidRPr="0032220A">
        <w:lastRenderedPageBreak/>
        <w:t>42.5.</w:t>
      </w:r>
      <w:r w:rsidRPr="0032220A">
        <w:rPr>
          <w:lang w:val="en-US"/>
        </w:rPr>
        <w:t>5</w:t>
      </w:r>
      <w:r w:rsidRPr="0032220A">
        <w:tab/>
        <w:t>The fuel supply shall be turned off after the test (</w:t>
      </w:r>
      <w:r w:rsidRPr="0032220A">
        <w:rPr>
          <w:snapToGrid w:val="0"/>
          <w:lang w:eastAsia="en-US"/>
        </w:rPr>
        <w:t>at least</w:t>
      </w:r>
      <w:r w:rsidRPr="0032220A">
        <w:t xml:space="preserve"> 30 minutes). </w:t>
      </w:r>
    </w:p>
    <w:p w14:paraId="39CC5F36" w14:textId="77777777" w:rsidR="00FB5C94" w:rsidRPr="0032220A" w:rsidRDefault="00FB5C94" w:rsidP="00FB5C94">
      <w:pPr>
        <w:pStyle w:val="SingleTxtG"/>
        <w:tabs>
          <w:tab w:val="clear" w:pos="1701"/>
        </w:tabs>
      </w:pPr>
      <w:r w:rsidRPr="0032220A">
        <w:t>42.5.</w:t>
      </w:r>
      <w:r w:rsidRPr="0032220A">
        <w:rPr>
          <w:lang w:val="en-US"/>
        </w:rPr>
        <w:t>6</w:t>
      </w:r>
      <w:r w:rsidRPr="0032220A">
        <w:tab/>
        <w:t xml:space="preserve">The test specimen shall be removed after complete cooling (wall temperature less than 50 °C). Then the test specimen shall be subjected to leakproofness test at </w:t>
      </w:r>
      <w:r w:rsidRPr="0032220A">
        <w:rPr>
          <w:lang w:val="en-US"/>
        </w:rPr>
        <w:t>MAWP</w:t>
      </w:r>
      <w:r w:rsidRPr="0032220A">
        <w:t>.</w:t>
      </w:r>
    </w:p>
    <w:p w14:paraId="706D6C49" w14:textId="77777777" w:rsidR="00FB5C94" w:rsidRPr="0032220A" w:rsidRDefault="00FB5C94" w:rsidP="00FB5C94">
      <w:pPr>
        <w:pStyle w:val="SingleTxtG"/>
        <w:tabs>
          <w:tab w:val="clear" w:pos="1701"/>
        </w:tabs>
      </w:pPr>
      <w:r w:rsidRPr="0032220A">
        <w:t>42.5.</w:t>
      </w:r>
      <w:r w:rsidRPr="0032220A">
        <w:rPr>
          <w:lang w:val="en-US"/>
        </w:rPr>
        <w:t>7</w:t>
      </w:r>
      <w:r w:rsidRPr="0032220A">
        <w:tab/>
        <w:t xml:space="preserve">At least 3 </w:t>
      </w:r>
      <w:r>
        <w:t>"</w:t>
      </w:r>
      <w:r w:rsidRPr="0032220A">
        <w:t>open-closed</w:t>
      </w:r>
      <w:r>
        <w:t>"</w:t>
      </w:r>
      <w:r w:rsidRPr="0032220A">
        <w:t xml:space="preserve"> cycles (if any) shall be performed</w:t>
      </w:r>
      <w:r w:rsidRPr="0032220A">
        <w:rPr>
          <w:lang w:val="en-US"/>
        </w:rPr>
        <w:t xml:space="preserve"> for pressure relief devises.</w:t>
      </w:r>
    </w:p>
    <w:p w14:paraId="30E02C46" w14:textId="77777777" w:rsidR="00FB5C94" w:rsidRPr="00BA2B1F" w:rsidRDefault="00FB5C94" w:rsidP="00FB5C94">
      <w:pPr>
        <w:pStyle w:val="SingleTxtG"/>
        <w:tabs>
          <w:tab w:val="clear" w:pos="1701"/>
        </w:tabs>
        <w:rPr>
          <w:b/>
          <w:bCs/>
        </w:rPr>
      </w:pPr>
      <w:r w:rsidRPr="00BA2B1F">
        <w:rPr>
          <w:b/>
          <w:bCs/>
        </w:rPr>
        <w:t>42.6</w:t>
      </w:r>
      <w:r w:rsidRPr="00BA2B1F">
        <w:rPr>
          <w:b/>
          <w:bCs/>
        </w:rPr>
        <w:tab/>
        <w:t>Performance criteria</w:t>
      </w:r>
    </w:p>
    <w:p w14:paraId="230F47BB" w14:textId="77777777" w:rsidR="00FB5C94" w:rsidRPr="0032220A" w:rsidRDefault="00FB5C94" w:rsidP="00FB5C94">
      <w:pPr>
        <w:pStyle w:val="SingleTxtG"/>
        <w:tabs>
          <w:tab w:val="clear" w:pos="1701"/>
        </w:tabs>
      </w:pPr>
      <w:r w:rsidRPr="0032220A">
        <w:t>42.6.1</w:t>
      </w:r>
      <w:r w:rsidRPr="0032220A">
        <w:tab/>
      </w:r>
      <w:r w:rsidRPr="0032220A">
        <w:rPr>
          <w:snapToGrid w:val="0"/>
          <w:lang w:eastAsia="en-US"/>
        </w:rPr>
        <w:t xml:space="preserve">The test specimen shall demonstrate leakproofness under MAWP after fire exposure. </w:t>
      </w:r>
      <w:r w:rsidRPr="0032220A">
        <w:t>At least 3 “open-closed” cycles (if any) shall be performed</w:t>
      </w:r>
      <w:r w:rsidRPr="0032220A">
        <w:rPr>
          <w:lang w:val="en-US"/>
        </w:rPr>
        <w:t xml:space="preserve"> for pressure relief devises.</w:t>
      </w:r>
      <w:r w:rsidRPr="0032220A">
        <w:rPr>
          <w:snapToGrid w:val="0"/>
          <w:lang w:eastAsia="en-US"/>
        </w:rPr>
        <w:t xml:space="preserve"> If this condition is met, the test specimen is considered to have passed the fire resistance test.</w:t>
      </w:r>
    </w:p>
    <w:p w14:paraId="1C3FA3A8" w14:textId="77777777" w:rsidR="00FB5C94" w:rsidRPr="00BA2B1F" w:rsidRDefault="00FB5C94" w:rsidP="00FB5C94">
      <w:pPr>
        <w:pStyle w:val="SingleTxtG"/>
        <w:tabs>
          <w:tab w:val="clear" w:pos="1701"/>
        </w:tabs>
        <w:rPr>
          <w:b/>
          <w:bCs/>
        </w:rPr>
      </w:pPr>
      <w:r w:rsidRPr="00BA2B1F">
        <w:rPr>
          <w:b/>
          <w:bCs/>
        </w:rPr>
        <w:t>42.7</w:t>
      </w:r>
      <w:r w:rsidRPr="00BA2B1F">
        <w:rPr>
          <w:b/>
          <w:bCs/>
        </w:rPr>
        <w:tab/>
        <w:t>Test report</w:t>
      </w:r>
    </w:p>
    <w:p w14:paraId="50762BE3" w14:textId="77777777" w:rsidR="00FB5C94" w:rsidRPr="0032220A" w:rsidRDefault="00FB5C94" w:rsidP="00FB5C94">
      <w:pPr>
        <w:pStyle w:val="SingleTxtG"/>
        <w:tabs>
          <w:tab w:val="clear" w:pos="1701"/>
        </w:tabs>
      </w:pPr>
      <w:r w:rsidRPr="0032220A">
        <w:tab/>
        <w:t>The test report shall contain:</w:t>
      </w:r>
    </w:p>
    <w:p w14:paraId="607E84B8" w14:textId="77777777" w:rsidR="00FB5C94" w:rsidRPr="004844CF" w:rsidRDefault="00FB5C94" w:rsidP="00FB5C94">
      <w:pPr>
        <w:pStyle w:val="SingleTxtG"/>
        <w:tabs>
          <w:tab w:val="clear" w:pos="1701"/>
        </w:tabs>
        <w:ind w:left="2835" w:hanging="567"/>
        <w:rPr>
          <w:bCs/>
          <w:color w:val="000000"/>
          <w:lang w:eastAsia="ru-RU"/>
        </w:rPr>
      </w:pPr>
      <w:r w:rsidRPr="0032220A">
        <w:t>(a)</w:t>
      </w:r>
      <w:r w:rsidRPr="0032220A">
        <w:tab/>
      </w:r>
      <w:r w:rsidRPr="004844CF">
        <w:rPr>
          <w:bCs/>
          <w:color w:val="000000"/>
          <w:lang w:eastAsia="ru-RU"/>
        </w:rPr>
        <w:t>the name of the organization conducting the tests;</w:t>
      </w:r>
    </w:p>
    <w:p w14:paraId="70B67E34"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(b)</w:t>
      </w:r>
      <w:r w:rsidRPr="004844CF">
        <w:rPr>
          <w:bCs/>
          <w:color w:val="000000"/>
          <w:lang w:eastAsia="ru-RU"/>
        </w:rPr>
        <w:tab/>
        <w:t>the name of the manufacturer of the FRP service equipment;</w:t>
      </w:r>
    </w:p>
    <w:p w14:paraId="2414784B"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(c)</w:t>
      </w:r>
      <w:r w:rsidRPr="004844CF">
        <w:rPr>
          <w:bCs/>
          <w:color w:val="000000"/>
          <w:lang w:eastAsia="ru-RU"/>
        </w:rPr>
        <w:tab/>
        <w:t>the date of the fire resistance tests;</w:t>
      </w:r>
    </w:p>
    <w:p w14:paraId="4057A233"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(d)</w:t>
      </w:r>
      <w:r w:rsidRPr="004844CF">
        <w:rPr>
          <w:bCs/>
          <w:color w:val="000000"/>
          <w:lang w:eastAsia="ru-RU"/>
        </w:rPr>
        <w:tab/>
        <w:t>a description of the FRP service equipment, including dimensions, weight, diameter of the gate section, body and lid materials, seal material, marking;</w:t>
      </w:r>
    </w:p>
    <w:p w14:paraId="7CF646E8"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(e)</w:t>
      </w:r>
      <w:r w:rsidRPr="004844CF">
        <w:rPr>
          <w:bCs/>
          <w:color w:val="000000"/>
          <w:lang w:eastAsia="ru-RU"/>
        </w:rPr>
        <w:tab/>
        <w:t>a recording of the controlled parameters according to 42.4.2.1 and the results of their processing and analysis;</w:t>
      </w:r>
    </w:p>
    <w:p w14:paraId="0F0B1DF5"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(f)</w:t>
      </w:r>
      <w:r w:rsidRPr="004844CF">
        <w:rPr>
          <w:bCs/>
          <w:color w:val="000000"/>
          <w:lang w:eastAsia="ru-RU"/>
        </w:rPr>
        <w:tab/>
        <w:t>the results of visual observations;</w:t>
      </w:r>
    </w:p>
    <w:p w14:paraId="3888F43B"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(g)</w:t>
      </w:r>
      <w:r w:rsidRPr="004844CF">
        <w:rPr>
          <w:bCs/>
          <w:color w:val="000000"/>
          <w:lang w:eastAsia="ru-RU"/>
        </w:rPr>
        <w:tab/>
        <w:t>a description of the damage or failure (if any);</w:t>
      </w:r>
    </w:p>
    <w:p w14:paraId="790E460F" w14:textId="77777777" w:rsidR="00FB5C94" w:rsidRPr="004844CF" w:rsidRDefault="00FB5C94" w:rsidP="00FB5C94">
      <w:pPr>
        <w:pStyle w:val="SingleTxtG"/>
        <w:tabs>
          <w:tab w:val="clear" w:pos="1701"/>
        </w:tabs>
        <w:ind w:left="2835" w:hanging="567"/>
        <w:rPr>
          <w:bCs/>
          <w:color w:val="000000"/>
          <w:lang w:eastAsia="ru-RU"/>
        </w:rPr>
      </w:pPr>
      <w:r w:rsidRPr="004844CF">
        <w:rPr>
          <w:bCs/>
          <w:color w:val="000000"/>
          <w:lang w:eastAsia="ru-RU"/>
        </w:rPr>
        <w:t>(h)</w:t>
      </w:r>
      <w:r w:rsidRPr="004844CF">
        <w:rPr>
          <w:bCs/>
          <w:color w:val="000000"/>
          <w:lang w:eastAsia="ru-RU"/>
        </w:rPr>
        <w:tab/>
        <w:t>the start time of the test (i.e.</w:t>
      </w:r>
      <w:r>
        <w:rPr>
          <w:bCs/>
          <w:color w:val="000000"/>
          <w:lang w:eastAsia="ru-RU"/>
        </w:rPr>
        <w:t>,</w:t>
      </w:r>
      <w:r w:rsidRPr="004844CF">
        <w:rPr>
          <w:bCs/>
          <w:color w:val="000000"/>
          <w:lang w:eastAsia="ru-RU"/>
        </w:rPr>
        <w:t xml:space="preserve"> the ignition of the burners);</w:t>
      </w:r>
    </w:p>
    <w:p w14:paraId="33A2AA5B" w14:textId="77777777" w:rsidR="00FB5C94" w:rsidRPr="0032220A" w:rsidRDefault="00FB5C94" w:rsidP="00FB5C94">
      <w:pPr>
        <w:pStyle w:val="SingleTxtG"/>
        <w:tabs>
          <w:tab w:val="clear" w:pos="1701"/>
        </w:tabs>
        <w:ind w:left="2835" w:hanging="567"/>
      </w:pPr>
      <w:r w:rsidRPr="004844CF">
        <w:rPr>
          <w:bCs/>
          <w:color w:val="000000"/>
          <w:lang w:eastAsia="ru-RU"/>
        </w:rPr>
        <w:t>(i)</w:t>
      </w:r>
      <w:r w:rsidRPr="004844CF">
        <w:rPr>
          <w:bCs/>
          <w:color w:val="000000"/>
          <w:lang w:eastAsia="ru-RU"/>
        </w:rPr>
        <w:tab/>
        <w:t>the conclusion</w:t>
      </w:r>
      <w:r w:rsidRPr="0032220A">
        <w:t xml:space="preserve"> on the compliance or non-compliance of the FRP service equipment with the requirements of 42.6.</w:t>
      </w:r>
    </w:p>
    <w:p w14:paraId="026E371C" w14:textId="77777777" w:rsidR="00FB5C94" w:rsidRPr="00BA2B1F" w:rsidRDefault="00FB5C94" w:rsidP="00FB5C94">
      <w:pPr>
        <w:pStyle w:val="SingleTxtG"/>
        <w:tabs>
          <w:tab w:val="clear" w:pos="1701"/>
        </w:tabs>
        <w:rPr>
          <w:b/>
          <w:bCs/>
        </w:rPr>
      </w:pPr>
      <w:r w:rsidRPr="00BA2B1F">
        <w:rPr>
          <w:b/>
          <w:bCs/>
        </w:rPr>
        <w:t>42.8</w:t>
      </w:r>
      <w:r w:rsidRPr="00BA2B1F">
        <w:rPr>
          <w:b/>
          <w:bCs/>
        </w:rPr>
        <w:tab/>
        <w:t>Safety requirements</w:t>
      </w:r>
    </w:p>
    <w:p w14:paraId="5944DCAD" w14:textId="77777777" w:rsidR="00FB5C94" w:rsidRPr="002B3D2B" w:rsidRDefault="00FB5C94" w:rsidP="00FB5C94">
      <w:pPr>
        <w:pStyle w:val="SingleTxtG"/>
        <w:tabs>
          <w:tab w:val="clear" w:pos="1701"/>
          <w:tab w:val="right" w:pos="8505"/>
        </w:tabs>
      </w:pPr>
      <w:r w:rsidRPr="002A252D">
        <w:rPr>
          <w:b/>
          <w:bCs/>
          <w:i/>
          <w:iCs/>
        </w:rPr>
        <w:tab/>
        <w:t>As the fire resistance test of the FRP service equipment is potentially dangerous, the safety of personnel shall be assured. Considering the possibility of damage and failure of the test, protective screens and other appropriate means to protect personnel shall be used.</w:t>
      </w:r>
      <w:r>
        <w:rPr>
          <w:b/>
          <w:bCs/>
          <w:i/>
          <w:iCs/>
        </w:rPr>
        <w:tab/>
      </w:r>
      <w:r>
        <w:t>”]</w:t>
      </w:r>
    </w:p>
    <w:p w14:paraId="41D2B8D5"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4C09A802" w14:textId="77777777" w:rsidR="00FB5C94" w:rsidRPr="00FF3E52" w:rsidRDefault="00FB5C94" w:rsidP="00FB5C94">
      <w:pPr>
        <w:pStyle w:val="H1G"/>
      </w:pPr>
      <w:r>
        <w:tab/>
      </w:r>
      <w:r>
        <w:tab/>
        <w:t>Section 51</w:t>
      </w:r>
    </w:p>
    <w:p w14:paraId="297F2C65" w14:textId="77777777" w:rsidR="00FB5C94" w:rsidRPr="000934D7" w:rsidRDefault="00FB5C94" w:rsidP="00FB5C94">
      <w:pPr>
        <w:spacing w:after="120"/>
        <w:ind w:left="2268" w:right="1134" w:hanging="1134"/>
        <w:jc w:val="both"/>
        <w:rPr>
          <w:rFonts w:asciiTheme="majorBidi" w:hAnsiTheme="majorBidi" w:cstheme="majorBidi"/>
        </w:rPr>
      </w:pPr>
      <w:r>
        <w:rPr>
          <w:rFonts w:asciiTheme="majorBidi" w:hAnsiTheme="majorBidi" w:cstheme="majorBidi"/>
        </w:rPr>
        <w:t>51.4.1.2</w:t>
      </w:r>
      <w:r w:rsidRPr="000934D7">
        <w:rPr>
          <w:rFonts w:asciiTheme="majorBidi" w:hAnsiTheme="majorBidi" w:cstheme="majorBidi"/>
        </w:rPr>
        <w:tab/>
      </w:r>
      <w:r>
        <w:rPr>
          <w:rFonts w:asciiTheme="majorBidi" w:hAnsiTheme="majorBidi" w:cstheme="majorBidi"/>
        </w:rPr>
        <w:t>In (b), delete “Division 1.1”.</w:t>
      </w:r>
    </w:p>
    <w:p w14:paraId="0ED6E61A" w14:textId="77777777" w:rsidR="00FB5C94" w:rsidRPr="00843762" w:rsidRDefault="00FB5C94" w:rsidP="00FB5C94">
      <w:pPr>
        <w:pStyle w:val="SingleTxtG"/>
        <w:rPr>
          <w:i/>
          <w:iCs/>
        </w:rPr>
      </w:pPr>
      <w:r w:rsidRPr="00804977">
        <w:rPr>
          <w:i/>
          <w:iCs/>
        </w:rPr>
        <w:t xml:space="preserve">(Reference document: </w:t>
      </w:r>
      <w:r>
        <w:rPr>
          <w:i/>
          <w:iCs/>
        </w:rPr>
        <w:t>ST/SG/AC.10/C.3/124, Annex II</w:t>
      </w:r>
      <w:r w:rsidRPr="00804977">
        <w:rPr>
          <w:i/>
          <w:iCs/>
        </w:rPr>
        <w:t>)</w:t>
      </w:r>
    </w:p>
    <w:p w14:paraId="65462AE4" w14:textId="77777777" w:rsidR="00FB5C94" w:rsidRDefault="00FB5C94" w:rsidP="00FB5C94">
      <w:pPr>
        <w:spacing w:after="120"/>
        <w:ind w:left="2268" w:right="1134" w:hanging="1134"/>
        <w:jc w:val="both"/>
        <w:rPr>
          <w:rFonts w:asciiTheme="majorBidi" w:hAnsiTheme="majorBidi" w:cstheme="majorBidi"/>
        </w:rPr>
      </w:pPr>
      <w:r>
        <w:rPr>
          <w:rFonts w:asciiTheme="majorBidi" w:hAnsiTheme="majorBidi" w:cstheme="majorBidi"/>
        </w:rPr>
        <w:t>[51.4.4.2</w:t>
      </w:r>
      <w:r w:rsidRPr="000934D7">
        <w:rPr>
          <w:rFonts w:asciiTheme="majorBidi" w:hAnsiTheme="majorBidi" w:cstheme="majorBidi"/>
        </w:rPr>
        <w:tab/>
      </w:r>
      <w:r>
        <w:rPr>
          <w:rFonts w:asciiTheme="majorBidi" w:hAnsiTheme="majorBidi" w:cstheme="majorBidi"/>
        </w:rPr>
        <w:t>Amend (e) to read as follows:</w:t>
      </w:r>
    </w:p>
    <w:p w14:paraId="4FE8568D" w14:textId="77777777" w:rsidR="00FB5C94" w:rsidRPr="000934D7" w:rsidRDefault="00FB5C94" w:rsidP="00FB5C94">
      <w:pPr>
        <w:spacing w:after="120"/>
        <w:ind w:left="2268" w:right="1134" w:hanging="1134"/>
        <w:jc w:val="both"/>
        <w:rPr>
          <w:rFonts w:asciiTheme="majorBidi" w:hAnsiTheme="majorBidi" w:cstheme="majorBidi"/>
        </w:rPr>
      </w:pPr>
      <w:r>
        <w:rPr>
          <w:rFonts w:asciiTheme="majorBidi" w:hAnsiTheme="majorBidi" w:cstheme="majorBidi"/>
        </w:rPr>
        <w:t>“</w:t>
      </w:r>
      <w:r w:rsidRPr="00C76F50">
        <w:rPr>
          <w:rFonts w:asciiTheme="majorBidi" w:hAnsiTheme="majorBidi" w:cstheme="majorBidi"/>
        </w:rPr>
        <w:t>(e)</w:t>
      </w:r>
      <w:r w:rsidRPr="00C76F50">
        <w:rPr>
          <w:rFonts w:asciiTheme="majorBidi" w:hAnsiTheme="majorBidi" w:cstheme="majorBidi"/>
        </w:rPr>
        <w:tab/>
        <w:t>I</w:t>
      </w:r>
      <w:r w:rsidRPr="00C76F50">
        <w:rPr>
          <w:rFonts w:asciiTheme="majorBidi" w:hAnsiTheme="majorBidi" w:cstheme="majorBidi"/>
          <w:vertAlign w:val="subscript"/>
        </w:rPr>
        <w:t>relevant</w:t>
      </w:r>
      <w:r w:rsidRPr="00C76F50">
        <w:rPr>
          <w:rFonts w:asciiTheme="majorBidi" w:hAnsiTheme="majorBidi" w:cstheme="majorBidi"/>
        </w:rPr>
        <w:t xml:space="preserve"> is obtained from the maximum of the smoothed and corrected curve of the measured heat radiation. I</w:t>
      </w:r>
      <w:r w:rsidRPr="00C76F50">
        <w:rPr>
          <w:rFonts w:asciiTheme="majorBidi" w:hAnsiTheme="majorBidi" w:cstheme="majorBidi"/>
          <w:vertAlign w:val="subscript"/>
        </w:rPr>
        <w:t>calculated</w:t>
      </w:r>
      <w:r w:rsidRPr="00C76F50">
        <w:rPr>
          <w:rFonts w:asciiTheme="majorBidi" w:hAnsiTheme="majorBidi" w:cstheme="majorBidi"/>
        </w:rPr>
        <w:t xml:space="preserve"> is the average value of the radiation obtained by converting the integrated area in a rectangle of equal area during the same total burning time </w:t>
      </w:r>
      <w:r>
        <w:rPr>
          <w:rFonts w:asciiTheme="majorBidi" w:hAnsiTheme="majorBidi" w:cstheme="majorBidi"/>
        </w:rPr>
        <w:t>(</w:t>
      </w:r>
      <w:r w:rsidRPr="00C76F50">
        <w:rPr>
          <w:rFonts w:asciiTheme="majorBidi" w:hAnsiTheme="majorBidi" w:cstheme="majorBidi"/>
        </w:rPr>
        <w:t xml:space="preserve">see </w:t>
      </w:r>
      <w:r>
        <w:rPr>
          <w:rFonts w:asciiTheme="majorBidi" w:hAnsiTheme="majorBidi" w:cstheme="majorBidi"/>
        </w:rPr>
        <w:t>f</w:t>
      </w:r>
      <w:r w:rsidRPr="00C76F50">
        <w:rPr>
          <w:rFonts w:asciiTheme="majorBidi" w:hAnsiTheme="majorBidi" w:cstheme="majorBidi"/>
        </w:rPr>
        <w:t>igure 51.4.1</w:t>
      </w:r>
      <w:r>
        <w:rPr>
          <w:rFonts w:asciiTheme="majorBidi" w:hAnsiTheme="majorBidi" w:cstheme="majorBidi"/>
        </w:rPr>
        <w:t>)</w:t>
      </w:r>
      <w:r w:rsidRPr="00C76F50">
        <w:rPr>
          <w:rFonts w:asciiTheme="majorBidi" w:hAnsiTheme="majorBidi" w:cstheme="majorBidi"/>
        </w:rPr>
        <w:t>.</w:t>
      </w:r>
      <w:r>
        <w:rPr>
          <w:rFonts w:asciiTheme="majorBidi" w:hAnsiTheme="majorBidi" w:cstheme="majorBidi"/>
        </w:rPr>
        <w:t>”]</w:t>
      </w:r>
    </w:p>
    <w:p w14:paraId="1F4D4461" w14:textId="77777777" w:rsidR="00FB5C94" w:rsidRPr="00843762" w:rsidRDefault="00FB5C94" w:rsidP="00FB5C94">
      <w:pPr>
        <w:pStyle w:val="SingleTxtG"/>
        <w:rPr>
          <w:i/>
          <w:iCs/>
        </w:rPr>
      </w:pPr>
      <w:r w:rsidRPr="00804977">
        <w:rPr>
          <w:i/>
          <w:iCs/>
        </w:rPr>
        <w:t xml:space="preserve">(Reference document: </w:t>
      </w:r>
      <w:r>
        <w:rPr>
          <w:i/>
          <w:iCs/>
        </w:rPr>
        <w:t>ST/SG/AC.10/C.3/124, Annex II</w:t>
      </w:r>
      <w:r w:rsidRPr="00804977">
        <w:rPr>
          <w:i/>
          <w:iCs/>
        </w:rPr>
        <w:t>)</w:t>
      </w:r>
    </w:p>
    <w:p w14:paraId="7244F8F4" w14:textId="77777777" w:rsidR="00FB5C94" w:rsidRPr="001C22A9" w:rsidRDefault="00FB5C94" w:rsidP="00FB5C94">
      <w:pPr>
        <w:pStyle w:val="SingleTxtG"/>
        <w:tabs>
          <w:tab w:val="clear" w:pos="1701"/>
          <w:tab w:val="clear" w:pos="2268"/>
          <w:tab w:val="clear" w:pos="2835"/>
        </w:tabs>
        <w:ind w:left="2268" w:hanging="1134"/>
      </w:pPr>
      <w:r w:rsidRPr="001C22A9">
        <w:t>51.4.4.3</w:t>
      </w:r>
      <w:r w:rsidRPr="001C22A9">
        <w:tab/>
        <w:t xml:space="preserve">Replace “is classified in the hazard class "explosives"” by “is not classified as a desensitized explosive and should be classified as an explosive in accordance with chapter 2.1 of the </w:t>
      </w:r>
      <w:r w:rsidRPr="001C22A9">
        <w:rPr>
          <w:i/>
          <w:iCs/>
        </w:rPr>
        <w:t>GHS</w:t>
      </w:r>
      <w:r w:rsidRPr="001C22A9">
        <w:t>”.</w:t>
      </w:r>
    </w:p>
    <w:p w14:paraId="5B0F9FED"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01772789" w14:textId="77777777" w:rsidR="00FB5C94" w:rsidRPr="001C22A9" w:rsidRDefault="00FB5C94" w:rsidP="00FB5C94">
      <w:pPr>
        <w:pStyle w:val="SingleTxtG"/>
        <w:ind w:left="2268" w:hanging="1134"/>
      </w:pPr>
      <w:r w:rsidRPr="001C22A9">
        <w:lastRenderedPageBreak/>
        <w:t>51.4.4.5</w:t>
      </w:r>
      <w:r w:rsidRPr="001C22A9">
        <w:tab/>
        <w:t xml:space="preserve">In the last sentence, replace “is classified as an explosive (See chapter 2.1 of the GHS).” by “is not classified as a desensitized explosive and should be classified as an explosive in accordance with chapter 2.1 of the </w:t>
      </w:r>
      <w:r w:rsidRPr="001C22A9">
        <w:rPr>
          <w:i/>
          <w:iCs/>
        </w:rPr>
        <w:t>GHS</w:t>
      </w:r>
      <w:r w:rsidRPr="001C22A9">
        <w:t>”.</w:t>
      </w:r>
    </w:p>
    <w:p w14:paraId="53345D7A"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1AF2FFB2" w14:textId="77777777" w:rsidR="00FB5C94" w:rsidRPr="001C22A9" w:rsidRDefault="00FB5C94" w:rsidP="00FB5C94">
      <w:pPr>
        <w:pStyle w:val="H1G"/>
      </w:pPr>
      <w:r w:rsidRPr="001C22A9">
        <w:tab/>
      </w:r>
      <w:r w:rsidRPr="001C22A9">
        <w:tab/>
        <w:t>Appendix 6</w:t>
      </w:r>
    </w:p>
    <w:p w14:paraId="7747FD98" w14:textId="77777777" w:rsidR="00FB5C94" w:rsidRPr="001C22A9" w:rsidRDefault="00FB5C94" w:rsidP="00FB5C94">
      <w:pPr>
        <w:pStyle w:val="SingleTxtG"/>
        <w:tabs>
          <w:tab w:val="clear" w:pos="1701"/>
          <w:tab w:val="clear" w:pos="2268"/>
          <w:tab w:val="clear" w:pos="2835"/>
        </w:tabs>
        <w:ind w:left="2268" w:hanging="1134"/>
      </w:pPr>
      <w:r w:rsidRPr="001C22A9">
        <w:t>A6.5.1</w:t>
      </w:r>
      <w:r w:rsidRPr="001C22A9">
        <w:tab/>
        <w:t>Amend (b) to read as follows:</w:t>
      </w:r>
    </w:p>
    <w:p w14:paraId="1FD89753" w14:textId="77777777" w:rsidR="00FB5C94" w:rsidRPr="001C22A9" w:rsidRDefault="00FB5C94" w:rsidP="00FB5C94">
      <w:pPr>
        <w:pStyle w:val="SingleTxtG"/>
        <w:tabs>
          <w:tab w:val="clear" w:pos="1701"/>
          <w:tab w:val="clear" w:pos="2268"/>
          <w:tab w:val="clear" w:pos="2835"/>
        </w:tabs>
        <w:ind w:left="2268" w:hanging="1134"/>
      </w:pPr>
      <w:r w:rsidRPr="001C22A9">
        <w:t>“(b)</w:t>
      </w:r>
      <w:r w:rsidRPr="001C22A9">
        <w:tab/>
        <w:t>For a single organic substance or a homogeneous mixture of organic substances, the estimated SADT for a 50 kg package is greater than 75 °C or the exothermic decomposition energy is less than 300 J/g. A suitable method to estimate whether the SADT for a 50 kg package is greater than 75 °C is if:</w:t>
      </w:r>
    </w:p>
    <w:p w14:paraId="5331FC3B" w14:textId="77777777" w:rsidR="00FB5C94" w:rsidRPr="001C22A9" w:rsidRDefault="00FB5C94" w:rsidP="00FB5C94">
      <w:pPr>
        <w:pStyle w:val="SingleTxtG"/>
        <w:tabs>
          <w:tab w:val="clear" w:pos="1701"/>
          <w:tab w:val="clear" w:pos="2268"/>
          <w:tab w:val="clear" w:pos="2835"/>
        </w:tabs>
        <w:ind w:left="2835" w:hanging="567"/>
      </w:pPr>
      <w:r w:rsidRPr="001C22A9">
        <w:t>(i)</w:t>
      </w:r>
      <w:r w:rsidRPr="001C22A9">
        <w:tab/>
        <w:t>The first detected exothermic reaction (onset, detection limit maximum: 20 W·kg</w:t>
      </w:r>
      <w:r w:rsidRPr="001C22A9">
        <w:rPr>
          <w:vertAlign w:val="superscript"/>
        </w:rPr>
        <w:t>-1</w:t>
      </w:r>
      <w:r w:rsidRPr="001C22A9">
        <w:t>) in a screening DSC is not less than 175 °C for liquids or 200 °C for solids; or</w:t>
      </w:r>
    </w:p>
    <w:p w14:paraId="3FA63C4D" w14:textId="77777777" w:rsidR="00FB5C94" w:rsidRPr="001C22A9" w:rsidRDefault="00FB5C94" w:rsidP="00FB5C94">
      <w:pPr>
        <w:pStyle w:val="SingleTxtG"/>
        <w:tabs>
          <w:tab w:val="clear" w:pos="1701"/>
          <w:tab w:val="clear" w:pos="2268"/>
          <w:tab w:val="clear" w:pos="2835"/>
        </w:tabs>
        <w:ind w:left="2835" w:hanging="567"/>
      </w:pPr>
      <w:r w:rsidRPr="001C22A9">
        <w:t>(ii)</w:t>
      </w:r>
      <w:r w:rsidRPr="001C22A9">
        <w:tab/>
        <w:t>The measured isothermal maximum heat flow at 75 °C is not greater than 100 mW·kg</w:t>
      </w:r>
      <w:r w:rsidRPr="001C22A9">
        <w:rPr>
          <w:vertAlign w:val="superscript"/>
        </w:rPr>
        <w:t>-1</w:t>
      </w:r>
      <w:r w:rsidRPr="001C22A9">
        <w:t xml:space="preserve"> for liquids or 50 mW·kg</w:t>
      </w:r>
      <w:r w:rsidRPr="001C22A9">
        <w:rPr>
          <w:vertAlign w:val="superscript"/>
        </w:rPr>
        <w:t>-1</w:t>
      </w:r>
      <w:r w:rsidRPr="001C22A9">
        <w:t xml:space="preserve"> for solids.</w:t>
      </w:r>
    </w:p>
    <w:p w14:paraId="676419C8" w14:textId="77777777" w:rsidR="00FB5C94" w:rsidRPr="001C22A9" w:rsidRDefault="00FB5C94" w:rsidP="00FB5C94">
      <w:pPr>
        <w:pStyle w:val="SingleTxtG"/>
        <w:tabs>
          <w:tab w:val="clear" w:pos="1701"/>
          <w:tab w:val="clear" w:pos="2268"/>
          <w:tab w:val="clear" w:pos="2835"/>
        </w:tabs>
        <w:ind w:left="2268" w:hanging="1134"/>
      </w:pPr>
      <w:r w:rsidRPr="001C22A9">
        <w:tab/>
        <w:t>Calorimetric data should be obtained following the guidelines in section 20.3.3.3.</w:t>
      </w:r>
    </w:p>
    <w:p w14:paraId="063DF643" w14:textId="77777777" w:rsidR="00FB5C94" w:rsidRPr="001C22A9" w:rsidRDefault="00FB5C94" w:rsidP="00FB5C94">
      <w:pPr>
        <w:pStyle w:val="SingleTxtG"/>
        <w:tabs>
          <w:tab w:val="clear" w:pos="1701"/>
          <w:tab w:val="clear" w:pos="2268"/>
          <w:tab w:val="clear" w:pos="2835"/>
        </w:tabs>
        <w:ind w:left="2268" w:hanging="1134"/>
        <w:rPr>
          <w:i/>
          <w:iCs/>
        </w:rPr>
      </w:pPr>
      <w:r w:rsidRPr="001C22A9">
        <w:rPr>
          <w:b/>
          <w:bCs/>
        </w:rPr>
        <w:tab/>
      </w:r>
      <w:r w:rsidRPr="001C22A9">
        <w:rPr>
          <w:b/>
          <w:bCs/>
          <w:i/>
          <w:iCs/>
        </w:rPr>
        <w:t>NOTE:</w:t>
      </w:r>
      <w:r w:rsidRPr="001C22A9">
        <w:rPr>
          <w:i/>
          <w:iCs/>
        </w:rPr>
        <w:t xml:space="preserve"> These screening rules can fail for substances showing strong autocatalytic behaviour in the decomposition. For such substances, further information is needed to determine if these simple screening rules apply to the particular substance (e.g., the effect of sample aging on the decomposition). Information concerning potential autocatalytic behaviour may be obtained from further calorimetric measurements (e.g., comparison of DSC measurements of tempered samples with fresh samples, or DSC scans with different scan rates). The onset temperature criteria or heat flow criteria should always be met for fresh and aged samples representing the anticipated duration of transport.</w:t>
      </w:r>
    </w:p>
    <w:p w14:paraId="121D0B56"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7F488F0C" w14:textId="77777777" w:rsidR="00FB5C94" w:rsidRPr="00FF3E52" w:rsidRDefault="00FB5C94" w:rsidP="00FB5C94">
      <w:pPr>
        <w:pStyle w:val="H1G"/>
      </w:pPr>
      <w:r>
        <w:tab/>
      </w:r>
      <w:r>
        <w:tab/>
        <w:t>Appendix 7</w:t>
      </w:r>
    </w:p>
    <w:p w14:paraId="1DA4B107" w14:textId="77777777" w:rsidR="00FB5C94" w:rsidRDefault="00FB5C94" w:rsidP="00FB5C94">
      <w:pPr>
        <w:pStyle w:val="SingleTxtG"/>
        <w:tabs>
          <w:tab w:val="clear" w:pos="1701"/>
        </w:tabs>
        <w:ind w:left="2268" w:hanging="1134"/>
      </w:pPr>
      <w:r w:rsidRPr="00D701AC">
        <w:rPr>
          <w:color w:val="000000" w:themeColor="text1"/>
          <w:lang w:val="en-US"/>
        </w:rPr>
        <w:t>A7.</w:t>
      </w:r>
      <w:r w:rsidRPr="00D701AC">
        <w:rPr>
          <w:lang w:val="en-US"/>
        </w:rPr>
        <w:t>2.2</w:t>
      </w:r>
      <w:r>
        <w:rPr>
          <w:iCs/>
        </w:rPr>
        <w:tab/>
        <w:t>The first amendment does not apply to the English version. In (d), replace “weighing” by “with a mass”.</w:t>
      </w:r>
    </w:p>
    <w:p w14:paraId="52282226"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68B2E604" w14:textId="77777777" w:rsidR="00FB5C94" w:rsidRPr="00FF3E52" w:rsidRDefault="00FB5C94" w:rsidP="00FB5C94">
      <w:pPr>
        <w:pStyle w:val="H1G"/>
      </w:pPr>
      <w:r>
        <w:tab/>
      </w:r>
      <w:r>
        <w:tab/>
        <w:t>Appendix 10</w:t>
      </w:r>
    </w:p>
    <w:p w14:paraId="322F1BF8" w14:textId="77777777" w:rsidR="00FB5C94" w:rsidRDefault="00FB5C94" w:rsidP="00FB5C94">
      <w:pPr>
        <w:pStyle w:val="SingleTxtG"/>
        <w:tabs>
          <w:tab w:val="clear" w:pos="1701"/>
        </w:tabs>
        <w:ind w:left="2268" w:hanging="1134"/>
      </w:pPr>
      <w:r w:rsidRPr="00EC48F8">
        <w:rPr>
          <w:iCs/>
        </w:rPr>
        <w:t>A10.3.2.2.1</w:t>
      </w:r>
      <w:r>
        <w:rPr>
          <w:iCs/>
        </w:rPr>
        <w:tab/>
        <w:t>In the first sentence, replace “weighing” by “with a mass”.</w:t>
      </w:r>
    </w:p>
    <w:p w14:paraId="5450BDE1" w14:textId="77777777" w:rsidR="00FB5C94" w:rsidRPr="00843762" w:rsidRDefault="00FB5C94" w:rsidP="00FB5C94">
      <w:pPr>
        <w:pStyle w:val="SingleTxtG"/>
        <w:rPr>
          <w:i/>
          <w:iCs/>
        </w:rPr>
      </w:pPr>
      <w:r w:rsidRPr="00804977">
        <w:rPr>
          <w:i/>
          <w:iCs/>
        </w:rPr>
        <w:t xml:space="preserve">(Reference document: </w:t>
      </w:r>
      <w:r>
        <w:rPr>
          <w:i/>
          <w:iCs/>
        </w:rPr>
        <w:t>ST/SG/AC.10/C.3/126, Annex IV</w:t>
      </w:r>
      <w:r w:rsidRPr="00804977">
        <w:rPr>
          <w:i/>
          <w:iCs/>
        </w:rPr>
        <w:t>)</w:t>
      </w:r>
    </w:p>
    <w:p w14:paraId="389130D6" w14:textId="77777777" w:rsidR="00FB5C94" w:rsidRPr="001C22A9" w:rsidRDefault="00FB5C94" w:rsidP="00FB5C94">
      <w:pPr>
        <w:pStyle w:val="SingleTxtG"/>
        <w:tabs>
          <w:tab w:val="clear" w:pos="1701"/>
          <w:tab w:val="clear" w:pos="2268"/>
          <w:tab w:val="clear" w:pos="2835"/>
        </w:tabs>
        <w:ind w:left="2268" w:hanging="1134"/>
      </w:pPr>
      <w:r w:rsidRPr="001C22A9">
        <w:t>A10.3.4.4</w:t>
      </w:r>
      <w:r w:rsidRPr="001C22A9">
        <w:tab/>
        <w:t>In the first sentence, replace “less than 30 min” by “30 min or less”.</w:t>
      </w:r>
    </w:p>
    <w:p w14:paraId="350B6240" w14:textId="77777777" w:rsidR="00FB5C94" w:rsidRPr="00843762" w:rsidRDefault="00FB5C94" w:rsidP="00FB5C94">
      <w:pPr>
        <w:pStyle w:val="SingleTxtG"/>
        <w:rPr>
          <w:i/>
          <w:iCs/>
        </w:rPr>
      </w:pPr>
      <w:r w:rsidRPr="00804977">
        <w:rPr>
          <w:i/>
          <w:iCs/>
        </w:rPr>
        <w:t xml:space="preserve">(Reference document: </w:t>
      </w:r>
      <w:r>
        <w:rPr>
          <w:i/>
          <w:iCs/>
        </w:rPr>
        <w:t>ST/SG/AC.10/C.3/128, Annex I</w:t>
      </w:r>
      <w:r w:rsidRPr="00804977">
        <w:rPr>
          <w:i/>
          <w:iCs/>
        </w:rPr>
        <w:t>)</w:t>
      </w:r>
    </w:p>
    <w:p w14:paraId="10C5094B" w14:textId="77777777" w:rsidR="00FB5C94" w:rsidRPr="001C22A9" w:rsidRDefault="00FB5C94" w:rsidP="00FB5C94">
      <w:pPr>
        <w:pStyle w:val="SingleTxtG"/>
        <w:tabs>
          <w:tab w:val="clear" w:pos="1701"/>
          <w:tab w:val="clear" w:pos="2268"/>
          <w:tab w:val="clear" w:pos="2835"/>
        </w:tabs>
        <w:ind w:left="2268" w:hanging="1134"/>
      </w:pPr>
      <w:r w:rsidRPr="001C22A9">
        <w:t>A10.3.5</w:t>
      </w:r>
      <w:r w:rsidRPr="001C22A9">
        <w:tab/>
        <w:t>Amend the table to read as follows:</w:t>
      </w:r>
    </w:p>
    <w:tbl>
      <w:tblPr>
        <w:tblStyle w:val="TableGrid"/>
        <w:tblW w:w="0" w:type="auto"/>
        <w:jc w:val="center"/>
        <w:tblLook w:val="04A0" w:firstRow="1" w:lastRow="0" w:firstColumn="1" w:lastColumn="0" w:noHBand="0" w:noVBand="1"/>
      </w:tblPr>
      <w:tblGrid>
        <w:gridCol w:w="3587"/>
        <w:gridCol w:w="2792"/>
      </w:tblGrid>
      <w:tr w:rsidR="00FB5C94" w:rsidRPr="001C22A9" w14:paraId="037DE643" w14:textId="77777777" w:rsidTr="00C11390">
        <w:trPr>
          <w:jc w:val="center"/>
        </w:trPr>
        <w:tc>
          <w:tcPr>
            <w:tcW w:w="3587" w:type="dxa"/>
            <w:tcBorders>
              <w:top w:val="single" w:sz="4" w:space="0" w:color="auto"/>
              <w:left w:val="nil"/>
              <w:bottom w:val="single" w:sz="4" w:space="0" w:color="auto"/>
              <w:right w:val="nil"/>
            </w:tcBorders>
          </w:tcPr>
          <w:p w14:paraId="72024621" w14:textId="77777777" w:rsidR="00FB5C94" w:rsidRPr="001C22A9" w:rsidRDefault="00FB5C94" w:rsidP="00C11390">
            <w:pPr>
              <w:pStyle w:val="MTabTxt"/>
              <w:jc w:val="center"/>
              <w:rPr>
                <w:rFonts w:asciiTheme="majorBidi" w:hAnsiTheme="majorBidi" w:cstheme="majorBidi"/>
                <w:b/>
                <w:bCs/>
                <w:lang w:val="en-GB"/>
              </w:rPr>
            </w:pPr>
            <w:r w:rsidRPr="001C22A9">
              <w:rPr>
                <w:rFonts w:asciiTheme="majorBidi" w:hAnsiTheme="majorBidi" w:cstheme="majorBidi"/>
                <w:b/>
                <w:bCs/>
                <w:lang w:val="en-GB"/>
              </w:rPr>
              <w:t>Test time (min)</w:t>
            </w:r>
          </w:p>
        </w:tc>
        <w:tc>
          <w:tcPr>
            <w:tcW w:w="2792" w:type="dxa"/>
            <w:tcBorders>
              <w:top w:val="single" w:sz="4" w:space="0" w:color="auto"/>
              <w:left w:val="nil"/>
              <w:bottom w:val="single" w:sz="4" w:space="0" w:color="auto"/>
              <w:right w:val="nil"/>
            </w:tcBorders>
          </w:tcPr>
          <w:p w14:paraId="5C494F8E" w14:textId="77777777" w:rsidR="00FB5C94" w:rsidRPr="001C22A9" w:rsidRDefault="00FB5C94" w:rsidP="00C11390">
            <w:pPr>
              <w:pStyle w:val="MTabTxt"/>
              <w:jc w:val="center"/>
              <w:rPr>
                <w:rFonts w:asciiTheme="majorBidi" w:hAnsiTheme="majorBidi" w:cstheme="majorBidi"/>
                <w:b/>
                <w:bCs/>
                <w:lang w:val="en-GB"/>
              </w:rPr>
            </w:pPr>
            <w:r w:rsidRPr="001C22A9">
              <w:rPr>
                <w:rFonts w:asciiTheme="majorBidi" w:hAnsiTheme="majorBidi" w:cstheme="majorBidi"/>
                <w:b/>
                <w:bCs/>
                <w:lang w:val="en-GB"/>
              </w:rPr>
              <w:t>Result</w:t>
            </w:r>
          </w:p>
        </w:tc>
      </w:tr>
      <w:tr w:rsidR="00FB5C94" w:rsidRPr="001C22A9" w14:paraId="786119FC" w14:textId="77777777" w:rsidTr="00C11390">
        <w:trPr>
          <w:jc w:val="center"/>
        </w:trPr>
        <w:tc>
          <w:tcPr>
            <w:tcW w:w="3587" w:type="dxa"/>
            <w:tcBorders>
              <w:top w:val="single" w:sz="4" w:space="0" w:color="auto"/>
              <w:left w:val="nil"/>
              <w:bottom w:val="nil"/>
              <w:right w:val="nil"/>
            </w:tcBorders>
          </w:tcPr>
          <w:p w14:paraId="0FF74C7E" w14:textId="77777777" w:rsidR="00FB5C94" w:rsidRPr="001C22A9" w:rsidRDefault="00FB5C94" w:rsidP="00C11390">
            <w:pPr>
              <w:pStyle w:val="MTabTxt"/>
              <w:jc w:val="center"/>
              <w:rPr>
                <w:rFonts w:asciiTheme="majorBidi" w:hAnsiTheme="majorBidi" w:cstheme="majorBidi"/>
                <w:lang w:val="en-GB"/>
              </w:rPr>
            </w:pPr>
            <w:r w:rsidRPr="001C22A9">
              <w:rPr>
                <w:rFonts w:asciiTheme="majorBidi" w:hAnsiTheme="majorBidi" w:cstheme="majorBidi"/>
                <w:lang w:val="en-GB"/>
              </w:rPr>
              <w:t>25</w:t>
            </w:r>
          </w:p>
        </w:tc>
        <w:tc>
          <w:tcPr>
            <w:tcW w:w="2792" w:type="dxa"/>
            <w:tcBorders>
              <w:top w:val="single" w:sz="4" w:space="0" w:color="auto"/>
              <w:left w:val="nil"/>
              <w:bottom w:val="nil"/>
              <w:right w:val="nil"/>
            </w:tcBorders>
          </w:tcPr>
          <w:p w14:paraId="1D3E4170" w14:textId="77777777" w:rsidR="00FB5C94" w:rsidRPr="001C22A9" w:rsidRDefault="00FB5C94" w:rsidP="00C11390">
            <w:pPr>
              <w:pStyle w:val="MTabTxt"/>
              <w:jc w:val="center"/>
              <w:rPr>
                <w:rFonts w:asciiTheme="majorBidi" w:hAnsiTheme="majorBidi" w:cstheme="majorBidi"/>
                <w:lang w:val="en-GB"/>
              </w:rPr>
            </w:pPr>
            <w:r w:rsidRPr="001C22A9">
              <w:rPr>
                <w:rFonts w:asciiTheme="majorBidi" w:hAnsiTheme="majorBidi" w:cstheme="majorBidi"/>
                <w:lang w:val="en-GB"/>
              </w:rPr>
              <w:t>+</w:t>
            </w:r>
          </w:p>
        </w:tc>
      </w:tr>
      <w:tr w:rsidR="00FB5C94" w:rsidRPr="001C22A9" w14:paraId="65A3DB85" w14:textId="77777777" w:rsidTr="00C11390">
        <w:trPr>
          <w:jc w:val="center"/>
        </w:trPr>
        <w:tc>
          <w:tcPr>
            <w:tcW w:w="3587" w:type="dxa"/>
            <w:tcBorders>
              <w:top w:val="nil"/>
              <w:left w:val="nil"/>
              <w:bottom w:val="nil"/>
              <w:right w:val="nil"/>
            </w:tcBorders>
          </w:tcPr>
          <w:p w14:paraId="402ED082" w14:textId="77777777" w:rsidR="00FB5C94" w:rsidRPr="001C22A9" w:rsidRDefault="00FB5C94" w:rsidP="00C11390">
            <w:pPr>
              <w:pStyle w:val="MTabTxt"/>
              <w:jc w:val="center"/>
              <w:rPr>
                <w:rFonts w:asciiTheme="majorBidi" w:hAnsiTheme="majorBidi" w:cstheme="majorBidi"/>
                <w:lang w:val="en-GB"/>
              </w:rPr>
            </w:pPr>
            <w:r w:rsidRPr="001C22A9">
              <w:rPr>
                <w:rFonts w:asciiTheme="majorBidi" w:hAnsiTheme="majorBidi" w:cstheme="majorBidi"/>
                <w:lang w:val="en-GB"/>
              </w:rPr>
              <w:t>30</w:t>
            </w:r>
          </w:p>
        </w:tc>
        <w:tc>
          <w:tcPr>
            <w:tcW w:w="2792" w:type="dxa"/>
            <w:tcBorders>
              <w:top w:val="nil"/>
              <w:left w:val="nil"/>
              <w:bottom w:val="nil"/>
              <w:right w:val="nil"/>
            </w:tcBorders>
          </w:tcPr>
          <w:p w14:paraId="5F01DDB9" w14:textId="77777777" w:rsidR="00FB5C94" w:rsidRPr="001C22A9" w:rsidRDefault="00FB5C94" w:rsidP="00C11390">
            <w:pPr>
              <w:pStyle w:val="MTabTxt"/>
              <w:jc w:val="center"/>
              <w:rPr>
                <w:rFonts w:asciiTheme="majorBidi" w:hAnsiTheme="majorBidi" w:cstheme="majorBidi"/>
                <w:lang w:val="en-GB"/>
              </w:rPr>
            </w:pPr>
            <w:r w:rsidRPr="001C22A9">
              <w:rPr>
                <w:rFonts w:asciiTheme="majorBidi" w:hAnsiTheme="majorBidi" w:cstheme="majorBidi"/>
                <w:lang w:val="en-GB"/>
              </w:rPr>
              <w:t>+</w:t>
            </w:r>
          </w:p>
        </w:tc>
      </w:tr>
      <w:tr w:rsidR="00FB5C94" w:rsidRPr="001C22A9" w14:paraId="2D17B66B" w14:textId="77777777" w:rsidTr="00C11390">
        <w:trPr>
          <w:jc w:val="center"/>
        </w:trPr>
        <w:tc>
          <w:tcPr>
            <w:tcW w:w="3587" w:type="dxa"/>
            <w:tcBorders>
              <w:top w:val="nil"/>
              <w:left w:val="nil"/>
              <w:bottom w:val="single" w:sz="4" w:space="0" w:color="auto"/>
              <w:right w:val="nil"/>
            </w:tcBorders>
          </w:tcPr>
          <w:p w14:paraId="5A296AEF" w14:textId="77777777" w:rsidR="00FB5C94" w:rsidRPr="001C22A9" w:rsidRDefault="00FB5C94" w:rsidP="00C11390">
            <w:pPr>
              <w:pStyle w:val="MTabTxt"/>
              <w:jc w:val="center"/>
              <w:rPr>
                <w:rFonts w:asciiTheme="majorBidi" w:hAnsiTheme="majorBidi" w:cstheme="majorBidi"/>
                <w:lang w:val="en-GB"/>
              </w:rPr>
            </w:pPr>
            <w:r w:rsidRPr="001C22A9">
              <w:rPr>
                <w:rFonts w:asciiTheme="majorBidi" w:hAnsiTheme="majorBidi" w:cstheme="majorBidi"/>
                <w:lang w:val="en-GB"/>
              </w:rPr>
              <w:t>35</w:t>
            </w:r>
          </w:p>
        </w:tc>
        <w:tc>
          <w:tcPr>
            <w:tcW w:w="2792" w:type="dxa"/>
            <w:tcBorders>
              <w:top w:val="nil"/>
              <w:left w:val="nil"/>
              <w:bottom w:val="single" w:sz="4" w:space="0" w:color="auto"/>
              <w:right w:val="nil"/>
            </w:tcBorders>
          </w:tcPr>
          <w:p w14:paraId="01F84911" w14:textId="77777777" w:rsidR="00FB5C94" w:rsidRPr="001C22A9" w:rsidRDefault="00FB5C94" w:rsidP="00C11390">
            <w:pPr>
              <w:pStyle w:val="MTabTxt"/>
              <w:jc w:val="center"/>
              <w:rPr>
                <w:rFonts w:asciiTheme="majorBidi" w:hAnsiTheme="majorBidi" w:cstheme="majorBidi"/>
                <w:lang w:val="en-GB"/>
              </w:rPr>
            </w:pPr>
            <w:r w:rsidRPr="001C22A9">
              <w:rPr>
                <w:rFonts w:asciiTheme="majorBidi" w:hAnsiTheme="majorBidi" w:cstheme="majorBidi"/>
                <w:lang w:val="en-GB"/>
              </w:rPr>
              <w:t>–</w:t>
            </w:r>
          </w:p>
        </w:tc>
      </w:tr>
    </w:tbl>
    <w:p w14:paraId="01BDE4EB" w14:textId="77777777" w:rsidR="00FB5C94" w:rsidRPr="00843762" w:rsidRDefault="00FB5C94" w:rsidP="00FB5C94">
      <w:pPr>
        <w:pStyle w:val="SingleTxtG"/>
        <w:spacing w:before="120"/>
        <w:rPr>
          <w:i/>
          <w:iCs/>
        </w:rPr>
      </w:pPr>
      <w:r w:rsidRPr="00804977">
        <w:rPr>
          <w:i/>
          <w:iCs/>
        </w:rPr>
        <w:t xml:space="preserve">(Reference document: </w:t>
      </w:r>
      <w:r>
        <w:rPr>
          <w:i/>
          <w:iCs/>
        </w:rPr>
        <w:t>ST/SG/AC.10/C.3/128, Annex I</w:t>
      </w:r>
      <w:r w:rsidRPr="00804977">
        <w:rPr>
          <w:i/>
          <w:iCs/>
        </w:rPr>
        <w:t>)</w:t>
      </w:r>
    </w:p>
    <w:p w14:paraId="6D03BEC5" w14:textId="7C4A971C" w:rsidR="00FB5C94" w:rsidRPr="001C5029" w:rsidRDefault="00FB5C94" w:rsidP="00FB5C94">
      <w:pPr>
        <w:pStyle w:val="H1G"/>
      </w:pPr>
      <w:r w:rsidRPr="001C5029">
        <w:lastRenderedPageBreak/>
        <w:tab/>
      </w:r>
      <w:r w:rsidRPr="001C5029">
        <w:tab/>
      </w:r>
      <w:r w:rsidRPr="00AF65EB">
        <w:t>Documents ST/SG/AC.10/C.3/2023/44 and informal document INF.7 of the sixty-second session with amendments to the Spanish version were adopted.</w:t>
      </w:r>
    </w:p>
    <w:p w14:paraId="61CD689E" w14:textId="7A04478F" w:rsidR="00FB5C94" w:rsidRDefault="00FB5C94" w:rsidP="002045B4">
      <w:pPr>
        <w:pStyle w:val="SingleTxtG"/>
        <w:rPr>
          <w:i/>
          <w:iCs/>
        </w:rPr>
      </w:pPr>
      <w:r w:rsidRPr="00804977">
        <w:rPr>
          <w:i/>
          <w:iCs/>
        </w:rPr>
        <w:t xml:space="preserve">(Reference document: </w:t>
      </w:r>
      <w:r>
        <w:rPr>
          <w:i/>
          <w:iCs/>
        </w:rPr>
        <w:t>ST/SG/AC.10/C.3/124, Annex II and ST/SG/AC.10/C.3/126, Annex IV</w:t>
      </w:r>
      <w:r w:rsidRPr="00804977">
        <w:rPr>
          <w:i/>
          <w:iCs/>
        </w:rPr>
        <w:t>)</w:t>
      </w:r>
    </w:p>
    <w:p w14:paraId="7EBB60D9" w14:textId="757F6E3F" w:rsidR="002045B4" w:rsidRPr="002045B4" w:rsidRDefault="002045B4" w:rsidP="002045B4">
      <w:pPr>
        <w:spacing w:before="240"/>
        <w:jc w:val="center"/>
        <w:rPr>
          <w:u w:val="single"/>
        </w:rPr>
      </w:pPr>
      <w:r>
        <w:rPr>
          <w:u w:val="single"/>
        </w:rPr>
        <w:tab/>
      </w:r>
      <w:r>
        <w:rPr>
          <w:u w:val="single"/>
        </w:rPr>
        <w:tab/>
      </w:r>
      <w:r>
        <w:rPr>
          <w:u w:val="single"/>
        </w:rPr>
        <w:tab/>
      </w:r>
    </w:p>
    <w:p w14:paraId="395A8A59" w14:textId="77777777" w:rsidR="00FC77B2" w:rsidRPr="00FC77B2" w:rsidRDefault="00FC77B2" w:rsidP="004858F5"/>
    <w:sectPr w:rsidR="00FC77B2" w:rsidRPr="00FC77B2" w:rsidSect="00FC77B2">
      <w:headerReference w:type="even" r:id="rId18"/>
      <w:headerReference w:type="default" r:id="rId19"/>
      <w:footerReference w:type="even" r:id="rId20"/>
      <w:footerReference w:type="default" r:id="rId21"/>
      <w:footerReference w:type="first" r:id="rId2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C922" w14:textId="77777777" w:rsidR="00100339" w:rsidRPr="00C47B2E" w:rsidRDefault="00100339" w:rsidP="00C47B2E">
      <w:pPr>
        <w:pStyle w:val="Footer"/>
      </w:pPr>
    </w:p>
  </w:endnote>
  <w:endnote w:type="continuationSeparator" w:id="0">
    <w:p w14:paraId="077599EE" w14:textId="77777777" w:rsidR="00100339" w:rsidRPr="00C47B2E" w:rsidRDefault="00100339" w:rsidP="00C47B2E">
      <w:pPr>
        <w:pStyle w:val="Footer"/>
      </w:pPr>
    </w:p>
  </w:endnote>
  <w:endnote w:type="continuationNotice" w:id="1">
    <w:p w14:paraId="7BD26A44" w14:textId="77777777" w:rsidR="00100339" w:rsidRPr="00C47B2E" w:rsidRDefault="0010033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3C48" w14:textId="240FB532" w:rsidR="00D94B05" w:rsidRPr="00FC77B2" w:rsidRDefault="00FC77B2" w:rsidP="00D85308">
    <w:pPr>
      <w:pStyle w:val="Footer"/>
      <w:tabs>
        <w:tab w:val="right" w:pos="9639"/>
      </w:tabs>
      <w:rPr>
        <w:sz w:val="18"/>
      </w:rPr>
    </w:pPr>
    <w:r w:rsidRPr="00FC77B2">
      <w:rPr>
        <w:b/>
        <w:sz w:val="18"/>
      </w:rPr>
      <w:fldChar w:fldCharType="begin"/>
    </w:r>
    <w:r w:rsidRPr="00FC77B2">
      <w:rPr>
        <w:b/>
        <w:sz w:val="18"/>
      </w:rPr>
      <w:instrText xml:space="preserve"> PAGE  \* MERGEFORMAT </w:instrText>
    </w:r>
    <w:r w:rsidRPr="00FC77B2">
      <w:rPr>
        <w:b/>
        <w:sz w:val="18"/>
      </w:rPr>
      <w:fldChar w:fldCharType="separate"/>
    </w:r>
    <w:r w:rsidRPr="00FC77B2">
      <w:rPr>
        <w:b/>
        <w:noProof/>
        <w:sz w:val="18"/>
      </w:rPr>
      <w:t>2</w:t>
    </w:r>
    <w:r w:rsidRPr="00FC77B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E32F" w14:textId="245A1534" w:rsidR="00D94B05" w:rsidRPr="00FC77B2" w:rsidRDefault="00FC77B2" w:rsidP="00D85308">
    <w:pPr>
      <w:pStyle w:val="Footer"/>
      <w:tabs>
        <w:tab w:val="right" w:pos="9639"/>
      </w:tabs>
      <w:rPr>
        <w:b/>
        <w:bCs/>
        <w:sz w:val="18"/>
      </w:rPr>
    </w:pPr>
    <w:r>
      <w:rPr>
        <w:bCs/>
        <w:sz w:val="18"/>
      </w:rPr>
      <w:tab/>
    </w:r>
    <w:r w:rsidRPr="00FC77B2">
      <w:rPr>
        <w:b/>
        <w:bCs/>
        <w:sz w:val="18"/>
      </w:rPr>
      <w:fldChar w:fldCharType="begin"/>
    </w:r>
    <w:r w:rsidRPr="00FC77B2">
      <w:rPr>
        <w:b/>
        <w:bCs/>
        <w:sz w:val="18"/>
      </w:rPr>
      <w:instrText xml:space="preserve"> PAGE  \* MERGEFORMAT </w:instrText>
    </w:r>
    <w:r w:rsidRPr="00FC77B2">
      <w:rPr>
        <w:b/>
        <w:bCs/>
        <w:sz w:val="18"/>
      </w:rPr>
      <w:fldChar w:fldCharType="separate"/>
    </w:r>
    <w:r w:rsidRPr="00FC77B2">
      <w:rPr>
        <w:b/>
        <w:bCs/>
        <w:noProof/>
        <w:sz w:val="18"/>
      </w:rPr>
      <w:t>3</w:t>
    </w:r>
    <w:r w:rsidRPr="00FC77B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9B95" w14:textId="44E06D7B" w:rsidR="00D94B05" w:rsidRDefault="005C13A1" w:rsidP="005C13A1">
    <w:pPr>
      <w:pStyle w:val="Footer"/>
      <w:rPr>
        <w:rFonts w:asciiTheme="majorBidi" w:hAnsiTheme="majorBidi" w:cstheme="majorBidi"/>
        <w:sz w:val="20"/>
      </w:rPr>
    </w:pPr>
    <w:r w:rsidRPr="005C13A1">
      <w:rPr>
        <w:rFonts w:asciiTheme="majorBidi" w:hAnsiTheme="majorBidi" w:cstheme="majorBidi"/>
        <w:noProof/>
        <w:sz w:val="20"/>
        <w:lang w:val="en-US"/>
      </w:rPr>
      <w:drawing>
        <wp:anchor distT="0" distB="0" distL="114300" distR="114300" simplePos="0" relativeHeight="251660288" behindDoc="0" locked="1" layoutInCell="1" allowOverlap="1" wp14:anchorId="575A0E47" wp14:editId="34E2A458">
          <wp:simplePos x="0" y="0"/>
          <wp:positionH relativeFrom="column">
            <wp:posOffset>4558030</wp:posOffset>
          </wp:positionH>
          <wp:positionV relativeFrom="page">
            <wp:posOffset>10128250</wp:posOffset>
          </wp:positionV>
          <wp:extent cx="932400" cy="230400"/>
          <wp:effectExtent l="0" t="0" r="1270" b="0"/>
          <wp:wrapNone/>
          <wp:docPr id="1026791206" name="Picture 1026791206"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1ED4EB1" w14:textId="1FEE4C2F" w:rsidR="005C13A1" w:rsidRPr="005C13A1" w:rsidRDefault="005C13A1" w:rsidP="005C13A1">
    <w:pPr>
      <w:pStyle w:val="Footer"/>
      <w:ind w:right="1134"/>
      <w:rPr>
        <w:rFonts w:asciiTheme="majorBidi" w:hAnsiTheme="majorBidi" w:cstheme="majorBidi"/>
        <w:sz w:val="20"/>
      </w:rPr>
    </w:pPr>
    <w:r>
      <w:rPr>
        <w:rFonts w:asciiTheme="majorBidi" w:hAnsiTheme="majorBidi" w:cstheme="majorBidi"/>
        <w:sz w:val="20"/>
      </w:rPr>
      <w:t>GE.24-</w:t>
    </w:r>
    <w:proofErr w:type="gramStart"/>
    <w:r>
      <w:rPr>
        <w:rFonts w:asciiTheme="majorBidi" w:hAnsiTheme="majorBidi" w:cstheme="majorBidi"/>
        <w:sz w:val="20"/>
      </w:rPr>
      <w:t>16463  (</w:t>
    </w:r>
    <w:proofErr w:type="gramEnd"/>
    <w:r>
      <w:rPr>
        <w:rFonts w:asciiTheme="majorBidi" w:hAnsiTheme="majorBidi" w:cstheme="majorBidi"/>
        <w:sz w:val="20"/>
      </w:rPr>
      <w:t>E)</w:t>
    </w:r>
    <w:r>
      <w:rPr>
        <w:rFonts w:asciiTheme="majorBidi" w:hAnsiTheme="majorBidi" w:cstheme="majorBidi"/>
        <w:noProof/>
        <w:sz w:val="20"/>
      </w:rPr>
      <w:drawing>
        <wp:anchor distT="0" distB="0" distL="114300" distR="114300" simplePos="0" relativeHeight="251661312" behindDoc="0" locked="0" layoutInCell="1" allowOverlap="1" wp14:anchorId="393A7BC0" wp14:editId="1631FB03">
          <wp:simplePos x="0" y="0"/>
          <wp:positionH relativeFrom="margin">
            <wp:posOffset>5615940</wp:posOffset>
          </wp:positionH>
          <wp:positionV relativeFrom="margin">
            <wp:posOffset>8905875</wp:posOffset>
          </wp:positionV>
          <wp:extent cx="571500" cy="571500"/>
          <wp:effectExtent l="0" t="0" r="0" b="0"/>
          <wp:wrapNone/>
          <wp:docPr id="490578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7CC4" w14:textId="77777777" w:rsidR="00100339" w:rsidRPr="00C47B2E" w:rsidRDefault="00100339" w:rsidP="00C47B2E">
      <w:pPr>
        <w:tabs>
          <w:tab w:val="right" w:pos="2155"/>
        </w:tabs>
        <w:spacing w:after="80" w:line="240" w:lineRule="auto"/>
        <w:ind w:left="680"/>
      </w:pPr>
      <w:r>
        <w:rPr>
          <w:u w:val="single"/>
        </w:rPr>
        <w:tab/>
      </w:r>
    </w:p>
  </w:footnote>
  <w:footnote w:type="continuationSeparator" w:id="0">
    <w:p w14:paraId="5BBFC1DE" w14:textId="77777777" w:rsidR="00100339" w:rsidRPr="00C47B2E" w:rsidRDefault="00100339" w:rsidP="005E716E">
      <w:pPr>
        <w:tabs>
          <w:tab w:val="right" w:pos="2155"/>
        </w:tabs>
        <w:spacing w:after="80" w:line="240" w:lineRule="auto"/>
        <w:ind w:left="680"/>
      </w:pPr>
      <w:r>
        <w:rPr>
          <w:u w:val="single"/>
        </w:rPr>
        <w:tab/>
      </w:r>
    </w:p>
  </w:footnote>
  <w:footnote w:type="continuationNotice" w:id="1">
    <w:p w14:paraId="70B2D5CD" w14:textId="77777777" w:rsidR="00100339" w:rsidRPr="00C47B2E" w:rsidRDefault="00100339" w:rsidP="00C47B2E">
      <w:pPr>
        <w:pStyle w:val="Footer"/>
      </w:pPr>
    </w:p>
  </w:footnote>
  <w:footnote w:id="2">
    <w:p w14:paraId="62F148E0" w14:textId="7FDBA306" w:rsidR="00FC77B2" w:rsidRPr="00653AAE" w:rsidRDefault="00FC77B2" w:rsidP="00FC77B2">
      <w:pPr>
        <w:pStyle w:val="FootnoteText"/>
        <w:rPr>
          <w:lang w:val="fr-CH"/>
        </w:rPr>
      </w:pPr>
      <w:r>
        <w:rPr>
          <w:rStyle w:val="FootnoteReference"/>
        </w:rPr>
        <w:tab/>
      </w:r>
      <w:r w:rsidRPr="00653AAE">
        <w:rPr>
          <w:rStyle w:val="FootnoteReference"/>
          <w:sz w:val="20"/>
          <w:vertAlign w:val="baseline"/>
        </w:rPr>
        <w:t>*</w:t>
      </w:r>
      <w:r>
        <w:rPr>
          <w:rStyle w:val="FootnoteReference"/>
          <w:sz w:val="20"/>
          <w:vertAlign w:val="baseline"/>
        </w:rPr>
        <w:tab/>
      </w:r>
      <w:r w:rsidR="00087DB3" w:rsidRPr="00C5543E">
        <w:rPr>
          <w:szCs w:val="18"/>
        </w:rPr>
        <w:t>A/78/6 (Sect. 20), table 20.5</w:t>
      </w:r>
      <w:r w:rsidR="00087DB3">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27BD" w14:textId="50D43468" w:rsidR="00FC77B2" w:rsidRPr="00FC77B2" w:rsidRDefault="005C13A1">
    <w:pPr>
      <w:pStyle w:val="Header"/>
    </w:pPr>
    <w:r>
      <w:fldChar w:fldCharType="begin"/>
    </w:r>
    <w:r>
      <w:instrText xml:space="preserve"> TITLE  \* MERGEFORMAT </w:instrText>
    </w:r>
    <w:r>
      <w:fldChar w:fldCharType="separate"/>
    </w:r>
    <w:r w:rsidR="00FC77B2">
      <w:t>ST/SG/AC.10/C.3/2024/58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4131" w14:textId="37D74438" w:rsidR="00D94B05" w:rsidRPr="00FC77B2" w:rsidRDefault="005C13A1" w:rsidP="00FC77B2">
    <w:pPr>
      <w:pStyle w:val="Header"/>
      <w:jc w:val="right"/>
    </w:pPr>
    <w:r>
      <w:fldChar w:fldCharType="begin"/>
    </w:r>
    <w:r>
      <w:instrText xml:space="preserve"> TITLE  \* MERGEFORMAT </w:instrText>
    </w:r>
    <w:r>
      <w:fldChar w:fldCharType="separate"/>
    </w:r>
    <w:r w:rsidR="00FC77B2">
      <w:t>ST/SG/AC.10/C.3/2024/58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C215A"/>
    <w:multiLevelType w:val="hybridMultilevel"/>
    <w:tmpl w:val="FD4874BE"/>
    <w:lvl w:ilvl="0" w:tplc="648A783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E7E2DB5"/>
    <w:multiLevelType w:val="hybridMultilevel"/>
    <w:tmpl w:val="B1EC52BE"/>
    <w:lvl w:ilvl="0" w:tplc="C4160DD2">
      <w:start w:val="1"/>
      <w:numFmt w:val="upperRoman"/>
      <w:lvlText w:val="%1."/>
      <w:lvlJc w:val="left"/>
      <w:pPr>
        <w:ind w:left="2327" w:hanging="720"/>
      </w:pPr>
      <w:rPr>
        <w:rFonts w:hint="default"/>
      </w:rPr>
    </w:lvl>
    <w:lvl w:ilvl="1" w:tplc="100C0019" w:tentative="1">
      <w:start w:val="1"/>
      <w:numFmt w:val="lowerLetter"/>
      <w:lvlText w:val="%2."/>
      <w:lvlJc w:val="left"/>
      <w:pPr>
        <w:ind w:left="2687" w:hanging="360"/>
      </w:pPr>
    </w:lvl>
    <w:lvl w:ilvl="2" w:tplc="100C001B" w:tentative="1">
      <w:start w:val="1"/>
      <w:numFmt w:val="lowerRoman"/>
      <w:lvlText w:val="%3."/>
      <w:lvlJc w:val="right"/>
      <w:pPr>
        <w:ind w:left="3407" w:hanging="180"/>
      </w:pPr>
    </w:lvl>
    <w:lvl w:ilvl="3" w:tplc="100C000F" w:tentative="1">
      <w:start w:val="1"/>
      <w:numFmt w:val="decimal"/>
      <w:lvlText w:val="%4."/>
      <w:lvlJc w:val="left"/>
      <w:pPr>
        <w:ind w:left="4127" w:hanging="360"/>
      </w:pPr>
    </w:lvl>
    <w:lvl w:ilvl="4" w:tplc="100C0019" w:tentative="1">
      <w:start w:val="1"/>
      <w:numFmt w:val="lowerLetter"/>
      <w:lvlText w:val="%5."/>
      <w:lvlJc w:val="left"/>
      <w:pPr>
        <w:ind w:left="4847" w:hanging="360"/>
      </w:pPr>
    </w:lvl>
    <w:lvl w:ilvl="5" w:tplc="100C001B" w:tentative="1">
      <w:start w:val="1"/>
      <w:numFmt w:val="lowerRoman"/>
      <w:lvlText w:val="%6."/>
      <w:lvlJc w:val="right"/>
      <w:pPr>
        <w:ind w:left="5567" w:hanging="180"/>
      </w:pPr>
    </w:lvl>
    <w:lvl w:ilvl="6" w:tplc="100C000F" w:tentative="1">
      <w:start w:val="1"/>
      <w:numFmt w:val="decimal"/>
      <w:lvlText w:val="%7."/>
      <w:lvlJc w:val="left"/>
      <w:pPr>
        <w:ind w:left="6287" w:hanging="360"/>
      </w:pPr>
    </w:lvl>
    <w:lvl w:ilvl="7" w:tplc="100C0019" w:tentative="1">
      <w:start w:val="1"/>
      <w:numFmt w:val="lowerLetter"/>
      <w:lvlText w:val="%8."/>
      <w:lvlJc w:val="left"/>
      <w:pPr>
        <w:ind w:left="7007" w:hanging="360"/>
      </w:pPr>
    </w:lvl>
    <w:lvl w:ilvl="8" w:tplc="100C001B" w:tentative="1">
      <w:start w:val="1"/>
      <w:numFmt w:val="lowerRoman"/>
      <w:lvlText w:val="%9."/>
      <w:lvlJc w:val="right"/>
      <w:pPr>
        <w:ind w:left="7727" w:hanging="180"/>
      </w:pPr>
    </w:lvl>
  </w:abstractNum>
  <w:abstractNum w:abstractNumId="8" w15:restartNumberingAfterBreak="0">
    <w:nsid w:val="5E082C2D"/>
    <w:multiLevelType w:val="hybridMultilevel"/>
    <w:tmpl w:val="3D22A780"/>
    <w:lvl w:ilvl="0" w:tplc="E732FB5A">
      <w:start w:val="1"/>
      <w:numFmt w:val="upperRoman"/>
      <w:lvlText w:val="%1."/>
      <w:lvlJc w:val="left"/>
      <w:pPr>
        <w:ind w:left="2327" w:hanging="720"/>
      </w:pPr>
      <w:rPr>
        <w:rFonts w:hint="default"/>
      </w:rPr>
    </w:lvl>
    <w:lvl w:ilvl="1" w:tplc="100C0019" w:tentative="1">
      <w:start w:val="1"/>
      <w:numFmt w:val="lowerLetter"/>
      <w:lvlText w:val="%2."/>
      <w:lvlJc w:val="left"/>
      <w:pPr>
        <w:ind w:left="2687" w:hanging="360"/>
      </w:pPr>
    </w:lvl>
    <w:lvl w:ilvl="2" w:tplc="100C001B" w:tentative="1">
      <w:start w:val="1"/>
      <w:numFmt w:val="lowerRoman"/>
      <w:lvlText w:val="%3."/>
      <w:lvlJc w:val="right"/>
      <w:pPr>
        <w:ind w:left="3407" w:hanging="180"/>
      </w:pPr>
    </w:lvl>
    <w:lvl w:ilvl="3" w:tplc="100C000F" w:tentative="1">
      <w:start w:val="1"/>
      <w:numFmt w:val="decimal"/>
      <w:lvlText w:val="%4."/>
      <w:lvlJc w:val="left"/>
      <w:pPr>
        <w:ind w:left="4127" w:hanging="360"/>
      </w:pPr>
    </w:lvl>
    <w:lvl w:ilvl="4" w:tplc="100C0019" w:tentative="1">
      <w:start w:val="1"/>
      <w:numFmt w:val="lowerLetter"/>
      <w:lvlText w:val="%5."/>
      <w:lvlJc w:val="left"/>
      <w:pPr>
        <w:ind w:left="4847" w:hanging="360"/>
      </w:pPr>
    </w:lvl>
    <w:lvl w:ilvl="5" w:tplc="100C001B" w:tentative="1">
      <w:start w:val="1"/>
      <w:numFmt w:val="lowerRoman"/>
      <w:lvlText w:val="%6."/>
      <w:lvlJc w:val="right"/>
      <w:pPr>
        <w:ind w:left="5567" w:hanging="180"/>
      </w:pPr>
    </w:lvl>
    <w:lvl w:ilvl="6" w:tplc="100C000F" w:tentative="1">
      <w:start w:val="1"/>
      <w:numFmt w:val="decimal"/>
      <w:lvlText w:val="%7."/>
      <w:lvlJc w:val="left"/>
      <w:pPr>
        <w:ind w:left="6287" w:hanging="360"/>
      </w:pPr>
    </w:lvl>
    <w:lvl w:ilvl="7" w:tplc="100C0019" w:tentative="1">
      <w:start w:val="1"/>
      <w:numFmt w:val="lowerLetter"/>
      <w:lvlText w:val="%8."/>
      <w:lvlJc w:val="left"/>
      <w:pPr>
        <w:ind w:left="7007" w:hanging="360"/>
      </w:pPr>
    </w:lvl>
    <w:lvl w:ilvl="8" w:tplc="100C001B" w:tentative="1">
      <w:start w:val="1"/>
      <w:numFmt w:val="lowerRoman"/>
      <w:lvlText w:val="%9."/>
      <w:lvlJc w:val="right"/>
      <w:pPr>
        <w:ind w:left="7727" w:hanging="180"/>
      </w:pPr>
    </w:lvl>
  </w:abstractNum>
  <w:abstractNum w:abstractNumId="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9"/>
  </w:num>
  <w:num w:numId="5" w16cid:durableId="1816027029">
    <w:abstractNumId w:val="10"/>
  </w:num>
  <w:num w:numId="6" w16cid:durableId="1836190579">
    <w:abstractNumId w:val="12"/>
  </w:num>
  <w:num w:numId="7" w16cid:durableId="634676252">
    <w:abstractNumId w:val="3"/>
  </w:num>
  <w:num w:numId="8" w16cid:durableId="1039166836">
    <w:abstractNumId w:val="1"/>
  </w:num>
  <w:num w:numId="9" w16cid:durableId="644969981">
    <w:abstractNumId w:val="11"/>
  </w:num>
  <w:num w:numId="10" w16cid:durableId="525103391">
    <w:abstractNumId w:val="1"/>
  </w:num>
  <w:num w:numId="11" w16cid:durableId="297342166">
    <w:abstractNumId w:val="11"/>
  </w:num>
  <w:num w:numId="12" w16cid:durableId="1280380300">
    <w:abstractNumId w:val="2"/>
  </w:num>
  <w:num w:numId="13" w16cid:durableId="1988699530">
    <w:abstractNumId w:val="2"/>
  </w:num>
  <w:num w:numId="14" w16cid:durableId="442308576">
    <w:abstractNumId w:val="8"/>
  </w:num>
  <w:num w:numId="15" w16cid:durableId="697856058">
    <w:abstractNumId w:val="7"/>
  </w:num>
  <w:num w:numId="16" w16cid:durableId="1036277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567"/>
  <w:hyphenationZone w:val="425"/>
  <w:evenAndOddHeaders/>
  <w:characterSpacingControl w:val="doNotCompress"/>
  <w:hdrShapeDefaults>
    <o:shapedefaults v:ext="edit" spidmax="2052"/>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B2"/>
    <w:rsid w:val="00046E92"/>
    <w:rsid w:val="00063C90"/>
    <w:rsid w:val="00070000"/>
    <w:rsid w:val="00087DB3"/>
    <w:rsid w:val="000976B5"/>
    <w:rsid w:val="000B6499"/>
    <w:rsid w:val="00100339"/>
    <w:rsid w:val="00101B98"/>
    <w:rsid w:val="00141744"/>
    <w:rsid w:val="001514D1"/>
    <w:rsid w:val="002045B4"/>
    <w:rsid w:val="00247E2C"/>
    <w:rsid w:val="002A32CB"/>
    <w:rsid w:val="002C7281"/>
    <w:rsid w:val="002D5B2C"/>
    <w:rsid w:val="002D6C53"/>
    <w:rsid w:val="002F5595"/>
    <w:rsid w:val="00334F6A"/>
    <w:rsid w:val="00342108"/>
    <w:rsid w:val="00342AC8"/>
    <w:rsid w:val="00343302"/>
    <w:rsid w:val="00383E07"/>
    <w:rsid w:val="003979DE"/>
    <w:rsid w:val="003B1248"/>
    <w:rsid w:val="003B4550"/>
    <w:rsid w:val="003D2A18"/>
    <w:rsid w:val="00413386"/>
    <w:rsid w:val="00445D5A"/>
    <w:rsid w:val="00461253"/>
    <w:rsid w:val="004858F5"/>
    <w:rsid w:val="004A0D50"/>
    <w:rsid w:val="004A2814"/>
    <w:rsid w:val="004C0622"/>
    <w:rsid w:val="004F73D0"/>
    <w:rsid w:val="005042C2"/>
    <w:rsid w:val="00547BB6"/>
    <w:rsid w:val="00565855"/>
    <w:rsid w:val="005B15A1"/>
    <w:rsid w:val="005C13A1"/>
    <w:rsid w:val="005E716E"/>
    <w:rsid w:val="006476E1"/>
    <w:rsid w:val="006604DF"/>
    <w:rsid w:val="00671529"/>
    <w:rsid w:val="006F1EF5"/>
    <w:rsid w:val="0070489D"/>
    <w:rsid w:val="00705331"/>
    <w:rsid w:val="007200A1"/>
    <w:rsid w:val="007268F9"/>
    <w:rsid w:val="00745090"/>
    <w:rsid w:val="00750282"/>
    <w:rsid w:val="00764440"/>
    <w:rsid w:val="0077101B"/>
    <w:rsid w:val="007B5BE4"/>
    <w:rsid w:val="007C52B0"/>
    <w:rsid w:val="007C6033"/>
    <w:rsid w:val="007F4000"/>
    <w:rsid w:val="008147C8"/>
    <w:rsid w:val="0081753A"/>
    <w:rsid w:val="00857D23"/>
    <w:rsid w:val="008A60C4"/>
    <w:rsid w:val="008F1C8E"/>
    <w:rsid w:val="009411B4"/>
    <w:rsid w:val="00946F1D"/>
    <w:rsid w:val="00966164"/>
    <w:rsid w:val="009A0A7F"/>
    <w:rsid w:val="009B2C8F"/>
    <w:rsid w:val="009D0139"/>
    <w:rsid w:val="009D717D"/>
    <w:rsid w:val="009F0897"/>
    <w:rsid w:val="009F5CDC"/>
    <w:rsid w:val="00A05033"/>
    <w:rsid w:val="00A072D7"/>
    <w:rsid w:val="00A371B5"/>
    <w:rsid w:val="00A6117F"/>
    <w:rsid w:val="00A619D1"/>
    <w:rsid w:val="00A775CF"/>
    <w:rsid w:val="00AB6932"/>
    <w:rsid w:val="00AD1A9C"/>
    <w:rsid w:val="00AF5DE1"/>
    <w:rsid w:val="00B06045"/>
    <w:rsid w:val="00B206DD"/>
    <w:rsid w:val="00B52EF4"/>
    <w:rsid w:val="00B777AD"/>
    <w:rsid w:val="00B923D3"/>
    <w:rsid w:val="00BF47EB"/>
    <w:rsid w:val="00C03015"/>
    <w:rsid w:val="00C0358D"/>
    <w:rsid w:val="00C11390"/>
    <w:rsid w:val="00C26EFE"/>
    <w:rsid w:val="00C35A27"/>
    <w:rsid w:val="00C47B2E"/>
    <w:rsid w:val="00D52AB1"/>
    <w:rsid w:val="00D63CD2"/>
    <w:rsid w:val="00D714FB"/>
    <w:rsid w:val="00D85308"/>
    <w:rsid w:val="00D87DC2"/>
    <w:rsid w:val="00D93887"/>
    <w:rsid w:val="00D94B05"/>
    <w:rsid w:val="00DC7379"/>
    <w:rsid w:val="00E02C2B"/>
    <w:rsid w:val="00E21C27"/>
    <w:rsid w:val="00E26BCF"/>
    <w:rsid w:val="00E34100"/>
    <w:rsid w:val="00E52109"/>
    <w:rsid w:val="00E75317"/>
    <w:rsid w:val="00EB3293"/>
    <w:rsid w:val="00EC0CE6"/>
    <w:rsid w:val="00EC7C1D"/>
    <w:rsid w:val="00ED6C48"/>
    <w:rsid w:val="00EE3045"/>
    <w:rsid w:val="00F26186"/>
    <w:rsid w:val="00F3630F"/>
    <w:rsid w:val="00F60142"/>
    <w:rsid w:val="00F65F5D"/>
    <w:rsid w:val="00F86A3A"/>
    <w:rsid w:val="00FA42DA"/>
    <w:rsid w:val="00FB5C94"/>
    <w:rsid w:val="00FC77B2"/>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6721283"/>
  <w15:docId w15:val="{DED45B80-F688-42A0-85B7-30D97B96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uiPriority w:val="59"/>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rsid w:val="00FC77B2"/>
    <w:rPr>
      <w:b/>
      <w:sz w:val="28"/>
    </w:rPr>
  </w:style>
  <w:style w:type="character" w:customStyle="1" w:styleId="SingleTxtGChar">
    <w:name w:val="_ Single Txt_G Char"/>
    <w:link w:val="SingleTxtG"/>
    <w:qFormat/>
    <w:rsid w:val="00FC77B2"/>
  </w:style>
  <w:style w:type="character" w:customStyle="1" w:styleId="H1GChar">
    <w:name w:val="_ H_1_G Char"/>
    <w:link w:val="H1G"/>
    <w:qFormat/>
    <w:rsid w:val="00FC77B2"/>
    <w:rPr>
      <w:b/>
      <w:sz w:val="24"/>
    </w:rPr>
  </w:style>
  <w:style w:type="table" w:customStyle="1" w:styleId="TableGrid1">
    <w:name w:val="Table Grid1"/>
    <w:basedOn w:val="TableNormal"/>
    <w:uiPriority w:val="39"/>
    <w:rsid w:val="00FB5C94"/>
    <w:pPr>
      <w:suppressAutoHyphens/>
    </w:pPr>
    <w:rPr>
      <w:rFonts w:eastAsia="Times New Roman"/>
      <w:lang w:val="fr-CH"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FB5C94"/>
    <w:pPr>
      <w:spacing w:line="240" w:lineRule="auto"/>
    </w:pPr>
  </w:style>
  <w:style w:type="character" w:styleId="CommentReference">
    <w:name w:val="annotation reference"/>
    <w:basedOn w:val="DefaultParagraphFont"/>
    <w:uiPriority w:val="99"/>
    <w:semiHidden/>
    <w:unhideWhenUsed/>
    <w:rsid w:val="00FB5C94"/>
    <w:rPr>
      <w:sz w:val="16"/>
      <w:szCs w:val="16"/>
    </w:rPr>
  </w:style>
  <w:style w:type="paragraph" w:styleId="CommentText">
    <w:name w:val="annotation text"/>
    <w:basedOn w:val="Normal"/>
    <w:link w:val="CommentTextChar"/>
    <w:uiPriority w:val="99"/>
    <w:unhideWhenUsed/>
    <w:rsid w:val="00FB5C94"/>
    <w:pPr>
      <w:spacing w:line="240" w:lineRule="auto"/>
    </w:pPr>
  </w:style>
  <w:style w:type="character" w:customStyle="1" w:styleId="CommentTextChar">
    <w:name w:val="Comment Text Char"/>
    <w:basedOn w:val="DefaultParagraphFont"/>
    <w:link w:val="CommentText"/>
    <w:uiPriority w:val="99"/>
    <w:rsid w:val="00FB5C94"/>
  </w:style>
  <w:style w:type="paragraph" w:styleId="CommentSubject">
    <w:name w:val="annotation subject"/>
    <w:basedOn w:val="CommentText"/>
    <w:next w:val="CommentText"/>
    <w:link w:val="CommentSubjectChar"/>
    <w:uiPriority w:val="99"/>
    <w:semiHidden/>
    <w:unhideWhenUsed/>
    <w:rsid w:val="00FB5C94"/>
    <w:rPr>
      <w:b/>
      <w:bCs/>
    </w:rPr>
  </w:style>
  <w:style w:type="character" w:customStyle="1" w:styleId="CommentSubjectChar">
    <w:name w:val="Comment Subject Char"/>
    <w:basedOn w:val="CommentTextChar"/>
    <w:link w:val="CommentSubject"/>
    <w:uiPriority w:val="99"/>
    <w:semiHidden/>
    <w:rsid w:val="00FB5C94"/>
    <w:rPr>
      <w:b/>
      <w:bCs/>
    </w:rPr>
  </w:style>
  <w:style w:type="character" w:customStyle="1" w:styleId="cf01">
    <w:name w:val="cf01"/>
    <w:basedOn w:val="DefaultParagraphFont"/>
    <w:rsid w:val="00FB5C94"/>
    <w:rPr>
      <w:rFonts w:ascii="Segoe UI" w:hAnsi="Segoe UI" w:cs="Segoe UI" w:hint="default"/>
      <w:sz w:val="18"/>
      <w:szCs w:val="18"/>
    </w:rPr>
  </w:style>
  <w:style w:type="character" w:customStyle="1" w:styleId="H23GChar">
    <w:name w:val="_ H_2/3_G Char"/>
    <w:link w:val="H23G"/>
    <w:rsid w:val="00FB5C94"/>
    <w:rPr>
      <w:b/>
    </w:rPr>
  </w:style>
  <w:style w:type="paragraph" w:customStyle="1" w:styleId="MTabTxt">
    <w:name w:val="MTabTxt"/>
    <w:basedOn w:val="Normal"/>
    <w:link w:val="MTabTxtChar"/>
    <w:qFormat/>
    <w:rsid w:val="00FB5C94"/>
    <w:pPr>
      <w:numPr>
        <w:ilvl w:val="12"/>
      </w:numPr>
      <w:suppressAutoHyphens/>
      <w:autoSpaceDE w:val="0"/>
      <w:autoSpaceDN w:val="0"/>
      <w:adjustRightInd w:val="0"/>
      <w:spacing w:before="40" w:after="40" w:line="240" w:lineRule="auto"/>
    </w:pPr>
    <w:rPr>
      <w:lang w:eastAsia="fr-FR"/>
    </w:rPr>
  </w:style>
  <w:style w:type="character" w:customStyle="1" w:styleId="MTabTxtChar">
    <w:name w:val="MTabTxt Char"/>
    <w:basedOn w:val="DefaultParagraphFont"/>
    <w:link w:val="MTabTxt"/>
    <w:rsid w:val="00FB5C94"/>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2.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3.xml><?xml version="1.0" encoding="utf-8"?>
<ds:datastoreItem xmlns:ds="http://schemas.openxmlformats.org/officeDocument/2006/customXml" ds:itemID="{9D942CC0-55F9-4881-883D-18EF2C55C8ED}"/>
</file>

<file path=customXml/itemProps4.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35</Pages>
  <Words>12088</Words>
  <Characters>68465</Characters>
  <Application>Microsoft Office Word</Application>
  <DocSecurity>0</DocSecurity>
  <Lines>1477</Lines>
  <Paragraphs>867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ST/SG/AC.10/C.3/2024/58</dc:title>
  <dc:subject>2416463</dc:subject>
  <dc:creator>Editorial</dc:creator>
  <cp:keywords/>
  <dc:description/>
  <cp:lastModifiedBy>Cecile Pacis</cp:lastModifiedBy>
  <cp:revision>2</cp:revision>
  <dcterms:created xsi:type="dcterms:W3CDTF">2024-09-18T10:11:00Z</dcterms:created>
  <dcterms:modified xsi:type="dcterms:W3CDTF">2024-09-18T10:11:00Z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