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40722107" w14:textId="77777777" w:rsidTr="00F01738">
        <w:trPr>
          <w:trHeight w:hRule="exact" w:val="851"/>
        </w:trPr>
        <w:tc>
          <w:tcPr>
            <w:tcW w:w="1276" w:type="dxa"/>
            <w:tcBorders>
              <w:bottom w:val="single" w:sz="4" w:space="0" w:color="auto"/>
            </w:tcBorders>
          </w:tcPr>
          <w:p w14:paraId="60D6320F" w14:textId="77777777" w:rsidR="00132EA9" w:rsidRPr="00DB58B5" w:rsidRDefault="00132EA9" w:rsidP="00F01738"/>
        </w:tc>
        <w:tc>
          <w:tcPr>
            <w:tcW w:w="2268" w:type="dxa"/>
            <w:tcBorders>
              <w:bottom w:val="single" w:sz="4" w:space="0" w:color="auto"/>
            </w:tcBorders>
            <w:vAlign w:val="bottom"/>
          </w:tcPr>
          <w:p w14:paraId="144B4EE8"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81ECB83" w14:textId="4D02EAED" w:rsidR="00132EA9" w:rsidRPr="00BA1535" w:rsidRDefault="00BA1535" w:rsidP="00BA1535">
            <w:pPr>
              <w:jc w:val="right"/>
            </w:pPr>
            <w:r w:rsidRPr="00BA1535">
              <w:rPr>
                <w:sz w:val="40"/>
              </w:rPr>
              <w:t>ST</w:t>
            </w:r>
            <w:r>
              <w:t>/SG/AC.10/C.3/2024/112</w:t>
            </w:r>
          </w:p>
        </w:tc>
      </w:tr>
      <w:tr w:rsidR="00132EA9" w:rsidRPr="00DB58B5" w14:paraId="6322EC70" w14:textId="77777777" w:rsidTr="00F01738">
        <w:trPr>
          <w:trHeight w:hRule="exact" w:val="2835"/>
        </w:trPr>
        <w:tc>
          <w:tcPr>
            <w:tcW w:w="1276" w:type="dxa"/>
            <w:tcBorders>
              <w:top w:val="single" w:sz="4" w:space="0" w:color="auto"/>
              <w:bottom w:val="single" w:sz="12" w:space="0" w:color="auto"/>
            </w:tcBorders>
          </w:tcPr>
          <w:p w14:paraId="7569EB79" w14:textId="77777777" w:rsidR="00132EA9" w:rsidRPr="00DB58B5" w:rsidRDefault="00132EA9" w:rsidP="00F01738">
            <w:pPr>
              <w:spacing w:before="120"/>
              <w:jc w:val="center"/>
            </w:pPr>
            <w:r>
              <w:rPr>
                <w:noProof/>
                <w:lang w:eastAsia="fr-CH"/>
              </w:rPr>
              <w:drawing>
                <wp:inline distT="0" distB="0" distL="0" distR="0" wp14:anchorId="0E502A71" wp14:editId="3478E8E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B6A4E"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48AA1B29" w14:textId="77777777" w:rsidR="00132EA9" w:rsidRDefault="00807460" w:rsidP="00807460">
            <w:pPr>
              <w:spacing w:before="240" w:line="240" w:lineRule="exact"/>
            </w:pPr>
            <w:r>
              <w:t>Distr. générale</w:t>
            </w:r>
          </w:p>
          <w:p w14:paraId="40E0D23B" w14:textId="7B2A993E" w:rsidR="00807460" w:rsidRDefault="00AF1C85" w:rsidP="00807460">
            <w:pPr>
              <w:spacing w:line="240" w:lineRule="exact"/>
            </w:pPr>
            <w:r w:rsidRPr="00AF1C85">
              <w:t>13</w:t>
            </w:r>
            <w:r w:rsidR="00807460" w:rsidRPr="00AF1C85">
              <w:t xml:space="preserve"> septembre 2024</w:t>
            </w:r>
          </w:p>
          <w:p w14:paraId="0BEDEF36" w14:textId="77777777" w:rsidR="00807460" w:rsidRDefault="00807460" w:rsidP="00807460">
            <w:pPr>
              <w:spacing w:line="240" w:lineRule="exact"/>
            </w:pPr>
          </w:p>
          <w:p w14:paraId="41FEB2EC" w14:textId="77777777" w:rsidR="00807460" w:rsidRPr="00DB58B5" w:rsidRDefault="00807460" w:rsidP="00807460">
            <w:pPr>
              <w:spacing w:line="240" w:lineRule="exact"/>
            </w:pPr>
            <w:r>
              <w:t>Original : français</w:t>
            </w:r>
          </w:p>
        </w:tc>
      </w:tr>
    </w:tbl>
    <w:p w14:paraId="7505A354" w14:textId="77777777" w:rsidR="00807460" w:rsidRPr="00CA0680" w:rsidRDefault="00807460" w:rsidP="009744DF">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7457B6B6" w14:textId="77777777" w:rsidR="00807460" w:rsidRPr="00CA0680" w:rsidRDefault="00807460" w:rsidP="00807460">
      <w:pPr>
        <w:spacing w:before="120" w:after="120"/>
        <w:rPr>
          <w:b/>
        </w:rPr>
      </w:pPr>
      <w:r w:rsidRPr="00CA0680">
        <w:rPr>
          <w:b/>
        </w:rPr>
        <w:t>Sous</w:t>
      </w:r>
      <w:r>
        <w:rPr>
          <w:b/>
        </w:rPr>
        <w:t>-</w:t>
      </w:r>
      <w:r w:rsidRPr="00CA0680">
        <w:rPr>
          <w:b/>
        </w:rPr>
        <w:t>Comité d’experts du transport des marchandises dangereuses</w:t>
      </w:r>
    </w:p>
    <w:p w14:paraId="16FB5A3D" w14:textId="77777777" w:rsidR="00807460" w:rsidRPr="0023728E" w:rsidRDefault="00807460" w:rsidP="00807460">
      <w:pPr>
        <w:rPr>
          <w:b/>
          <w:lang w:val="fr-FR"/>
        </w:rPr>
      </w:pPr>
      <w:r w:rsidRPr="0023728E">
        <w:rPr>
          <w:b/>
          <w:bCs/>
          <w:lang w:val="fr-FR"/>
        </w:rPr>
        <w:t>Soixante-</w:t>
      </w:r>
      <w:r>
        <w:rPr>
          <w:b/>
          <w:bCs/>
          <w:lang w:val="fr-FR"/>
        </w:rPr>
        <w:t>cinqu</w:t>
      </w:r>
      <w:r w:rsidRPr="0023728E">
        <w:rPr>
          <w:b/>
          <w:bCs/>
          <w:lang w:val="fr-FR"/>
        </w:rPr>
        <w:t>ième session</w:t>
      </w:r>
    </w:p>
    <w:p w14:paraId="43C18EE2" w14:textId="0CE4A5CA" w:rsidR="00807460" w:rsidRPr="00402231" w:rsidRDefault="00807460" w:rsidP="00807460">
      <w:pPr>
        <w:rPr>
          <w:lang w:val="fr-FR"/>
        </w:rPr>
      </w:pPr>
      <w:r w:rsidRPr="00402231">
        <w:rPr>
          <w:lang w:val="fr-FR"/>
        </w:rPr>
        <w:t>Genève, 2</w:t>
      </w:r>
      <w:r w:rsidR="00610B93">
        <w:rPr>
          <w:lang w:val="fr-FR"/>
        </w:rPr>
        <w:t>5</w:t>
      </w:r>
      <w:r w:rsidRPr="00402231">
        <w:rPr>
          <w:lang w:val="fr-FR"/>
        </w:rPr>
        <w:t>novembre - 3 décembre 2024</w:t>
      </w:r>
    </w:p>
    <w:p w14:paraId="73933AD5" w14:textId="77777777" w:rsidR="00807460" w:rsidRPr="009A40B2" w:rsidRDefault="00807460" w:rsidP="00807460">
      <w:pPr>
        <w:rPr>
          <w:lang w:val="fr-FR"/>
        </w:rPr>
      </w:pPr>
      <w:r w:rsidRPr="009A40B2">
        <w:rPr>
          <w:lang w:val="fr-FR"/>
        </w:rPr>
        <w:t>Point 4 f) de l’ordre du jour provisoire</w:t>
      </w:r>
    </w:p>
    <w:p w14:paraId="7244E933" w14:textId="77777777" w:rsidR="00807460" w:rsidRPr="0023728E" w:rsidRDefault="00807460" w:rsidP="00807460">
      <w:pPr>
        <w:ind w:right="5810"/>
        <w:rPr>
          <w:b/>
          <w:bCs/>
          <w:lang w:val="fr-FR"/>
        </w:rPr>
      </w:pPr>
      <w:r w:rsidRPr="009A40B2">
        <w:rPr>
          <w:b/>
          <w:bCs/>
          <w:lang w:val="fr-FR"/>
        </w:rPr>
        <w:t>Systèmes de stockage de l’électricité : Questions diverses</w:t>
      </w:r>
    </w:p>
    <w:p w14:paraId="227341EC" w14:textId="77777777" w:rsidR="00807460" w:rsidRPr="0023728E" w:rsidRDefault="00807460" w:rsidP="00807460">
      <w:pPr>
        <w:pStyle w:val="HChG"/>
        <w:rPr>
          <w:color w:val="000000" w:themeColor="text1"/>
          <w:lang w:val="fr-FR"/>
        </w:rPr>
      </w:pPr>
      <w:r w:rsidRPr="0023728E">
        <w:rPr>
          <w:lang w:val="fr-FR"/>
        </w:rPr>
        <w:tab/>
      </w:r>
      <w:r w:rsidRPr="0023728E">
        <w:rPr>
          <w:lang w:val="fr-FR"/>
        </w:rPr>
        <w:tab/>
      </w:r>
      <w:r w:rsidRPr="009A40B2">
        <w:rPr>
          <w:bCs/>
          <w:lang w:val="fr-FR"/>
        </w:rPr>
        <w:t xml:space="preserve">Systèmes de </w:t>
      </w:r>
      <w:r>
        <w:rPr>
          <w:bCs/>
          <w:lang w:val="fr-FR"/>
        </w:rPr>
        <w:t xml:space="preserve">production et de </w:t>
      </w:r>
      <w:r w:rsidRPr="009A40B2">
        <w:rPr>
          <w:bCs/>
          <w:lang w:val="fr-FR"/>
        </w:rPr>
        <w:t>stockage d’électricité </w:t>
      </w:r>
      <w:r>
        <w:rPr>
          <w:lang w:val="fr-FR"/>
        </w:rPr>
        <w:t>installés dans des engins de transport </w:t>
      </w:r>
    </w:p>
    <w:p w14:paraId="3AB4C3CA" w14:textId="18308795" w:rsidR="00807460" w:rsidRPr="0023728E" w:rsidRDefault="00807460" w:rsidP="00807460">
      <w:pPr>
        <w:pStyle w:val="H1G"/>
        <w:rPr>
          <w:rFonts w:asciiTheme="majorBidi" w:hAnsiTheme="majorBidi" w:cstheme="majorBidi"/>
          <w:color w:val="000000" w:themeColor="text1"/>
          <w:lang w:val="fr-FR"/>
        </w:rPr>
      </w:pPr>
      <w:r w:rsidRPr="0023728E">
        <w:rPr>
          <w:lang w:val="fr-FR"/>
        </w:rPr>
        <w:tab/>
      </w:r>
      <w:r w:rsidRPr="0023728E">
        <w:rPr>
          <w:lang w:val="fr-FR"/>
        </w:rPr>
        <w:tab/>
      </w:r>
      <w:r w:rsidRPr="009A40B2">
        <w:rPr>
          <w:lang w:val="fr-FR"/>
        </w:rPr>
        <w:t>Communication de l’experte de la Suisse</w:t>
      </w:r>
      <w:r w:rsidR="00BC2A54" w:rsidRPr="00BC2A54">
        <w:rPr>
          <w:rStyle w:val="FootnoteReference"/>
          <w:sz w:val="20"/>
          <w:vertAlign w:val="baseline"/>
        </w:rPr>
        <w:footnoteReference w:customMarkFollows="1" w:id="2"/>
        <w:t>*</w:t>
      </w:r>
    </w:p>
    <w:p w14:paraId="43C7FA0B" w14:textId="233379DD" w:rsidR="00807460" w:rsidRPr="0023728E" w:rsidRDefault="00807460" w:rsidP="00807460">
      <w:pPr>
        <w:pStyle w:val="HChG"/>
        <w:rPr>
          <w:lang w:val="fr-FR"/>
        </w:rPr>
      </w:pPr>
      <w:r w:rsidRPr="0023728E">
        <w:rPr>
          <w:lang w:val="fr-FR"/>
        </w:rPr>
        <w:tab/>
      </w:r>
      <w:r>
        <w:rPr>
          <w:lang w:val="fr-FR"/>
        </w:rPr>
        <w:t>I.</w:t>
      </w:r>
      <w:r w:rsidRPr="0023728E">
        <w:rPr>
          <w:lang w:val="fr-FR"/>
        </w:rPr>
        <w:tab/>
        <w:t>Introduction</w:t>
      </w:r>
    </w:p>
    <w:p w14:paraId="69D053C8" w14:textId="77777777" w:rsidR="00807460" w:rsidRDefault="00807460" w:rsidP="00807460">
      <w:pPr>
        <w:pStyle w:val="SingleTxtG"/>
        <w:rPr>
          <w:lang w:val="fr-FR"/>
        </w:rPr>
      </w:pPr>
      <w:r w:rsidRPr="0023728E">
        <w:rPr>
          <w:lang w:val="fr-FR"/>
        </w:rPr>
        <w:t>1.</w:t>
      </w:r>
      <w:r>
        <w:rPr>
          <w:lang w:val="fr-FR"/>
        </w:rPr>
        <w:tab/>
        <w:t>Le numéro ONU 3536 (</w:t>
      </w:r>
      <w:r w:rsidRPr="00542230">
        <w:rPr>
          <w:lang w:val="fr-FR"/>
        </w:rPr>
        <w:t>Batteries au lithium installées dans des</w:t>
      </w:r>
      <w:r>
        <w:rPr>
          <w:lang w:val="fr-FR"/>
        </w:rPr>
        <w:t xml:space="preserve"> engins de transport) a été créé pour tenir compte de nouveaux produits disponibles sur le marché. Il s’applique aux systèmes de stockage de l’énergie </w:t>
      </w:r>
      <w:r>
        <w:rPr>
          <w:rFonts w:ascii="TimesNewRomanPSMT" w:hAnsi="TimesNewRomanPSMT" w:cs="TimesNewRomanPSMT"/>
        </w:rPr>
        <w:t>conçus uniquement pour fournir de l’énergie hors de l’engin de transport</w:t>
      </w:r>
      <w:r>
        <w:rPr>
          <w:lang w:val="fr-FR"/>
        </w:rPr>
        <w:t>.</w:t>
      </w:r>
      <w:r w:rsidRPr="007E023E">
        <w:rPr>
          <w:highlight w:val="yellow"/>
          <w:lang w:val="fr-FR"/>
        </w:rPr>
        <w:t xml:space="preserve"> </w:t>
      </w:r>
    </w:p>
    <w:p w14:paraId="782B0D0C" w14:textId="77777777" w:rsidR="00807460" w:rsidRPr="0023728E" w:rsidRDefault="00807460" w:rsidP="00807460">
      <w:pPr>
        <w:pStyle w:val="SingleTxtG"/>
        <w:rPr>
          <w:lang w:val="fr-FR"/>
        </w:rPr>
      </w:pPr>
      <w:r>
        <w:rPr>
          <w:lang w:val="fr-FR"/>
        </w:rPr>
        <w:t>2.</w:t>
      </w:r>
      <w:r>
        <w:rPr>
          <w:lang w:val="fr-FR"/>
        </w:rPr>
        <w:tab/>
        <w:t xml:space="preserve">Il existe aussi des solutions qui combinent un système de production et un système de stockage réunis dans un même engin de transport. Lorsque ces systèmes hybrides contiennent deux marchandises dangereuses de classes de danger différentes, il n’est pas évident de déterminer le danger principal, ni la classification et les conditions de transport. </w:t>
      </w:r>
    </w:p>
    <w:p w14:paraId="26A08D0E" w14:textId="77777777" w:rsidR="00807460" w:rsidRDefault="00807460" w:rsidP="00807460">
      <w:pPr>
        <w:pStyle w:val="SingleTxtG"/>
        <w:rPr>
          <w:lang w:val="fr-FR"/>
        </w:rPr>
      </w:pPr>
      <w:r>
        <w:rPr>
          <w:lang w:val="fr-FR"/>
        </w:rPr>
        <w:t>3.</w:t>
      </w:r>
      <w:r>
        <w:rPr>
          <w:lang w:val="fr-FR"/>
        </w:rPr>
        <w:tab/>
        <w:t xml:space="preserve">La Suisse présente ci-dessous deux exemples de systèmes hybrides installés dans des remorques. Elle souhaite discuter de la meilleure façon de classer ces engins de transport et déterminer si les dispositions actuelles sont suffisantes pour ce faire. </w:t>
      </w:r>
    </w:p>
    <w:p w14:paraId="78502A20" w14:textId="08D6EB08" w:rsidR="00807460" w:rsidRPr="0023728E" w:rsidRDefault="00807460" w:rsidP="00807460">
      <w:pPr>
        <w:pStyle w:val="HChG"/>
        <w:rPr>
          <w:lang w:val="fr-FR"/>
        </w:rPr>
      </w:pPr>
      <w:r w:rsidRPr="0023728E">
        <w:rPr>
          <w:lang w:val="fr-FR"/>
        </w:rPr>
        <w:tab/>
        <w:t>I</w:t>
      </w:r>
      <w:r>
        <w:rPr>
          <w:lang w:val="fr-FR"/>
        </w:rPr>
        <w:t>I</w:t>
      </w:r>
      <w:r w:rsidRPr="0023728E">
        <w:rPr>
          <w:lang w:val="fr-FR"/>
        </w:rPr>
        <w:t>.</w:t>
      </w:r>
      <w:r w:rsidRPr="0023728E">
        <w:rPr>
          <w:lang w:val="fr-FR"/>
        </w:rPr>
        <w:tab/>
      </w:r>
      <w:r>
        <w:rPr>
          <w:lang w:val="fr-FR"/>
        </w:rPr>
        <w:t>Batteries au lithium ionique et machine à combustion contenant du diesel</w:t>
      </w:r>
    </w:p>
    <w:p w14:paraId="366CF7E0" w14:textId="77777777" w:rsidR="00807460" w:rsidRPr="000C2933" w:rsidRDefault="00807460" w:rsidP="00807460">
      <w:pPr>
        <w:pStyle w:val="SingleTxtG"/>
        <w:rPr>
          <w:lang w:val="fr-FR"/>
        </w:rPr>
      </w:pPr>
      <w:r w:rsidRPr="000C2933">
        <w:rPr>
          <w:lang w:val="fr-FR"/>
        </w:rPr>
        <w:t>4.</w:t>
      </w:r>
      <w:r w:rsidRPr="000C2933">
        <w:rPr>
          <w:lang w:val="fr-FR"/>
        </w:rPr>
        <w:tab/>
        <w:t xml:space="preserve">L’engin de transport est </w:t>
      </w:r>
      <w:r>
        <w:rPr>
          <w:lang w:val="fr-FR"/>
        </w:rPr>
        <w:t>conçu</w:t>
      </w:r>
      <w:r w:rsidRPr="000C2933">
        <w:rPr>
          <w:lang w:val="fr-FR"/>
        </w:rPr>
        <w:t xml:space="preserve"> pour fournir du courant électrique dans le </w:t>
      </w:r>
      <w:r w:rsidRPr="00D1327F">
        <w:rPr>
          <w:lang w:val="fr-FR"/>
        </w:rPr>
        <w:t xml:space="preserve">réseau de distribution électrique local lorsque des travaux de maintenance sont effectués sur celui-ci. Il contient plusieurs batteries au </w:t>
      </w:r>
      <w:r w:rsidRPr="009521F8">
        <w:rPr>
          <w:lang w:val="fr-FR"/>
        </w:rPr>
        <w:t xml:space="preserve">lithium ionique pour une capacité totale de 60 kWh et une génératrice </w:t>
      </w:r>
      <w:r w:rsidRPr="00E90772">
        <w:rPr>
          <w:lang w:val="fr-FR"/>
        </w:rPr>
        <w:t>fonctionnant au diesel muni d’un réservoir d’une capacité de 120 L. En cas</w:t>
      </w:r>
      <w:r w:rsidRPr="000C2933">
        <w:rPr>
          <w:lang w:val="fr-FR"/>
        </w:rPr>
        <w:t xml:space="preserve"> de </w:t>
      </w:r>
      <w:r w:rsidRPr="000C2933">
        <w:rPr>
          <w:lang w:val="fr-FR"/>
        </w:rPr>
        <w:lastRenderedPageBreak/>
        <w:t>besoin</w:t>
      </w:r>
      <w:r w:rsidRPr="009521F8">
        <w:rPr>
          <w:lang w:val="fr-FR"/>
        </w:rPr>
        <w:t>, la génératrice produit</w:t>
      </w:r>
      <w:r w:rsidRPr="000C2933">
        <w:rPr>
          <w:lang w:val="fr-FR"/>
        </w:rPr>
        <w:t xml:space="preserve"> de l’électricité et recharge les batteries, ce qui assure une plus longue autonomie</w:t>
      </w:r>
      <w:r>
        <w:rPr>
          <w:rStyle w:val="FootnoteReference"/>
        </w:rPr>
        <w:footnoteReference w:id="3"/>
      </w:r>
      <w:r w:rsidRPr="000C2933">
        <w:rPr>
          <w:lang w:val="fr-FR"/>
        </w:rPr>
        <w:t>.</w:t>
      </w:r>
    </w:p>
    <w:p w14:paraId="0D6E15BC" w14:textId="77777777" w:rsidR="00807460" w:rsidRPr="000C2933" w:rsidRDefault="00807460" w:rsidP="00807460">
      <w:pPr>
        <w:pStyle w:val="SingleTxtG"/>
        <w:rPr>
          <w:lang w:val="fr-FR"/>
        </w:rPr>
      </w:pPr>
      <w:r w:rsidRPr="000C2933">
        <w:rPr>
          <w:lang w:val="fr-FR"/>
        </w:rPr>
        <w:t>5.</w:t>
      </w:r>
      <w:r w:rsidRPr="000C2933">
        <w:rPr>
          <w:lang w:val="fr-FR"/>
        </w:rPr>
        <w:tab/>
        <w:t xml:space="preserve">Au premier abord, il semble pertinent de classer cet équipement sous la rubrique du numéro ONU 3536, car </w:t>
      </w:r>
      <w:r>
        <w:rPr>
          <w:lang w:val="fr-FR"/>
        </w:rPr>
        <w:t>son usage principal est de</w:t>
      </w:r>
      <w:r w:rsidRPr="000C2933">
        <w:rPr>
          <w:lang w:val="fr-FR"/>
        </w:rPr>
        <w:t xml:space="preserve"> fournir de </w:t>
      </w:r>
      <w:r>
        <w:rPr>
          <w:lang w:val="fr-FR"/>
        </w:rPr>
        <w:t>l’électricité</w:t>
      </w:r>
      <w:r w:rsidRPr="000C2933">
        <w:rPr>
          <w:lang w:val="fr-FR"/>
        </w:rPr>
        <w:t xml:space="preserve"> hors de l’engin de transport</w:t>
      </w:r>
      <w:r>
        <w:rPr>
          <w:lang w:val="fr-FR"/>
        </w:rPr>
        <w:t xml:space="preserve"> au moyen de batteries au lithium</w:t>
      </w:r>
      <w:r w:rsidRPr="000C2933">
        <w:rPr>
          <w:lang w:val="fr-FR"/>
        </w:rPr>
        <w:t xml:space="preserve">. Toutefois, la disposition spéciale 389 du chapitre 3.3 indique que « des marchandises dangereuses qui ne sont pas nécessaires à son bon fonctionnement et à sa sécurité ne doivent pas être transportées à l’intérieur de l’engin de transport ». Il n’est pas clair si </w:t>
      </w:r>
      <w:r>
        <w:rPr>
          <w:lang w:val="fr-FR"/>
        </w:rPr>
        <w:t>l’équipement</w:t>
      </w:r>
      <w:r w:rsidRPr="000C2933">
        <w:rPr>
          <w:lang w:val="fr-FR"/>
        </w:rPr>
        <w:t xml:space="preserve"> contenant du diesel peut être considéré comme nécessaire au fonctionnement de l’engin</w:t>
      </w:r>
      <w:r>
        <w:rPr>
          <w:lang w:val="fr-FR"/>
        </w:rPr>
        <w:t>.</w:t>
      </w:r>
    </w:p>
    <w:p w14:paraId="53447A1A" w14:textId="77777777" w:rsidR="00807460" w:rsidRPr="000C2933" w:rsidRDefault="00807460" w:rsidP="00807460">
      <w:pPr>
        <w:pStyle w:val="SingleTxtG"/>
        <w:rPr>
          <w:lang w:val="fr-FR"/>
        </w:rPr>
      </w:pPr>
      <w:r w:rsidRPr="000C2933">
        <w:rPr>
          <w:lang w:val="fr-FR"/>
        </w:rPr>
        <w:t>6.</w:t>
      </w:r>
      <w:r w:rsidRPr="000C2933">
        <w:rPr>
          <w:lang w:val="fr-FR"/>
        </w:rPr>
        <w:tab/>
        <w:t>Une autre possibilité de classification est le numéro ONU 3528 « </w:t>
      </w:r>
      <w:r>
        <w:rPr>
          <w:lang w:val="fr-FR"/>
        </w:rPr>
        <w:t>machine</w:t>
      </w:r>
      <w:r w:rsidRPr="000C2933">
        <w:rPr>
          <w:lang w:val="fr-FR"/>
        </w:rPr>
        <w:t xml:space="preserve"> à combustion interne fonctionnant au liquide inflammable ». </w:t>
      </w:r>
      <w:r>
        <w:rPr>
          <w:lang w:val="fr-FR"/>
        </w:rPr>
        <w:t>La disposition spéciale 363 correspondant à ce numéro dispose que « l</w:t>
      </w:r>
      <w:r w:rsidRPr="000C2933">
        <w:rPr>
          <w:lang w:val="fr-FR"/>
        </w:rPr>
        <w:t>es moteurs ou machines peuvent contenir des marchandises dangereuses autres que du</w:t>
      </w:r>
      <w:r>
        <w:rPr>
          <w:lang w:val="fr-FR"/>
        </w:rPr>
        <w:t xml:space="preserve"> </w:t>
      </w:r>
      <w:r w:rsidRPr="000C2933">
        <w:rPr>
          <w:lang w:val="fr-FR"/>
        </w:rPr>
        <w:t>combustible nécessaires à leur fonctionnement ou à leur utilisation en toute</w:t>
      </w:r>
      <w:r>
        <w:rPr>
          <w:lang w:val="fr-FR"/>
        </w:rPr>
        <w:t xml:space="preserve"> </w:t>
      </w:r>
      <w:r w:rsidRPr="000C2933">
        <w:rPr>
          <w:lang w:val="fr-FR"/>
        </w:rPr>
        <w:t>sécurité sans être soumis à d’autres prescriptions en relation avec ces autres marchandises</w:t>
      </w:r>
      <w:r>
        <w:rPr>
          <w:lang w:val="fr-FR"/>
        </w:rPr>
        <w:t xml:space="preserve"> </w:t>
      </w:r>
      <w:r w:rsidRPr="000C2933">
        <w:rPr>
          <w:lang w:val="fr-FR"/>
        </w:rPr>
        <w:t>dangereuses, à moins qu’il n’en soit spécifié autrement dans le présent Règlement</w:t>
      </w:r>
      <w:r>
        <w:rPr>
          <w:lang w:val="fr-FR"/>
        </w:rPr>
        <w:t> ». Dans ce cas, l</w:t>
      </w:r>
      <w:r w:rsidRPr="000C2933">
        <w:rPr>
          <w:lang w:val="fr-FR"/>
        </w:rPr>
        <w:t xml:space="preserve">es batteries au lithium doivent </w:t>
      </w:r>
      <w:r>
        <w:rPr>
          <w:lang w:val="fr-FR"/>
        </w:rPr>
        <w:t xml:space="preserve">uniquement </w:t>
      </w:r>
      <w:r w:rsidRPr="000C2933">
        <w:rPr>
          <w:lang w:val="fr-FR"/>
        </w:rPr>
        <w:t>satisfaire aux dispositions du 2.9.4</w:t>
      </w:r>
      <w:r>
        <w:rPr>
          <w:lang w:val="fr-FR"/>
        </w:rPr>
        <w:t>. Toutefois, l</w:t>
      </w:r>
      <w:r w:rsidRPr="000C2933">
        <w:rPr>
          <w:lang w:val="fr-FR"/>
        </w:rPr>
        <w:t xml:space="preserve">es batteries au lithium </w:t>
      </w:r>
      <w:r>
        <w:rPr>
          <w:lang w:val="fr-FR"/>
        </w:rPr>
        <w:t>ne sont en réalité pas nécessaires</w:t>
      </w:r>
      <w:r w:rsidRPr="000C2933">
        <w:rPr>
          <w:lang w:val="fr-FR"/>
        </w:rPr>
        <w:t xml:space="preserve"> au fonctionnement </w:t>
      </w:r>
      <w:r>
        <w:rPr>
          <w:lang w:val="fr-FR"/>
        </w:rPr>
        <w:t>de la génératrice fonctionnant au diesel.</w:t>
      </w:r>
    </w:p>
    <w:p w14:paraId="050D291E" w14:textId="77777777" w:rsidR="00807460" w:rsidRDefault="00807460" w:rsidP="00807460">
      <w:pPr>
        <w:pStyle w:val="SingleTxtG"/>
        <w:rPr>
          <w:lang w:val="fr-FR"/>
        </w:rPr>
      </w:pPr>
      <w:r w:rsidRPr="000C2933">
        <w:rPr>
          <w:lang w:val="fr-FR"/>
        </w:rPr>
        <w:t>7.</w:t>
      </w:r>
      <w:r w:rsidRPr="000C2933">
        <w:rPr>
          <w:lang w:val="fr-FR"/>
        </w:rPr>
        <w:tab/>
      </w:r>
      <w:r>
        <w:rPr>
          <w:lang w:val="fr-FR"/>
        </w:rPr>
        <w:t xml:space="preserve">Ceci </w:t>
      </w:r>
      <w:r w:rsidRPr="000C2933">
        <w:rPr>
          <w:lang w:val="fr-FR"/>
        </w:rPr>
        <w:t xml:space="preserve">montre </w:t>
      </w:r>
      <w:r>
        <w:rPr>
          <w:lang w:val="fr-FR"/>
        </w:rPr>
        <w:t>qu’il est difficile</w:t>
      </w:r>
      <w:r w:rsidRPr="000C2933">
        <w:rPr>
          <w:lang w:val="fr-FR"/>
        </w:rPr>
        <w:t xml:space="preserve"> de classer </w:t>
      </w:r>
      <w:r>
        <w:rPr>
          <w:lang w:val="fr-FR"/>
        </w:rPr>
        <w:t>ce type d’engin de transport</w:t>
      </w:r>
      <w:r w:rsidRPr="000C2933">
        <w:rPr>
          <w:lang w:val="fr-FR"/>
        </w:rPr>
        <w:t xml:space="preserve">. </w:t>
      </w:r>
      <w:r>
        <w:rPr>
          <w:lang w:val="fr-FR"/>
        </w:rPr>
        <w:t xml:space="preserve">Le principe de la disposition spéciale 388, selon lequel les </w:t>
      </w:r>
      <w:r w:rsidRPr="00F61064">
        <w:rPr>
          <w:lang w:val="fr-FR"/>
        </w:rPr>
        <w:t>véhicules électriques hybrides</w:t>
      </w:r>
      <w:r>
        <w:rPr>
          <w:lang w:val="fr-FR"/>
        </w:rPr>
        <w:t xml:space="preserve"> doivent être affectés au numéro </w:t>
      </w:r>
      <w:r w:rsidRPr="00F61064">
        <w:rPr>
          <w:lang w:val="fr-FR"/>
        </w:rPr>
        <w:t xml:space="preserve">ONU 3166 </w:t>
      </w:r>
      <w:r>
        <w:rPr>
          <w:lang w:val="fr-FR"/>
        </w:rPr>
        <w:t>« </w:t>
      </w:r>
      <w:r w:rsidRPr="00F61064">
        <w:rPr>
          <w:lang w:val="fr-FR"/>
        </w:rPr>
        <w:t xml:space="preserve">véhicule à propulsion par </w:t>
      </w:r>
      <w:r>
        <w:rPr>
          <w:lang w:val="fr-FR"/>
        </w:rPr>
        <w:t xml:space="preserve">liquide (ou gaz) </w:t>
      </w:r>
      <w:r w:rsidRPr="00F61064">
        <w:rPr>
          <w:lang w:val="fr-FR"/>
        </w:rPr>
        <w:t>inflammable</w:t>
      </w:r>
      <w:r>
        <w:rPr>
          <w:lang w:val="fr-FR"/>
        </w:rPr>
        <w:t> » est un bon point de départ, car le</w:t>
      </w:r>
      <w:r w:rsidRPr="000C2933">
        <w:rPr>
          <w:lang w:val="fr-FR"/>
        </w:rPr>
        <w:t xml:space="preserve"> choix d’une rubrique </w:t>
      </w:r>
      <w:r>
        <w:rPr>
          <w:lang w:val="fr-FR"/>
        </w:rPr>
        <w:t>devrait</w:t>
      </w:r>
      <w:r w:rsidRPr="000C2933">
        <w:rPr>
          <w:lang w:val="fr-FR"/>
        </w:rPr>
        <w:t xml:space="preserve"> se faire en fonction du danger prépondérant</w:t>
      </w:r>
      <w:r>
        <w:rPr>
          <w:lang w:val="fr-FR"/>
        </w:rPr>
        <w:t xml:space="preserve"> et non pas en fonction de l’usage de l’équipement. Toutefois, pour évaluer les dangers il faut aussi considérer la capacité totale des batteries au lithium et la quantité de liquide inflammable.</w:t>
      </w:r>
      <w:r w:rsidRPr="00F61064">
        <w:t xml:space="preserve"> </w:t>
      </w:r>
    </w:p>
    <w:p w14:paraId="64EF0610" w14:textId="77777777" w:rsidR="00807460" w:rsidRPr="000C2933" w:rsidRDefault="00807460" w:rsidP="00807460">
      <w:pPr>
        <w:pStyle w:val="SingleTxtG"/>
        <w:rPr>
          <w:lang w:val="fr-FR"/>
        </w:rPr>
      </w:pPr>
      <w:r>
        <w:rPr>
          <w:lang w:val="fr-FR"/>
        </w:rPr>
        <w:t>8.</w:t>
      </w:r>
      <w:r>
        <w:rPr>
          <w:lang w:val="fr-FR"/>
        </w:rPr>
        <w:tab/>
        <w:t>Finalement,</w:t>
      </w:r>
      <w:r w:rsidRPr="000C2933">
        <w:rPr>
          <w:lang w:val="fr-FR"/>
        </w:rPr>
        <w:t xml:space="preserve"> il conviendrait d’utiliser une rubrique qui </w:t>
      </w:r>
      <w:r>
        <w:rPr>
          <w:lang w:val="fr-FR"/>
        </w:rPr>
        <w:t>indique</w:t>
      </w:r>
      <w:r w:rsidRPr="000C2933">
        <w:rPr>
          <w:lang w:val="fr-FR"/>
        </w:rPr>
        <w:t xml:space="preserve"> la présence des deux marchandises dangereuses, </w:t>
      </w:r>
      <w:r>
        <w:rPr>
          <w:lang w:val="fr-FR"/>
        </w:rPr>
        <w:t>ce qui permettrait de prendre en compte l’effet combiné des deux dangers. Ceci semble ne pas être possible</w:t>
      </w:r>
      <w:r w:rsidRPr="000C2933">
        <w:rPr>
          <w:lang w:val="fr-FR"/>
        </w:rPr>
        <w:t xml:space="preserve"> avec les </w:t>
      </w:r>
      <w:r>
        <w:rPr>
          <w:lang w:val="fr-FR"/>
        </w:rPr>
        <w:t>dispositions</w:t>
      </w:r>
      <w:r w:rsidRPr="000C2933">
        <w:rPr>
          <w:lang w:val="fr-FR"/>
        </w:rPr>
        <w:t xml:space="preserve"> actuelles du Règlement type</w:t>
      </w:r>
      <w:r>
        <w:rPr>
          <w:lang w:val="fr-FR"/>
        </w:rPr>
        <w:t xml:space="preserve"> de l’ONU</w:t>
      </w:r>
      <w:r w:rsidRPr="000C2933">
        <w:rPr>
          <w:lang w:val="fr-FR"/>
        </w:rPr>
        <w:t>.</w:t>
      </w:r>
    </w:p>
    <w:p w14:paraId="40C88D6C" w14:textId="380339EB" w:rsidR="00807460" w:rsidRPr="0023728E" w:rsidRDefault="00807460" w:rsidP="00807460">
      <w:pPr>
        <w:pStyle w:val="HChG"/>
        <w:rPr>
          <w:lang w:val="fr-FR"/>
        </w:rPr>
      </w:pPr>
      <w:r w:rsidRPr="0023728E">
        <w:rPr>
          <w:lang w:val="fr-FR"/>
        </w:rPr>
        <w:tab/>
      </w:r>
      <w:r w:rsidRPr="00F61064">
        <w:rPr>
          <w:lang w:val="fr-FR"/>
        </w:rPr>
        <w:t>I</w:t>
      </w:r>
      <w:r>
        <w:rPr>
          <w:lang w:val="fr-FR"/>
        </w:rPr>
        <w:t>I</w:t>
      </w:r>
      <w:r w:rsidRPr="00F61064">
        <w:rPr>
          <w:lang w:val="fr-FR"/>
        </w:rPr>
        <w:t>I.</w:t>
      </w:r>
      <w:r w:rsidRPr="00F61064">
        <w:rPr>
          <w:lang w:val="fr-FR"/>
        </w:rPr>
        <w:tab/>
        <w:t>Batteries au lithium ionique et machine pile à combustible contenant de l’hydrogène</w:t>
      </w:r>
    </w:p>
    <w:p w14:paraId="68E63A81" w14:textId="77777777" w:rsidR="00807460" w:rsidRPr="00CB6BF4" w:rsidRDefault="00807460" w:rsidP="00807460">
      <w:pPr>
        <w:pStyle w:val="SingleTxtG"/>
      </w:pPr>
      <w:r>
        <w:rPr>
          <w:lang w:val="fr-FR"/>
        </w:rPr>
        <w:t>9</w:t>
      </w:r>
      <w:r w:rsidRPr="000C2933">
        <w:rPr>
          <w:lang w:val="fr-FR"/>
        </w:rPr>
        <w:t>.</w:t>
      </w:r>
      <w:r w:rsidRPr="000C2933">
        <w:rPr>
          <w:lang w:val="fr-FR"/>
        </w:rPr>
        <w:tab/>
      </w:r>
      <w:r>
        <w:rPr>
          <w:lang w:val="fr-FR"/>
        </w:rPr>
        <w:t>L’</w:t>
      </w:r>
      <w:r w:rsidRPr="000C2933">
        <w:rPr>
          <w:lang w:val="fr-FR"/>
        </w:rPr>
        <w:t xml:space="preserve">engin de transport est </w:t>
      </w:r>
      <w:r>
        <w:rPr>
          <w:lang w:val="fr-FR"/>
        </w:rPr>
        <w:t xml:space="preserve">également </w:t>
      </w:r>
      <w:r w:rsidRPr="000C2933">
        <w:rPr>
          <w:lang w:val="fr-FR"/>
        </w:rPr>
        <w:t xml:space="preserve">utilisé pour fournir du courant électrique </w:t>
      </w:r>
      <w:r>
        <w:rPr>
          <w:lang w:val="fr-FR"/>
        </w:rPr>
        <w:t>hors de l’engin de transport, mais l’électricité est produite à partir d’une pile à combustible contenant de l’hydrogène. L’engin de transport contient en plus une batterie au lithium ionique pour le stockage de l’électricité excédentaire</w:t>
      </w:r>
      <w:r>
        <w:rPr>
          <w:rStyle w:val="FootnoteReference"/>
        </w:rPr>
        <w:footnoteReference w:id="4"/>
      </w:r>
      <w:r>
        <w:rPr>
          <w:lang w:val="fr-FR"/>
        </w:rPr>
        <w:t xml:space="preserve">. </w:t>
      </w:r>
      <w:r w:rsidRPr="00CB6BF4">
        <w:t xml:space="preserve">Il existe </w:t>
      </w:r>
      <w:r>
        <w:t xml:space="preserve">actuellement </w:t>
      </w:r>
      <w:r w:rsidRPr="00CB6BF4">
        <w:t>plusieurs modèles</w:t>
      </w:r>
      <w:r>
        <w:t xml:space="preserve">. À titre d’exemple, </w:t>
      </w:r>
      <w:r w:rsidRPr="00CB6BF4">
        <w:t xml:space="preserve">un des modèles </w:t>
      </w:r>
      <w:r>
        <w:t xml:space="preserve">possède un réservoir intégré pour 16 kg d’hydrogène à une pression de 700 bar et une batterie de capacité de 15 </w:t>
      </w:r>
      <w:r>
        <w:rPr>
          <w:lang w:val="fr-FR"/>
        </w:rPr>
        <w:t>kWh.</w:t>
      </w:r>
    </w:p>
    <w:p w14:paraId="635F51A2" w14:textId="77777777" w:rsidR="00807460" w:rsidRPr="000C2933" w:rsidRDefault="00807460" w:rsidP="00807460">
      <w:pPr>
        <w:pStyle w:val="SingleTxtG"/>
        <w:rPr>
          <w:lang w:val="fr-FR"/>
        </w:rPr>
      </w:pPr>
      <w:r>
        <w:rPr>
          <w:lang w:val="fr-FR"/>
        </w:rPr>
        <w:t>10.</w:t>
      </w:r>
      <w:r>
        <w:rPr>
          <w:lang w:val="fr-FR"/>
        </w:rPr>
        <w:tab/>
        <w:t xml:space="preserve">Dans ce cas de figure, il semble clair que l’hydrogène contenu dans le réservoir représente le danger prépondérant. L’équipement pourrait être classé sous le </w:t>
      </w:r>
      <w:r w:rsidRPr="000C2933">
        <w:rPr>
          <w:lang w:val="fr-FR"/>
        </w:rPr>
        <w:t>numéro ONU 352</w:t>
      </w:r>
      <w:r>
        <w:rPr>
          <w:lang w:val="fr-FR"/>
        </w:rPr>
        <w:t>9</w:t>
      </w:r>
      <w:r w:rsidRPr="000C2933">
        <w:rPr>
          <w:lang w:val="fr-FR"/>
        </w:rPr>
        <w:t xml:space="preserve"> « </w:t>
      </w:r>
      <w:r w:rsidRPr="004C1A12">
        <w:rPr>
          <w:lang w:val="fr-FR"/>
        </w:rPr>
        <w:t>machine pile à</w:t>
      </w:r>
      <w:r>
        <w:rPr>
          <w:lang w:val="fr-FR"/>
        </w:rPr>
        <w:t xml:space="preserve"> </w:t>
      </w:r>
      <w:r w:rsidRPr="004C1A12">
        <w:rPr>
          <w:lang w:val="fr-FR"/>
        </w:rPr>
        <w:t>combustible contenant du gaz inflammable</w:t>
      </w:r>
      <w:r>
        <w:rPr>
          <w:lang w:val="fr-FR"/>
        </w:rPr>
        <w:t xml:space="preserve"> » et la batterie au lithium être partiellement exemptée au titre de la disposition spéciale 363. Toutefois, la batterie n’est en réalité pas nécessaire </w:t>
      </w:r>
      <w:r w:rsidRPr="000C2933">
        <w:rPr>
          <w:lang w:val="fr-FR"/>
        </w:rPr>
        <w:t xml:space="preserve">au fonctionnement </w:t>
      </w:r>
      <w:r>
        <w:rPr>
          <w:lang w:val="fr-FR"/>
        </w:rPr>
        <w:t>de la pile à combustible.</w:t>
      </w:r>
    </w:p>
    <w:p w14:paraId="5ACBADD5" w14:textId="4B9C377E" w:rsidR="00807460" w:rsidRPr="000F756E" w:rsidRDefault="00807460" w:rsidP="00CE7790">
      <w:pPr>
        <w:pStyle w:val="HChG"/>
      </w:pPr>
      <w:r w:rsidRPr="0023728E">
        <w:rPr>
          <w:lang w:val="fr-FR"/>
        </w:rPr>
        <w:lastRenderedPageBreak/>
        <w:tab/>
      </w:r>
      <w:r>
        <w:t>IV</w:t>
      </w:r>
      <w:r w:rsidRPr="000F756E">
        <w:t>.</w:t>
      </w:r>
      <w:r w:rsidRPr="000F756E">
        <w:tab/>
        <w:t>Discussion</w:t>
      </w:r>
    </w:p>
    <w:p w14:paraId="52D8B97E" w14:textId="77777777" w:rsidR="00807460" w:rsidRDefault="00807460" w:rsidP="00CE7790">
      <w:pPr>
        <w:pStyle w:val="SingleTxtG"/>
        <w:keepNext/>
        <w:keepLines/>
        <w:rPr>
          <w:lang w:val="fr-FR"/>
        </w:rPr>
      </w:pPr>
      <w:r>
        <w:rPr>
          <w:lang w:val="fr-FR"/>
        </w:rPr>
        <w:t xml:space="preserve">11. </w:t>
      </w:r>
      <w:r>
        <w:rPr>
          <w:lang w:val="fr-FR"/>
        </w:rPr>
        <w:tab/>
        <w:t xml:space="preserve">La Suisse invite les participants au Sous-comité </w:t>
      </w:r>
      <w:r w:rsidRPr="00B84C52">
        <w:rPr>
          <w:lang w:val="fr-FR"/>
        </w:rPr>
        <w:t xml:space="preserve">d’experts du transport des marchandises dangereuses </w:t>
      </w:r>
      <w:r>
        <w:rPr>
          <w:lang w:val="fr-FR"/>
        </w:rPr>
        <w:t xml:space="preserve">à indiquer comment ces deux engins de transport seraient classés dans leur pays et si des exemptions partielles </w:t>
      </w:r>
      <w:r w:rsidRPr="0006488D">
        <w:rPr>
          <w:lang w:val="fr-FR"/>
        </w:rPr>
        <w:t>s’appliquent</w:t>
      </w:r>
      <w:r w:rsidRPr="00336A80">
        <w:rPr>
          <w:lang w:val="fr-FR"/>
        </w:rPr>
        <w:t xml:space="preserve"> </w:t>
      </w:r>
      <w:r>
        <w:rPr>
          <w:lang w:val="fr-FR"/>
        </w:rPr>
        <w:t>selon les modes de transport considérés</w:t>
      </w:r>
      <w:r w:rsidRPr="0006488D">
        <w:rPr>
          <w:lang w:val="fr-FR"/>
        </w:rPr>
        <w:t>. Des exemples supplémentaires</w:t>
      </w:r>
      <w:r>
        <w:rPr>
          <w:lang w:val="fr-FR"/>
        </w:rPr>
        <w:t xml:space="preserve"> sont les bienvenus.</w:t>
      </w:r>
    </w:p>
    <w:p w14:paraId="5F50ECF0" w14:textId="77777777" w:rsidR="00807460" w:rsidRDefault="00807460" w:rsidP="00807460">
      <w:pPr>
        <w:pStyle w:val="SingleTxtG"/>
        <w:rPr>
          <w:lang w:val="fr-FR"/>
        </w:rPr>
      </w:pPr>
      <w:r>
        <w:rPr>
          <w:lang w:val="fr-FR"/>
        </w:rPr>
        <w:t>12</w:t>
      </w:r>
      <w:r>
        <w:rPr>
          <w:lang w:val="fr-FR"/>
        </w:rPr>
        <w:tab/>
        <w:t xml:space="preserve">La discussion qui en découlera devrait permettre de déterminer si les dispositions actuelles du Règlement type de l’ONU couvrent suffisamment ces cas de figure ou si de nouvelles dispositions doivent être introduites. </w:t>
      </w:r>
    </w:p>
    <w:p w14:paraId="3E9EAF0B" w14:textId="77777777" w:rsidR="00807460" w:rsidRDefault="00807460" w:rsidP="00807460">
      <w:pPr>
        <w:pStyle w:val="SingleTxtG"/>
        <w:rPr>
          <w:lang w:val="fr-FR"/>
        </w:rPr>
      </w:pPr>
      <w:r>
        <w:rPr>
          <w:lang w:val="fr-FR"/>
        </w:rPr>
        <w:t>13.</w:t>
      </w:r>
      <w:r>
        <w:rPr>
          <w:lang w:val="fr-FR"/>
        </w:rPr>
        <w:tab/>
        <w:t>La clarification des dispositions applicables aux s</w:t>
      </w:r>
      <w:r w:rsidRPr="002B2E3C">
        <w:rPr>
          <w:lang w:val="fr-FR"/>
        </w:rPr>
        <w:t>ystèmes de production et de stockage d’électricité installés dans des engins de transport</w:t>
      </w:r>
      <w:r>
        <w:rPr>
          <w:lang w:val="fr-FR"/>
        </w:rPr>
        <w:t xml:space="preserve"> </w:t>
      </w:r>
      <w:r>
        <w:t xml:space="preserve">contribue à l'objectif de développement durable n° 8 des Nations Unies, </w:t>
      </w:r>
      <w:r>
        <w:rPr>
          <w:i/>
          <w:iCs/>
        </w:rPr>
        <w:t>Travail décent et croissance économique</w:t>
      </w:r>
      <w:r w:rsidRPr="00D64638">
        <w:rPr>
          <w:lang w:val="fr-FR"/>
        </w:rPr>
        <w:t xml:space="preserve"> </w:t>
      </w:r>
      <w:r>
        <w:rPr>
          <w:i/>
          <w:iCs/>
        </w:rPr>
        <w:t>(Promouvoir une croissance économique soutenue, inclusive et durable, le plein emploi productif et un travail décent pour tous)</w:t>
      </w:r>
      <w:r>
        <w:t xml:space="preserve">. Le développement de solutions énergétiques plus respectueuses de l’environnement </w:t>
      </w:r>
      <w:r>
        <w:rPr>
          <w:lang w:val="fr-FR"/>
        </w:rPr>
        <w:t xml:space="preserve">permet de </w:t>
      </w:r>
      <w:r w:rsidRPr="00B84C52">
        <w:rPr>
          <w:lang w:val="fr-FR"/>
        </w:rPr>
        <w:t xml:space="preserve">poursuivre l’objectif </w:t>
      </w:r>
      <w:r w:rsidRPr="00B84C52">
        <w:t xml:space="preserve">n° 3, </w:t>
      </w:r>
      <w:r w:rsidRPr="00B84C52">
        <w:rPr>
          <w:i/>
          <w:iCs/>
        </w:rPr>
        <w:t>Bonne santé et bien-être (Assurer une vie saine et promouvoir le bien-être pour tous à tout âge)</w:t>
      </w:r>
      <w:r w:rsidRPr="00B84C52">
        <w:t>.</w:t>
      </w:r>
    </w:p>
    <w:p w14:paraId="68AE1C80" w14:textId="77777777" w:rsidR="00807460" w:rsidRPr="0023728E" w:rsidRDefault="00807460" w:rsidP="00807460">
      <w:pPr>
        <w:pStyle w:val="SingleTxtG"/>
        <w:spacing w:before="240" w:after="0"/>
        <w:jc w:val="center"/>
        <w:rPr>
          <w:u w:val="single"/>
          <w:lang w:val="fr-FR"/>
        </w:rPr>
      </w:pPr>
      <w:r w:rsidRPr="0023728E">
        <w:rPr>
          <w:u w:val="single"/>
          <w:lang w:val="fr-FR"/>
        </w:rPr>
        <w:tab/>
      </w:r>
      <w:r w:rsidRPr="0023728E">
        <w:rPr>
          <w:u w:val="single"/>
          <w:lang w:val="fr-FR"/>
        </w:rPr>
        <w:tab/>
      </w:r>
      <w:r w:rsidRPr="0023728E">
        <w:rPr>
          <w:u w:val="single"/>
          <w:lang w:val="fr-FR"/>
        </w:rPr>
        <w:tab/>
      </w:r>
    </w:p>
    <w:sectPr w:rsidR="00807460" w:rsidRPr="0023728E" w:rsidSect="00807460">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B008" w14:textId="77777777" w:rsidR="00F07700" w:rsidRDefault="00F07700" w:rsidP="00F95C08">
      <w:pPr>
        <w:spacing w:line="240" w:lineRule="auto"/>
      </w:pPr>
    </w:p>
  </w:endnote>
  <w:endnote w:type="continuationSeparator" w:id="0">
    <w:p w14:paraId="528F9B94" w14:textId="77777777" w:rsidR="00F07700" w:rsidRPr="00AC3823" w:rsidRDefault="00F07700" w:rsidP="00AC3823">
      <w:pPr>
        <w:pStyle w:val="Footer"/>
      </w:pPr>
    </w:p>
  </w:endnote>
  <w:endnote w:type="continuationNotice" w:id="1">
    <w:p w14:paraId="29113339" w14:textId="77777777" w:rsidR="00F07700" w:rsidRDefault="00F077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695B" w14:textId="77777777" w:rsidR="00807460" w:rsidRPr="00807460" w:rsidRDefault="00807460" w:rsidP="00807460">
    <w:pPr>
      <w:pStyle w:val="Footer"/>
      <w:tabs>
        <w:tab w:val="right" w:pos="9638"/>
      </w:tabs>
      <w:rPr>
        <w:sz w:val="18"/>
      </w:rPr>
    </w:pPr>
    <w:r w:rsidRPr="00807460">
      <w:rPr>
        <w:b/>
        <w:sz w:val="18"/>
      </w:rPr>
      <w:fldChar w:fldCharType="begin"/>
    </w:r>
    <w:r w:rsidRPr="00807460">
      <w:rPr>
        <w:b/>
        <w:sz w:val="18"/>
      </w:rPr>
      <w:instrText xml:space="preserve"> PAGE  \* MERGEFORMAT </w:instrText>
    </w:r>
    <w:r w:rsidRPr="00807460">
      <w:rPr>
        <w:b/>
        <w:sz w:val="18"/>
      </w:rPr>
      <w:fldChar w:fldCharType="separate"/>
    </w:r>
    <w:r w:rsidRPr="00807460">
      <w:rPr>
        <w:b/>
        <w:noProof/>
        <w:sz w:val="18"/>
      </w:rPr>
      <w:t>2</w:t>
    </w:r>
    <w:r w:rsidRPr="0080746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EDB6" w14:textId="77777777" w:rsidR="00807460" w:rsidRPr="00807460" w:rsidRDefault="00807460" w:rsidP="00807460">
    <w:pPr>
      <w:pStyle w:val="Footer"/>
      <w:tabs>
        <w:tab w:val="right" w:pos="9638"/>
      </w:tabs>
      <w:rPr>
        <w:b/>
        <w:sz w:val="18"/>
      </w:rPr>
    </w:pPr>
    <w:r>
      <w:tab/>
    </w:r>
    <w:r w:rsidRPr="00807460">
      <w:rPr>
        <w:b/>
        <w:sz w:val="18"/>
      </w:rPr>
      <w:fldChar w:fldCharType="begin"/>
    </w:r>
    <w:r w:rsidRPr="00807460">
      <w:rPr>
        <w:b/>
        <w:sz w:val="18"/>
      </w:rPr>
      <w:instrText xml:space="preserve"> PAGE  \* MERGEFORMAT </w:instrText>
    </w:r>
    <w:r w:rsidRPr="00807460">
      <w:rPr>
        <w:b/>
        <w:sz w:val="18"/>
      </w:rPr>
      <w:fldChar w:fldCharType="separate"/>
    </w:r>
    <w:r w:rsidRPr="00807460">
      <w:rPr>
        <w:b/>
        <w:noProof/>
        <w:sz w:val="18"/>
      </w:rPr>
      <w:t>3</w:t>
    </w:r>
    <w:r w:rsidRPr="008074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FDB4" w14:textId="6B1195DB" w:rsidR="0068456F" w:rsidRPr="00BA1535" w:rsidRDefault="00BA1535" w:rsidP="00BA1535">
    <w:pPr>
      <w:pStyle w:val="Footer"/>
      <w:tabs>
        <w:tab w:val="left" w:pos="6520"/>
        <w:tab w:val="right" w:pos="9638"/>
      </w:tabs>
      <w:spacing w:before="120"/>
      <w:rPr>
        <w:sz w:val="20"/>
      </w:rPr>
    </w:pPr>
    <w:r>
      <w:rPr>
        <w:sz w:val="20"/>
      </w:rPr>
      <w:t>GE.24-16599  (F)</w:t>
    </w:r>
    <w:r>
      <w:rPr>
        <w:sz w:val="20"/>
      </w:rPr>
      <w:tab/>
    </w:r>
    <w:r w:rsidRPr="00BA1535">
      <w:rPr>
        <w:noProof/>
        <w:sz w:val="20"/>
        <w:lang w:eastAsia="fr-CH"/>
      </w:rPr>
      <w:drawing>
        <wp:inline distT="0" distB="0" distL="0" distR="0" wp14:anchorId="200E2758" wp14:editId="5A081F61">
          <wp:extent cx="1105200" cy="234000"/>
          <wp:effectExtent l="0" t="0" r="0" b="0"/>
          <wp:docPr id="1019695372"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0CF361A8" wp14:editId="77E53360">
          <wp:extent cx="628650" cy="628650"/>
          <wp:effectExtent l="0" t="0" r="0" b="0"/>
          <wp:docPr id="17833108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7F7A" w14:textId="77777777" w:rsidR="00F07700" w:rsidRPr="00AC3823" w:rsidRDefault="00F07700" w:rsidP="00AC3823">
      <w:pPr>
        <w:pStyle w:val="Footer"/>
        <w:tabs>
          <w:tab w:val="right" w:pos="2155"/>
        </w:tabs>
        <w:spacing w:after="80" w:line="240" w:lineRule="atLeast"/>
        <w:ind w:left="680"/>
        <w:rPr>
          <w:u w:val="single"/>
        </w:rPr>
      </w:pPr>
      <w:r>
        <w:rPr>
          <w:u w:val="single"/>
        </w:rPr>
        <w:tab/>
      </w:r>
    </w:p>
  </w:footnote>
  <w:footnote w:type="continuationSeparator" w:id="0">
    <w:p w14:paraId="3E5EAE5D" w14:textId="77777777" w:rsidR="00F07700" w:rsidRPr="00AC3823" w:rsidRDefault="00F07700" w:rsidP="00AC3823">
      <w:pPr>
        <w:pStyle w:val="Footer"/>
        <w:tabs>
          <w:tab w:val="right" w:pos="2155"/>
        </w:tabs>
        <w:spacing w:after="80" w:line="240" w:lineRule="atLeast"/>
        <w:ind w:left="680"/>
        <w:rPr>
          <w:u w:val="single"/>
        </w:rPr>
      </w:pPr>
      <w:r>
        <w:rPr>
          <w:u w:val="single"/>
        </w:rPr>
        <w:tab/>
      </w:r>
    </w:p>
  </w:footnote>
  <w:footnote w:type="continuationNotice" w:id="1">
    <w:p w14:paraId="1FBEA093" w14:textId="77777777" w:rsidR="00F07700" w:rsidRPr="00AC3823" w:rsidRDefault="00F07700">
      <w:pPr>
        <w:spacing w:line="240" w:lineRule="auto"/>
        <w:rPr>
          <w:sz w:val="2"/>
          <w:szCs w:val="2"/>
        </w:rPr>
      </w:pPr>
    </w:p>
  </w:footnote>
  <w:footnote w:id="2">
    <w:p w14:paraId="18CE1E25" w14:textId="39B57C99" w:rsidR="00BC2A54" w:rsidRPr="00BC2A54" w:rsidRDefault="00BC2A54">
      <w:pPr>
        <w:pStyle w:val="FootnoteText"/>
      </w:pPr>
      <w:r>
        <w:rPr>
          <w:rStyle w:val="FootnoteReference"/>
        </w:rPr>
        <w:tab/>
      </w:r>
      <w:r w:rsidRPr="00BC2A54">
        <w:rPr>
          <w:rStyle w:val="FootnoteReference"/>
          <w:sz w:val="20"/>
          <w:vertAlign w:val="baseline"/>
        </w:rPr>
        <w:t>*</w:t>
      </w:r>
      <w:r>
        <w:rPr>
          <w:rStyle w:val="FootnoteReference"/>
          <w:sz w:val="20"/>
          <w:vertAlign w:val="baseline"/>
        </w:rPr>
        <w:tab/>
      </w:r>
      <w:r w:rsidR="003D3DA7" w:rsidRPr="00C5543E">
        <w:rPr>
          <w:szCs w:val="18"/>
        </w:rPr>
        <w:t>A/78/6 (Sect. 20), table</w:t>
      </w:r>
      <w:r w:rsidR="003D3DA7">
        <w:rPr>
          <w:szCs w:val="18"/>
        </w:rPr>
        <w:t>au</w:t>
      </w:r>
      <w:r w:rsidR="003D3DA7" w:rsidRPr="00C5543E">
        <w:rPr>
          <w:szCs w:val="18"/>
        </w:rPr>
        <w:t xml:space="preserve"> 20.5.</w:t>
      </w:r>
    </w:p>
  </w:footnote>
  <w:footnote w:id="3">
    <w:p w14:paraId="578EB0CB" w14:textId="77777777" w:rsidR="00807460" w:rsidRPr="00D1327F" w:rsidRDefault="00807460" w:rsidP="00807460">
      <w:pPr>
        <w:pStyle w:val="FootnoteText"/>
        <w:rPr>
          <w:sz w:val="20"/>
          <w:szCs w:val="22"/>
        </w:rPr>
      </w:pPr>
      <w:r w:rsidRPr="00D1327F">
        <w:rPr>
          <w:sz w:val="20"/>
          <w:szCs w:val="22"/>
        </w:rPr>
        <w:tab/>
      </w:r>
      <w:r w:rsidRPr="00D1327F">
        <w:rPr>
          <w:rStyle w:val="FootnoteReference"/>
          <w:sz w:val="20"/>
          <w:szCs w:val="22"/>
        </w:rPr>
        <w:footnoteRef/>
      </w:r>
      <w:r w:rsidRPr="00D1327F">
        <w:rPr>
          <w:sz w:val="20"/>
          <w:szCs w:val="22"/>
        </w:rPr>
        <w:t xml:space="preserve"> </w:t>
      </w:r>
      <w:r w:rsidRPr="00D1327F">
        <w:rPr>
          <w:sz w:val="20"/>
          <w:szCs w:val="22"/>
        </w:rPr>
        <w:tab/>
        <w:t>On trouve des illustrations et des information</w:t>
      </w:r>
      <w:r>
        <w:rPr>
          <w:sz w:val="20"/>
          <w:szCs w:val="22"/>
        </w:rPr>
        <w:t>s</w:t>
      </w:r>
      <w:r w:rsidRPr="00D1327F">
        <w:rPr>
          <w:sz w:val="20"/>
          <w:szCs w:val="22"/>
        </w:rPr>
        <w:t xml:space="preserve"> supplémentaires sur </w:t>
      </w:r>
      <w:hyperlink r:id="rId1" w:history="1">
        <w:r w:rsidRPr="00422689">
          <w:rPr>
            <w:rStyle w:val="Hyperlink"/>
            <w:sz w:val="20"/>
            <w:szCs w:val="22"/>
          </w:rPr>
          <w:t>https://www.hnea.ch/en</w:t>
        </w:r>
      </w:hyperlink>
      <w:r w:rsidRPr="00D1327F">
        <w:rPr>
          <w:sz w:val="20"/>
          <w:szCs w:val="22"/>
        </w:rPr>
        <w:t>.</w:t>
      </w:r>
    </w:p>
  </w:footnote>
  <w:footnote w:id="4">
    <w:p w14:paraId="18213417" w14:textId="77777777" w:rsidR="00807460" w:rsidRDefault="00807460" w:rsidP="00807460">
      <w:pPr>
        <w:pStyle w:val="FootnoteText"/>
        <w:rPr>
          <w:lang w:val="fr-FR"/>
        </w:rPr>
      </w:pPr>
      <w:r>
        <w:tab/>
      </w:r>
      <w:r>
        <w:rPr>
          <w:rStyle w:val="FootnoteReference"/>
        </w:rPr>
        <w:footnoteRef/>
      </w:r>
      <w:r>
        <w:t xml:space="preserve"> </w:t>
      </w:r>
      <w:r>
        <w:tab/>
      </w:r>
      <w:r w:rsidRPr="00D1327F">
        <w:t>On trouve des illustrations et des information</w:t>
      </w:r>
      <w:r>
        <w:t>s</w:t>
      </w:r>
      <w:r w:rsidRPr="00D1327F">
        <w:t xml:space="preserve"> supplémentaires sur</w:t>
      </w:r>
      <w:r>
        <w:t xml:space="preserve"> </w:t>
      </w:r>
      <w:hyperlink r:id="rId2" w:history="1">
        <w:r w:rsidRPr="00422689">
          <w:rPr>
            <w:rStyle w:val="Hyperlink"/>
            <w:szCs w:val="22"/>
          </w:rPr>
          <w:t>https://www.ruag.ch/en/autonomy-and-sustainability</w:t>
        </w:r>
      </w:hyperlink>
      <w:r w:rsidRPr="00D1327F">
        <w:t>.</w:t>
      </w:r>
    </w:p>
    <w:p w14:paraId="4CD80FC0" w14:textId="77777777" w:rsidR="00807460" w:rsidRPr="004C1A12" w:rsidRDefault="00807460" w:rsidP="00807460">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9CA" w14:textId="77777777" w:rsidR="00807460" w:rsidRPr="00807460" w:rsidRDefault="000F1386">
    <w:pPr>
      <w:pStyle w:val="Header"/>
    </w:pPr>
    <w:fldSimple w:instr=" TITLE  \* MERGEFORMAT ">
      <w:r w:rsidR="00807460">
        <w:t>ST/SG/AC.10/C.3/2024/112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BB8F" w14:textId="77777777" w:rsidR="00807460" w:rsidRPr="00807460" w:rsidRDefault="000F1386" w:rsidP="00807460">
    <w:pPr>
      <w:pStyle w:val="Header"/>
      <w:jc w:val="right"/>
    </w:pPr>
    <w:fldSimple w:instr=" TITLE  \* MERGEFORMAT ">
      <w:r w:rsidR="00807460">
        <w:t>ST/SG/AC.10/C.3/2024/112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26178850">
    <w:abstractNumId w:val="12"/>
  </w:num>
  <w:num w:numId="2" w16cid:durableId="69931840">
    <w:abstractNumId w:val="11"/>
  </w:num>
  <w:num w:numId="3" w16cid:durableId="272713744">
    <w:abstractNumId w:val="10"/>
  </w:num>
  <w:num w:numId="4" w16cid:durableId="2082363907">
    <w:abstractNumId w:val="8"/>
  </w:num>
  <w:num w:numId="5" w16cid:durableId="476919659">
    <w:abstractNumId w:val="3"/>
  </w:num>
  <w:num w:numId="6" w16cid:durableId="1449472509">
    <w:abstractNumId w:val="2"/>
  </w:num>
  <w:num w:numId="7" w16cid:durableId="435176575">
    <w:abstractNumId w:val="1"/>
  </w:num>
  <w:num w:numId="8" w16cid:durableId="1383865930">
    <w:abstractNumId w:val="0"/>
  </w:num>
  <w:num w:numId="9" w16cid:durableId="1729300396">
    <w:abstractNumId w:val="9"/>
  </w:num>
  <w:num w:numId="10" w16cid:durableId="932518664">
    <w:abstractNumId w:val="7"/>
  </w:num>
  <w:num w:numId="11" w16cid:durableId="1203320209">
    <w:abstractNumId w:val="6"/>
  </w:num>
  <w:num w:numId="12" w16cid:durableId="1394505563">
    <w:abstractNumId w:val="5"/>
  </w:num>
  <w:num w:numId="13" w16cid:durableId="240214213">
    <w:abstractNumId w:val="4"/>
  </w:num>
  <w:num w:numId="14" w16cid:durableId="789053805">
    <w:abstractNumId w:val="12"/>
  </w:num>
  <w:num w:numId="15" w16cid:durableId="815420130">
    <w:abstractNumId w:val="11"/>
  </w:num>
  <w:num w:numId="16" w16cid:durableId="142588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60"/>
    <w:rsid w:val="00017F94"/>
    <w:rsid w:val="000226FB"/>
    <w:rsid w:val="00023842"/>
    <w:rsid w:val="000305D3"/>
    <w:rsid w:val="000334F9"/>
    <w:rsid w:val="0007796D"/>
    <w:rsid w:val="000B7790"/>
    <w:rsid w:val="000D44D2"/>
    <w:rsid w:val="000F1386"/>
    <w:rsid w:val="000F15FB"/>
    <w:rsid w:val="00111F2F"/>
    <w:rsid w:val="00121046"/>
    <w:rsid w:val="00132EA9"/>
    <w:rsid w:val="0014365E"/>
    <w:rsid w:val="00167865"/>
    <w:rsid w:val="00176178"/>
    <w:rsid w:val="001F525A"/>
    <w:rsid w:val="00223272"/>
    <w:rsid w:val="0024779E"/>
    <w:rsid w:val="00283190"/>
    <w:rsid w:val="002832AC"/>
    <w:rsid w:val="002D7C93"/>
    <w:rsid w:val="0036386B"/>
    <w:rsid w:val="003B107D"/>
    <w:rsid w:val="003D3DA7"/>
    <w:rsid w:val="004049E1"/>
    <w:rsid w:val="00441C3B"/>
    <w:rsid w:val="00446FE5"/>
    <w:rsid w:val="00452396"/>
    <w:rsid w:val="00456FF3"/>
    <w:rsid w:val="004E468C"/>
    <w:rsid w:val="00503921"/>
    <w:rsid w:val="005505B7"/>
    <w:rsid w:val="00573BE5"/>
    <w:rsid w:val="00584DC4"/>
    <w:rsid w:val="00586ED3"/>
    <w:rsid w:val="00596AA9"/>
    <w:rsid w:val="00610B93"/>
    <w:rsid w:val="0068456F"/>
    <w:rsid w:val="006C1CA2"/>
    <w:rsid w:val="0071601D"/>
    <w:rsid w:val="00746C90"/>
    <w:rsid w:val="007513FE"/>
    <w:rsid w:val="00755D57"/>
    <w:rsid w:val="0079209A"/>
    <w:rsid w:val="007A62E6"/>
    <w:rsid w:val="0080684C"/>
    <w:rsid w:val="00807460"/>
    <w:rsid w:val="00871C75"/>
    <w:rsid w:val="008776DC"/>
    <w:rsid w:val="008B40CD"/>
    <w:rsid w:val="008D1004"/>
    <w:rsid w:val="009705C8"/>
    <w:rsid w:val="00971DE3"/>
    <w:rsid w:val="009744DF"/>
    <w:rsid w:val="009C1CF4"/>
    <w:rsid w:val="00A30353"/>
    <w:rsid w:val="00AC3823"/>
    <w:rsid w:val="00AE323C"/>
    <w:rsid w:val="00AF1C85"/>
    <w:rsid w:val="00B00181"/>
    <w:rsid w:val="00B00B0D"/>
    <w:rsid w:val="00B765F7"/>
    <w:rsid w:val="00BA0CA9"/>
    <w:rsid w:val="00BA1535"/>
    <w:rsid w:val="00BC2A54"/>
    <w:rsid w:val="00C02897"/>
    <w:rsid w:val="00C967DD"/>
    <w:rsid w:val="00C96CEE"/>
    <w:rsid w:val="00CE7790"/>
    <w:rsid w:val="00CF2AF8"/>
    <w:rsid w:val="00D3439C"/>
    <w:rsid w:val="00D4128F"/>
    <w:rsid w:val="00DB1831"/>
    <w:rsid w:val="00DD3BFD"/>
    <w:rsid w:val="00DF6678"/>
    <w:rsid w:val="00E7490E"/>
    <w:rsid w:val="00EF2E22"/>
    <w:rsid w:val="00F01738"/>
    <w:rsid w:val="00F07700"/>
    <w:rsid w:val="00F660DF"/>
    <w:rsid w:val="00F730C8"/>
    <w:rsid w:val="00F95C08"/>
    <w:rsid w:val="00FA6D3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4DD2"/>
  <w15:docId w15:val="{EEEC7DB2-A989-44D0-B87F-F0E737A0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F3"/>
  </w:style>
  <w:style w:type="paragraph" w:styleId="Heading1">
    <w:name w:val="heading 1"/>
    <w:aliases w:val="Table_G"/>
    <w:basedOn w:val="SingleTxtG"/>
    <w:next w:val="SingleTxtG"/>
    <w:link w:val="Heading1Char"/>
    <w:qFormat/>
    <w:rsid w:val="00584DC4"/>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584DC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584DC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584DC4"/>
    <w:pPr>
      <w:spacing w:line="240" w:lineRule="auto"/>
    </w:pPr>
    <w:rPr>
      <w:sz w:val="16"/>
    </w:rPr>
  </w:style>
  <w:style w:type="character" w:customStyle="1" w:styleId="FooterChar">
    <w:name w:val="Footer Char"/>
    <w:aliases w:val="3_G Char"/>
    <w:basedOn w:val="DefaultParagraphFont"/>
    <w:link w:val="Footer"/>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FootnoteReference">
    <w:name w:val="footnote reference"/>
    <w:aliases w:val="4_G,Footnote Reference/"/>
    <w:basedOn w:val="DefaultParagraphFont"/>
    <w:qFormat/>
    <w:rsid w:val="00584DC4"/>
    <w:rPr>
      <w:rFonts w:ascii="Times New Roman" w:hAnsi="Times New Roman"/>
      <w:sz w:val="18"/>
      <w:vertAlign w:val="superscript"/>
      <w:lang w:val="fr-CH"/>
    </w:rPr>
  </w:style>
  <w:style w:type="character" w:styleId="EndnoteReference">
    <w:name w:val="endnote reference"/>
    <w:aliases w:val="1_G"/>
    <w:basedOn w:val="FootnoteReference"/>
    <w:qFormat/>
    <w:rsid w:val="00584DC4"/>
    <w:rPr>
      <w:rFonts w:ascii="Times New Roman" w:hAnsi="Times New Roman"/>
      <w:sz w:val="18"/>
      <w:vertAlign w:val="superscript"/>
      <w:lang w:val="fr-CH"/>
    </w:rPr>
  </w:style>
  <w:style w:type="table" w:styleId="TableGrid">
    <w:name w:val="Table Grid"/>
    <w:basedOn w:val="TableNormal"/>
    <w:rsid w:val="00584DC4"/>
    <w:pPr>
      <w:suppressAutoHyphens/>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584DC4"/>
    <w:rPr>
      <w:color w:val="0000FF"/>
      <w:u w:val="none"/>
    </w:rPr>
  </w:style>
  <w:style w:type="character" w:styleId="FollowedHyperlink">
    <w:name w:val="FollowedHyperlink"/>
    <w:basedOn w:val="DefaultParagraphFont"/>
    <w:unhideWhenUsed/>
    <w:rsid w:val="00584DC4"/>
    <w:rPr>
      <w:color w:val="0000FF"/>
      <w:u w:val="none"/>
    </w:rPr>
  </w:style>
  <w:style w:type="paragraph" w:styleId="FootnoteText">
    <w:name w:val="footnote text"/>
    <w:aliases w:val="5_G"/>
    <w:basedOn w:val="Normal"/>
    <w:link w:val="FootnoteTextChar"/>
    <w:qFormat/>
    <w:rsid w:val="00584DC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84DC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584DC4"/>
  </w:style>
  <w:style w:type="character" w:customStyle="1" w:styleId="EndnoteTextChar">
    <w:name w:val="Endnote Text Char"/>
    <w:aliases w:val="2_G Char"/>
    <w:basedOn w:val="DefaultParagraphFont"/>
    <w:link w:val="EndnoteText"/>
    <w:rsid w:val="00584DC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584DC4"/>
    <w:rPr>
      <w:rFonts w:ascii="Times New Roman" w:hAnsi="Times New Roman"/>
      <w:b/>
      <w:sz w:val="18"/>
      <w:lang w:val="fr-CH"/>
    </w:rPr>
  </w:style>
  <w:style w:type="character" w:customStyle="1" w:styleId="Heading1Char">
    <w:name w:val="Heading 1 Char"/>
    <w:aliases w:val="Table_G Char"/>
    <w:basedOn w:val="DefaultParagraphFont"/>
    <w:link w:val="Heading1"/>
    <w:rsid w:val="00584DC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ruag.ch/en/autonomy-and-sustainability" TargetMode="External"/><Relationship Id="rId1" Type="http://schemas.openxmlformats.org/officeDocument/2006/relationships/hyperlink" Target="https://www.hnea.ch/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22F9-C156-4A8C-BF16-7B0C769FAD58}"/>
</file>

<file path=customXml/itemProps2.xml><?xml version="1.0" encoding="utf-8"?>
<ds:datastoreItem xmlns:ds="http://schemas.openxmlformats.org/officeDocument/2006/customXml" ds:itemID="{F97CFC0A-AD73-4249-8BA2-6563CF96A8BC}">
  <ds:schemaRefs>
    <ds:schemaRef ds:uri="http://schemas.microsoft.com/sharepoint/v3/contenttype/forms"/>
  </ds:schemaRefs>
</ds:datastoreItem>
</file>

<file path=customXml/itemProps3.xml><?xml version="1.0" encoding="utf-8"?>
<ds:datastoreItem xmlns:ds="http://schemas.openxmlformats.org/officeDocument/2006/customXml" ds:itemID="{B4094D0C-BAE8-409B-8569-1E606FE5DF4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CFFADE9-2AEC-4624-85DE-CAAFC6EA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SGAC10_F.dotm</Template>
  <TotalTime>0</TotalTime>
  <Pages>3</Pages>
  <Words>1001</Words>
  <Characters>5508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ST/SG/AC.10/C.3/2024/112</dc:title>
  <dc:subject/>
  <dc:creator>Rosa Garcia-Couto</dc:creator>
  <cp:keywords/>
  <cp:lastModifiedBy>Alicia Dorca Garcia</cp:lastModifiedBy>
  <cp:revision>3</cp:revision>
  <cp:lastPrinted>2014-05-14T10:59:00Z</cp:lastPrinted>
  <dcterms:created xsi:type="dcterms:W3CDTF">2024-09-17T11:44:00Z</dcterms:created>
  <dcterms:modified xsi:type="dcterms:W3CDTF">2024-09-18T10:10:00Z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