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DB491F6" w14:textId="77777777" w:rsidTr="006476E1">
        <w:trPr>
          <w:trHeight w:val="851"/>
        </w:trPr>
        <w:tc>
          <w:tcPr>
            <w:tcW w:w="1259" w:type="dxa"/>
            <w:tcBorders>
              <w:top w:val="nil"/>
              <w:left w:val="nil"/>
              <w:bottom w:val="single" w:sz="4" w:space="0" w:color="auto"/>
              <w:right w:val="nil"/>
            </w:tcBorders>
          </w:tcPr>
          <w:p w14:paraId="3548AE32" w14:textId="77777777" w:rsidR="00E52109" w:rsidRPr="002A32CB" w:rsidRDefault="00E52109" w:rsidP="004858F5"/>
        </w:tc>
        <w:tc>
          <w:tcPr>
            <w:tcW w:w="2236" w:type="dxa"/>
            <w:tcBorders>
              <w:top w:val="nil"/>
              <w:left w:val="nil"/>
              <w:bottom w:val="single" w:sz="4" w:space="0" w:color="auto"/>
              <w:right w:val="nil"/>
            </w:tcBorders>
            <w:vAlign w:val="bottom"/>
          </w:tcPr>
          <w:p w14:paraId="404F913A"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47832879" w14:textId="7B074B71" w:rsidR="00E52109" w:rsidRDefault="005E0A11" w:rsidP="005E0A11">
            <w:pPr>
              <w:jc w:val="right"/>
            </w:pPr>
            <w:r w:rsidRPr="005E0A11">
              <w:rPr>
                <w:sz w:val="40"/>
              </w:rPr>
              <w:t>ST</w:t>
            </w:r>
            <w:r>
              <w:t>/SG/AC.10/C.3/2024/104</w:t>
            </w:r>
          </w:p>
        </w:tc>
      </w:tr>
      <w:tr w:rsidR="00E52109" w14:paraId="55F9FCFC" w14:textId="77777777" w:rsidTr="006476E1">
        <w:trPr>
          <w:trHeight w:val="2835"/>
        </w:trPr>
        <w:tc>
          <w:tcPr>
            <w:tcW w:w="1259" w:type="dxa"/>
            <w:tcBorders>
              <w:top w:val="single" w:sz="4" w:space="0" w:color="auto"/>
              <w:left w:val="nil"/>
              <w:bottom w:val="single" w:sz="12" w:space="0" w:color="auto"/>
              <w:right w:val="nil"/>
            </w:tcBorders>
          </w:tcPr>
          <w:p w14:paraId="63504256" w14:textId="77777777" w:rsidR="00E52109" w:rsidRDefault="00E52109" w:rsidP="006476E1">
            <w:pPr>
              <w:spacing w:before="120"/>
              <w:jc w:val="center"/>
            </w:pPr>
            <w:r>
              <w:rPr>
                <w:noProof/>
                <w:lang w:val="fr-CH" w:eastAsia="fr-CH"/>
              </w:rPr>
              <w:drawing>
                <wp:inline distT="0" distB="0" distL="0" distR="0" wp14:anchorId="14D7845D" wp14:editId="2AFD9BC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90DD162"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0B418A42" w14:textId="77777777" w:rsidR="00D94B05" w:rsidRDefault="005E0A11" w:rsidP="005E0A11">
            <w:pPr>
              <w:spacing w:before="240" w:line="240" w:lineRule="exact"/>
            </w:pPr>
            <w:r>
              <w:t>Distr.: General</w:t>
            </w:r>
          </w:p>
          <w:p w14:paraId="53A52FF2" w14:textId="77777777" w:rsidR="005E0A11" w:rsidRDefault="005E0A11" w:rsidP="005E0A11">
            <w:pPr>
              <w:spacing w:line="240" w:lineRule="exact"/>
            </w:pPr>
            <w:r>
              <w:t>13 September 2024</w:t>
            </w:r>
          </w:p>
          <w:p w14:paraId="7A3DD08E" w14:textId="77777777" w:rsidR="005E0A11" w:rsidRDefault="005E0A11" w:rsidP="005E0A11">
            <w:pPr>
              <w:spacing w:line="240" w:lineRule="exact"/>
            </w:pPr>
          </w:p>
          <w:p w14:paraId="422664E8" w14:textId="3076CCB4" w:rsidR="005E0A11" w:rsidRDefault="005E0A11" w:rsidP="005E0A11">
            <w:pPr>
              <w:spacing w:line="240" w:lineRule="exact"/>
            </w:pPr>
            <w:r>
              <w:t>Original: English</w:t>
            </w:r>
          </w:p>
        </w:tc>
      </w:tr>
    </w:tbl>
    <w:p w14:paraId="478D9BDC" w14:textId="77777777" w:rsidR="00440A94" w:rsidRPr="006500BA" w:rsidRDefault="00440A94" w:rsidP="00440A94">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1EA11DD8" w14:textId="77777777" w:rsidR="00440A94" w:rsidRPr="006500BA" w:rsidRDefault="00440A94" w:rsidP="00440A94">
      <w:pPr>
        <w:spacing w:before="120"/>
        <w:rPr>
          <w:rFonts w:ascii="Helv" w:hAnsi="Helv" w:cs="Helv"/>
          <w:b/>
          <w:color w:val="000000"/>
        </w:rPr>
      </w:pPr>
      <w:r w:rsidRPr="006500BA">
        <w:rPr>
          <w:b/>
        </w:rPr>
        <w:t xml:space="preserve">Sub-Committee of Experts on the </w:t>
      </w:r>
      <w:r>
        <w:rPr>
          <w:b/>
        </w:rPr>
        <w:t>Transport of Dangerous Goods</w:t>
      </w:r>
    </w:p>
    <w:p w14:paraId="26029B05" w14:textId="77777777" w:rsidR="00440A94" w:rsidRPr="006500BA" w:rsidRDefault="00440A94" w:rsidP="00440A94">
      <w:pPr>
        <w:spacing w:before="120"/>
        <w:rPr>
          <w:b/>
        </w:rPr>
      </w:pPr>
      <w:r>
        <w:rPr>
          <w:b/>
        </w:rPr>
        <w:t xml:space="preserve">Sixty-fifth </w:t>
      </w:r>
      <w:r w:rsidRPr="006500BA">
        <w:rPr>
          <w:b/>
        </w:rPr>
        <w:t>session</w:t>
      </w:r>
    </w:p>
    <w:p w14:paraId="4D01E775" w14:textId="77777777" w:rsidR="00440A94" w:rsidRPr="006500BA" w:rsidRDefault="00440A94" w:rsidP="00440A94">
      <w:r w:rsidRPr="006500BA">
        <w:t xml:space="preserve">Geneva, </w:t>
      </w:r>
      <w:r>
        <w:t>25 November-3 December 2024</w:t>
      </w:r>
    </w:p>
    <w:p w14:paraId="5D1948C5" w14:textId="77777777" w:rsidR="00440A94" w:rsidRPr="006500BA" w:rsidRDefault="00440A94" w:rsidP="00440A94">
      <w:r w:rsidRPr="006500BA">
        <w:t xml:space="preserve">Item </w:t>
      </w:r>
      <w:r>
        <w:t>6 (c)</w:t>
      </w:r>
      <w:r w:rsidRPr="006500BA">
        <w:t xml:space="preserve"> of the provisional agenda</w:t>
      </w:r>
    </w:p>
    <w:p w14:paraId="2E09A288" w14:textId="77777777" w:rsidR="00440A94" w:rsidRPr="009A6440" w:rsidRDefault="00440A94" w:rsidP="00440A94">
      <w:pPr>
        <w:rPr>
          <w:b/>
          <w:bCs/>
        </w:rPr>
      </w:pPr>
      <w:r w:rsidRPr="009A6440">
        <w:rPr>
          <w:b/>
          <w:bCs/>
        </w:rPr>
        <w:t>Miscellaneous proposals for amendments to the Model Regulations</w:t>
      </w:r>
    </w:p>
    <w:p w14:paraId="42AD03A3" w14:textId="77777777" w:rsidR="00440A94" w:rsidRDefault="00440A94" w:rsidP="00440A94">
      <w:pPr>
        <w:rPr>
          <w:b/>
          <w:bCs/>
        </w:rPr>
      </w:pPr>
      <w:r w:rsidRPr="009A6440">
        <w:rPr>
          <w:b/>
          <w:bCs/>
        </w:rPr>
        <w:t>on the Transport of Dangerous Goods:</w:t>
      </w:r>
      <w:r w:rsidRPr="00AA1A3E">
        <w:rPr>
          <w:b/>
          <w:bCs/>
        </w:rPr>
        <w:br/>
      </w:r>
      <w:r>
        <w:rPr>
          <w:b/>
          <w:bCs/>
        </w:rPr>
        <w:t>portable tanks</w:t>
      </w:r>
    </w:p>
    <w:p w14:paraId="027161F4" w14:textId="4EB0E2A6" w:rsidR="00440A94" w:rsidRPr="00697878" w:rsidRDefault="00440A94" w:rsidP="00440A94">
      <w:pPr>
        <w:pStyle w:val="HChG"/>
      </w:pPr>
      <w:r>
        <w:tab/>
      </w:r>
      <w:r>
        <w:tab/>
        <w:t xml:space="preserve">Development of a new section </w:t>
      </w:r>
      <w:r w:rsidRPr="00697878">
        <w:t>6.9.</w:t>
      </w:r>
      <w:r w:rsidRPr="00697878">
        <w:rPr>
          <w:lang w:val="en-US"/>
        </w:rPr>
        <w:t>4</w:t>
      </w:r>
      <w:r w:rsidRPr="00697878">
        <w:t xml:space="preserve"> “Requirements for the design, construction, inspection and testing of portable </w:t>
      </w:r>
      <w:bookmarkStart w:id="0" w:name="_Hlk175043710"/>
      <w:r w:rsidRPr="00697878">
        <w:t xml:space="preserve">tanks with shells made of </w:t>
      </w:r>
      <w:bookmarkStart w:id="1" w:name="_Hlk175044487"/>
      <w:r w:rsidRPr="00697878">
        <w:t>fibre reinforced plastics</w:t>
      </w:r>
      <w:bookmarkEnd w:id="0"/>
      <w:r w:rsidRPr="00697878">
        <w:t xml:space="preserve"> </w:t>
      </w:r>
      <w:bookmarkEnd w:id="1"/>
      <w:r w:rsidRPr="00697878">
        <w:t xml:space="preserve">(FRP) materials intended for the transport of non-refrigerated liquefied </w:t>
      </w:r>
      <w:proofErr w:type="gramStart"/>
      <w:r w:rsidRPr="00697878">
        <w:t>gases”</w:t>
      </w:r>
      <w:proofErr w:type="gramEnd"/>
      <w:r>
        <w:t xml:space="preserve"> </w:t>
      </w:r>
    </w:p>
    <w:p w14:paraId="52C78A08" w14:textId="77777777" w:rsidR="00440A94" w:rsidRDefault="00440A94" w:rsidP="00440A94">
      <w:pPr>
        <w:pStyle w:val="H1G"/>
        <w:rPr>
          <w:lang w:val="en-US"/>
        </w:rPr>
      </w:pPr>
      <w:r>
        <w:rPr>
          <w:lang w:val="en-US"/>
        </w:rPr>
        <w:tab/>
      </w:r>
      <w:r>
        <w:rPr>
          <w:lang w:val="en-US"/>
        </w:rPr>
        <w:tab/>
      </w:r>
      <w:r w:rsidRPr="00697878">
        <w:rPr>
          <w:lang w:val="en-US"/>
        </w:rPr>
        <w:t xml:space="preserve">Submitted by the </w:t>
      </w:r>
      <w:r>
        <w:rPr>
          <w:lang w:val="en-US"/>
        </w:rPr>
        <w:t xml:space="preserve">expert from the </w:t>
      </w:r>
      <w:r w:rsidRPr="00697878">
        <w:rPr>
          <w:lang w:val="en-US"/>
        </w:rPr>
        <w:t>Russian Federation</w:t>
      </w:r>
      <w:r w:rsidRPr="00153D19">
        <w:rPr>
          <w:rStyle w:val="FootnoteReference"/>
          <w:sz w:val="20"/>
          <w:vertAlign w:val="baseline"/>
          <w:lang w:val="en-US"/>
        </w:rPr>
        <w:footnoteReference w:customMarkFollows="1" w:id="2"/>
        <w:t>*</w:t>
      </w:r>
    </w:p>
    <w:p w14:paraId="4C073E2F" w14:textId="77777777" w:rsidR="00440A94" w:rsidRPr="00D46C6A" w:rsidRDefault="00440A94" w:rsidP="00440A94">
      <w:pPr>
        <w:pStyle w:val="HChG"/>
        <w:rPr>
          <w:lang w:val="en-US"/>
        </w:rPr>
      </w:pPr>
      <w:r>
        <w:rPr>
          <w:lang w:val="en-US"/>
        </w:rPr>
        <w:tab/>
      </w:r>
      <w:r>
        <w:rPr>
          <w:lang w:val="en-US"/>
        </w:rPr>
        <w:tab/>
      </w:r>
      <w:r w:rsidRPr="00697878">
        <w:rPr>
          <w:lang w:val="en-US"/>
        </w:rPr>
        <w:t>Introduction</w:t>
      </w:r>
    </w:p>
    <w:p w14:paraId="4CE9636C" w14:textId="1D1327AE" w:rsidR="00440A94" w:rsidRPr="00405A7D" w:rsidRDefault="00440A94" w:rsidP="00440A94">
      <w:pPr>
        <w:pStyle w:val="SingleTxtG"/>
      </w:pPr>
      <w:r>
        <w:t>1.</w:t>
      </w:r>
      <w:r>
        <w:tab/>
        <w:t xml:space="preserve">The </w:t>
      </w:r>
      <w:r w:rsidRPr="00FF4313">
        <w:t xml:space="preserve">United Nations is the </w:t>
      </w:r>
      <w:r>
        <w:t>o</w:t>
      </w:r>
      <w:r w:rsidRPr="00FF4313">
        <w:t>rganization</w:t>
      </w:r>
      <w:r>
        <w:t xml:space="preserve"> </w:t>
      </w:r>
      <w:r w:rsidRPr="00FF4313">
        <w:t xml:space="preserve">dealing with values of peace, dialogue and international cooperation which underpin it. </w:t>
      </w:r>
      <w:r>
        <w:t>It has</w:t>
      </w:r>
      <w:r w:rsidRPr="00FF4313">
        <w:t xml:space="preserve"> mapped the road to sustainable </w:t>
      </w:r>
      <w:proofErr w:type="gramStart"/>
      <w:r w:rsidRPr="00FF4313">
        <w:t>development</w:t>
      </w:r>
      <w:proofErr w:type="gramEnd"/>
      <w:r>
        <w:t xml:space="preserve"> and </w:t>
      </w:r>
      <w:r w:rsidRPr="00FF4313">
        <w:t>it will be for all of us to ensure that the journey is successful and its gains irreversible.</w:t>
      </w:r>
      <w:r>
        <w:t xml:space="preserve"> </w:t>
      </w:r>
      <w:r w:rsidRPr="00405A7D">
        <w:t>The Russian Federation</w:t>
      </w:r>
      <w:r>
        <w:t xml:space="preserve"> as a United Nations active member</w:t>
      </w:r>
      <w:r w:rsidRPr="00405A7D">
        <w:t xml:space="preserve"> supports </w:t>
      </w:r>
      <w:r>
        <w:t>its</w:t>
      </w:r>
      <w:r w:rsidRPr="00405A7D">
        <w:t xml:space="preserve"> goals</w:t>
      </w:r>
      <w:r>
        <w:t>, specially,</w:t>
      </w:r>
      <w:r w:rsidRPr="00405A7D">
        <w:t xml:space="preserve"> within the framework of the environmental agenda and the creation of regulatory conditions for the development of “green” technologies.</w:t>
      </w:r>
      <w:r>
        <w:t xml:space="preserve"> </w:t>
      </w:r>
    </w:p>
    <w:p w14:paraId="3097F19D" w14:textId="4F6C4572" w:rsidR="00440A94" w:rsidRPr="00405A7D" w:rsidRDefault="00440A94" w:rsidP="00440A94">
      <w:pPr>
        <w:pStyle w:val="SingleTxtG"/>
      </w:pPr>
      <w:r>
        <w:t>2.</w:t>
      </w:r>
      <w:r>
        <w:tab/>
        <w:t xml:space="preserve">Sustainable </w:t>
      </w:r>
      <w:proofErr w:type="gramStart"/>
      <w:r>
        <w:t xml:space="preserve">Development </w:t>
      </w:r>
      <w:r w:rsidRPr="00405A7D">
        <w:t xml:space="preserve"> Goal</w:t>
      </w:r>
      <w:proofErr w:type="gramEnd"/>
      <w:r w:rsidRPr="00405A7D">
        <w:t xml:space="preserve"> 13: “Take urgent action to combat climate change and its impacts” requests,</w:t>
      </w:r>
      <w:r w:rsidRPr="006B456C">
        <w:rPr>
          <w:i/>
        </w:rPr>
        <w:t xml:space="preserve"> inter alia</w:t>
      </w:r>
      <w:r w:rsidRPr="00405A7D">
        <w:t xml:space="preserve">, preventing the rise of greenhouse gas emissions, which could be effectively achieved by decreasing emissions during the production of goods, improving </w:t>
      </w:r>
      <w:r>
        <w:t>transport</w:t>
      </w:r>
      <w:r w:rsidRPr="00405A7D">
        <w:t xml:space="preserve"> efficiency, and </w:t>
      </w:r>
      <w:bookmarkStart w:id="2" w:name="_Hlk175043589"/>
      <w:r w:rsidRPr="00405A7D">
        <w:t>utilizing low-emission fuels (e.g., natural gas)</w:t>
      </w:r>
      <w:bookmarkEnd w:id="2"/>
      <w:r w:rsidRPr="00405A7D">
        <w:t>.</w:t>
      </w:r>
      <w:r>
        <w:t xml:space="preserve"> </w:t>
      </w:r>
    </w:p>
    <w:p w14:paraId="501CE389" w14:textId="77777777" w:rsidR="00440A94" w:rsidRPr="00405A7D" w:rsidRDefault="00440A94" w:rsidP="00440A94">
      <w:pPr>
        <w:pStyle w:val="SingleTxtG"/>
      </w:pPr>
      <w:proofErr w:type="gramStart"/>
      <w:r>
        <w:t>3.</w:t>
      </w:r>
      <w:r>
        <w:tab/>
      </w:r>
      <w:r w:rsidRPr="00405A7D">
        <w:t>In particular, the</w:t>
      </w:r>
      <w:proofErr w:type="gramEnd"/>
      <w:r w:rsidRPr="00405A7D">
        <w:t xml:space="preserve"> introduction of </w:t>
      </w:r>
      <w:r w:rsidRPr="00697878">
        <w:t xml:space="preserve">fibre reinforced plastics </w:t>
      </w:r>
      <w:r>
        <w:t>(</w:t>
      </w:r>
      <w:r w:rsidRPr="00405A7D">
        <w:t>FRP</w:t>
      </w:r>
      <w:r>
        <w:t xml:space="preserve">) </w:t>
      </w:r>
      <w:r w:rsidRPr="00405A7D">
        <w:t xml:space="preserve">makes it possible to significantly reduce the carbon footprint at the production and operation stages compared to </w:t>
      </w:r>
      <w:r w:rsidRPr="00F54D28">
        <w:t>traditional</w:t>
      </w:r>
      <w:r w:rsidRPr="00405A7D">
        <w:t xml:space="preserve"> metal engineering solutions. The efforts of scientists and industry to improve reliable engineering solutions and materials technologies aim to achieve these goals.</w:t>
      </w:r>
      <w:r>
        <w:t xml:space="preserve"> </w:t>
      </w:r>
    </w:p>
    <w:p w14:paraId="7F51CDE4" w14:textId="07B113BE" w:rsidR="00440A94" w:rsidRPr="00405A7D" w:rsidRDefault="00440A94" w:rsidP="00440A94">
      <w:pPr>
        <w:pStyle w:val="SingleTxtG"/>
      </w:pPr>
      <w:r>
        <w:t>4.</w:t>
      </w:r>
      <w:r>
        <w:tab/>
        <w:t xml:space="preserve">Sustainable Development </w:t>
      </w:r>
      <w:r w:rsidRPr="00405A7D">
        <w:t xml:space="preserve">Goal 7: “Ensure access to affordable, reliable, sustainable, and modern energy” calls, </w:t>
      </w:r>
      <w:r w:rsidRPr="00F54D28">
        <w:rPr>
          <w:i/>
        </w:rPr>
        <w:t>inter alia</w:t>
      </w:r>
      <w:r w:rsidRPr="00405A7D">
        <w:t xml:space="preserve">, for a decrease in the percentage of polluting fuels and technologies, even in households, so that low-emission fuels can replace </w:t>
      </w:r>
      <w:r w:rsidRPr="00F54D28">
        <w:t>traditional</w:t>
      </w:r>
      <w:r w:rsidRPr="00405A7D">
        <w:t xml:space="preserve"> fuels.</w:t>
      </w:r>
      <w:r>
        <w:t xml:space="preserve"> </w:t>
      </w:r>
    </w:p>
    <w:p w14:paraId="00549CD7" w14:textId="2F4F04AA" w:rsidR="00440A94" w:rsidRPr="00405A7D" w:rsidRDefault="00440A94" w:rsidP="00440A94">
      <w:pPr>
        <w:pStyle w:val="SingleTxtG"/>
      </w:pPr>
      <w:r>
        <w:lastRenderedPageBreak/>
        <w:t>5.</w:t>
      </w:r>
      <w:r>
        <w:tab/>
      </w:r>
      <w:r w:rsidRPr="00405A7D">
        <w:t xml:space="preserve">The Russian Federation believes that at </w:t>
      </w:r>
      <w:r>
        <w:t>present</w:t>
      </w:r>
      <w:r w:rsidRPr="00405A7D">
        <w:t xml:space="preserve"> we have a brilliant opportunity to </w:t>
      </w:r>
      <w:r>
        <w:t xml:space="preserve">unite efforts for achieving the above goals - </w:t>
      </w:r>
      <w:r w:rsidRPr="00681BAB">
        <w:t>utilizing low-emission fuels (natural gas)</w:t>
      </w:r>
      <w:r>
        <w:t xml:space="preserve"> and </w:t>
      </w:r>
      <w:r w:rsidRPr="009910F1">
        <w:t xml:space="preserve">increasing its availability by delivering it to consumers in tanks with shells made of </w:t>
      </w:r>
      <w:r>
        <w:t>FRP</w:t>
      </w:r>
      <w:r w:rsidRPr="009910F1">
        <w:t>. These materials are safe, reliable, leave a lower carbon footprint during manufacture and are already affordable for mass production</w:t>
      </w:r>
      <w:r w:rsidRPr="00405A7D">
        <w:t>.</w:t>
      </w:r>
      <w:r>
        <w:t xml:space="preserve"> </w:t>
      </w:r>
    </w:p>
    <w:p w14:paraId="4911A511" w14:textId="0572C0C8" w:rsidR="00440A94" w:rsidRPr="00405A7D" w:rsidRDefault="00440A94" w:rsidP="00440A94">
      <w:pPr>
        <w:pStyle w:val="SingleTxtG"/>
      </w:pPr>
      <w:r>
        <w:t>6.</w:t>
      </w:r>
      <w:r>
        <w:tab/>
      </w:r>
      <w:r w:rsidRPr="00405A7D">
        <w:t xml:space="preserve">The Russian Federation also believes that one of the </w:t>
      </w:r>
      <w:r>
        <w:t>United Nations’</w:t>
      </w:r>
      <w:r w:rsidRPr="00405A7D">
        <w:t xml:space="preserve"> roles is to lead and promote new technologies aimed at the welfare of Earth's inhabitants; thus, maintaining progress in the composite industry is important and urgent from this point of view.</w:t>
      </w:r>
      <w:r>
        <w:t xml:space="preserve"> </w:t>
      </w:r>
    </w:p>
    <w:p w14:paraId="44F66986" w14:textId="20552724" w:rsidR="00440A94" w:rsidRDefault="00440A94" w:rsidP="00440A94">
      <w:pPr>
        <w:pStyle w:val="SingleTxtG"/>
      </w:pPr>
      <w:r>
        <w:t>7.</w:t>
      </w:r>
      <w:r>
        <w:tab/>
      </w:r>
      <w:r w:rsidRPr="00405A7D">
        <w:t>The Russian Federation is thankful to the Sub</w:t>
      </w:r>
      <w:r>
        <w:t>-C</w:t>
      </w:r>
      <w:r w:rsidRPr="00405A7D">
        <w:t xml:space="preserve">ommittee for the effective performance of coordination and regulatory functions and the creation of truly global regulatory documents, the application of which worldwide significantly improves the safety and efficiency of transport. We are confident that the </w:t>
      </w:r>
      <w:r w:rsidRPr="00153D19">
        <w:rPr>
          <w:i/>
          <w:iCs/>
        </w:rPr>
        <w:t>Model Regulations</w:t>
      </w:r>
      <w:r w:rsidRPr="00405A7D">
        <w:t xml:space="preserve"> and normative documents should fully regulate their application.</w:t>
      </w:r>
    </w:p>
    <w:p w14:paraId="3C3B1491" w14:textId="56E32BE6" w:rsidR="00440A94" w:rsidRPr="006B456C" w:rsidRDefault="00440A94" w:rsidP="00440A94">
      <w:pPr>
        <w:pStyle w:val="SingleTxtG"/>
        <w:rPr>
          <w:lang w:val="en-US"/>
        </w:rPr>
      </w:pPr>
      <w:r>
        <w:rPr>
          <w:lang w:val="en-US"/>
        </w:rPr>
        <w:t>8.</w:t>
      </w:r>
      <w:r>
        <w:rPr>
          <w:lang w:val="en-US"/>
        </w:rPr>
        <w:tab/>
      </w:r>
      <w:r w:rsidRPr="006B456C">
        <w:rPr>
          <w:lang w:val="en-US"/>
        </w:rPr>
        <w:t>However, we kindly request the attention of the Sub</w:t>
      </w:r>
      <w:r>
        <w:rPr>
          <w:lang w:val="en-US"/>
        </w:rPr>
        <w:t>-C</w:t>
      </w:r>
      <w:r w:rsidRPr="006B456C">
        <w:rPr>
          <w:lang w:val="en-US"/>
        </w:rPr>
        <w:t xml:space="preserve">ommittee that </w:t>
      </w:r>
      <w:r>
        <w:rPr>
          <w:lang w:val="en-US"/>
        </w:rPr>
        <w:t>c</w:t>
      </w:r>
      <w:r w:rsidRPr="006B456C">
        <w:rPr>
          <w:lang w:val="en-US"/>
        </w:rPr>
        <w:t xml:space="preserve">hapter 6.9 of the </w:t>
      </w:r>
      <w:r w:rsidRPr="00153D19">
        <w:rPr>
          <w:i/>
          <w:iCs/>
          <w:lang w:val="en-US"/>
        </w:rPr>
        <w:t>Model Regulations</w:t>
      </w:r>
      <w:r w:rsidRPr="006B456C">
        <w:rPr>
          <w:lang w:val="en-US"/>
        </w:rPr>
        <w:t xml:space="preserve"> does not currently cover all classes of hazardous substances; for example, there are no requirements or recommendations for the </w:t>
      </w:r>
      <w:r>
        <w:rPr>
          <w:lang w:val="en-US"/>
        </w:rPr>
        <w:t>transport</w:t>
      </w:r>
      <w:r w:rsidRPr="006B456C">
        <w:rPr>
          <w:lang w:val="en-US"/>
        </w:rPr>
        <w:t xml:space="preserve"> of Class 2 goods. One of these goods is natural gas (propane, methane), which has several significant environmental and practical advantages over petroleum fuels.</w:t>
      </w:r>
      <w:r>
        <w:rPr>
          <w:lang w:val="en-US"/>
        </w:rPr>
        <w:t xml:space="preserve"> </w:t>
      </w:r>
    </w:p>
    <w:p w14:paraId="4190E52E" w14:textId="2C0EE9DF" w:rsidR="00440A94" w:rsidRPr="006B456C" w:rsidRDefault="00440A94" w:rsidP="00440A94">
      <w:pPr>
        <w:pStyle w:val="SingleTxtG"/>
        <w:rPr>
          <w:lang w:val="en-US"/>
        </w:rPr>
      </w:pPr>
      <w:r>
        <w:rPr>
          <w:lang w:val="en-US"/>
        </w:rPr>
        <w:t>9.</w:t>
      </w:r>
      <w:r>
        <w:rPr>
          <w:lang w:val="en-US"/>
        </w:rPr>
        <w:tab/>
      </w:r>
      <w:r w:rsidRPr="006B456C">
        <w:rPr>
          <w:lang w:val="en-US"/>
        </w:rPr>
        <w:t xml:space="preserve">Currently, transport equipment made of </w:t>
      </w:r>
      <w:r>
        <w:rPr>
          <w:lang w:val="en-US"/>
        </w:rPr>
        <w:t>FRP</w:t>
      </w:r>
      <w:r w:rsidRPr="006B456C">
        <w:rPr>
          <w:lang w:val="en-US"/>
        </w:rPr>
        <w:t xml:space="preserve"> for </w:t>
      </w:r>
      <w:r>
        <w:rPr>
          <w:lang w:val="en-US"/>
        </w:rPr>
        <w:t>transport</w:t>
      </w:r>
      <w:r w:rsidRPr="006B456C">
        <w:rPr>
          <w:lang w:val="en-US"/>
        </w:rPr>
        <w:t xml:space="preserve"> and storage of Class 2 substances, primarily natural gas, is being developed and effectively operated in many countries, ranging from small balloons to giant tanks on marine gas carriers. Th</w:t>
      </w:r>
      <w:r>
        <w:rPr>
          <w:lang w:val="en-US"/>
        </w:rPr>
        <w:t>is</w:t>
      </w:r>
      <w:r w:rsidRPr="006B456C">
        <w:rPr>
          <w:lang w:val="en-US"/>
        </w:rPr>
        <w:t xml:space="preserve"> </w:t>
      </w:r>
      <w:r>
        <w:rPr>
          <w:lang w:val="en-US"/>
        </w:rPr>
        <w:t>transport</w:t>
      </w:r>
      <w:r w:rsidRPr="006B456C">
        <w:rPr>
          <w:lang w:val="en-US"/>
        </w:rPr>
        <w:t xml:space="preserve"> </w:t>
      </w:r>
      <w:r>
        <w:rPr>
          <w:lang w:val="en-US"/>
        </w:rPr>
        <w:t>is</w:t>
      </w:r>
      <w:r w:rsidRPr="006B456C">
        <w:rPr>
          <w:lang w:val="en-US"/>
        </w:rPr>
        <w:t xml:space="preserve"> regulated by national regulations and standards.</w:t>
      </w:r>
      <w:r>
        <w:rPr>
          <w:lang w:val="en-US"/>
        </w:rPr>
        <w:t xml:space="preserve"> </w:t>
      </w:r>
    </w:p>
    <w:p w14:paraId="6EB4DBC4" w14:textId="453676C3" w:rsidR="00440A94" w:rsidRPr="006B456C" w:rsidRDefault="00440A94" w:rsidP="00440A94">
      <w:pPr>
        <w:pStyle w:val="SingleTxtG"/>
        <w:rPr>
          <w:lang w:val="en-US"/>
        </w:rPr>
      </w:pPr>
      <w:r>
        <w:rPr>
          <w:lang w:val="en-US"/>
        </w:rPr>
        <w:t>10.</w:t>
      </w:r>
      <w:r>
        <w:rPr>
          <w:lang w:val="en-US"/>
        </w:rPr>
        <w:tab/>
      </w:r>
      <w:r w:rsidRPr="006B456C">
        <w:rPr>
          <w:lang w:val="en-US"/>
        </w:rPr>
        <w:t>Due to the expansion of international logistics</w:t>
      </w:r>
      <w:r>
        <w:rPr>
          <w:lang w:val="en-US"/>
        </w:rPr>
        <w:t>’</w:t>
      </w:r>
      <w:r w:rsidRPr="006B456C">
        <w:rPr>
          <w:lang w:val="en-US"/>
        </w:rPr>
        <w:t xml:space="preserve"> requests for the </w:t>
      </w:r>
      <w:r>
        <w:rPr>
          <w:lang w:val="en-US"/>
        </w:rPr>
        <w:t>transport</w:t>
      </w:r>
      <w:r w:rsidRPr="006B456C">
        <w:rPr>
          <w:lang w:val="en-US"/>
        </w:rPr>
        <w:t xml:space="preserve"> of Class</w:t>
      </w:r>
      <w:r>
        <w:rPr>
          <w:lang w:val="en-US"/>
        </w:rPr>
        <w:t> </w:t>
      </w:r>
      <w:r w:rsidRPr="006B456C">
        <w:rPr>
          <w:lang w:val="en-US"/>
        </w:rPr>
        <w:t xml:space="preserve">2 cargoes, primarily natural gas, the demand for portable tanks made of FRP standardized and approved for multimodal </w:t>
      </w:r>
      <w:r>
        <w:rPr>
          <w:lang w:val="en-US"/>
        </w:rPr>
        <w:t>transport</w:t>
      </w:r>
      <w:r w:rsidRPr="006B456C">
        <w:rPr>
          <w:lang w:val="en-US"/>
        </w:rPr>
        <w:t xml:space="preserve"> of liquefied uncooled and compressed gases is also growing.</w:t>
      </w:r>
      <w:r>
        <w:rPr>
          <w:lang w:val="en-US"/>
        </w:rPr>
        <w:t xml:space="preserve"> </w:t>
      </w:r>
    </w:p>
    <w:p w14:paraId="2B5FE80A" w14:textId="6AFFD9C1" w:rsidR="00440A94" w:rsidRPr="006B456C" w:rsidRDefault="00440A94" w:rsidP="00440A94">
      <w:pPr>
        <w:pStyle w:val="SingleTxtG"/>
        <w:rPr>
          <w:lang w:val="en-US"/>
        </w:rPr>
      </w:pPr>
      <w:r>
        <w:rPr>
          <w:lang w:val="en-US"/>
        </w:rPr>
        <w:t>11.</w:t>
      </w:r>
      <w:r>
        <w:rPr>
          <w:lang w:val="en-US"/>
        </w:rPr>
        <w:tab/>
      </w:r>
      <w:r w:rsidRPr="006B456C">
        <w:rPr>
          <w:lang w:val="en-US"/>
        </w:rPr>
        <w:t xml:space="preserve">Supporting the efforts of the </w:t>
      </w:r>
      <w:r>
        <w:rPr>
          <w:lang w:val="en-US"/>
        </w:rPr>
        <w:t>United Nations</w:t>
      </w:r>
      <w:r w:rsidRPr="006B456C">
        <w:rPr>
          <w:lang w:val="en-US"/>
        </w:rPr>
        <w:t xml:space="preserve"> in creating unified harmonized requirements for </w:t>
      </w:r>
      <w:r>
        <w:rPr>
          <w:lang w:val="en-US"/>
        </w:rPr>
        <w:t>transport</w:t>
      </w:r>
      <w:r w:rsidRPr="006B456C">
        <w:rPr>
          <w:lang w:val="en-US"/>
        </w:rPr>
        <w:t xml:space="preserve"> safety, the Russian Federation </w:t>
      </w:r>
      <w:r>
        <w:rPr>
          <w:lang w:val="en-US"/>
        </w:rPr>
        <w:t>concludes</w:t>
      </w:r>
      <w:r w:rsidRPr="006B456C">
        <w:rPr>
          <w:lang w:val="en-US"/>
        </w:rPr>
        <w:t xml:space="preserve"> that the use of portable tanks made of FRP for multimodal </w:t>
      </w:r>
      <w:r>
        <w:rPr>
          <w:lang w:val="en-US"/>
        </w:rPr>
        <w:t>transport</w:t>
      </w:r>
      <w:r w:rsidRPr="006B456C">
        <w:rPr>
          <w:lang w:val="en-US"/>
        </w:rPr>
        <w:t xml:space="preserve"> of Class 2 goods is not only safe but also effective in terms of operating costs and the “green” </w:t>
      </w:r>
      <w:proofErr w:type="gramStart"/>
      <w:r w:rsidRPr="006B456C">
        <w:rPr>
          <w:lang w:val="en-US"/>
        </w:rPr>
        <w:t>agenda</w:t>
      </w:r>
      <w:r w:rsidRPr="001A005C">
        <w:rPr>
          <w:lang w:val="en-US"/>
        </w:rPr>
        <w:t xml:space="preserve"> </w:t>
      </w:r>
      <w:r>
        <w:rPr>
          <w:lang w:val="en-US"/>
        </w:rPr>
        <w:t>as a whole</w:t>
      </w:r>
      <w:proofErr w:type="gramEnd"/>
      <w:r w:rsidRPr="006B456C">
        <w:rPr>
          <w:lang w:val="en-US"/>
        </w:rPr>
        <w:t>.</w:t>
      </w:r>
      <w:r>
        <w:rPr>
          <w:lang w:val="en-US"/>
        </w:rPr>
        <w:t xml:space="preserve"> </w:t>
      </w:r>
    </w:p>
    <w:p w14:paraId="19558899" w14:textId="77777777" w:rsidR="00440A94" w:rsidRDefault="00440A94" w:rsidP="00440A94">
      <w:pPr>
        <w:pStyle w:val="SingleTxtG"/>
        <w:rPr>
          <w:lang w:val="en-US"/>
        </w:rPr>
      </w:pPr>
      <w:r>
        <w:rPr>
          <w:lang w:val="en-US"/>
        </w:rPr>
        <w:t>12.</w:t>
      </w:r>
      <w:r>
        <w:rPr>
          <w:lang w:val="en-US"/>
        </w:rPr>
        <w:tab/>
      </w:r>
      <w:r w:rsidRPr="006B456C">
        <w:rPr>
          <w:lang w:val="en-US"/>
        </w:rPr>
        <w:t xml:space="preserve">In view of the above, the Russian Federation believes that now is the </w:t>
      </w:r>
      <w:r>
        <w:rPr>
          <w:lang w:val="en-US"/>
        </w:rPr>
        <w:t>appropriate</w:t>
      </w:r>
      <w:r w:rsidRPr="006B456C">
        <w:rPr>
          <w:lang w:val="en-US"/>
        </w:rPr>
        <w:t xml:space="preserve"> time to develop requirements for the design, manufacture, inspection, and testing of portable tanks made of FRP for the transport of Class 2 dangerous goods.</w:t>
      </w:r>
    </w:p>
    <w:p w14:paraId="01661B92" w14:textId="77777777" w:rsidR="00440A94" w:rsidRPr="00697878" w:rsidRDefault="00440A94" w:rsidP="00440A94">
      <w:pPr>
        <w:pStyle w:val="HChG"/>
        <w:rPr>
          <w:lang w:val="en-US"/>
        </w:rPr>
      </w:pPr>
      <w:r>
        <w:rPr>
          <w:lang w:val="en-US"/>
        </w:rPr>
        <w:tab/>
        <w:t>I.</w:t>
      </w:r>
      <w:r>
        <w:rPr>
          <w:lang w:val="en-US"/>
        </w:rPr>
        <w:tab/>
      </w:r>
      <w:r w:rsidRPr="00697878">
        <w:rPr>
          <w:lang w:val="en-US"/>
        </w:rPr>
        <w:t>Background</w:t>
      </w:r>
    </w:p>
    <w:p w14:paraId="453C562D" w14:textId="4829DFA4" w:rsidR="00440A94" w:rsidRPr="0051469C" w:rsidRDefault="00440A94" w:rsidP="00440A94">
      <w:pPr>
        <w:pStyle w:val="SingleTxtG"/>
      </w:pPr>
      <w:r w:rsidRPr="0051469C">
        <w:t>13.</w:t>
      </w:r>
      <w:r>
        <w:tab/>
      </w:r>
      <w:r w:rsidRPr="0051469C">
        <w:t xml:space="preserve">At </w:t>
      </w:r>
      <w:r>
        <w:t>fifty-fourth</w:t>
      </w:r>
      <w:r w:rsidRPr="0051469C">
        <w:t xml:space="preserve"> session </w:t>
      </w:r>
      <w:r>
        <w:t xml:space="preserve">in 2017 </w:t>
      </w:r>
      <w:r w:rsidRPr="0051469C">
        <w:t>(report ST/SG/AC.10/C.3/108), the Sub</w:t>
      </w:r>
      <w:r>
        <w:t>-C</w:t>
      </w:r>
      <w:r w:rsidRPr="0051469C">
        <w:t xml:space="preserve">ommittee considered, </w:t>
      </w:r>
      <w:r w:rsidRPr="00153D19">
        <w:rPr>
          <w:i/>
          <w:iCs/>
        </w:rPr>
        <w:t>inter alia</w:t>
      </w:r>
      <w:r w:rsidRPr="0051469C">
        <w:t>, the requests of the Australian Explosives Industry and Safety Group (</w:t>
      </w:r>
      <w:r>
        <w:t xml:space="preserve">AEISG) </w:t>
      </w:r>
      <w:r w:rsidRPr="0051469C">
        <w:t xml:space="preserve">(document ST/SG/AC.10/C.3/2018/99) and of the Russian Federation (document ST/SG/AC.10/C.3/2018/91) to expand the work to </w:t>
      </w:r>
      <w:r>
        <w:t xml:space="preserve">address transport </w:t>
      </w:r>
      <w:r w:rsidRPr="0051469C">
        <w:t>of uncooled liquefied gases in portable tanks made of FRP.</w:t>
      </w:r>
    </w:p>
    <w:p w14:paraId="36C2E7A6" w14:textId="6E67E187" w:rsidR="00440A94" w:rsidRPr="0051469C" w:rsidRDefault="00440A94" w:rsidP="00440A94">
      <w:pPr>
        <w:pStyle w:val="SingleTxtG"/>
      </w:pPr>
      <w:r w:rsidRPr="0051469C">
        <w:t>14.</w:t>
      </w:r>
      <w:r>
        <w:tab/>
        <w:t xml:space="preserve">At </w:t>
      </w:r>
      <w:r w:rsidRPr="0051469C">
        <w:t xml:space="preserve">the </w:t>
      </w:r>
      <w:r>
        <w:t>sixty-third</w:t>
      </w:r>
      <w:r w:rsidRPr="0051469C">
        <w:t xml:space="preserve"> session </w:t>
      </w:r>
      <w:r>
        <w:t xml:space="preserve">in </w:t>
      </w:r>
      <w:r w:rsidRPr="0051469C">
        <w:t>2023</w:t>
      </w:r>
      <w:r>
        <w:t xml:space="preserve"> (</w:t>
      </w:r>
      <w:r w:rsidRPr="0051469C">
        <w:t xml:space="preserve">report ST/SG/AC.10/C.3/126), some delegations supported further development of new provisions on portable tanks made of FRP for </w:t>
      </w:r>
      <w:r>
        <w:t xml:space="preserve">the transport </w:t>
      </w:r>
      <w:proofErr w:type="gramStart"/>
      <w:r>
        <w:t xml:space="preserve">of </w:t>
      </w:r>
      <w:r w:rsidRPr="0051469C">
        <w:t xml:space="preserve"> Class</w:t>
      </w:r>
      <w:proofErr w:type="gramEnd"/>
      <w:r w:rsidRPr="0051469C">
        <w:t xml:space="preserve"> 2 </w:t>
      </w:r>
      <w:r>
        <w:t xml:space="preserve">substances </w:t>
      </w:r>
      <w:r w:rsidRPr="0051469C">
        <w:t>and invited the Russian Federation to submit a proposal for the next session, taking into account the comments received.</w:t>
      </w:r>
    </w:p>
    <w:p w14:paraId="6E3D8E70" w14:textId="66537C1A" w:rsidR="00440A94" w:rsidRPr="0051469C" w:rsidRDefault="00440A94" w:rsidP="00440A94">
      <w:pPr>
        <w:pStyle w:val="SingleTxtG"/>
      </w:pPr>
      <w:r w:rsidRPr="0051469C">
        <w:t>15.</w:t>
      </w:r>
      <w:r>
        <w:tab/>
        <w:t>At its sixty-fourth session in July 2024, t</w:t>
      </w:r>
      <w:r w:rsidRPr="0051469C">
        <w:t>he Sub</w:t>
      </w:r>
      <w:r>
        <w:t>-C</w:t>
      </w:r>
      <w:r w:rsidRPr="0051469C">
        <w:t xml:space="preserve">ommittee took note </w:t>
      </w:r>
      <w:r>
        <w:t>of</w:t>
      </w:r>
      <w:r w:rsidRPr="0051469C">
        <w:t xml:space="preserve"> document ST/SG/AC.10/C.3/2024/19 (Proposal for Sub-chapter 6.9.4 “Requirements for the design, construction, inspection and testing of portable tanks with shells made of FRP materials intended for the transport of non-refrigerated liquefied gases”), where some delegations expressed their support, and some other delegations preferred to obtain more information about relations between FRP and gases. </w:t>
      </w:r>
      <w:bookmarkStart w:id="3" w:name="_Hlk174616565"/>
      <w:r w:rsidRPr="0051469C">
        <w:t>So the Sub</w:t>
      </w:r>
      <w:r>
        <w:t>-C</w:t>
      </w:r>
      <w:r w:rsidRPr="0051469C">
        <w:t xml:space="preserve">ommittee invited the Russian Federation, together with any volunteers, to submit </w:t>
      </w:r>
      <w:r>
        <w:t xml:space="preserve">an official </w:t>
      </w:r>
      <w:r w:rsidRPr="0051469C">
        <w:t>document at the next session</w:t>
      </w:r>
      <w:r>
        <w:t xml:space="preserve">, considering that </w:t>
      </w:r>
      <w:proofErr w:type="gramStart"/>
      <w:r>
        <w:t xml:space="preserve">an </w:t>
      </w:r>
      <w:r w:rsidRPr="0051469C">
        <w:t xml:space="preserve"> </w:t>
      </w:r>
      <w:r>
        <w:t>official</w:t>
      </w:r>
      <w:proofErr w:type="gramEnd"/>
      <w:r>
        <w:t xml:space="preserve"> </w:t>
      </w:r>
      <w:r w:rsidRPr="0051469C">
        <w:t xml:space="preserve">document </w:t>
      </w:r>
      <w:r>
        <w:t xml:space="preserve">would </w:t>
      </w:r>
      <w:r w:rsidRPr="0051469C">
        <w:t>allow all experts to analy</w:t>
      </w:r>
      <w:r>
        <w:t>s</w:t>
      </w:r>
      <w:r w:rsidRPr="0051469C">
        <w:t>e its content and form their positions in advance to make the discussion more intensive and fruitful.</w:t>
      </w:r>
    </w:p>
    <w:p w14:paraId="4A8E554C" w14:textId="77777777" w:rsidR="00440A94" w:rsidRPr="00603C73" w:rsidRDefault="00440A94" w:rsidP="00440A94">
      <w:pPr>
        <w:pStyle w:val="HChG"/>
        <w:rPr>
          <w:rFonts w:ascii="Arial" w:hAnsi="Arial" w:cs="Arial"/>
          <w:lang w:val="en-US"/>
        </w:rPr>
      </w:pPr>
      <w:r>
        <w:rPr>
          <w:lang w:val="en-US"/>
        </w:rPr>
        <w:lastRenderedPageBreak/>
        <w:tab/>
        <w:t>II.</w:t>
      </w:r>
      <w:r>
        <w:rPr>
          <w:lang w:val="en-US"/>
        </w:rPr>
        <w:tab/>
        <w:t>C</w:t>
      </w:r>
      <w:r w:rsidRPr="003B4C27">
        <w:rPr>
          <w:lang w:val="en-US"/>
        </w:rPr>
        <w:t>ontent</w:t>
      </w:r>
    </w:p>
    <w:bookmarkEnd w:id="3"/>
    <w:p w14:paraId="516B3321" w14:textId="51B6C1D3" w:rsidR="00440A94" w:rsidRPr="0051469C" w:rsidRDefault="00440A94" w:rsidP="00440A94">
      <w:pPr>
        <w:pStyle w:val="SingleTxtG"/>
      </w:pPr>
      <w:r w:rsidRPr="0051469C">
        <w:t>16.</w:t>
      </w:r>
      <w:r>
        <w:tab/>
      </w:r>
      <w:proofErr w:type="gramStart"/>
      <w:r w:rsidRPr="0051469C">
        <w:t>In order to</w:t>
      </w:r>
      <w:proofErr w:type="gramEnd"/>
      <w:r w:rsidRPr="0051469C">
        <w:t xml:space="preserve"> dispel the expressed doubts, the Russian Federation would like to present more detailed data on the accumulated experience in the production and operation of transport equipment made of FRP for the </w:t>
      </w:r>
      <w:r>
        <w:t xml:space="preserve">transport </w:t>
      </w:r>
      <w:r w:rsidRPr="0051469C">
        <w:t>of Class 2 substances in various countries, as well as an overview of national and international requirements and standards in this field areas.</w:t>
      </w:r>
    </w:p>
    <w:p w14:paraId="18954FC2" w14:textId="3639A245" w:rsidR="00440A94" w:rsidRDefault="00440A94" w:rsidP="00440A94">
      <w:pPr>
        <w:pStyle w:val="SingleTxtG"/>
      </w:pPr>
      <w:r w:rsidRPr="00A46C66">
        <w:t>17.</w:t>
      </w:r>
      <w:r w:rsidRPr="00A46C66">
        <w:tab/>
        <w:t xml:space="preserve">Taking into account the established deadlines for submitting official documents, the Russian Federation, together with a group of international experts, will systematize and expand the obtained detailed data and provide a presentation at </w:t>
      </w:r>
      <w:proofErr w:type="gramStart"/>
      <w:r w:rsidRPr="00A46C66">
        <w:t>the  sixty</w:t>
      </w:r>
      <w:proofErr w:type="gramEnd"/>
      <w:r w:rsidRPr="00A46C66">
        <w:t>-fifth session of the Sub-Committee, based on the scientific-technical data presented in informal document INF.7 (an informal document will be submitted before the session).</w:t>
      </w:r>
    </w:p>
    <w:p w14:paraId="332185FE" w14:textId="77777777" w:rsidR="00440A94" w:rsidRPr="00DB2885" w:rsidRDefault="00440A94" w:rsidP="00440A94">
      <w:pPr>
        <w:pStyle w:val="HChG"/>
        <w:rPr>
          <w:lang w:val="en-US"/>
        </w:rPr>
      </w:pPr>
      <w:r>
        <w:rPr>
          <w:lang w:val="en-US"/>
        </w:rPr>
        <w:tab/>
        <w:t>III.</w:t>
      </w:r>
      <w:r>
        <w:rPr>
          <w:lang w:val="en-US"/>
        </w:rPr>
        <w:tab/>
      </w:r>
      <w:r w:rsidRPr="00C63F33">
        <w:rPr>
          <w:lang w:val="en-US"/>
        </w:rPr>
        <w:t>Actions requested</w:t>
      </w:r>
    </w:p>
    <w:p w14:paraId="281E23D0" w14:textId="625F6EE6" w:rsidR="00440A94" w:rsidRPr="004F33EB" w:rsidRDefault="00440A94" w:rsidP="00440A94">
      <w:pPr>
        <w:pStyle w:val="SingleTxtG"/>
        <w:rPr>
          <w:lang w:val="en-US"/>
        </w:rPr>
      </w:pPr>
      <w:r>
        <w:rPr>
          <w:lang w:val="en-US"/>
        </w:rPr>
        <w:t>18.</w:t>
      </w:r>
      <w:r>
        <w:rPr>
          <w:lang w:val="en-US"/>
        </w:rPr>
        <w:tab/>
      </w:r>
      <w:r w:rsidRPr="004F33EB">
        <w:rPr>
          <w:lang w:val="en-US"/>
        </w:rPr>
        <w:t xml:space="preserve">Considering the above, the Russian Federation would like to discuss further development of chapter 6.9 “Provisions for the design, construction, inspection and testing of portable tanks with shells made of </w:t>
      </w:r>
      <w:proofErr w:type="spellStart"/>
      <w:r w:rsidRPr="004F33EB">
        <w:rPr>
          <w:lang w:val="en-US"/>
        </w:rPr>
        <w:t>fibre</w:t>
      </w:r>
      <w:proofErr w:type="spellEnd"/>
      <w:r>
        <w:rPr>
          <w:lang w:val="en-US"/>
        </w:rPr>
        <w:t xml:space="preserve"> </w:t>
      </w:r>
      <w:r w:rsidRPr="004F33EB">
        <w:rPr>
          <w:lang w:val="en-US"/>
        </w:rPr>
        <w:t xml:space="preserve">reinforced plastics (FRP) materials intended for the </w:t>
      </w:r>
      <w:r>
        <w:rPr>
          <w:lang w:val="en-US"/>
        </w:rPr>
        <w:t>transport</w:t>
      </w:r>
      <w:r w:rsidRPr="004F33EB">
        <w:rPr>
          <w:lang w:val="en-US"/>
        </w:rPr>
        <w:t xml:space="preserve"> of substances of classes 3, 5.1, 6.1, 6.2, 8 and 9” </w:t>
      </w:r>
      <w:proofErr w:type="gramStart"/>
      <w:r w:rsidRPr="004F33EB">
        <w:rPr>
          <w:lang w:val="en-US"/>
        </w:rPr>
        <w:t>in order to</w:t>
      </w:r>
      <w:proofErr w:type="gramEnd"/>
      <w:r w:rsidRPr="004F33EB">
        <w:rPr>
          <w:lang w:val="en-US"/>
        </w:rPr>
        <w:t xml:space="preserve"> extend it to </w:t>
      </w:r>
      <w:r>
        <w:rPr>
          <w:lang w:val="en-US"/>
        </w:rPr>
        <w:t xml:space="preserve">address transport of </w:t>
      </w:r>
      <w:r w:rsidRPr="004F33EB">
        <w:rPr>
          <w:lang w:val="en-US"/>
        </w:rPr>
        <w:t>Class</w:t>
      </w:r>
      <w:r>
        <w:rPr>
          <w:lang w:val="en-US"/>
        </w:rPr>
        <w:t> </w:t>
      </w:r>
      <w:r w:rsidRPr="004F33EB">
        <w:rPr>
          <w:lang w:val="en-US"/>
        </w:rPr>
        <w:t xml:space="preserve">2 </w:t>
      </w:r>
      <w:r>
        <w:rPr>
          <w:lang w:val="en-US"/>
        </w:rPr>
        <w:t>substances</w:t>
      </w:r>
      <w:r w:rsidRPr="004F33EB">
        <w:rPr>
          <w:lang w:val="en-US"/>
        </w:rPr>
        <w:t>.</w:t>
      </w:r>
    </w:p>
    <w:p w14:paraId="2750A16E" w14:textId="77777777" w:rsidR="00440A94" w:rsidRPr="004F33EB" w:rsidRDefault="00440A94" w:rsidP="00440A94">
      <w:pPr>
        <w:pStyle w:val="SingleTxtG"/>
        <w:rPr>
          <w:lang w:val="en-US"/>
        </w:rPr>
      </w:pPr>
      <w:r>
        <w:rPr>
          <w:lang w:val="en-US"/>
        </w:rPr>
        <w:t>19.</w:t>
      </w:r>
      <w:r>
        <w:rPr>
          <w:lang w:val="en-US"/>
        </w:rPr>
        <w:tab/>
      </w:r>
      <w:r w:rsidRPr="004F33EB">
        <w:rPr>
          <w:lang w:val="en-US"/>
        </w:rPr>
        <w:t>The Russian Federation invites the Sub-Committee to:</w:t>
      </w:r>
    </w:p>
    <w:p w14:paraId="5B4DBBA5" w14:textId="58329C02" w:rsidR="00440A94" w:rsidRPr="004F33EB" w:rsidRDefault="00440A94" w:rsidP="00440A94">
      <w:pPr>
        <w:pStyle w:val="SingleTxtG"/>
        <w:rPr>
          <w:lang w:val="en-US"/>
        </w:rPr>
      </w:pPr>
      <w:r>
        <w:rPr>
          <w:lang w:val="en-US"/>
        </w:rPr>
        <w:tab/>
      </w:r>
      <w:r w:rsidRPr="004F33EB">
        <w:rPr>
          <w:lang w:val="en-US"/>
        </w:rPr>
        <w:t>(a)</w:t>
      </w:r>
      <w:r w:rsidRPr="004F33EB">
        <w:rPr>
          <w:lang w:val="en-US"/>
        </w:rPr>
        <w:tab/>
        <w:t xml:space="preserve">Consider the development of </w:t>
      </w:r>
      <w:r>
        <w:rPr>
          <w:lang w:val="en-US"/>
        </w:rPr>
        <w:t>a</w:t>
      </w:r>
      <w:r w:rsidRPr="004F33EB">
        <w:rPr>
          <w:lang w:val="en-US"/>
        </w:rPr>
        <w:t xml:space="preserve"> new </w:t>
      </w:r>
      <w:r>
        <w:rPr>
          <w:lang w:val="en-US"/>
        </w:rPr>
        <w:t xml:space="preserve">section </w:t>
      </w:r>
      <w:r w:rsidRPr="004F33EB">
        <w:rPr>
          <w:lang w:val="en-US"/>
        </w:rPr>
        <w:t xml:space="preserve">6.9.4 “Requirements for the design, construction, inspection and testing of portable tanks with shells made of </w:t>
      </w:r>
      <w:proofErr w:type="spellStart"/>
      <w:r w:rsidRPr="004F33EB">
        <w:rPr>
          <w:lang w:val="en-US"/>
        </w:rPr>
        <w:t>fibre</w:t>
      </w:r>
      <w:proofErr w:type="spellEnd"/>
      <w:r w:rsidRPr="004F33EB">
        <w:rPr>
          <w:lang w:val="en-US"/>
        </w:rPr>
        <w:t xml:space="preserve"> reinforced plastics (FRP) materials intended for the transport of non-refrigerated liquefied gases” as presented in </w:t>
      </w:r>
      <w:r>
        <w:rPr>
          <w:lang w:val="en-US"/>
        </w:rPr>
        <w:t xml:space="preserve">document </w:t>
      </w:r>
      <w:r w:rsidRPr="00603C73">
        <w:rPr>
          <w:lang w:val="en-US"/>
        </w:rPr>
        <w:t>ST/SG/AC.10/C.3/2024/19</w:t>
      </w:r>
      <w:r>
        <w:rPr>
          <w:lang w:val="en-US"/>
        </w:rPr>
        <w:t>,</w:t>
      </w:r>
      <w:r w:rsidRPr="008A2B05">
        <w:t xml:space="preserve"> </w:t>
      </w:r>
      <w:r>
        <w:t xml:space="preserve">and informal documents </w:t>
      </w:r>
      <w:r w:rsidRPr="008A2B05">
        <w:rPr>
          <w:lang w:val="en-US"/>
        </w:rPr>
        <w:t xml:space="preserve">INF.55 </w:t>
      </w:r>
      <w:r>
        <w:rPr>
          <w:lang w:val="en-US"/>
        </w:rPr>
        <w:t>and</w:t>
      </w:r>
      <w:r w:rsidRPr="008A2B05">
        <w:rPr>
          <w:lang w:val="en-US"/>
        </w:rPr>
        <w:t xml:space="preserve"> INF.60</w:t>
      </w:r>
      <w:r>
        <w:rPr>
          <w:lang w:val="en-US"/>
        </w:rPr>
        <w:t xml:space="preserve"> of the sixty-fourth session of the Sub-Committee</w:t>
      </w:r>
      <w:r w:rsidRPr="004F33EB">
        <w:rPr>
          <w:lang w:val="en-US"/>
        </w:rPr>
        <w:t>; and</w:t>
      </w:r>
    </w:p>
    <w:p w14:paraId="19D1C7D5" w14:textId="67CB646D" w:rsidR="00AF5DE1" w:rsidRDefault="00440A94" w:rsidP="00440A94">
      <w:pPr>
        <w:pStyle w:val="SingleTxtG"/>
        <w:rPr>
          <w:lang w:val="en-US"/>
        </w:rPr>
      </w:pPr>
      <w:r>
        <w:rPr>
          <w:lang w:val="en-US"/>
        </w:rPr>
        <w:tab/>
      </w:r>
      <w:r w:rsidRPr="004F33EB">
        <w:rPr>
          <w:lang w:val="en-US"/>
        </w:rPr>
        <w:t>(b)</w:t>
      </w:r>
      <w:r w:rsidRPr="004F33EB">
        <w:rPr>
          <w:lang w:val="en-US"/>
        </w:rPr>
        <w:tab/>
        <w:t xml:space="preserve">Invite all experts to contribute to the development of </w:t>
      </w:r>
      <w:r>
        <w:rPr>
          <w:lang w:val="en-US"/>
        </w:rPr>
        <w:t>the new section</w:t>
      </w:r>
      <w:r w:rsidRPr="004F33EB">
        <w:rPr>
          <w:lang w:val="en-US"/>
        </w:rPr>
        <w:t xml:space="preserve"> 6.9.4</w:t>
      </w:r>
      <w:r>
        <w:rPr>
          <w:lang w:val="en-US"/>
        </w:rPr>
        <w:t>;</w:t>
      </w:r>
      <w:r w:rsidRPr="004F33EB">
        <w:rPr>
          <w:lang w:val="en-US"/>
        </w:rPr>
        <w:t xml:space="preserve"> and invite </w:t>
      </w:r>
      <w:r>
        <w:rPr>
          <w:lang w:val="en-US"/>
        </w:rPr>
        <w:t xml:space="preserve">the informal </w:t>
      </w:r>
      <w:r w:rsidRPr="004F33EB">
        <w:rPr>
          <w:lang w:val="en-US"/>
        </w:rPr>
        <w:t xml:space="preserve">group to proceed with the </w:t>
      </w:r>
      <w:r>
        <w:rPr>
          <w:lang w:val="en-US"/>
        </w:rPr>
        <w:t xml:space="preserve">work, </w:t>
      </w:r>
      <w:r w:rsidRPr="004F33EB">
        <w:rPr>
          <w:lang w:val="en-US"/>
        </w:rPr>
        <w:t>if so decided.</w:t>
      </w:r>
    </w:p>
    <w:p w14:paraId="3F1BA9F6" w14:textId="23540CD9" w:rsidR="00440A94" w:rsidRPr="00440A94" w:rsidRDefault="00440A94" w:rsidP="00440A94">
      <w:pPr>
        <w:spacing w:before="240"/>
        <w:jc w:val="center"/>
        <w:rPr>
          <w:u w:val="single"/>
          <w:lang w:val="en-US"/>
        </w:rPr>
      </w:pPr>
      <w:r>
        <w:rPr>
          <w:u w:val="single"/>
          <w:lang w:val="en-US"/>
        </w:rPr>
        <w:tab/>
      </w:r>
      <w:r>
        <w:rPr>
          <w:u w:val="single"/>
          <w:lang w:val="en-US"/>
        </w:rPr>
        <w:tab/>
      </w:r>
      <w:r>
        <w:rPr>
          <w:u w:val="single"/>
          <w:lang w:val="en-US"/>
        </w:rPr>
        <w:tab/>
      </w:r>
    </w:p>
    <w:sectPr w:rsidR="00440A94" w:rsidRPr="00440A94" w:rsidSect="005E0A11">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8E14" w14:textId="77777777" w:rsidR="0019673D" w:rsidRPr="00C47B2E" w:rsidRDefault="0019673D" w:rsidP="00C47B2E">
      <w:pPr>
        <w:pStyle w:val="Footer"/>
      </w:pPr>
    </w:p>
  </w:endnote>
  <w:endnote w:type="continuationSeparator" w:id="0">
    <w:p w14:paraId="4748E8FB" w14:textId="77777777" w:rsidR="0019673D" w:rsidRPr="00C47B2E" w:rsidRDefault="0019673D" w:rsidP="00C47B2E">
      <w:pPr>
        <w:pStyle w:val="Footer"/>
      </w:pPr>
    </w:p>
  </w:endnote>
  <w:endnote w:type="continuationNotice" w:id="1">
    <w:p w14:paraId="5C2EAAE3" w14:textId="77777777" w:rsidR="0019673D" w:rsidRPr="00C47B2E" w:rsidRDefault="0019673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795F" w14:textId="2333E941" w:rsidR="00D94B05" w:rsidRPr="005E0A11" w:rsidRDefault="005E0A11" w:rsidP="00D85308">
    <w:pPr>
      <w:pStyle w:val="Footer"/>
      <w:tabs>
        <w:tab w:val="right" w:pos="9639"/>
      </w:tabs>
      <w:rPr>
        <w:sz w:val="18"/>
      </w:rPr>
    </w:pPr>
    <w:r w:rsidRPr="005E0A11">
      <w:rPr>
        <w:b/>
        <w:sz w:val="18"/>
      </w:rPr>
      <w:fldChar w:fldCharType="begin"/>
    </w:r>
    <w:r w:rsidRPr="005E0A11">
      <w:rPr>
        <w:b/>
        <w:sz w:val="18"/>
      </w:rPr>
      <w:instrText xml:space="preserve"> PAGE  \* MERGEFORMAT </w:instrText>
    </w:r>
    <w:r w:rsidRPr="005E0A11">
      <w:rPr>
        <w:b/>
        <w:sz w:val="18"/>
      </w:rPr>
      <w:fldChar w:fldCharType="separate"/>
    </w:r>
    <w:r w:rsidRPr="005E0A11">
      <w:rPr>
        <w:b/>
        <w:noProof/>
        <w:sz w:val="18"/>
      </w:rPr>
      <w:t>2</w:t>
    </w:r>
    <w:r w:rsidRPr="005E0A1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C255" w14:textId="7069A9F3" w:rsidR="00D94B05" w:rsidRPr="005E0A11" w:rsidRDefault="005E0A11" w:rsidP="00D85308">
    <w:pPr>
      <w:pStyle w:val="Footer"/>
      <w:tabs>
        <w:tab w:val="right" w:pos="9639"/>
      </w:tabs>
      <w:rPr>
        <w:b/>
        <w:bCs/>
        <w:sz w:val="18"/>
      </w:rPr>
    </w:pPr>
    <w:r>
      <w:rPr>
        <w:bCs/>
        <w:sz w:val="18"/>
      </w:rPr>
      <w:tab/>
    </w:r>
    <w:r w:rsidRPr="005E0A11">
      <w:rPr>
        <w:b/>
        <w:bCs/>
        <w:sz w:val="18"/>
      </w:rPr>
      <w:fldChar w:fldCharType="begin"/>
    </w:r>
    <w:r w:rsidRPr="005E0A11">
      <w:rPr>
        <w:b/>
        <w:bCs/>
        <w:sz w:val="18"/>
      </w:rPr>
      <w:instrText xml:space="preserve"> PAGE  \* MERGEFORMAT </w:instrText>
    </w:r>
    <w:r w:rsidRPr="005E0A11">
      <w:rPr>
        <w:b/>
        <w:bCs/>
        <w:sz w:val="18"/>
      </w:rPr>
      <w:fldChar w:fldCharType="separate"/>
    </w:r>
    <w:r w:rsidRPr="005E0A11">
      <w:rPr>
        <w:b/>
        <w:bCs/>
        <w:noProof/>
        <w:sz w:val="18"/>
      </w:rPr>
      <w:t>3</w:t>
    </w:r>
    <w:r w:rsidRPr="005E0A1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C134" w14:textId="0E699682" w:rsidR="00E53AF2" w:rsidRDefault="00E53AF2" w:rsidP="00E53AF2">
    <w:pPr>
      <w:pStyle w:val="Footer"/>
    </w:pPr>
    <w:r w:rsidRPr="0027112F">
      <w:rPr>
        <w:noProof/>
        <w:lang w:val="en-US"/>
      </w:rPr>
      <w:drawing>
        <wp:anchor distT="0" distB="0" distL="114300" distR="114300" simplePos="0" relativeHeight="251659264" behindDoc="0" locked="1" layoutInCell="1" allowOverlap="1" wp14:anchorId="03BFA0F1" wp14:editId="698DFB5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A670B47" w14:textId="05CC9E86" w:rsidR="00E53AF2" w:rsidRPr="00E53AF2" w:rsidRDefault="00E53AF2" w:rsidP="00E53AF2">
    <w:pPr>
      <w:pStyle w:val="Footer"/>
      <w:ind w:right="1134"/>
      <w:rPr>
        <w:sz w:val="20"/>
      </w:rPr>
    </w:pPr>
    <w:r>
      <w:rPr>
        <w:sz w:val="20"/>
      </w:rPr>
      <w:t>GE.24-</w:t>
    </w:r>
    <w:proofErr w:type="gramStart"/>
    <w:r>
      <w:rPr>
        <w:sz w:val="20"/>
      </w:rPr>
      <w:t>16629  (</w:t>
    </w:r>
    <w:proofErr w:type="gramEnd"/>
    <w:r>
      <w:rPr>
        <w:sz w:val="20"/>
      </w:rPr>
      <w:t>E)</w:t>
    </w:r>
    <w:r>
      <w:rPr>
        <w:noProof/>
        <w:sz w:val="20"/>
      </w:rPr>
      <w:drawing>
        <wp:anchor distT="0" distB="0" distL="114300" distR="114300" simplePos="0" relativeHeight="251660288" behindDoc="0" locked="0" layoutInCell="1" allowOverlap="1" wp14:anchorId="5A3301DF" wp14:editId="0E5D4943">
          <wp:simplePos x="0" y="0"/>
          <wp:positionH relativeFrom="margin">
            <wp:posOffset>5615940</wp:posOffset>
          </wp:positionH>
          <wp:positionV relativeFrom="margin">
            <wp:posOffset>8905875</wp:posOffset>
          </wp:positionV>
          <wp:extent cx="571500" cy="571500"/>
          <wp:effectExtent l="0" t="0" r="0" b="0"/>
          <wp:wrapNone/>
          <wp:docPr id="705827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0E27" w14:textId="77777777" w:rsidR="0019673D" w:rsidRPr="00C47B2E" w:rsidRDefault="0019673D" w:rsidP="00C47B2E">
      <w:pPr>
        <w:tabs>
          <w:tab w:val="right" w:pos="2155"/>
        </w:tabs>
        <w:spacing w:after="80" w:line="240" w:lineRule="auto"/>
        <w:ind w:left="680"/>
      </w:pPr>
      <w:r>
        <w:rPr>
          <w:u w:val="single"/>
        </w:rPr>
        <w:tab/>
      </w:r>
    </w:p>
  </w:footnote>
  <w:footnote w:type="continuationSeparator" w:id="0">
    <w:p w14:paraId="471763F1" w14:textId="77777777" w:rsidR="0019673D" w:rsidRPr="00C47B2E" w:rsidRDefault="0019673D" w:rsidP="005E716E">
      <w:pPr>
        <w:tabs>
          <w:tab w:val="right" w:pos="2155"/>
        </w:tabs>
        <w:spacing w:after="80" w:line="240" w:lineRule="auto"/>
        <w:ind w:left="680"/>
      </w:pPr>
      <w:r>
        <w:rPr>
          <w:u w:val="single"/>
        </w:rPr>
        <w:tab/>
      </w:r>
    </w:p>
  </w:footnote>
  <w:footnote w:type="continuationNotice" w:id="1">
    <w:p w14:paraId="32B5A77E" w14:textId="77777777" w:rsidR="0019673D" w:rsidRPr="00C47B2E" w:rsidRDefault="0019673D" w:rsidP="00C47B2E">
      <w:pPr>
        <w:pStyle w:val="Footer"/>
      </w:pPr>
    </w:p>
  </w:footnote>
  <w:footnote w:id="2">
    <w:p w14:paraId="2785989E" w14:textId="77777777" w:rsidR="00440A94" w:rsidRPr="00153D19" w:rsidRDefault="00440A94" w:rsidP="00440A94">
      <w:pPr>
        <w:rPr>
          <w:lang w:val="fr-CH"/>
        </w:rPr>
      </w:pPr>
      <w:r>
        <w:tab/>
      </w:r>
      <w:r w:rsidRPr="00EB783F">
        <w:rPr>
          <w:rStyle w:val="FootnoteReference"/>
          <w:sz w:val="20"/>
          <w:vertAlign w:val="baseline"/>
        </w:rPr>
        <w:t>*</w:t>
      </w:r>
      <w:r>
        <w:rPr>
          <w:rStyle w:val="FootnoteReference"/>
          <w:sz w:val="20"/>
          <w:vertAlign w:val="baseline"/>
        </w:rPr>
        <w:tab/>
      </w:r>
      <w:r w:rsidRPr="009255AD">
        <w:rPr>
          <w:sz w:val="18"/>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CF6B" w14:textId="7DA49C2C" w:rsidR="005E0A11" w:rsidRPr="005E0A11" w:rsidRDefault="004176FC">
    <w:pPr>
      <w:pStyle w:val="Header"/>
    </w:pPr>
    <w:r>
      <w:fldChar w:fldCharType="begin"/>
    </w:r>
    <w:r>
      <w:instrText xml:space="preserve"> TITLE  \* MERGEFORMAT </w:instrText>
    </w:r>
    <w:r>
      <w:fldChar w:fldCharType="separate"/>
    </w:r>
    <w:r w:rsidR="005E0A11">
      <w:t>ST/SG/AC.10/C.3/2024/104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762D" w14:textId="7956A408" w:rsidR="00D94B05" w:rsidRPr="005E0A11" w:rsidRDefault="004176FC" w:rsidP="005E0A11">
    <w:pPr>
      <w:pStyle w:val="Header"/>
      <w:jc w:val="right"/>
    </w:pPr>
    <w:r>
      <w:fldChar w:fldCharType="begin"/>
    </w:r>
    <w:r>
      <w:instrText xml:space="preserve"> TITLE  \* MERGEFORMAT </w:instrText>
    </w:r>
    <w:r>
      <w:fldChar w:fldCharType="separate"/>
    </w:r>
    <w:r w:rsidR="005E0A11">
      <w:t>ST/SG/AC.10/C.3/2024/104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11"/>
    <w:rsid w:val="00046E92"/>
    <w:rsid w:val="00063C90"/>
    <w:rsid w:val="00070000"/>
    <w:rsid w:val="00101B98"/>
    <w:rsid w:val="001514D1"/>
    <w:rsid w:val="0019673D"/>
    <w:rsid w:val="00247E2C"/>
    <w:rsid w:val="002A32CB"/>
    <w:rsid w:val="002D5B2C"/>
    <w:rsid w:val="002D6C53"/>
    <w:rsid w:val="002F5595"/>
    <w:rsid w:val="00334F6A"/>
    <w:rsid w:val="00342AC8"/>
    <w:rsid w:val="00343302"/>
    <w:rsid w:val="003979DE"/>
    <w:rsid w:val="003B1248"/>
    <w:rsid w:val="003B4550"/>
    <w:rsid w:val="003D2A18"/>
    <w:rsid w:val="00413386"/>
    <w:rsid w:val="004176FC"/>
    <w:rsid w:val="00440A94"/>
    <w:rsid w:val="00461253"/>
    <w:rsid w:val="004858F5"/>
    <w:rsid w:val="004A2814"/>
    <w:rsid w:val="004C0622"/>
    <w:rsid w:val="004F73D0"/>
    <w:rsid w:val="005042C2"/>
    <w:rsid w:val="00516D1B"/>
    <w:rsid w:val="0055019A"/>
    <w:rsid w:val="005E0A11"/>
    <w:rsid w:val="005E716E"/>
    <w:rsid w:val="006476E1"/>
    <w:rsid w:val="006604DF"/>
    <w:rsid w:val="00671529"/>
    <w:rsid w:val="006F1EF5"/>
    <w:rsid w:val="0070489D"/>
    <w:rsid w:val="007200A1"/>
    <w:rsid w:val="007268F9"/>
    <w:rsid w:val="00750282"/>
    <w:rsid w:val="00764440"/>
    <w:rsid w:val="0077101B"/>
    <w:rsid w:val="007C52B0"/>
    <w:rsid w:val="007C6033"/>
    <w:rsid w:val="008147C8"/>
    <w:rsid w:val="0081753A"/>
    <w:rsid w:val="0083747F"/>
    <w:rsid w:val="00857D23"/>
    <w:rsid w:val="009411B4"/>
    <w:rsid w:val="00946F1D"/>
    <w:rsid w:val="00987022"/>
    <w:rsid w:val="009A0A7F"/>
    <w:rsid w:val="009D0139"/>
    <w:rsid w:val="009D717D"/>
    <w:rsid w:val="009F5CDC"/>
    <w:rsid w:val="00A072D7"/>
    <w:rsid w:val="00A775CF"/>
    <w:rsid w:val="00AD1A9C"/>
    <w:rsid w:val="00AF5DE1"/>
    <w:rsid w:val="00B06045"/>
    <w:rsid w:val="00B206DD"/>
    <w:rsid w:val="00B52EF4"/>
    <w:rsid w:val="00B777AD"/>
    <w:rsid w:val="00C03015"/>
    <w:rsid w:val="00C0358D"/>
    <w:rsid w:val="00C35A27"/>
    <w:rsid w:val="00C47B2E"/>
    <w:rsid w:val="00D63CD2"/>
    <w:rsid w:val="00D81039"/>
    <w:rsid w:val="00D85308"/>
    <w:rsid w:val="00D873FE"/>
    <w:rsid w:val="00D87DC2"/>
    <w:rsid w:val="00D93887"/>
    <w:rsid w:val="00D94B05"/>
    <w:rsid w:val="00DC7379"/>
    <w:rsid w:val="00E02C2B"/>
    <w:rsid w:val="00E21C27"/>
    <w:rsid w:val="00E26BCF"/>
    <w:rsid w:val="00E52109"/>
    <w:rsid w:val="00E53AF2"/>
    <w:rsid w:val="00E75317"/>
    <w:rsid w:val="00EC0CE6"/>
    <w:rsid w:val="00EC7C1D"/>
    <w:rsid w:val="00ED6C48"/>
    <w:rsid w:val="00EE3045"/>
    <w:rsid w:val="00F26186"/>
    <w:rsid w:val="00F65F5D"/>
    <w:rsid w:val="00F86A3A"/>
    <w:rsid w:val="00FA42DA"/>
    <w:rsid w:val="00FC5C3B"/>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8CE2F"/>
  <w15:docId w15:val="{1D757A4E-3078-4F03-8BAB-5522D1C5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440A94"/>
    <w:rPr>
      <w:b/>
      <w:sz w:val="28"/>
    </w:rPr>
  </w:style>
  <w:style w:type="character" w:customStyle="1" w:styleId="SingleTxtGChar">
    <w:name w:val="_ Single Txt_G Char"/>
    <w:link w:val="SingleTxtG"/>
    <w:qFormat/>
    <w:locked/>
    <w:rsid w:val="0044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Couto\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905B0-CCA7-4AE5-9790-58CDC6776F0D}"/>
</file>

<file path=customXml/itemProps2.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3.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E96D6C7-A69F-4CC1-9C48-E5514C6CF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3</Pages>
  <Words>1223</Words>
  <Characters>7076</Characters>
  <Application>Microsoft Office Word</Application>
  <DocSecurity>0</DocSecurity>
  <Lines>121</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ST/SG/AC.10/C.3/2024/104</vt: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ST/SG/AC.10/C.3/2024/104</dc:title>
  <dc:subject>2416629</dc:subject>
  <dc:creator>Rosa Garcia-Couto</dc:creator>
  <cp:keywords/>
  <dc:description/>
  <cp:lastModifiedBy>Pauline Anne Escalante</cp:lastModifiedBy>
  <cp:revision>2</cp:revision>
  <dcterms:created xsi:type="dcterms:W3CDTF">2024-09-13T14:52:00Z</dcterms:created>
  <dcterms:modified xsi:type="dcterms:W3CDTF">2024-09-13T14:52:00Z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