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2DD1DFDD" w14:textId="77777777" w:rsidTr="00F01738">
        <w:trPr>
          <w:trHeight w:hRule="exact" w:val="851"/>
        </w:trPr>
        <w:tc>
          <w:tcPr>
            <w:tcW w:w="1276" w:type="dxa"/>
            <w:tcBorders>
              <w:bottom w:val="single" w:sz="4" w:space="0" w:color="auto"/>
            </w:tcBorders>
          </w:tcPr>
          <w:p w14:paraId="091EB834" w14:textId="77777777" w:rsidR="00132EA9" w:rsidRPr="00DB58B5" w:rsidRDefault="00132EA9" w:rsidP="00763C94"/>
        </w:tc>
        <w:tc>
          <w:tcPr>
            <w:tcW w:w="2268" w:type="dxa"/>
            <w:tcBorders>
              <w:bottom w:val="single" w:sz="4" w:space="0" w:color="auto"/>
            </w:tcBorders>
            <w:vAlign w:val="bottom"/>
          </w:tcPr>
          <w:p w14:paraId="7A8D517E"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A7C4E3B" w14:textId="5868BAC5" w:rsidR="00132EA9" w:rsidRPr="00DB58B5" w:rsidRDefault="00763C94" w:rsidP="00763C94">
            <w:pPr>
              <w:jc w:val="right"/>
            </w:pPr>
            <w:r w:rsidRPr="00763C94">
              <w:rPr>
                <w:sz w:val="40"/>
              </w:rPr>
              <w:t>ST</w:t>
            </w:r>
            <w:r>
              <w:t>/SG/AC.10/C.3/2024/102</w:t>
            </w:r>
          </w:p>
        </w:tc>
      </w:tr>
      <w:tr w:rsidR="00132EA9" w:rsidRPr="00DB58B5" w14:paraId="06FEE4C2" w14:textId="77777777" w:rsidTr="00F01738">
        <w:trPr>
          <w:trHeight w:hRule="exact" w:val="2835"/>
        </w:trPr>
        <w:tc>
          <w:tcPr>
            <w:tcW w:w="1276" w:type="dxa"/>
            <w:tcBorders>
              <w:top w:val="single" w:sz="4" w:space="0" w:color="auto"/>
              <w:bottom w:val="single" w:sz="12" w:space="0" w:color="auto"/>
            </w:tcBorders>
          </w:tcPr>
          <w:p w14:paraId="6785DE20" w14:textId="77777777" w:rsidR="00132EA9" w:rsidRPr="00DB58B5" w:rsidRDefault="00132EA9" w:rsidP="00F01738">
            <w:pPr>
              <w:spacing w:before="120"/>
              <w:jc w:val="center"/>
            </w:pPr>
            <w:r>
              <w:rPr>
                <w:noProof/>
                <w:lang w:eastAsia="fr-CH"/>
              </w:rPr>
              <w:drawing>
                <wp:inline distT="0" distB="0" distL="0" distR="0" wp14:anchorId="75F9CCD6" wp14:editId="0B3412A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5A75E59"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3B303DF3" w14:textId="77777777" w:rsidR="00132EA9" w:rsidRDefault="00763C94" w:rsidP="00F01738">
            <w:pPr>
              <w:spacing w:before="240"/>
            </w:pPr>
            <w:proofErr w:type="spellStart"/>
            <w:r>
              <w:t>Distr</w:t>
            </w:r>
            <w:proofErr w:type="spellEnd"/>
            <w:r>
              <w:t>. générale</w:t>
            </w:r>
          </w:p>
          <w:p w14:paraId="393B8BA6" w14:textId="77777777" w:rsidR="00763C94" w:rsidRDefault="00763C94" w:rsidP="00763C94">
            <w:pPr>
              <w:spacing w:line="240" w:lineRule="exact"/>
            </w:pPr>
            <w:r>
              <w:t>13 septembre 2024</w:t>
            </w:r>
          </w:p>
          <w:p w14:paraId="3BDB7BF7" w14:textId="77777777" w:rsidR="00763C94" w:rsidRDefault="00763C94" w:rsidP="00763C94">
            <w:pPr>
              <w:spacing w:line="240" w:lineRule="exact"/>
            </w:pPr>
            <w:r>
              <w:t>Français</w:t>
            </w:r>
          </w:p>
          <w:p w14:paraId="50DB4550" w14:textId="31AF0906" w:rsidR="00763C94" w:rsidRPr="00DB58B5" w:rsidRDefault="00763C94" w:rsidP="00763C94">
            <w:pPr>
              <w:spacing w:line="240" w:lineRule="exact"/>
            </w:pPr>
            <w:r>
              <w:t>Original : anglais</w:t>
            </w:r>
          </w:p>
        </w:tc>
      </w:tr>
    </w:tbl>
    <w:p w14:paraId="09B8141B" w14:textId="3F55B16C" w:rsidR="00763C94" w:rsidRPr="00644521" w:rsidRDefault="00763C94" w:rsidP="00763C94">
      <w:pPr>
        <w:spacing w:before="120"/>
        <w:rPr>
          <w:b/>
          <w:sz w:val="32"/>
          <w:szCs w:val="24"/>
          <w:lang w:val="fr-FR"/>
        </w:rPr>
      </w:pPr>
      <w:r w:rsidRPr="00644521">
        <w:rPr>
          <w:b/>
          <w:bCs/>
          <w:sz w:val="24"/>
          <w:lang w:val="fr-FR"/>
        </w:rPr>
        <w:t>Comité d</w:t>
      </w:r>
      <w:r>
        <w:rPr>
          <w:b/>
          <w:bCs/>
          <w:sz w:val="24"/>
          <w:lang w:val="fr-FR"/>
        </w:rPr>
        <w:t>’</w:t>
      </w:r>
      <w:r w:rsidRPr="00644521">
        <w:rPr>
          <w:b/>
          <w:bCs/>
          <w:sz w:val="24"/>
          <w:lang w:val="fr-FR"/>
        </w:rPr>
        <w:t xml:space="preserve">experts du transport des marchandises dangereuses </w:t>
      </w:r>
      <w:r>
        <w:rPr>
          <w:b/>
          <w:bCs/>
          <w:sz w:val="24"/>
          <w:lang w:val="fr-FR"/>
        </w:rPr>
        <w:br/>
      </w:r>
      <w:r w:rsidRPr="00644521">
        <w:rPr>
          <w:b/>
          <w:bCs/>
          <w:sz w:val="24"/>
          <w:lang w:val="fr-FR"/>
        </w:rPr>
        <w:t xml:space="preserve">et du Système général harmonisé de classification </w:t>
      </w:r>
      <w:r>
        <w:rPr>
          <w:b/>
          <w:bCs/>
          <w:sz w:val="24"/>
          <w:lang w:val="fr-FR"/>
        </w:rPr>
        <w:br/>
      </w:r>
      <w:r w:rsidRPr="00644521">
        <w:rPr>
          <w:b/>
          <w:bCs/>
          <w:sz w:val="24"/>
          <w:lang w:val="fr-FR"/>
        </w:rPr>
        <w:t>et d</w:t>
      </w:r>
      <w:r>
        <w:rPr>
          <w:b/>
          <w:bCs/>
          <w:sz w:val="24"/>
          <w:lang w:val="fr-FR"/>
        </w:rPr>
        <w:t>’</w:t>
      </w:r>
      <w:r w:rsidRPr="00644521">
        <w:rPr>
          <w:b/>
          <w:bCs/>
          <w:sz w:val="24"/>
          <w:lang w:val="fr-FR"/>
        </w:rPr>
        <w:t>étiquetage des produits chimiques</w:t>
      </w:r>
    </w:p>
    <w:p w14:paraId="75E8030E" w14:textId="77777777" w:rsidR="00763C94" w:rsidRPr="00644521" w:rsidRDefault="00763C94" w:rsidP="00763C94">
      <w:pPr>
        <w:spacing w:before="120"/>
        <w:rPr>
          <w:rFonts w:ascii="Helv" w:hAnsi="Helv" w:cs="Helv"/>
          <w:b/>
          <w:color w:val="000000"/>
          <w:sz w:val="16"/>
          <w:lang w:val="fr-FR"/>
        </w:rPr>
      </w:pPr>
      <w:r w:rsidRPr="00644521">
        <w:rPr>
          <w:b/>
          <w:bCs/>
          <w:lang w:val="fr-FR"/>
        </w:rPr>
        <w:t>Sous-Comité d</w:t>
      </w:r>
      <w:r>
        <w:rPr>
          <w:b/>
          <w:bCs/>
          <w:lang w:val="fr-FR"/>
        </w:rPr>
        <w:t>’</w:t>
      </w:r>
      <w:r w:rsidRPr="00644521">
        <w:rPr>
          <w:b/>
          <w:bCs/>
          <w:lang w:val="fr-FR"/>
        </w:rPr>
        <w:t>experts du transport des marchandises dangereuses</w:t>
      </w:r>
    </w:p>
    <w:p w14:paraId="60CA3994" w14:textId="77777777" w:rsidR="00763C94" w:rsidRPr="00644521" w:rsidRDefault="00763C94" w:rsidP="00763C94">
      <w:pPr>
        <w:spacing w:before="120"/>
        <w:rPr>
          <w:b/>
          <w:lang w:val="fr-FR"/>
        </w:rPr>
      </w:pPr>
      <w:r w:rsidRPr="00644521">
        <w:rPr>
          <w:b/>
          <w:bCs/>
          <w:lang w:val="fr-FR"/>
        </w:rPr>
        <w:t>Soixante-cinquième session</w:t>
      </w:r>
    </w:p>
    <w:p w14:paraId="490FC898" w14:textId="249C08F3" w:rsidR="00763C94" w:rsidRPr="00644521" w:rsidRDefault="00763C94" w:rsidP="00763C94">
      <w:pPr>
        <w:rPr>
          <w:lang w:val="fr-FR"/>
        </w:rPr>
      </w:pPr>
      <w:r w:rsidRPr="00644521">
        <w:rPr>
          <w:lang w:val="fr-FR"/>
        </w:rPr>
        <w:t>Genève, 25 novembre</w:t>
      </w:r>
      <w:r>
        <w:rPr>
          <w:lang w:val="fr-FR"/>
        </w:rPr>
        <w:t>-</w:t>
      </w:r>
      <w:r w:rsidRPr="00644521">
        <w:rPr>
          <w:lang w:val="fr-FR"/>
        </w:rPr>
        <w:t>3 décembre 2024</w:t>
      </w:r>
    </w:p>
    <w:p w14:paraId="7D8F4349" w14:textId="77777777" w:rsidR="00763C94" w:rsidRPr="00644521" w:rsidRDefault="00763C94" w:rsidP="00763C94">
      <w:pPr>
        <w:rPr>
          <w:lang w:val="fr-FR"/>
        </w:rPr>
      </w:pPr>
      <w:r w:rsidRPr="00644521">
        <w:rPr>
          <w:lang w:val="fr-FR"/>
        </w:rPr>
        <w:t>Point 3 de l</w:t>
      </w:r>
      <w:r>
        <w:rPr>
          <w:lang w:val="fr-FR"/>
        </w:rPr>
        <w:t>’</w:t>
      </w:r>
      <w:r w:rsidRPr="00644521">
        <w:rPr>
          <w:lang w:val="fr-FR"/>
        </w:rPr>
        <w:t>ordre du jour provisoire</w:t>
      </w:r>
    </w:p>
    <w:p w14:paraId="7C154013" w14:textId="77777777" w:rsidR="00763C94" w:rsidRPr="00644521" w:rsidRDefault="00763C94" w:rsidP="00763C94">
      <w:pPr>
        <w:rPr>
          <w:b/>
          <w:bCs/>
          <w:lang w:val="fr-FR"/>
        </w:rPr>
      </w:pPr>
      <w:r w:rsidRPr="00644521">
        <w:rPr>
          <w:b/>
          <w:bCs/>
          <w:lang w:val="fr-FR"/>
        </w:rPr>
        <w:t>Inscription, classement et emballage</w:t>
      </w:r>
    </w:p>
    <w:p w14:paraId="56482325" w14:textId="0F057A4D" w:rsidR="00763C94" w:rsidRPr="00644521" w:rsidRDefault="00763C94" w:rsidP="00763C94">
      <w:pPr>
        <w:pStyle w:val="HChG"/>
        <w:rPr>
          <w:lang w:val="fr-FR"/>
        </w:rPr>
      </w:pPr>
      <w:r w:rsidRPr="00644521">
        <w:rPr>
          <w:lang w:val="fr-FR"/>
        </w:rPr>
        <w:tab/>
      </w:r>
      <w:r w:rsidRPr="00644521">
        <w:rPr>
          <w:lang w:val="fr-FR"/>
        </w:rPr>
        <w:tab/>
        <w:t xml:space="preserve">Dispositions </w:t>
      </w:r>
      <w:r>
        <w:rPr>
          <w:lang w:val="fr-FR"/>
        </w:rPr>
        <w:t>applicables</w:t>
      </w:r>
      <w:r w:rsidRPr="00644521">
        <w:rPr>
          <w:lang w:val="fr-FR"/>
        </w:rPr>
        <w:t xml:space="preserve"> au No</w:t>
      </w:r>
      <w:r>
        <w:rPr>
          <w:lang w:val="fr-FR"/>
        </w:rPr>
        <w:t> </w:t>
      </w:r>
      <w:r w:rsidRPr="00644521">
        <w:rPr>
          <w:lang w:val="fr-FR"/>
        </w:rPr>
        <w:t>ONU 2029 Hydrazine anhydre</w:t>
      </w:r>
    </w:p>
    <w:p w14:paraId="2879213A" w14:textId="77777777" w:rsidR="00763C94" w:rsidRPr="00644521" w:rsidRDefault="00763C94" w:rsidP="00763C94">
      <w:pPr>
        <w:pStyle w:val="H1G"/>
        <w:rPr>
          <w:lang w:val="fr-FR"/>
        </w:rPr>
      </w:pPr>
      <w:r w:rsidRPr="00644521">
        <w:rPr>
          <w:lang w:val="fr-FR"/>
        </w:rPr>
        <w:tab/>
      </w:r>
      <w:r w:rsidRPr="00644521">
        <w:rPr>
          <w:lang w:val="fr-FR"/>
        </w:rPr>
        <w:tab/>
        <w:t>Communication de l</w:t>
      </w:r>
      <w:r>
        <w:rPr>
          <w:lang w:val="fr-FR"/>
        </w:rPr>
        <w:t>’</w:t>
      </w:r>
      <w:r w:rsidRPr="00644521">
        <w:rPr>
          <w:lang w:val="fr-FR"/>
        </w:rPr>
        <w:t>expert des États-Unis d</w:t>
      </w:r>
      <w:r>
        <w:rPr>
          <w:lang w:val="fr-FR"/>
        </w:rPr>
        <w:t>’</w:t>
      </w:r>
      <w:r w:rsidRPr="00644521">
        <w:rPr>
          <w:lang w:val="fr-FR"/>
        </w:rPr>
        <w:t>Amérique</w:t>
      </w:r>
      <w:r w:rsidRPr="00763C94">
        <w:rPr>
          <w:rStyle w:val="Appelnotedebasdep"/>
          <w:b w:val="0"/>
          <w:bCs/>
          <w:sz w:val="20"/>
          <w:vertAlign w:val="baseline"/>
          <w:lang w:val="fr-FR"/>
        </w:rPr>
        <w:footnoteReference w:customMarkFollows="1" w:id="2"/>
        <w:t>*</w:t>
      </w:r>
    </w:p>
    <w:p w14:paraId="49FC7F4B" w14:textId="77777777" w:rsidR="00763C94" w:rsidRPr="00644521" w:rsidRDefault="00763C94" w:rsidP="00763C94">
      <w:pPr>
        <w:pStyle w:val="HChG"/>
        <w:rPr>
          <w:lang w:val="fr-FR"/>
        </w:rPr>
      </w:pPr>
      <w:r w:rsidRPr="00644521">
        <w:rPr>
          <w:lang w:val="fr-FR"/>
        </w:rPr>
        <w:tab/>
        <w:t>I.</w:t>
      </w:r>
      <w:r w:rsidRPr="00644521">
        <w:rPr>
          <w:lang w:val="fr-FR"/>
        </w:rPr>
        <w:tab/>
        <w:t>Introduction</w:t>
      </w:r>
    </w:p>
    <w:p w14:paraId="76AC3630" w14:textId="1920B4D8" w:rsidR="00763C94" w:rsidRPr="00644521" w:rsidRDefault="00763C94" w:rsidP="00763C94">
      <w:pPr>
        <w:pStyle w:val="SingleTxtG"/>
        <w:rPr>
          <w:lang w:val="fr-FR"/>
        </w:rPr>
      </w:pPr>
      <w:r w:rsidRPr="00644521">
        <w:rPr>
          <w:lang w:val="fr-FR"/>
        </w:rPr>
        <w:t>1.</w:t>
      </w:r>
      <w:r w:rsidRPr="00644521">
        <w:rPr>
          <w:lang w:val="fr-FR"/>
        </w:rPr>
        <w:tab/>
        <w:t>À la soixante-troisième session, la disposition spéciale d</w:t>
      </w:r>
      <w:r>
        <w:rPr>
          <w:lang w:val="fr-FR"/>
        </w:rPr>
        <w:t>’</w:t>
      </w:r>
      <w:r w:rsidRPr="00644521">
        <w:rPr>
          <w:lang w:val="fr-FR"/>
        </w:rPr>
        <w:t>emballage PP5 a été affectée au N</w:t>
      </w:r>
      <w:r>
        <w:rPr>
          <w:lang w:val="fr-FR"/>
        </w:rPr>
        <w:t>o</w:t>
      </w:r>
      <w:r w:rsidR="00A00BF9">
        <w:rPr>
          <w:lang w:val="fr-FR"/>
        </w:rPr>
        <w:t> </w:t>
      </w:r>
      <w:r w:rsidRPr="00644521">
        <w:rPr>
          <w:lang w:val="fr-FR"/>
        </w:rPr>
        <w:t>ONU 2029 Hydrazine anhydre (document informel INF.27). Selon cette disposition, les emballages doivent être construits de manière à éviter toute explosion due à une augmentation de la pression interne et les bouteilles et les récipients à gaz ne peuvent pas être utilisés.</w:t>
      </w:r>
    </w:p>
    <w:p w14:paraId="47A7B664" w14:textId="2D663CCC" w:rsidR="00763C94" w:rsidRPr="00644521" w:rsidRDefault="00763C94" w:rsidP="00763C94">
      <w:pPr>
        <w:pStyle w:val="SingleTxtG"/>
        <w:rPr>
          <w:lang w:val="fr-FR"/>
        </w:rPr>
      </w:pPr>
      <w:r w:rsidRPr="00644521">
        <w:rPr>
          <w:lang w:val="fr-FR"/>
        </w:rPr>
        <w:t>2.</w:t>
      </w:r>
      <w:r w:rsidRPr="00763C94">
        <w:rPr>
          <w:spacing w:val="-2"/>
          <w:lang w:val="fr-FR"/>
        </w:rPr>
        <w:tab/>
        <w:t>À la soixante-quatrième session, les États-Unis d’Amérique se sont dits préoccupés par les effets pervers qu’aurait l’interdiction du transport du No</w:t>
      </w:r>
      <w:r w:rsidRPr="00763C94">
        <w:rPr>
          <w:spacing w:val="-2"/>
          <w:lang w:val="fr-FR"/>
        </w:rPr>
        <w:t> </w:t>
      </w:r>
      <w:r w:rsidRPr="00763C94">
        <w:rPr>
          <w:spacing w:val="-2"/>
          <w:lang w:val="fr-FR"/>
        </w:rPr>
        <w:t>ONU</w:t>
      </w:r>
      <w:r w:rsidRPr="00763C94">
        <w:rPr>
          <w:spacing w:val="-2"/>
          <w:lang w:val="fr-FR"/>
        </w:rPr>
        <w:t> </w:t>
      </w:r>
      <w:r w:rsidRPr="00763C94">
        <w:rPr>
          <w:spacing w:val="-2"/>
          <w:lang w:val="fr-FR"/>
        </w:rPr>
        <w:t>2029 dans des bouteilles à gaz sur les industries de l’aérospatiale et de la défense (document informel INF.50). Après avoir évalué l’intérêt technique de l’affectation de la disposition spéciale d’emballage PP5 au No</w:t>
      </w:r>
      <w:r w:rsidR="00A00BF9">
        <w:rPr>
          <w:spacing w:val="-2"/>
          <w:lang w:val="fr-FR"/>
        </w:rPr>
        <w:t> </w:t>
      </w:r>
      <w:r w:rsidRPr="00763C94">
        <w:rPr>
          <w:spacing w:val="-2"/>
          <w:lang w:val="fr-FR"/>
        </w:rPr>
        <w:t>ONU</w:t>
      </w:r>
      <w:r w:rsidR="00A00BF9">
        <w:rPr>
          <w:spacing w:val="-2"/>
          <w:lang w:val="fr-FR"/>
        </w:rPr>
        <w:t> </w:t>
      </w:r>
      <w:r w:rsidRPr="00763C94">
        <w:rPr>
          <w:spacing w:val="-2"/>
          <w:lang w:val="fr-FR"/>
        </w:rPr>
        <w:t>2029 Hydrazine anhydre, le Groupe de travail des explosifs a recommandé de retirer cette affectation et a demandé au Sous-Comité d’experts du transport des marchandises dangereuses de reprendre le débat sur l’équilibre entre les risques et les avantages de l’affectation de la disposition PP5 pour le No</w:t>
      </w:r>
      <w:r w:rsidR="00A00BF9">
        <w:rPr>
          <w:spacing w:val="-2"/>
          <w:lang w:val="fr-FR"/>
        </w:rPr>
        <w:t> </w:t>
      </w:r>
      <w:r w:rsidRPr="00763C94">
        <w:rPr>
          <w:spacing w:val="-2"/>
          <w:lang w:val="fr-FR"/>
        </w:rPr>
        <w:t>ONU</w:t>
      </w:r>
      <w:r w:rsidR="00A00BF9">
        <w:rPr>
          <w:spacing w:val="-2"/>
          <w:lang w:val="fr-FR"/>
        </w:rPr>
        <w:t> </w:t>
      </w:r>
      <w:r w:rsidRPr="00763C94">
        <w:rPr>
          <w:spacing w:val="-2"/>
          <w:lang w:val="fr-FR"/>
        </w:rPr>
        <w:t>2029 (document informel INF.67).</w:t>
      </w:r>
    </w:p>
    <w:p w14:paraId="080CE3FD" w14:textId="77777777" w:rsidR="00763C94" w:rsidRPr="00644521" w:rsidRDefault="00763C94" w:rsidP="00763C94">
      <w:pPr>
        <w:pStyle w:val="HChG"/>
        <w:rPr>
          <w:rFonts w:cs="Arial"/>
          <w:color w:val="000000"/>
          <w:lang w:val="fr-FR"/>
        </w:rPr>
      </w:pPr>
      <w:r w:rsidRPr="00644521">
        <w:rPr>
          <w:lang w:val="fr-FR"/>
        </w:rPr>
        <w:tab/>
        <w:t>II.</w:t>
      </w:r>
      <w:r w:rsidRPr="00644521">
        <w:rPr>
          <w:lang w:val="fr-FR"/>
        </w:rPr>
        <w:tab/>
      </w:r>
      <w:r>
        <w:rPr>
          <w:lang w:val="fr-FR"/>
        </w:rPr>
        <w:t>Discussion</w:t>
      </w:r>
      <w:r w:rsidRPr="00644521">
        <w:rPr>
          <w:lang w:val="fr-FR"/>
        </w:rPr>
        <w:t xml:space="preserve"> et propositions</w:t>
      </w:r>
    </w:p>
    <w:p w14:paraId="7193033A" w14:textId="4BE67F6E" w:rsidR="00763C94" w:rsidRPr="00644521" w:rsidRDefault="00763C94" w:rsidP="00763C94">
      <w:pPr>
        <w:pStyle w:val="SingleTxtG"/>
        <w:rPr>
          <w:lang w:val="fr-FR"/>
        </w:rPr>
      </w:pPr>
      <w:r w:rsidRPr="00644521">
        <w:rPr>
          <w:lang w:val="fr-FR"/>
        </w:rPr>
        <w:t>3.</w:t>
      </w:r>
      <w:r w:rsidRPr="00644521">
        <w:rPr>
          <w:lang w:val="fr-FR"/>
        </w:rPr>
        <w:tab/>
        <w:t>L</w:t>
      </w:r>
      <w:r>
        <w:rPr>
          <w:lang w:val="fr-FR"/>
        </w:rPr>
        <w:t>’</w:t>
      </w:r>
      <w:r w:rsidRPr="00644521">
        <w:rPr>
          <w:lang w:val="fr-FR"/>
        </w:rPr>
        <w:t>hydrazine anhydre est depuis longtemps transportée en toute sécurité dans des récipients à pression en acier inoxydable qui contiennent un gaz inerte, tel que l</w:t>
      </w:r>
      <w:r>
        <w:rPr>
          <w:lang w:val="fr-FR"/>
        </w:rPr>
        <w:t>’</w:t>
      </w:r>
      <w:r w:rsidRPr="00644521">
        <w:rPr>
          <w:lang w:val="fr-FR"/>
        </w:rPr>
        <w:t>hélium, permettant d</w:t>
      </w:r>
      <w:r>
        <w:rPr>
          <w:lang w:val="fr-FR"/>
        </w:rPr>
        <w:t>’</w:t>
      </w:r>
      <w:r w:rsidRPr="00644521">
        <w:rPr>
          <w:lang w:val="fr-FR"/>
        </w:rPr>
        <w:t>éviter la décomposition. Ces conditions de transport permettent d</w:t>
      </w:r>
      <w:r>
        <w:rPr>
          <w:lang w:val="fr-FR"/>
        </w:rPr>
        <w:t>’</w:t>
      </w:r>
      <w:r w:rsidRPr="00644521">
        <w:rPr>
          <w:lang w:val="fr-FR"/>
        </w:rPr>
        <w:t>obtenir un emballage durable qui garantit la sécurité pendant le transport, le stockage et l</w:t>
      </w:r>
      <w:r>
        <w:rPr>
          <w:lang w:val="fr-FR"/>
        </w:rPr>
        <w:t>’</w:t>
      </w:r>
      <w:r w:rsidRPr="00644521">
        <w:rPr>
          <w:lang w:val="fr-FR"/>
        </w:rPr>
        <w:t>utilisation. L</w:t>
      </w:r>
      <w:r>
        <w:rPr>
          <w:lang w:val="fr-FR"/>
        </w:rPr>
        <w:t>’</w:t>
      </w:r>
      <w:r w:rsidRPr="00644521">
        <w:rPr>
          <w:lang w:val="fr-FR"/>
        </w:rPr>
        <w:t>interdiction d</w:t>
      </w:r>
      <w:r>
        <w:rPr>
          <w:lang w:val="fr-FR"/>
        </w:rPr>
        <w:t>’</w:t>
      </w:r>
      <w:r w:rsidRPr="00644521">
        <w:rPr>
          <w:lang w:val="fr-FR"/>
        </w:rPr>
        <w:t>utiliser des récipients à pression conduirait à l</w:t>
      </w:r>
      <w:r>
        <w:rPr>
          <w:lang w:val="fr-FR"/>
        </w:rPr>
        <w:t>’</w:t>
      </w:r>
      <w:r w:rsidRPr="00644521">
        <w:rPr>
          <w:lang w:val="fr-FR"/>
        </w:rPr>
        <w:t>utilisation de fûts en acier ou en plastique. Ces emballages de substitution augmentent le risque de contamination par l</w:t>
      </w:r>
      <w:r>
        <w:rPr>
          <w:lang w:val="fr-FR"/>
        </w:rPr>
        <w:t>’</w:t>
      </w:r>
      <w:r w:rsidRPr="00644521">
        <w:rPr>
          <w:lang w:val="fr-FR"/>
        </w:rPr>
        <w:t>hydrazine en raison de réactions avec le matériau d</w:t>
      </w:r>
      <w:r>
        <w:rPr>
          <w:lang w:val="fr-FR"/>
        </w:rPr>
        <w:t>’</w:t>
      </w:r>
      <w:r w:rsidRPr="00644521">
        <w:rPr>
          <w:lang w:val="fr-FR"/>
        </w:rPr>
        <w:t>emballage ou de l</w:t>
      </w:r>
      <w:r>
        <w:rPr>
          <w:lang w:val="fr-FR"/>
        </w:rPr>
        <w:t>’</w:t>
      </w:r>
      <w:r w:rsidRPr="00644521">
        <w:rPr>
          <w:lang w:val="fr-FR"/>
        </w:rPr>
        <w:t xml:space="preserve">exposition </w:t>
      </w:r>
      <w:r>
        <w:rPr>
          <w:lang w:val="fr-FR"/>
        </w:rPr>
        <w:t>à l’air</w:t>
      </w:r>
      <w:r w:rsidRPr="00644521">
        <w:rPr>
          <w:lang w:val="fr-FR"/>
        </w:rPr>
        <w:t>. L</w:t>
      </w:r>
      <w:r>
        <w:rPr>
          <w:lang w:val="fr-FR"/>
        </w:rPr>
        <w:t>’</w:t>
      </w:r>
      <w:r w:rsidRPr="00644521">
        <w:rPr>
          <w:lang w:val="fr-FR"/>
        </w:rPr>
        <w:t>hydrazine anhydre étant utilisée comme propergol liquide dans les systèmes satellitaires, les sondes et les lanceurs spatiaux, sa chaîne d</w:t>
      </w:r>
      <w:r>
        <w:rPr>
          <w:lang w:val="fr-FR"/>
        </w:rPr>
        <w:t>’</w:t>
      </w:r>
      <w:r w:rsidRPr="00644521">
        <w:rPr>
          <w:lang w:val="fr-FR"/>
        </w:rPr>
        <w:t xml:space="preserve">approvisionnement est strictement contrôlée. </w:t>
      </w:r>
      <w:bookmarkStart w:id="0" w:name="_Hlk172547299"/>
      <w:bookmarkEnd w:id="0"/>
    </w:p>
    <w:p w14:paraId="2FEFA941" w14:textId="64B369E3" w:rsidR="00763C94" w:rsidRPr="00644521" w:rsidRDefault="00763C94" w:rsidP="00763C94">
      <w:pPr>
        <w:pStyle w:val="SingleTxtG"/>
        <w:rPr>
          <w:lang w:val="fr-FR"/>
        </w:rPr>
      </w:pPr>
      <w:bookmarkStart w:id="1" w:name="_Hlk172547590"/>
      <w:r w:rsidRPr="00644521">
        <w:rPr>
          <w:lang w:val="fr-FR"/>
        </w:rPr>
        <w:lastRenderedPageBreak/>
        <w:t>4.</w:t>
      </w:r>
      <w:r w:rsidRPr="00644521">
        <w:rPr>
          <w:lang w:val="fr-FR"/>
        </w:rPr>
        <w:tab/>
        <w:t>Comme indiqué dans le rapport du Groupe de travail des explosifs, après examen, la proposition visant à affecter la disposition PP5 au N</w:t>
      </w:r>
      <w:r>
        <w:rPr>
          <w:lang w:val="fr-FR"/>
        </w:rPr>
        <w:t>o </w:t>
      </w:r>
      <w:r w:rsidRPr="00644521">
        <w:rPr>
          <w:lang w:val="fr-FR"/>
        </w:rPr>
        <w:t>ONU 2029 a été jugée appropriée compte tenu des propriétés de l</w:t>
      </w:r>
      <w:r>
        <w:rPr>
          <w:lang w:val="fr-FR"/>
        </w:rPr>
        <w:t>’</w:t>
      </w:r>
      <w:r w:rsidRPr="00644521">
        <w:rPr>
          <w:lang w:val="fr-FR"/>
        </w:rPr>
        <w:t xml:space="preserve">hydrazine sous confinement. Cependant, de nombreux experts ont souscrit aux préoccupations exprimées à la soixante-quatrième session et ont indiqué avoir reçu des observations similaires de la part des </w:t>
      </w:r>
      <w:r>
        <w:rPr>
          <w:lang w:val="fr-FR"/>
        </w:rPr>
        <w:t>secteurs industriels</w:t>
      </w:r>
      <w:r w:rsidRPr="00644521">
        <w:rPr>
          <w:lang w:val="fr-FR"/>
        </w:rPr>
        <w:t xml:space="preserve"> concernés. </w:t>
      </w:r>
    </w:p>
    <w:bookmarkEnd w:id="1"/>
    <w:p w14:paraId="183CECB8" w14:textId="50246E97" w:rsidR="00763C94" w:rsidRPr="00644521" w:rsidRDefault="00763C94" w:rsidP="00763C94">
      <w:pPr>
        <w:pStyle w:val="SingleTxtG"/>
        <w:rPr>
          <w:lang w:val="fr-FR"/>
        </w:rPr>
      </w:pPr>
      <w:r w:rsidRPr="00644521">
        <w:rPr>
          <w:lang w:val="fr-FR"/>
        </w:rPr>
        <w:t>5.</w:t>
      </w:r>
      <w:r w:rsidRPr="00644521">
        <w:rPr>
          <w:lang w:val="fr-FR"/>
        </w:rPr>
        <w:tab/>
        <w:t>Compte tenu des observations formulées par le Groupe de travail des explosifs (voir ST/SG/AC.10/C.3/128), le Sous-Comité s</w:t>
      </w:r>
      <w:r>
        <w:rPr>
          <w:lang w:val="fr-FR"/>
        </w:rPr>
        <w:t>’</w:t>
      </w:r>
      <w:r w:rsidRPr="00644521">
        <w:rPr>
          <w:lang w:val="fr-FR"/>
        </w:rPr>
        <w:t>est déclaré favorable au réexamen de l</w:t>
      </w:r>
      <w:r>
        <w:rPr>
          <w:lang w:val="fr-FR"/>
        </w:rPr>
        <w:t>’</w:t>
      </w:r>
      <w:r w:rsidRPr="00644521">
        <w:rPr>
          <w:lang w:val="fr-FR"/>
        </w:rPr>
        <w:t>affectation de la disposition spéciale d</w:t>
      </w:r>
      <w:r>
        <w:rPr>
          <w:lang w:val="fr-FR"/>
        </w:rPr>
        <w:t>’</w:t>
      </w:r>
      <w:r w:rsidRPr="00644521">
        <w:rPr>
          <w:lang w:val="fr-FR"/>
        </w:rPr>
        <w:t>emballage PP5 au No</w:t>
      </w:r>
      <w:r w:rsidR="00A00BF9">
        <w:rPr>
          <w:lang w:val="fr-FR"/>
        </w:rPr>
        <w:t> </w:t>
      </w:r>
      <w:r w:rsidRPr="00644521">
        <w:rPr>
          <w:lang w:val="fr-FR"/>
        </w:rPr>
        <w:t>ONU 2029 Hydrazine anhydre, sur la base d</w:t>
      </w:r>
      <w:r>
        <w:rPr>
          <w:lang w:val="fr-FR"/>
        </w:rPr>
        <w:t>’</w:t>
      </w:r>
      <w:r w:rsidRPr="00644521">
        <w:rPr>
          <w:lang w:val="fr-FR"/>
        </w:rPr>
        <w:t xml:space="preserve">une proposition formelle </w:t>
      </w:r>
      <w:r>
        <w:rPr>
          <w:lang w:val="fr-FR"/>
        </w:rPr>
        <w:t xml:space="preserve">qui serait soumis </w:t>
      </w:r>
      <w:r w:rsidRPr="00644521">
        <w:rPr>
          <w:lang w:val="fr-FR"/>
        </w:rPr>
        <w:t xml:space="preserve">à la soixante-cinquième session.  </w:t>
      </w:r>
    </w:p>
    <w:p w14:paraId="74521AF8" w14:textId="44E00587" w:rsidR="00763C94" w:rsidRPr="00644521" w:rsidRDefault="00763C94" w:rsidP="00763C94">
      <w:pPr>
        <w:pStyle w:val="SingleTxtG"/>
        <w:rPr>
          <w:lang w:val="fr-FR"/>
        </w:rPr>
      </w:pPr>
      <w:r w:rsidRPr="00644521">
        <w:rPr>
          <w:lang w:val="fr-FR"/>
        </w:rPr>
        <w:t>6.</w:t>
      </w:r>
      <w:r w:rsidRPr="00644521">
        <w:rPr>
          <w:lang w:val="fr-FR"/>
        </w:rPr>
        <w:tab/>
      </w:r>
      <w:r w:rsidRPr="00A00BF9">
        <w:rPr>
          <w:spacing w:val="-3"/>
          <w:lang w:val="fr-FR"/>
        </w:rPr>
        <w:t>Il a été noté que les récipients à pression utilisés pour le transport de liquides et de matières solides devaient être conformes aux prescriptions du 4.1.3.6. S’il est vrai que le 4.1.3.6 prévoit des conditions telles que la conformité au chapitre 6.2, une pression d’épreuve minimale, des prescriptions de remplissage et de contrôle, il ne semble pas prendre en compte l’utilisation de gaz inerte sous pression, qui est de pratique courante dans le transport d’hydrazine anhydre. Pour répondre aux préoccupations soulevées par la Chine dans ses précédentes communications concernant le confinement excessif et garantir que l’emballage est suffisamment résistant pour le transport d’hydrazine anhydre, il est proposé d’ajouter à l’instruction d’emballage P001 une nouvelle disposition spéciale d’emballage qui permette de garantir que la pression dans les récipients à pression à 65</w:t>
      </w:r>
      <w:r w:rsidR="00A00BF9" w:rsidRPr="00A00BF9">
        <w:rPr>
          <w:spacing w:val="-3"/>
          <w:lang w:val="fr-FR"/>
        </w:rPr>
        <w:t> </w:t>
      </w:r>
      <w:r w:rsidRPr="00A00BF9">
        <w:rPr>
          <w:spacing w:val="-3"/>
          <w:lang w:val="fr-FR"/>
        </w:rPr>
        <w:t xml:space="preserve">°C ne dépasse pas la pression d’épreuve. </w:t>
      </w:r>
    </w:p>
    <w:p w14:paraId="0CE18AEB" w14:textId="7B48F156" w:rsidR="00763C94" w:rsidRPr="00644521" w:rsidRDefault="00763C94" w:rsidP="00763C94">
      <w:pPr>
        <w:pStyle w:val="SingleTxtG"/>
        <w:rPr>
          <w:lang w:val="fr-FR"/>
        </w:rPr>
      </w:pPr>
      <w:r w:rsidRPr="00644521">
        <w:rPr>
          <w:lang w:val="fr-FR"/>
        </w:rPr>
        <w:t>7.</w:t>
      </w:r>
      <w:r w:rsidRPr="00644521">
        <w:rPr>
          <w:lang w:val="fr-FR"/>
        </w:rPr>
        <w:tab/>
        <w:t xml:space="preserve">Deux propositions sont présentées ci-après. La </w:t>
      </w:r>
      <w:r>
        <w:rPr>
          <w:lang w:val="fr-FR"/>
        </w:rPr>
        <w:t>première</w:t>
      </w:r>
      <w:r w:rsidRPr="00644521">
        <w:rPr>
          <w:lang w:val="fr-FR"/>
        </w:rPr>
        <w:t xml:space="preserve"> vise à supprimer du No</w:t>
      </w:r>
      <w:r w:rsidR="00A00BF9">
        <w:rPr>
          <w:lang w:val="fr-FR"/>
        </w:rPr>
        <w:t> </w:t>
      </w:r>
      <w:r w:rsidRPr="00644521">
        <w:rPr>
          <w:lang w:val="fr-FR"/>
        </w:rPr>
        <w:t>ONU</w:t>
      </w:r>
      <w:r w:rsidR="00A00BF9">
        <w:rPr>
          <w:lang w:val="fr-FR"/>
        </w:rPr>
        <w:t> </w:t>
      </w:r>
      <w:r w:rsidRPr="00644521">
        <w:rPr>
          <w:lang w:val="fr-FR"/>
        </w:rPr>
        <w:t>2029 la disposition spéciale d</w:t>
      </w:r>
      <w:r>
        <w:rPr>
          <w:lang w:val="fr-FR"/>
        </w:rPr>
        <w:t>’</w:t>
      </w:r>
      <w:r w:rsidRPr="00644521">
        <w:rPr>
          <w:lang w:val="fr-FR"/>
        </w:rPr>
        <w:t xml:space="preserve">emballage PP5, conformément au résultat des débats tenus par le Sous-Comité à la soixante-quatrième session. La </w:t>
      </w:r>
      <w:r>
        <w:rPr>
          <w:lang w:val="fr-FR"/>
        </w:rPr>
        <w:t>seconde</w:t>
      </w:r>
      <w:r w:rsidRPr="00644521">
        <w:rPr>
          <w:lang w:val="fr-FR"/>
        </w:rPr>
        <w:t xml:space="preserve"> vise à ajouter une condition relative à l</w:t>
      </w:r>
      <w:r>
        <w:rPr>
          <w:lang w:val="fr-FR"/>
        </w:rPr>
        <w:t>’</w:t>
      </w:r>
      <w:r w:rsidRPr="00644521">
        <w:rPr>
          <w:lang w:val="fr-FR"/>
        </w:rPr>
        <w:t>utilisation des récipients à pression conçus pour le transport du No</w:t>
      </w:r>
      <w:r w:rsidR="00A00BF9">
        <w:rPr>
          <w:lang w:val="fr-FR"/>
        </w:rPr>
        <w:t> </w:t>
      </w:r>
      <w:r w:rsidRPr="00644521">
        <w:rPr>
          <w:lang w:val="fr-FR"/>
        </w:rPr>
        <w:t>ONU</w:t>
      </w:r>
      <w:r w:rsidR="00A00BF9">
        <w:rPr>
          <w:lang w:val="fr-FR"/>
        </w:rPr>
        <w:t> </w:t>
      </w:r>
      <w:r w:rsidRPr="00644521">
        <w:rPr>
          <w:lang w:val="fr-FR"/>
        </w:rPr>
        <w:t>2029. Il est prévu qu</w:t>
      </w:r>
      <w:r>
        <w:rPr>
          <w:lang w:val="fr-FR"/>
        </w:rPr>
        <w:t>’</w:t>
      </w:r>
      <w:r w:rsidRPr="00644521">
        <w:rPr>
          <w:lang w:val="fr-FR"/>
        </w:rPr>
        <w:t xml:space="preserve">une décision puisse être prise séparément sur chaque proposition. </w:t>
      </w:r>
    </w:p>
    <w:p w14:paraId="439AFF5C" w14:textId="77777777" w:rsidR="00763C94" w:rsidRPr="00644521" w:rsidRDefault="00763C94" w:rsidP="00A00BF9">
      <w:pPr>
        <w:pStyle w:val="H1G"/>
        <w:rPr>
          <w:lang w:val="fr-FR"/>
        </w:rPr>
      </w:pPr>
      <w:r w:rsidRPr="00644521">
        <w:rPr>
          <w:lang w:val="fr-FR"/>
        </w:rPr>
        <w:tab/>
      </w:r>
      <w:r w:rsidRPr="00644521">
        <w:rPr>
          <w:lang w:val="fr-FR"/>
        </w:rPr>
        <w:tab/>
        <w:t>Proposition 1</w:t>
      </w:r>
      <w:bookmarkStart w:id="2" w:name="_Hlk172115510"/>
      <w:bookmarkEnd w:id="2"/>
    </w:p>
    <w:p w14:paraId="2C4349C9" w14:textId="1FA39C66" w:rsidR="00763C94" w:rsidRPr="00644521" w:rsidRDefault="00763C94" w:rsidP="00763C94">
      <w:pPr>
        <w:pStyle w:val="SingleTxtG"/>
        <w:rPr>
          <w:lang w:val="fr-FR"/>
        </w:rPr>
      </w:pPr>
      <w:r w:rsidRPr="00644521">
        <w:rPr>
          <w:lang w:val="fr-FR"/>
        </w:rPr>
        <w:t>8.</w:t>
      </w:r>
      <w:r w:rsidRPr="00644521">
        <w:rPr>
          <w:lang w:val="fr-FR"/>
        </w:rPr>
        <w:tab/>
        <w:t>Modifier comme suit les révisions concernant le No</w:t>
      </w:r>
      <w:r>
        <w:rPr>
          <w:lang w:val="fr-FR"/>
        </w:rPr>
        <w:t> </w:t>
      </w:r>
      <w:r w:rsidRPr="00644521">
        <w:rPr>
          <w:lang w:val="fr-FR"/>
        </w:rPr>
        <w:t>ONU 2029 qui figurent dans le rapport de la soixante-troisième session (voir ST/SG/AC.10/C.3/126/Add.1) :</w:t>
      </w:r>
    </w:p>
    <w:p w14:paraId="2C7263EF" w14:textId="3940D081" w:rsidR="00763C94" w:rsidRPr="00A00BF9" w:rsidRDefault="00763C94" w:rsidP="00763C94">
      <w:pPr>
        <w:pStyle w:val="Bullet1G"/>
        <w:numPr>
          <w:ilvl w:val="0"/>
          <w:numId w:val="1"/>
        </w:numPr>
        <w:rPr>
          <w:spacing w:val="2"/>
          <w:lang w:val="fr-FR"/>
        </w:rPr>
      </w:pPr>
      <w:bookmarkStart w:id="3" w:name="_Hlk172638438"/>
      <w:r w:rsidRPr="00A00BF9">
        <w:rPr>
          <w:spacing w:val="2"/>
          <w:lang w:val="fr-FR"/>
        </w:rPr>
        <w:t>Au chapitre 3.2 (Liste des marchandises dangereuses), modifier la rubrique du No</w:t>
      </w:r>
      <w:r w:rsidRPr="00A00BF9">
        <w:rPr>
          <w:spacing w:val="2"/>
          <w:lang w:val="fr-FR"/>
        </w:rPr>
        <w:t> </w:t>
      </w:r>
      <w:r w:rsidRPr="00A00BF9">
        <w:rPr>
          <w:spacing w:val="2"/>
          <w:lang w:val="fr-FR"/>
        </w:rPr>
        <w:t xml:space="preserve">ONU 2029 en supprimant la disposition spéciale d’emballage PP5 dans la colonne (9) ; </w:t>
      </w:r>
    </w:p>
    <w:p w14:paraId="3B709F57" w14:textId="58F03CC5" w:rsidR="00763C94" w:rsidRPr="00644521" w:rsidRDefault="00763C94" w:rsidP="00763C94">
      <w:pPr>
        <w:pStyle w:val="Bullet1G"/>
        <w:numPr>
          <w:ilvl w:val="0"/>
          <w:numId w:val="1"/>
        </w:numPr>
        <w:rPr>
          <w:lang w:val="fr-FR"/>
        </w:rPr>
      </w:pPr>
      <w:bookmarkStart w:id="4" w:name="_Hlk174965393"/>
      <w:bookmarkEnd w:id="3"/>
      <w:r w:rsidRPr="00644521">
        <w:rPr>
          <w:lang w:val="fr-FR"/>
        </w:rPr>
        <w:t>Dans l</w:t>
      </w:r>
      <w:r>
        <w:rPr>
          <w:lang w:val="fr-FR"/>
        </w:rPr>
        <w:t>’</w:t>
      </w:r>
      <w:r w:rsidRPr="00644521">
        <w:rPr>
          <w:lang w:val="fr-FR"/>
        </w:rPr>
        <w:t>instruction d</w:t>
      </w:r>
      <w:r>
        <w:rPr>
          <w:lang w:val="fr-FR"/>
        </w:rPr>
        <w:t>’</w:t>
      </w:r>
      <w:r w:rsidRPr="00644521">
        <w:rPr>
          <w:lang w:val="fr-FR"/>
        </w:rPr>
        <w:t xml:space="preserve">emballage P001 du 4.1.4.1 </w:t>
      </w:r>
      <w:r>
        <w:rPr>
          <w:lang w:val="fr-FR"/>
        </w:rPr>
        <w:t>(</w:t>
      </w:r>
      <w:r w:rsidRPr="00644521">
        <w:rPr>
          <w:lang w:val="fr-FR"/>
        </w:rPr>
        <w:t>chapitre 4.1</w:t>
      </w:r>
      <w:r>
        <w:rPr>
          <w:lang w:val="fr-FR"/>
        </w:rPr>
        <w:t>)</w:t>
      </w:r>
      <w:r w:rsidRPr="00644521">
        <w:rPr>
          <w:lang w:val="fr-FR"/>
        </w:rPr>
        <w:t>, modifier la disposition spéciale d</w:t>
      </w:r>
      <w:r>
        <w:rPr>
          <w:lang w:val="fr-FR"/>
        </w:rPr>
        <w:t>’</w:t>
      </w:r>
      <w:r w:rsidRPr="00644521">
        <w:rPr>
          <w:lang w:val="fr-FR"/>
        </w:rPr>
        <w:t xml:space="preserve">emballage PP5 en remplaçant </w:t>
      </w:r>
      <w:r>
        <w:rPr>
          <w:lang w:val="fr-FR"/>
        </w:rPr>
        <w:t>« </w:t>
      </w:r>
      <w:r w:rsidRPr="00644521">
        <w:rPr>
          <w:lang w:val="fr-FR"/>
        </w:rPr>
        <w:t>les Nos</w:t>
      </w:r>
      <w:r w:rsidR="00A00BF9">
        <w:rPr>
          <w:lang w:val="fr-FR"/>
        </w:rPr>
        <w:t> </w:t>
      </w:r>
      <w:r w:rsidRPr="00644521">
        <w:rPr>
          <w:lang w:val="fr-FR"/>
        </w:rPr>
        <w:t>ONU 1204 et 2029</w:t>
      </w:r>
      <w:r>
        <w:rPr>
          <w:lang w:val="fr-FR"/>
        </w:rPr>
        <w:t> »</w:t>
      </w:r>
      <w:r w:rsidRPr="00644521">
        <w:rPr>
          <w:lang w:val="fr-FR"/>
        </w:rPr>
        <w:t xml:space="preserve"> par </w:t>
      </w:r>
      <w:r>
        <w:rPr>
          <w:lang w:val="fr-FR"/>
        </w:rPr>
        <w:t>« </w:t>
      </w:r>
      <w:r w:rsidRPr="00644521">
        <w:rPr>
          <w:lang w:val="fr-FR"/>
        </w:rPr>
        <w:t>le</w:t>
      </w:r>
      <w:r>
        <w:rPr>
          <w:lang w:val="fr-FR"/>
        </w:rPr>
        <w:t> </w:t>
      </w:r>
      <w:r w:rsidRPr="00644521">
        <w:rPr>
          <w:lang w:val="fr-FR"/>
        </w:rPr>
        <w:t>No</w:t>
      </w:r>
      <w:r>
        <w:rPr>
          <w:lang w:val="fr-FR"/>
        </w:rPr>
        <w:t> </w:t>
      </w:r>
      <w:r w:rsidRPr="00644521">
        <w:rPr>
          <w:lang w:val="fr-FR"/>
        </w:rPr>
        <w:t>ONU 1204</w:t>
      </w:r>
      <w:r>
        <w:rPr>
          <w:lang w:val="fr-FR"/>
        </w:rPr>
        <w:t> » ;</w:t>
      </w:r>
      <w:r w:rsidRPr="00644521">
        <w:rPr>
          <w:lang w:val="fr-FR"/>
        </w:rPr>
        <w:t xml:space="preserve"> </w:t>
      </w:r>
      <w:bookmarkEnd w:id="4"/>
    </w:p>
    <w:p w14:paraId="6A9DAC70" w14:textId="77777777" w:rsidR="00763C94" w:rsidRPr="00644521" w:rsidRDefault="00763C94" w:rsidP="00763C94">
      <w:pPr>
        <w:pStyle w:val="Bullet1G"/>
        <w:numPr>
          <w:ilvl w:val="0"/>
          <w:numId w:val="1"/>
        </w:numPr>
        <w:rPr>
          <w:lang w:val="fr-FR"/>
        </w:rPr>
      </w:pPr>
      <w:r w:rsidRPr="00644521">
        <w:rPr>
          <w:lang w:val="fr-FR"/>
        </w:rPr>
        <w:t>Dans la liste des marchandises dangereuses du chapitre 3.2, l</w:t>
      </w:r>
      <w:r>
        <w:rPr>
          <w:lang w:val="fr-FR"/>
        </w:rPr>
        <w:t>’</w:t>
      </w:r>
      <w:r w:rsidRPr="00644521">
        <w:rPr>
          <w:lang w:val="fr-FR"/>
        </w:rPr>
        <w:t>affectation de la disposition spéciale 132 est maintenue telle que proposée dans le document informel INF.27 de la soixante-troisième session.</w:t>
      </w:r>
    </w:p>
    <w:p w14:paraId="3DED2ABE" w14:textId="77777777" w:rsidR="00763C94" w:rsidRPr="00644521" w:rsidRDefault="00763C94" w:rsidP="00763C94">
      <w:pPr>
        <w:pStyle w:val="H1G"/>
        <w:rPr>
          <w:lang w:val="fr-FR"/>
        </w:rPr>
      </w:pPr>
      <w:r w:rsidRPr="00644521">
        <w:rPr>
          <w:lang w:val="fr-FR"/>
        </w:rPr>
        <w:tab/>
      </w:r>
      <w:r w:rsidRPr="00644521">
        <w:rPr>
          <w:lang w:val="fr-FR"/>
        </w:rPr>
        <w:tab/>
        <w:t>Proposition 2</w:t>
      </w:r>
    </w:p>
    <w:p w14:paraId="4E8D7DA2" w14:textId="06D4E5FE" w:rsidR="00763C94" w:rsidRPr="00644521" w:rsidRDefault="00763C94" w:rsidP="00763C94">
      <w:pPr>
        <w:pStyle w:val="SingleTxtG"/>
        <w:ind w:left="1494" w:hanging="360"/>
        <w:rPr>
          <w:lang w:val="fr-FR"/>
        </w:rPr>
      </w:pPr>
      <w:r w:rsidRPr="00644521">
        <w:rPr>
          <w:lang w:val="fr-FR"/>
        </w:rPr>
        <w:t>9.</w:t>
      </w:r>
      <w:r w:rsidRPr="00644521">
        <w:rPr>
          <w:lang w:val="fr-FR"/>
        </w:rPr>
        <w:tab/>
        <w:t>Dans l</w:t>
      </w:r>
      <w:r>
        <w:rPr>
          <w:lang w:val="fr-FR"/>
        </w:rPr>
        <w:t>’</w:t>
      </w:r>
      <w:r w:rsidRPr="00644521">
        <w:rPr>
          <w:lang w:val="fr-FR"/>
        </w:rPr>
        <w:t>instruction d</w:t>
      </w:r>
      <w:r>
        <w:rPr>
          <w:lang w:val="fr-FR"/>
        </w:rPr>
        <w:t>’</w:t>
      </w:r>
      <w:r w:rsidRPr="00644521">
        <w:rPr>
          <w:lang w:val="fr-FR"/>
        </w:rPr>
        <w:t>emballage P001 du 4.1.4.1, ajouter la nouvelle disposition spéciale d</w:t>
      </w:r>
      <w:r>
        <w:rPr>
          <w:lang w:val="fr-FR"/>
        </w:rPr>
        <w:t>’</w:t>
      </w:r>
      <w:r w:rsidRPr="00644521">
        <w:rPr>
          <w:lang w:val="fr-FR"/>
        </w:rPr>
        <w:t>emballage PPXX ci-après, affectée au N</w:t>
      </w:r>
      <w:r>
        <w:rPr>
          <w:lang w:val="fr-FR"/>
        </w:rPr>
        <w:t>o </w:t>
      </w:r>
      <w:r w:rsidRPr="00644521">
        <w:rPr>
          <w:lang w:val="fr-FR"/>
        </w:rPr>
        <w:t xml:space="preserve">ONU 2029 : </w:t>
      </w:r>
    </w:p>
    <w:p w14:paraId="25199C0D" w14:textId="3DC00EC0" w:rsidR="00763C94" w:rsidRPr="00644521" w:rsidRDefault="00763C94" w:rsidP="00763C94">
      <w:pPr>
        <w:pStyle w:val="SingleTxtG"/>
        <w:ind w:left="1494"/>
        <w:rPr>
          <w:rStyle w:val="ui-provider"/>
          <w:lang w:val="fr-FR"/>
        </w:rPr>
      </w:pPr>
      <w:r w:rsidRPr="00644521">
        <w:rPr>
          <w:lang w:val="fr-FR"/>
        </w:rPr>
        <w:t>«</w:t>
      </w:r>
      <w:r>
        <w:rPr>
          <w:lang w:val="fr-FR"/>
        </w:rPr>
        <w:t> </w:t>
      </w:r>
      <w:r w:rsidRPr="00644521">
        <w:rPr>
          <w:lang w:val="fr-FR"/>
        </w:rPr>
        <w:t>PPXX</w:t>
      </w:r>
      <w:r w:rsidRPr="00644521">
        <w:rPr>
          <w:lang w:val="fr-FR"/>
        </w:rPr>
        <w:tab/>
        <w:t>Pour le N</w:t>
      </w:r>
      <w:r>
        <w:rPr>
          <w:lang w:val="fr-FR"/>
        </w:rPr>
        <w:t>o </w:t>
      </w:r>
      <w:r w:rsidRPr="00644521">
        <w:rPr>
          <w:lang w:val="fr-FR"/>
        </w:rPr>
        <w:t>ONU 2029, lorsqu</w:t>
      </w:r>
      <w:r>
        <w:rPr>
          <w:lang w:val="fr-FR"/>
        </w:rPr>
        <w:t>’</w:t>
      </w:r>
      <w:r w:rsidRPr="00644521">
        <w:rPr>
          <w:lang w:val="fr-FR"/>
        </w:rPr>
        <w:t>un récipient à pression est utilisé, la pression intérieure à 65</w:t>
      </w:r>
      <w:r w:rsidR="00A00BF9">
        <w:rPr>
          <w:lang w:val="fr-FR"/>
        </w:rPr>
        <w:t> </w:t>
      </w:r>
      <w:r w:rsidRPr="00644521">
        <w:rPr>
          <w:lang w:val="fr-FR"/>
        </w:rPr>
        <w:t>°C ne doit pas dépasser la pression d</w:t>
      </w:r>
      <w:r>
        <w:rPr>
          <w:lang w:val="fr-FR"/>
        </w:rPr>
        <w:t>’</w:t>
      </w:r>
      <w:r w:rsidRPr="00644521">
        <w:rPr>
          <w:lang w:val="fr-FR"/>
        </w:rPr>
        <w:t>épreuve</w:t>
      </w:r>
      <w:r w:rsidR="00A00BF9">
        <w:rPr>
          <w:lang w:val="fr-FR"/>
        </w:rPr>
        <w:t>.</w:t>
      </w:r>
      <w:r>
        <w:rPr>
          <w:lang w:val="fr-FR"/>
        </w:rPr>
        <w:t> »</w:t>
      </w:r>
      <w:r w:rsidRPr="00644521">
        <w:rPr>
          <w:lang w:val="fr-FR"/>
        </w:rPr>
        <w:t xml:space="preserve">. </w:t>
      </w:r>
    </w:p>
    <w:p w14:paraId="62845D49" w14:textId="77777777" w:rsidR="00763C94" w:rsidRPr="00644521" w:rsidRDefault="00763C94" w:rsidP="00763C94">
      <w:pPr>
        <w:pStyle w:val="HChG"/>
        <w:rPr>
          <w:lang w:val="fr-FR"/>
        </w:rPr>
      </w:pPr>
      <w:r w:rsidRPr="00644521">
        <w:rPr>
          <w:lang w:val="fr-FR"/>
        </w:rPr>
        <w:tab/>
        <w:t>III.</w:t>
      </w:r>
      <w:r w:rsidRPr="00644521">
        <w:rPr>
          <w:lang w:val="fr-FR"/>
        </w:rPr>
        <w:tab/>
        <w:t>Objectifs de développement durable</w:t>
      </w:r>
    </w:p>
    <w:p w14:paraId="0AFBAD10" w14:textId="6EC24EFA" w:rsidR="00763C94" w:rsidRPr="00644521" w:rsidRDefault="00763C94" w:rsidP="00763C94">
      <w:pPr>
        <w:pStyle w:val="SingleTxtG"/>
        <w:rPr>
          <w:lang w:val="fr-FR"/>
        </w:rPr>
      </w:pPr>
      <w:r w:rsidRPr="00644521">
        <w:rPr>
          <w:lang w:val="fr-FR"/>
        </w:rPr>
        <w:t>10.</w:t>
      </w:r>
      <w:r w:rsidRPr="00644521">
        <w:rPr>
          <w:lang w:val="fr-FR"/>
        </w:rPr>
        <w:tab/>
        <w:t>Le présent document concourt à la réalisation de l</w:t>
      </w:r>
      <w:r>
        <w:rPr>
          <w:lang w:val="fr-FR"/>
        </w:rPr>
        <w:t>’</w:t>
      </w:r>
      <w:r w:rsidRPr="00644521">
        <w:rPr>
          <w:lang w:val="fr-FR"/>
        </w:rPr>
        <w:t>objectif de développement durable</w:t>
      </w:r>
      <w:r w:rsidR="00A00BF9">
        <w:rPr>
          <w:lang w:val="fr-FR"/>
        </w:rPr>
        <w:t> </w:t>
      </w:r>
      <w:r w:rsidRPr="00644521">
        <w:rPr>
          <w:lang w:val="fr-FR"/>
        </w:rPr>
        <w:t>n</w:t>
      </w:r>
      <w:r w:rsidRPr="00644521">
        <w:rPr>
          <w:vertAlign w:val="superscript"/>
          <w:lang w:val="fr-FR"/>
        </w:rPr>
        <w:t>o</w:t>
      </w:r>
      <w:r w:rsidRPr="00644521">
        <w:rPr>
          <w:lang w:val="fr-FR"/>
        </w:rPr>
        <w:t> 16 (Paix, justice et institutions efficaces), en particulier de la cible</w:t>
      </w:r>
      <w:r w:rsidR="00A00BF9">
        <w:rPr>
          <w:lang w:val="fr-FR"/>
        </w:rPr>
        <w:t> </w:t>
      </w:r>
      <w:r w:rsidRPr="00644521">
        <w:rPr>
          <w:lang w:val="fr-FR"/>
        </w:rPr>
        <w:t>16.6 (Mettre en place des institutions efficaces, responsables et transparentes à tous les niveaux).</w:t>
      </w:r>
    </w:p>
    <w:p w14:paraId="2DBE4EC0" w14:textId="3087E577" w:rsidR="00446FE5" w:rsidRPr="00763C94" w:rsidRDefault="00763C94" w:rsidP="00763C94">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446FE5" w:rsidRPr="00763C94" w:rsidSect="00763C9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821" w14:textId="77777777" w:rsidR="00F0389D" w:rsidRDefault="00F0389D" w:rsidP="00F95C08">
      <w:pPr>
        <w:spacing w:line="240" w:lineRule="auto"/>
      </w:pPr>
    </w:p>
  </w:endnote>
  <w:endnote w:type="continuationSeparator" w:id="0">
    <w:p w14:paraId="29301769" w14:textId="77777777" w:rsidR="00F0389D" w:rsidRPr="00AC3823" w:rsidRDefault="00F0389D" w:rsidP="00AC3823">
      <w:pPr>
        <w:pStyle w:val="Pieddepage"/>
      </w:pPr>
    </w:p>
  </w:endnote>
  <w:endnote w:type="continuationNotice" w:id="1">
    <w:p w14:paraId="31E5F6F0" w14:textId="77777777" w:rsidR="00F0389D" w:rsidRDefault="00F038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0469" w14:textId="39F68C53" w:rsidR="00763C94" w:rsidRPr="00763C94" w:rsidRDefault="00763C94" w:rsidP="00763C94">
    <w:pPr>
      <w:pStyle w:val="Pieddepage"/>
      <w:tabs>
        <w:tab w:val="right" w:pos="9638"/>
      </w:tabs>
    </w:pPr>
    <w:r w:rsidRPr="00763C94">
      <w:rPr>
        <w:b/>
        <w:sz w:val="18"/>
      </w:rPr>
      <w:fldChar w:fldCharType="begin"/>
    </w:r>
    <w:r w:rsidRPr="00763C94">
      <w:rPr>
        <w:b/>
        <w:sz w:val="18"/>
      </w:rPr>
      <w:instrText xml:space="preserve"> PAGE  \* MERGEFORMAT </w:instrText>
    </w:r>
    <w:r w:rsidRPr="00763C94">
      <w:rPr>
        <w:b/>
        <w:sz w:val="18"/>
      </w:rPr>
      <w:fldChar w:fldCharType="separate"/>
    </w:r>
    <w:r w:rsidRPr="00763C94">
      <w:rPr>
        <w:b/>
        <w:noProof/>
        <w:sz w:val="18"/>
      </w:rPr>
      <w:t>2</w:t>
    </w:r>
    <w:r w:rsidRPr="00763C94">
      <w:rPr>
        <w:b/>
        <w:sz w:val="18"/>
      </w:rPr>
      <w:fldChar w:fldCharType="end"/>
    </w:r>
    <w:r>
      <w:rPr>
        <w:b/>
        <w:sz w:val="18"/>
      </w:rPr>
      <w:tab/>
    </w:r>
    <w:r>
      <w:t>GE.24-16637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C8E5" w14:textId="1B50B38A" w:rsidR="00763C94" w:rsidRPr="00763C94" w:rsidRDefault="00763C94" w:rsidP="00763C94">
    <w:pPr>
      <w:pStyle w:val="Pieddepage"/>
      <w:tabs>
        <w:tab w:val="right" w:pos="9638"/>
      </w:tabs>
      <w:rPr>
        <w:b/>
        <w:sz w:val="18"/>
      </w:rPr>
    </w:pPr>
    <w:r>
      <w:t>GE.24-16637</w:t>
    </w:r>
    <w:r>
      <w:tab/>
    </w:r>
    <w:r w:rsidRPr="00763C94">
      <w:rPr>
        <w:b/>
        <w:sz w:val="18"/>
      </w:rPr>
      <w:fldChar w:fldCharType="begin"/>
    </w:r>
    <w:r w:rsidRPr="00763C94">
      <w:rPr>
        <w:b/>
        <w:sz w:val="18"/>
      </w:rPr>
      <w:instrText xml:space="preserve"> PAGE  \* MERGEFORMAT </w:instrText>
    </w:r>
    <w:r w:rsidRPr="00763C94">
      <w:rPr>
        <w:b/>
        <w:sz w:val="18"/>
      </w:rPr>
      <w:fldChar w:fldCharType="separate"/>
    </w:r>
    <w:r w:rsidRPr="00763C94">
      <w:rPr>
        <w:b/>
        <w:noProof/>
        <w:sz w:val="18"/>
      </w:rPr>
      <w:t>3</w:t>
    </w:r>
    <w:r w:rsidRPr="00763C9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E4BE" w14:textId="31829E32" w:rsidR="0068456F" w:rsidRPr="00763C94" w:rsidRDefault="00763C94" w:rsidP="00763C94">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21567BB2" wp14:editId="68C21F7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24-16637  (F)</w:t>
    </w:r>
    <w:r>
      <w:rPr>
        <w:noProof/>
        <w:sz w:val="20"/>
      </w:rPr>
      <w:drawing>
        <wp:anchor distT="0" distB="0" distL="114300" distR="114300" simplePos="0" relativeHeight="251660288" behindDoc="0" locked="0" layoutInCell="1" allowOverlap="1" wp14:anchorId="54214198" wp14:editId="154F7AD5">
          <wp:simplePos x="0" y="0"/>
          <wp:positionH relativeFrom="margin">
            <wp:posOffset>5489575</wp:posOffset>
          </wp:positionH>
          <wp:positionV relativeFrom="margin">
            <wp:posOffset>8891905</wp:posOffset>
          </wp:positionV>
          <wp:extent cx="628650" cy="628650"/>
          <wp:effectExtent l="0" t="0" r="0" b="0"/>
          <wp:wrapNone/>
          <wp:docPr id="14044155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270924    270924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998D" w14:textId="77777777" w:rsidR="00F0389D" w:rsidRPr="00AC3823" w:rsidRDefault="00F0389D" w:rsidP="00AC3823">
      <w:pPr>
        <w:pStyle w:val="Pieddepage"/>
        <w:tabs>
          <w:tab w:val="right" w:pos="2155"/>
        </w:tabs>
        <w:spacing w:after="80" w:line="240" w:lineRule="atLeast"/>
        <w:ind w:left="680"/>
        <w:rPr>
          <w:u w:val="single"/>
        </w:rPr>
      </w:pPr>
      <w:r>
        <w:rPr>
          <w:u w:val="single"/>
        </w:rPr>
        <w:tab/>
      </w:r>
    </w:p>
  </w:footnote>
  <w:footnote w:type="continuationSeparator" w:id="0">
    <w:p w14:paraId="42444528" w14:textId="77777777" w:rsidR="00F0389D" w:rsidRPr="00AC3823" w:rsidRDefault="00F0389D" w:rsidP="00AC3823">
      <w:pPr>
        <w:pStyle w:val="Pieddepage"/>
        <w:tabs>
          <w:tab w:val="right" w:pos="2155"/>
        </w:tabs>
        <w:spacing w:after="80" w:line="240" w:lineRule="atLeast"/>
        <w:ind w:left="680"/>
        <w:rPr>
          <w:u w:val="single"/>
        </w:rPr>
      </w:pPr>
      <w:r>
        <w:rPr>
          <w:u w:val="single"/>
        </w:rPr>
        <w:tab/>
      </w:r>
    </w:p>
  </w:footnote>
  <w:footnote w:type="continuationNotice" w:id="1">
    <w:p w14:paraId="26DF2F90" w14:textId="77777777" w:rsidR="00F0389D" w:rsidRPr="00AC3823" w:rsidRDefault="00F0389D">
      <w:pPr>
        <w:spacing w:line="240" w:lineRule="auto"/>
        <w:rPr>
          <w:sz w:val="2"/>
          <w:szCs w:val="2"/>
        </w:rPr>
      </w:pPr>
    </w:p>
  </w:footnote>
  <w:footnote w:id="2">
    <w:p w14:paraId="742AF5BB" w14:textId="77777777" w:rsidR="00763C94" w:rsidRPr="00746CAF" w:rsidRDefault="00763C94" w:rsidP="00763C94">
      <w:pPr>
        <w:pStyle w:val="Notedebasdepage"/>
      </w:pPr>
      <w:r>
        <w:rPr>
          <w:lang w:val="fr-FR"/>
        </w:rPr>
        <w:tab/>
      </w:r>
      <w:r w:rsidRPr="00763C94">
        <w:rPr>
          <w:sz w:val="20"/>
          <w:lang w:val="fr-FR"/>
        </w:rPr>
        <w:t>*</w:t>
      </w:r>
      <w:r>
        <w:rPr>
          <w:lang w:val="fr-FR"/>
        </w:rPr>
        <w:tab/>
        <w:t>A/78/6 (Sect. 20), tableau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E03B" w14:textId="52CE9DBB" w:rsidR="00763C94" w:rsidRPr="00763C94" w:rsidRDefault="00763C94">
    <w:pPr>
      <w:pStyle w:val="En-tte"/>
    </w:pPr>
    <w:fldSimple w:instr=" TITLE  \* MERGEFORMAT ">
      <w:r>
        <w:t>ST/SG/AC.10/C.3/2024/102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0DF7" w14:textId="2F3AB1E3" w:rsidR="00763C94" w:rsidRPr="00763C94" w:rsidRDefault="00763C94" w:rsidP="00763C94">
    <w:pPr>
      <w:pStyle w:val="En-tte"/>
      <w:jc w:val="right"/>
    </w:pPr>
    <w:fldSimple w:instr=" TITLE  \* MERGEFORMAT ">
      <w:r>
        <w:t>ST/SG/AC.10/C.3/2024/102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4F9269A"/>
    <w:multiLevelType w:val="hybridMultilevel"/>
    <w:tmpl w:val="99D88EE4"/>
    <w:lvl w:ilvl="0" w:tplc="9C249192">
      <w:start w:val="1"/>
      <w:numFmt w:val="decimal"/>
      <w:lvlText w:val="%1."/>
      <w:lvlJc w:val="left"/>
      <w:pPr>
        <w:ind w:left="1494" w:hanging="360"/>
      </w:pPr>
      <w:rPr>
        <w:rFonts w:ascii="Times New Roman" w:hAnsi="Times New Roman" w:cs="Times New Roman" w:hint="default"/>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374115126">
    <w:abstractNumId w:val="13"/>
  </w:num>
  <w:num w:numId="2" w16cid:durableId="487018892">
    <w:abstractNumId w:val="12"/>
  </w:num>
  <w:num w:numId="3" w16cid:durableId="1438913710">
    <w:abstractNumId w:val="10"/>
  </w:num>
  <w:num w:numId="4" w16cid:durableId="1537768304">
    <w:abstractNumId w:val="8"/>
  </w:num>
  <w:num w:numId="5" w16cid:durableId="799107255">
    <w:abstractNumId w:val="3"/>
  </w:num>
  <w:num w:numId="6" w16cid:durableId="1016736991">
    <w:abstractNumId w:val="2"/>
  </w:num>
  <w:num w:numId="7" w16cid:durableId="1924098810">
    <w:abstractNumId w:val="1"/>
  </w:num>
  <w:num w:numId="8" w16cid:durableId="1035693940">
    <w:abstractNumId w:val="0"/>
  </w:num>
  <w:num w:numId="9" w16cid:durableId="1263414351">
    <w:abstractNumId w:val="9"/>
  </w:num>
  <w:num w:numId="10" w16cid:durableId="588388211">
    <w:abstractNumId w:val="7"/>
  </w:num>
  <w:num w:numId="11" w16cid:durableId="382489759">
    <w:abstractNumId w:val="6"/>
  </w:num>
  <w:num w:numId="12" w16cid:durableId="965543034">
    <w:abstractNumId w:val="5"/>
  </w:num>
  <w:num w:numId="13" w16cid:durableId="388119318">
    <w:abstractNumId w:val="4"/>
  </w:num>
  <w:num w:numId="14" w16cid:durableId="784543172">
    <w:abstractNumId w:val="13"/>
  </w:num>
  <w:num w:numId="15" w16cid:durableId="308751515">
    <w:abstractNumId w:val="12"/>
  </w:num>
  <w:num w:numId="16" w16cid:durableId="409666049">
    <w:abstractNumId w:val="10"/>
  </w:num>
  <w:num w:numId="17" w16cid:durableId="853766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9D"/>
    <w:rsid w:val="00017F94"/>
    <w:rsid w:val="00023842"/>
    <w:rsid w:val="000305D3"/>
    <w:rsid w:val="000334F9"/>
    <w:rsid w:val="0007796D"/>
    <w:rsid w:val="000B7790"/>
    <w:rsid w:val="00111F2F"/>
    <w:rsid w:val="00132EA9"/>
    <w:rsid w:val="0014365E"/>
    <w:rsid w:val="00172E49"/>
    <w:rsid w:val="00176178"/>
    <w:rsid w:val="00176536"/>
    <w:rsid w:val="001F525A"/>
    <w:rsid w:val="00223272"/>
    <w:rsid w:val="0024779E"/>
    <w:rsid w:val="00283190"/>
    <w:rsid w:val="002832AC"/>
    <w:rsid w:val="002D7C93"/>
    <w:rsid w:val="00441C3B"/>
    <w:rsid w:val="00446FE5"/>
    <w:rsid w:val="00452396"/>
    <w:rsid w:val="004E468C"/>
    <w:rsid w:val="005505B7"/>
    <w:rsid w:val="00573BE5"/>
    <w:rsid w:val="00584DC4"/>
    <w:rsid w:val="00586ED3"/>
    <w:rsid w:val="00596AA9"/>
    <w:rsid w:val="0065342E"/>
    <w:rsid w:val="0068456F"/>
    <w:rsid w:val="0071601D"/>
    <w:rsid w:val="00763C94"/>
    <w:rsid w:val="007A62E6"/>
    <w:rsid w:val="0080684C"/>
    <w:rsid w:val="008123E0"/>
    <w:rsid w:val="00871C75"/>
    <w:rsid w:val="008776DC"/>
    <w:rsid w:val="008B40CD"/>
    <w:rsid w:val="009705C8"/>
    <w:rsid w:val="009C1CF4"/>
    <w:rsid w:val="00A00BF9"/>
    <w:rsid w:val="00A30353"/>
    <w:rsid w:val="00A81281"/>
    <w:rsid w:val="00AC3823"/>
    <w:rsid w:val="00AE323C"/>
    <w:rsid w:val="00B00181"/>
    <w:rsid w:val="00B00B0D"/>
    <w:rsid w:val="00B765F7"/>
    <w:rsid w:val="00BA0CA9"/>
    <w:rsid w:val="00C02897"/>
    <w:rsid w:val="00D3439C"/>
    <w:rsid w:val="00DB1831"/>
    <w:rsid w:val="00DD3BFD"/>
    <w:rsid w:val="00DF6678"/>
    <w:rsid w:val="00EF2E22"/>
    <w:rsid w:val="00F01738"/>
    <w:rsid w:val="00F0389D"/>
    <w:rsid w:val="00F660DF"/>
    <w:rsid w:val="00F730C8"/>
    <w:rsid w:val="00F95C08"/>
    <w:rsid w:val="00FE676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3297"/>
  <w15:docId w15:val="{06FF368A-EA95-46B2-8DD7-4B329535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rsid w:val="00763C94"/>
    <w:rPr>
      <w:rFonts w:ascii="Times New Roman" w:eastAsiaTheme="minorHAnsi" w:hAnsi="Times New Roman" w:cs="Times New Roman"/>
      <w:b/>
      <w:sz w:val="28"/>
      <w:szCs w:val="20"/>
      <w:lang w:eastAsia="en-US"/>
    </w:rPr>
  </w:style>
  <w:style w:type="character" w:customStyle="1" w:styleId="H1GChar">
    <w:name w:val="_ H_1_G Char"/>
    <w:link w:val="H1G"/>
    <w:rsid w:val="00763C94"/>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763C94"/>
    <w:rPr>
      <w:rFonts w:ascii="Times New Roman" w:eastAsiaTheme="minorHAnsi" w:hAnsi="Times New Roman" w:cs="Times New Roman"/>
      <w:sz w:val="20"/>
      <w:szCs w:val="20"/>
      <w:lang w:eastAsia="en-US"/>
    </w:rPr>
  </w:style>
  <w:style w:type="character" w:customStyle="1" w:styleId="ui-provider">
    <w:name w:val="ui-provider"/>
    <w:basedOn w:val="Policepardfaut"/>
    <w:rsid w:val="0076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3CC5C-32B8-47DB-AB43-5E7000EDB815}"/>
</file>

<file path=customXml/itemProps2.xml><?xml version="1.0" encoding="utf-8"?>
<ds:datastoreItem xmlns:ds="http://schemas.openxmlformats.org/officeDocument/2006/customXml" ds:itemID="{550C50C0-0FBA-47AF-B20E-19032AA2F69F}"/>
</file>

<file path=docProps/app.xml><?xml version="1.0" encoding="utf-8"?>
<Properties xmlns="http://schemas.openxmlformats.org/officeDocument/2006/extended-properties" xmlns:vt="http://schemas.openxmlformats.org/officeDocument/2006/docPropsVTypes">
  <Template>ST.dotm</Template>
  <TotalTime>0</TotalTime>
  <Pages>2</Pages>
  <Words>699</Words>
  <Characters>5358</Characters>
  <Application>Microsoft Office Word</Application>
  <DocSecurity>0</DocSecurity>
  <Lines>1786</Lines>
  <Paragraphs>504</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ST/SG/AC.10/C.3/2024/102</dc:title>
  <dc:subject/>
  <dc:creator>Estelle-Delphine DITTA</dc:creator>
  <cp:keywords/>
  <cp:lastModifiedBy>Estelle Ditta</cp:lastModifiedBy>
  <cp:revision>2</cp:revision>
  <cp:lastPrinted>2014-05-14T10:59:00Z</cp:lastPrinted>
  <dcterms:created xsi:type="dcterms:W3CDTF">2024-09-27T14:47:00Z</dcterms:created>
  <dcterms:modified xsi:type="dcterms:W3CDTF">2024-09-27T14:47:00Z</dcterms:modified>
</cp:coreProperties>
</file>