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42" w:rightFromText="142" w:vertAnchor="page" w:horzAnchor="page" w:tblpX="1135" w:tblpY="568"/>
        <w:tblOverlap w:val="never"/>
        <w:tblW w:w="9639" w:type="dxa"/>
        <w:tblLayout w:type="fixed"/>
        <w:tblLook w:val="01E0" w:firstRow="1" w:lastRow="1" w:firstColumn="1" w:lastColumn="1" w:noHBand="0" w:noVBand="0"/>
      </w:tblPr>
      <w:tblGrid>
        <w:gridCol w:w="1259"/>
        <w:gridCol w:w="2236"/>
        <w:gridCol w:w="3214"/>
        <w:gridCol w:w="2930"/>
      </w:tblGrid>
      <w:tr w:rsidR="00963CBA" w:rsidRPr="006500BA" w14:paraId="0148AE06" w14:textId="77777777" w:rsidTr="009F0F06">
        <w:trPr>
          <w:trHeight w:val="851"/>
        </w:trPr>
        <w:tc>
          <w:tcPr>
            <w:tcW w:w="1259" w:type="dxa"/>
            <w:tcBorders>
              <w:top w:val="nil"/>
              <w:left w:val="nil"/>
              <w:bottom w:val="single" w:sz="4" w:space="0" w:color="auto"/>
              <w:right w:val="nil"/>
            </w:tcBorders>
          </w:tcPr>
          <w:p w14:paraId="444082F3" w14:textId="77777777" w:rsidR="00446DE4" w:rsidRPr="006500BA" w:rsidRDefault="00446DE4" w:rsidP="00F54674">
            <w:pPr>
              <w:spacing w:after="80" w:line="340" w:lineRule="exact"/>
            </w:pPr>
          </w:p>
        </w:tc>
        <w:tc>
          <w:tcPr>
            <w:tcW w:w="2236" w:type="dxa"/>
            <w:tcBorders>
              <w:top w:val="nil"/>
              <w:left w:val="nil"/>
              <w:bottom w:val="single" w:sz="4" w:space="0" w:color="auto"/>
              <w:right w:val="nil"/>
            </w:tcBorders>
            <w:vAlign w:val="bottom"/>
          </w:tcPr>
          <w:p w14:paraId="79EC812F" w14:textId="77777777" w:rsidR="00446DE4" w:rsidRPr="006500BA" w:rsidRDefault="00B3317B" w:rsidP="00F54674">
            <w:pPr>
              <w:spacing w:after="80" w:line="340" w:lineRule="exact"/>
              <w:rPr>
                <w:sz w:val="28"/>
                <w:szCs w:val="28"/>
              </w:rPr>
            </w:pPr>
            <w:r w:rsidRPr="006500BA">
              <w:rPr>
                <w:sz w:val="28"/>
                <w:szCs w:val="28"/>
              </w:rPr>
              <w:t>United Nations</w:t>
            </w:r>
          </w:p>
        </w:tc>
        <w:tc>
          <w:tcPr>
            <w:tcW w:w="6144" w:type="dxa"/>
            <w:gridSpan w:val="2"/>
            <w:tcBorders>
              <w:top w:val="nil"/>
              <w:left w:val="nil"/>
              <w:bottom w:val="single" w:sz="4" w:space="0" w:color="auto"/>
              <w:right w:val="nil"/>
            </w:tcBorders>
            <w:vAlign w:val="bottom"/>
          </w:tcPr>
          <w:p w14:paraId="0124F146" w14:textId="6EAEBB00" w:rsidR="00446DE4" w:rsidRPr="006500BA" w:rsidRDefault="00ED7BB7" w:rsidP="00ED7BB7">
            <w:pPr>
              <w:jc w:val="right"/>
            </w:pPr>
            <w:r w:rsidRPr="00ED7BB7">
              <w:rPr>
                <w:sz w:val="40"/>
              </w:rPr>
              <w:t>ST</w:t>
            </w:r>
            <w:r>
              <w:t>/SG/AC.10/</w:t>
            </w:r>
            <w:r w:rsidR="00420B2E">
              <w:t>51</w:t>
            </w:r>
          </w:p>
        </w:tc>
      </w:tr>
      <w:tr w:rsidR="003107FA" w:rsidRPr="006500BA" w14:paraId="5982EBB6" w14:textId="77777777" w:rsidTr="009F0F06">
        <w:trPr>
          <w:trHeight w:val="2835"/>
        </w:trPr>
        <w:tc>
          <w:tcPr>
            <w:tcW w:w="1259" w:type="dxa"/>
            <w:tcBorders>
              <w:top w:val="single" w:sz="4" w:space="0" w:color="auto"/>
              <w:left w:val="nil"/>
              <w:bottom w:val="single" w:sz="12" w:space="0" w:color="auto"/>
              <w:right w:val="nil"/>
            </w:tcBorders>
          </w:tcPr>
          <w:p w14:paraId="5C48DA5F" w14:textId="77777777" w:rsidR="003107FA" w:rsidRPr="006500BA" w:rsidRDefault="00EB4961" w:rsidP="002B1CDA">
            <w:pPr>
              <w:spacing w:before="120"/>
              <w:jc w:val="center"/>
            </w:pPr>
            <w:r>
              <w:rPr>
                <w:noProof/>
                <w:lang w:eastAsia="en-GB"/>
              </w:rPr>
              <w:drawing>
                <wp:inline distT="0" distB="0" distL="0" distR="0" wp14:anchorId="25CCC92C" wp14:editId="3C4E60F2">
                  <wp:extent cx="714375" cy="590550"/>
                  <wp:effectExtent l="0" t="0" r="9525" b="0"/>
                  <wp:docPr id="2"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14:paraId="71EE4AB5" w14:textId="77777777" w:rsidR="003107FA" w:rsidRDefault="00D96CC5" w:rsidP="001633FB">
            <w:pPr>
              <w:spacing w:before="120" w:line="420" w:lineRule="exact"/>
              <w:rPr>
                <w:b/>
                <w:sz w:val="40"/>
                <w:szCs w:val="40"/>
              </w:rPr>
            </w:pPr>
            <w:r w:rsidRPr="006500BA">
              <w:rPr>
                <w:b/>
                <w:sz w:val="40"/>
                <w:szCs w:val="40"/>
              </w:rPr>
              <w:t>Secretariat</w:t>
            </w:r>
          </w:p>
          <w:p w14:paraId="5DB4EB54" w14:textId="77777777" w:rsidR="002F559F" w:rsidRPr="006500BA" w:rsidRDefault="002F559F" w:rsidP="001633FB">
            <w:pPr>
              <w:spacing w:before="120" w:line="420" w:lineRule="exact"/>
              <w:rPr>
                <w:b/>
                <w:sz w:val="40"/>
                <w:szCs w:val="40"/>
              </w:rPr>
            </w:pPr>
          </w:p>
        </w:tc>
        <w:tc>
          <w:tcPr>
            <w:tcW w:w="2930" w:type="dxa"/>
            <w:tcBorders>
              <w:top w:val="single" w:sz="4" w:space="0" w:color="auto"/>
              <w:left w:val="nil"/>
              <w:bottom w:val="single" w:sz="12" w:space="0" w:color="auto"/>
              <w:right w:val="nil"/>
            </w:tcBorders>
          </w:tcPr>
          <w:p w14:paraId="00B4CCD0" w14:textId="77777777" w:rsidR="003107FA" w:rsidRDefault="00ED7BB7" w:rsidP="00ED7BB7">
            <w:pPr>
              <w:spacing w:before="240" w:line="240" w:lineRule="exact"/>
            </w:pPr>
            <w:r>
              <w:t>Distr.: General</w:t>
            </w:r>
          </w:p>
          <w:p w14:paraId="3321EC21" w14:textId="56781534" w:rsidR="00ED7BB7" w:rsidRDefault="00BE71C9" w:rsidP="00ED7BB7">
            <w:pPr>
              <w:spacing w:line="240" w:lineRule="exact"/>
            </w:pPr>
            <w:r>
              <w:t>2</w:t>
            </w:r>
            <w:r w:rsidR="00CA146D">
              <w:t>6</w:t>
            </w:r>
            <w:r w:rsidR="00CB28B3">
              <w:t xml:space="preserve"> September</w:t>
            </w:r>
            <w:r w:rsidR="0026209D">
              <w:t xml:space="preserve"> 202</w:t>
            </w:r>
            <w:r w:rsidR="0074051C">
              <w:t>4</w:t>
            </w:r>
          </w:p>
          <w:p w14:paraId="5792C4FC" w14:textId="5DF07883" w:rsidR="002F559F" w:rsidRDefault="002F559F" w:rsidP="00ED7BB7">
            <w:pPr>
              <w:spacing w:line="240" w:lineRule="exact"/>
            </w:pPr>
          </w:p>
          <w:p w14:paraId="349BD68F" w14:textId="2BE180B6" w:rsidR="00ED7BB7" w:rsidRPr="006500BA" w:rsidRDefault="00ED7BB7" w:rsidP="00ED7BB7">
            <w:pPr>
              <w:spacing w:line="240" w:lineRule="exact"/>
            </w:pPr>
            <w:r>
              <w:t>Original: English</w:t>
            </w:r>
            <w:r w:rsidR="005D2852">
              <w:t xml:space="preserve"> </w:t>
            </w:r>
          </w:p>
        </w:tc>
      </w:tr>
    </w:tbl>
    <w:p w14:paraId="0E999510" w14:textId="77777777" w:rsidR="00C63BA0" w:rsidRPr="006500BA" w:rsidRDefault="00C63BA0" w:rsidP="00C63BA0">
      <w:pPr>
        <w:spacing w:before="120"/>
        <w:rPr>
          <w:b/>
          <w:sz w:val="24"/>
          <w:szCs w:val="24"/>
        </w:rPr>
      </w:pPr>
      <w:r w:rsidRPr="006500BA">
        <w:rPr>
          <w:b/>
          <w:sz w:val="24"/>
          <w:szCs w:val="24"/>
        </w:rPr>
        <w:t>Committee of Experts on the Transport of Dangerous Goods</w:t>
      </w:r>
      <w:r w:rsidRPr="006500BA">
        <w:rPr>
          <w:b/>
          <w:sz w:val="24"/>
          <w:szCs w:val="24"/>
        </w:rPr>
        <w:br/>
        <w:t>and on the Globally Harmonized System of Classification</w:t>
      </w:r>
      <w:r w:rsidRPr="006500BA">
        <w:rPr>
          <w:b/>
          <w:sz w:val="24"/>
          <w:szCs w:val="24"/>
        </w:rPr>
        <w:br/>
        <w:t>and Labelling of Chemicals</w:t>
      </w:r>
    </w:p>
    <w:p w14:paraId="34F84887" w14:textId="10314F65" w:rsidR="00C63BA0" w:rsidRPr="006500BA" w:rsidRDefault="00F92C7A" w:rsidP="00C63BA0">
      <w:pPr>
        <w:spacing w:before="120"/>
        <w:rPr>
          <w:b/>
        </w:rPr>
      </w:pPr>
      <w:r>
        <w:rPr>
          <w:b/>
        </w:rPr>
        <w:t xml:space="preserve">Twelfth </w:t>
      </w:r>
      <w:r w:rsidR="00C63BA0" w:rsidRPr="006500BA">
        <w:rPr>
          <w:b/>
        </w:rPr>
        <w:t>session</w:t>
      </w:r>
    </w:p>
    <w:p w14:paraId="340321FC" w14:textId="2645B98D" w:rsidR="00C63BA0" w:rsidRPr="006500BA" w:rsidRDefault="00C63BA0" w:rsidP="00C63BA0">
      <w:r w:rsidRPr="006500BA">
        <w:t>Geneva,</w:t>
      </w:r>
      <w:r>
        <w:t xml:space="preserve"> </w:t>
      </w:r>
      <w:r w:rsidR="00F92C7A">
        <w:t>6</w:t>
      </w:r>
      <w:r>
        <w:t xml:space="preserve"> December 20</w:t>
      </w:r>
      <w:r w:rsidR="00483626">
        <w:t>2</w:t>
      </w:r>
      <w:r w:rsidR="00F92C7A">
        <w:t>4</w:t>
      </w:r>
    </w:p>
    <w:p w14:paraId="773B8A33" w14:textId="77777777" w:rsidR="00C63BA0" w:rsidRDefault="00C63BA0" w:rsidP="00C63BA0">
      <w:r w:rsidRPr="006500BA">
        <w:t xml:space="preserve">Item </w:t>
      </w:r>
      <w:r>
        <w:t xml:space="preserve">1 </w:t>
      </w:r>
      <w:r w:rsidRPr="006500BA">
        <w:t>of the provisional agenda</w:t>
      </w:r>
    </w:p>
    <w:p w14:paraId="4231B592" w14:textId="77777777" w:rsidR="00C63BA0" w:rsidRPr="008C1A02" w:rsidRDefault="00C63BA0" w:rsidP="00C63BA0">
      <w:pPr>
        <w:rPr>
          <w:b/>
          <w:bCs/>
        </w:rPr>
      </w:pPr>
      <w:r w:rsidRPr="008C1A02">
        <w:rPr>
          <w:b/>
          <w:bCs/>
        </w:rPr>
        <w:t>Adoption of the agenda</w:t>
      </w:r>
    </w:p>
    <w:p w14:paraId="080F8360" w14:textId="77777777" w:rsidR="00C63BA0" w:rsidRDefault="00C63BA0" w:rsidP="00C63BA0"/>
    <w:p w14:paraId="562FAB7A" w14:textId="0D81388F" w:rsidR="00C63BA0" w:rsidRPr="00E96A05" w:rsidRDefault="00C63BA0" w:rsidP="00C63BA0">
      <w:pPr>
        <w:rPr>
          <w:rStyle w:val="HChGChar"/>
        </w:rPr>
      </w:pPr>
      <w:r>
        <w:rPr>
          <w:rStyle w:val="HChGChar"/>
        </w:rPr>
        <w:tab/>
      </w:r>
      <w:r>
        <w:rPr>
          <w:rStyle w:val="HChGChar"/>
        </w:rPr>
        <w:tab/>
      </w:r>
      <w:r w:rsidRPr="00E96A05">
        <w:rPr>
          <w:rStyle w:val="HChGChar"/>
        </w:rPr>
        <w:t xml:space="preserve">Provisional agenda </w:t>
      </w:r>
      <w:r>
        <w:rPr>
          <w:rStyle w:val="HChGChar"/>
        </w:rPr>
        <w:t xml:space="preserve">and annotations </w:t>
      </w:r>
      <w:r w:rsidRPr="00E96A05">
        <w:rPr>
          <w:rStyle w:val="HChGChar"/>
        </w:rPr>
        <w:t xml:space="preserve">for the </w:t>
      </w:r>
      <w:r w:rsidR="002132BA">
        <w:rPr>
          <w:rStyle w:val="HChGChar"/>
        </w:rPr>
        <w:t>twel</w:t>
      </w:r>
      <w:r w:rsidR="00F92C7A">
        <w:rPr>
          <w:rStyle w:val="HChGChar"/>
        </w:rPr>
        <w:t>f</w:t>
      </w:r>
      <w:r w:rsidR="002132BA">
        <w:rPr>
          <w:rStyle w:val="HChGChar"/>
        </w:rPr>
        <w:t>th</w:t>
      </w:r>
      <w:r w:rsidR="002132BA" w:rsidRPr="00E96A05">
        <w:rPr>
          <w:rStyle w:val="HChGChar"/>
        </w:rPr>
        <w:t xml:space="preserve"> </w:t>
      </w:r>
      <w:r w:rsidRPr="00E96A05">
        <w:rPr>
          <w:rStyle w:val="HChGChar"/>
        </w:rPr>
        <w:t>session</w:t>
      </w:r>
      <w:r w:rsidR="00684D6D" w:rsidRPr="007C3A30">
        <w:rPr>
          <w:rStyle w:val="FootnoteReference"/>
          <w:bCs/>
          <w:sz w:val="20"/>
        </w:rPr>
        <w:footnoteReference w:customMarkFollows="1" w:id="2"/>
        <w:t>*</w:t>
      </w:r>
      <w:r w:rsidR="007C3A30" w:rsidRPr="007C3A30">
        <w:rPr>
          <w:bCs/>
          <w:vertAlign w:val="superscript"/>
        </w:rPr>
        <w:t>,</w:t>
      </w:r>
      <w:r>
        <w:rPr>
          <w:rStyle w:val="HChGChar"/>
        </w:rPr>
        <w:t xml:space="preserve"> </w:t>
      </w:r>
      <w:r w:rsidR="00684D6D" w:rsidRPr="007C3A30">
        <w:rPr>
          <w:rStyle w:val="FootnoteReference"/>
          <w:bCs/>
          <w:sz w:val="20"/>
        </w:rPr>
        <w:footnoteReference w:customMarkFollows="1" w:id="3"/>
        <w:t>**</w:t>
      </w:r>
    </w:p>
    <w:p w14:paraId="7DD24A99" w14:textId="11DBE91C" w:rsidR="00C63BA0" w:rsidRPr="00E96A05" w:rsidRDefault="00C63BA0" w:rsidP="00C63BA0">
      <w:pPr>
        <w:pStyle w:val="SingleTxtG"/>
      </w:pPr>
      <w:r w:rsidRPr="00E96A05">
        <w:t>To be held at the Palais des Nations, Geneva,</w:t>
      </w:r>
      <w:r>
        <w:t xml:space="preserve"> </w:t>
      </w:r>
      <w:r w:rsidRPr="00E96A05">
        <w:t xml:space="preserve">starting at </w:t>
      </w:r>
      <w:r w:rsidR="007C3A30">
        <w:t>2.30 p.m.</w:t>
      </w:r>
      <w:r w:rsidRPr="00E96A05">
        <w:t xml:space="preserve"> on Friday </w:t>
      </w:r>
      <w:r w:rsidR="00F92C7A">
        <w:t>6</w:t>
      </w:r>
      <w:r w:rsidR="00F92C7A" w:rsidRPr="00E96A05">
        <w:t xml:space="preserve"> </w:t>
      </w:r>
      <w:r w:rsidRPr="00E96A05">
        <w:t xml:space="preserve">December </w:t>
      </w:r>
      <w:r>
        <w:t>20</w:t>
      </w:r>
      <w:r w:rsidR="00483626">
        <w:t>2</w:t>
      </w:r>
      <w:r w:rsidR="00F92C7A">
        <w:t>4</w:t>
      </w:r>
    </w:p>
    <w:p w14:paraId="0784C346" w14:textId="3799D0E8" w:rsidR="00C63BA0" w:rsidRDefault="00C63BA0" w:rsidP="00C63BA0">
      <w:pPr>
        <w:pStyle w:val="HChG"/>
      </w:pPr>
      <w:r>
        <w:tab/>
        <w:t>I.</w:t>
      </w:r>
      <w:r>
        <w:tab/>
        <w:t>Provisional agenda</w:t>
      </w:r>
    </w:p>
    <w:p w14:paraId="0B44194B" w14:textId="77777777" w:rsidR="00EB0424" w:rsidRDefault="00C63BA0">
      <w:pPr>
        <w:pStyle w:val="SingleTxtG"/>
      </w:pPr>
      <w:r w:rsidRPr="00E96A05">
        <w:t>1.</w:t>
      </w:r>
      <w:r w:rsidRPr="00E96A05">
        <w:tab/>
      </w:r>
      <w:r w:rsidR="00F1625C">
        <w:t>Adoption of the agenda</w:t>
      </w:r>
      <w:r w:rsidR="00EB0424">
        <w:t>.</w:t>
      </w:r>
    </w:p>
    <w:p w14:paraId="4E8B02F3" w14:textId="77777777" w:rsidR="00F1625C" w:rsidRPr="00E96A05" w:rsidRDefault="00F1625C">
      <w:pPr>
        <w:pStyle w:val="SingleTxtG"/>
      </w:pPr>
      <w:r>
        <w:t>2.</w:t>
      </w:r>
      <w:r>
        <w:tab/>
        <w:t>Election of the officers</w:t>
      </w:r>
      <w:r w:rsidR="00EB0424">
        <w:t>.</w:t>
      </w:r>
    </w:p>
    <w:p w14:paraId="45FD00AA" w14:textId="77777777" w:rsidR="00C63BA0" w:rsidRPr="00E96A05" w:rsidRDefault="00F1625C">
      <w:pPr>
        <w:pStyle w:val="SingleTxtG"/>
      </w:pPr>
      <w:r>
        <w:t>3.</w:t>
      </w:r>
      <w:r>
        <w:tab/>
        <w:t>Resolutions and decisions of the Economic and Social Council.</w:t>
      </w:r>
    </w:p>
    <w:p w14:paraId="160F522D" w14:textId="29381C84" w:rsidR="00C63BA0" w:rsidRPr="00E96A05" w:rsidRDefault="00C63BA0" w:rsidP="00C63BA0">
      <w:pPr>
        <w:pStyle w:val="SingleTxtG"/>
        <w:ind w:left="1700" w:hanging="566"/>
      </w:pPr>
      <w:r w:rsidRPr="00E96A05">
        <w:t>4.</w:t>
      </w:r>
      <w:r w:rsidRPr="00E96A05">
        <w:tab/>
        <w:t xml:space="preserve">Work of the Sub-Committee of Experts on the Transport of Dangerous Goods during the biennium </w:t>
      </w:r>
      <w:r>
        <w:t>20</w:t>
      </w:r>
      <w:r w:rsidR="00DA7398">
        <w:t>2</w:t>
      </w:r>
      <w:r w:rsidR="006769B6">
        <w:t>3</w:t>
      </w:r>
      <w:r w:rsidR="00483626">
        <w:t xml:space="preserve"> </w:t>
      </w:r>
      <w:r>
        <w:t>–</w:t>
      </w:r>
      <w:r w:rsidR="00483626">
        <w:t xml:space="preserve"> </w:t>
      </w:r>
      <w:r>
        <w:t>20</w:t>
      </w:r>
      <w:r w:rsidR="00483626">
        <w:t>2</w:t>
      </w:r>
      <w:r w:rsidR="006769B6">
        <w:t>4</w:t>
      </w:r>
      <w:r>
        <w:t>.</w:t>
      </w:r>
    </w:p>
    <w:p w14:paraId="64D048B6" w14:textId="6F37185E" w:rsidR="00C63BA0" w:rsidRPr="00E96A05" w:rsidRDefault="00C63BA0" w:rsidP="00C63BA0">
      <w:pPr>
        <w:pStyle w:val="SingleTxtG"/>
        <w:ind w:left="1700" w:hanging="566"/>
      </w:pPr>
      <w:r w:rsidRPr="00E96A05">
        <w:t>5.</w:t>
      </w:r>
      <w:r w:rsidRPr="00E96A05">
        <w:tab/>
        <w:t xml:space="preserve">Work of the Sub-Committee of Experts on the Globally Harmonized System of Classification and Labelling of Chemicals during the biennium </w:t>
      </w:r>
      <w:r w:rsidR="004F25E9">
        <w:t xml:space="preserve">2023 </w:t>
      </w:r>
      <w:r>
        <w:t>–</w:t>
      </w:r>
      <w:r w:rsidR="00483626">
        <w:t xml:space="preserve"> </w:t>
      </w:r>
      <w:r w:rsidR="004F25E9">
        <w:t>2024</w:t>
      </w:r>
      <w:r>
        <w:t>.</w:t>
      </w:r>
    </w:p>
    <w:p w14:paraId="25824915" w14:textId="4C824D56" w:rsidR="00C63BA0" w:rsidRPr="00E96A05" w:rsidRDefault="00C63BA0" w:rsidP="00C63BA0">
      <w:pPr>
        <w:pStyle w:val="SingleTxtG"/>
      </w:pPr>
      <w:r w:rsidRPr="00E96A05">
        <w:t>6.</w:t>
      </w:r>
      <w:r w:rsidRPr="00E96A05">
        <w:tab/>
        <w:t xml:space="preserve">Programme of work for the biennium </w:t>
      </w:r>
      <w:r w:rsidR="004F25E9">
        <w:t xml:space="preserve">2024 </w:t>
      </w:r>
      <w:r>
        <w:t>–</w:t>
      </w:r>
      <w:r w:rsidR="00A321AB">
        <w:t xml:space="preserve"> </w:t>
      </w:r>
      <w:r w:rsidR="004F25E9">
        <w:t>2025</w:t>
      </w:r>
      <w:r>
        <w:t>:</w:t>
      </w:r>
    </w:p>
    <w:p w14:paraId="123A71BD" w14:textId="22BFCFF0" w:rsidR="00C63BA0" w:rsidRPr="00E96A05" w:rsidRDefault="00C63BA0" w:rsidP="00C63BA0">
      <w:pPr>
        <w:pStyle w:val="SingleTxtG"/>
        <w:ind w:left="2100" w:hanging="400"/>
      </w:pPr>
      <w:r w:rsidRPr="00E96A05">
        <w:t>(a)</w:t>
      </w:r>
      <w:r w:rsidRPr="00E96A05">
        <w:tab/>
        <w:t>Programme of work and related proposals</w:t>
      </w:r>
      <w:r>
        <w:t>;</w:t>
      </w:r>
    </w:p>
    <w:p w14:paraId="672A2198" w14:textId="77777777" w:rsidR="00C63BA0" w:rsidRPr="00E96A05" w:rsidRDefault="00C63BA0" w:rsidP="00C63BA0">
      <w:pPr>
        <w:pStyle w:val="SingleTxtG"/>
        <w:ind w:left="2100" w:hanging="400"/>
      </w:pPr>
      <w:r w:rsidRPr="00E96A05">
        <w:t>(b)</w:t>
      </w:r>
      <w:r w:rsidRPr="00E96A05">
        <w:tab/>
        <w:t>Calendar of meetings</w:t>
      </w:r>
      <w:r>
        <w:t>.</w:t>
      </w:r>
    </w:p>
    <w:p w14:paraId="5657BE6D" w14:textId="3DDDB21C" w:rsidR="00C63BA0" w:rsidRPr="00E96A05" w:rsidRDefault="00C63BA0" w:rsidP="00C63BA0">
      <w:pPr>
        <w:pStyle w:val="SingleTxtG"/>
      </w:pPr>
      <w:r w:rsidRPr="00E96A05">
        <w:lastRenderedPageBreak/>
        <w:t>7.</w:t>
      </w:r>
      <w:r w:rsidRPr="00E96A05">
        <w:tab/>
        <w:t xml:space="preserve">Draft resolution </w:t>
      </w:r>
      <w:r>
        <w:t>20</w:t>
      </w:r>
      <w:r w:rsidR="00483626">
        <w:t>2</w:t>
      </w:r>
      <w:r w:rsidR="008D5DE2">
        <w:t>5</w:t>
      </w:r>
      <w:r w:rsidRPr="00E96A05">
        <w:t>/… of the Economic and Social Council</w:t>
      </w:r>
      <w:r>
        <w:t>.</w:t>
      </w:r>
    </w:p>
    <w:p w14:paraId="0662C396" w14:textId="78361B2A" w:rsidR="00836619" w:rsidRDefault="00C63BA0" w:rsidP="00C63BA0">
      <w:pPr>
        <w:pStyle w:val="SingleTxtG"/>
      </w:pPr>
      <w:r w:rsidRPr="00E96A05">
        <w:t>8.</w:t>
      </w:r>
      <w:r w:rsidRPr="00E96A05">
        <w:tab/>
      </w:r>
      <w:r w:rsidR="00836619">
        <w:t>Work of</w:t>
      </w:r>
      <w:r w:rsidR="00836619" w:rsidRPr="006F4618">
        <w:t xml:space="preserve"> </w:t>
      </w:r>
      <w:r w:rsidR="00836619">
        <w:t>the Economic and Social Council</w:t>
      </w:r>
      <w:r w:rsidR="00A05EE0">
        <w:t>.</w:t>
      </w:r>
    </w:p>
    <w:p w14:paraId="7F313F40" w14:textId="45B93339" w:rsidR="00C63BA0" w:rsidRPr="00E96A05" w:rsidRDefault="00A05EE0" w:rsidP="00C63BA0">
      <w:pPr>
        <w:pStyle w:val="SingleTxtG"/>
      </w:pPr>
      <w:r>
        <w:t>9.</w:t>
      </w:r>
      <w:r>
        <w:tab/>
      </w:r>
      <w:r w:rsidR="00C63BA0" w:rsidRPr="00E96A05">
        <w:t>Any other business</w:t>
      </w:r>
      <w:r w:rsidR="00C63BA0">
        <w:t>.</w:t>
      </w:r>
    </w:p>
    <w:p w14:paraId="1F546A6C" w14:textId="1A3CBA00" w:rsidR="00C63BA0" w:rsidRPr="00E96A05" w:rsidRDefault="00A05EE0" w:rsidP="00C63BA0">
      <w:pPr>
        <w:pStyle w:val="SingleTxtG"/>
      </w:pPr>
      <w:r>
        <w:t>10</w:t>
      </w:r>
      <w:r w:rsidR="00C63BA0" w:rsidRPr="00E96A05">
        <w:t>.</w:t>
      </w:r>
      <w:r w:rsidR="00C63BA0" w:rsidRPr="00E96A05">
        <w:tab/>
        <w:t>Adoption of the report.</w:t>
      </w:r>
    </w:p>
    <w:p w14:paraId="04836191" w14:textId="77777777" w:rsidR="00C63BA0" w:rsidRPr="00E96A05" w:rsidRDefault="00C63BA0" w:rsidP="00C63BA0">
      <w:pPr>
        <w:pStyle w:val="HChG"/>
      </w:pPr>
      <w:r>
        <w:tab/>
        <w:t>II.</w:t>
      </w:r>
      <w:r>
        <w:tab/>
        <w:t>Background information</w:t>
      </w:r>
    </w:p>
    <w:p w14:paraId="3F42B139" w14:textId="77777777" w:rsidR="00C63BA0" w:rsidRPr="00E96A05" w:rsidRDefault="00C63BA0" w:rsidP="00C63BA0">
      <w:pPr>
        <w:pStyle w:val="H1G"/>
      </w:pPr>
      <w:r>
        <w:tab/>
      </w:r>
      <w:r>
        <w:tab/>
      </w:r>
      <w:r w:rsidRPr="00E96A05">
        <w:t>Status and membership</w:t>
      </w:r>
    </w:p>
    <w:p w14:paraId="7C959E5C" w14:textId="77777777" w:rsidR="00C63BA0" w:rsidRDefault="00C63BA0" w:rsidP="00C63BA0">
      <w:pPr>
        <w:pStyle w:val="SingleTxtG"/>
      </w:pPr>
      <w:r>
        <w:t>1.</w:t>
      </w:r>
      <w:r w:rsidRPr="00E96A05">
        <w:tab/>
        <w:t xml:space="preserve">The Committee is a subsidiary body of </w:t>
      </w:r>
      <w:r w:rsidR="00F1625C">
        <w:t>the Economic and Social Council</w:t>
      </w:r>
      <w:r w:rsidRPr="00E96A05">
        <w:t xml:space="preserve"> a</w:t>
      </w:r>
      <w:r>
        <w:t>nd was previously known as the “</w:t>
      </w:r>
      <w:r w:rsidRPr="00E96A05">
        <w:t>Committee of Experts on the Transport of Dangerous Goods</w:t>
      </w:r>
      <w:r>
        <w:t>”</w:t>
      </w:r>
      <w:r w:rsidRPr="00E96A05">
        <w:t>. It was reconfigured by the Economic and Social Council’s resolution 1999/65 of 26 October 1999 as the Committee of Experts on the Transport of Dangerous Goods and on the Globally Harmonized System of Classification and Labelling of Chemicals, with two sub-committees</w:t>
      </w:r>
      <w:r w:rsidRPr="00930CD0">
        <w:t xml:space="preserve"> </w:t>
      </w:r>
      <w:r w:rsidRPr="00E96A05">
        <w:t>(</w:t>
      </w:r>
      <w:r>
        <w:t>see</w:t>
      </w:r>
      <w:r w:rsidRPr="00E96A05">
        <w:t xml:space="preserve"> also document ST/SG/AC.10/C.4/2001/7)</w:t>
      </w:r>
      <w:r>
        <w:t>:</w:t>
      </w:r>
    </w:p>
    <w:p w14:paraId="12E93AA4" w14:textId="1D09E19F" w:rsidR="00C63BA0" w:rsidRDefault="00C63BA0" w:rsidP="00C63BA0">
      <w:pPr>
        <w:pStyle w:val="SingleTxtG"/>
        <w:ind w:left="2268" w:hanging="567"/>
      </w:pPr>
      <w:r>
        <w:t>(a)</w:t>
      </w:r>
      <w:r>
        <w:tab/>
      </w:r>
      <w:r w:rsidRPr="00E96A05">
        <w:t>the Sub-Committee of Experts on the Tr</w:t>
      </w:r>
      <w:r w:rsidR="00C63952">
        <w:t>ansport of Dangerous Goods (TDG </w:t>
      </w:r>
      <w:r w:rsidRPr="00E96A05">
        <w:t>Sub-Committee)</w:t>
      </w:r>
      <w:r>
        <w:t>;</w:t>
      </w:r>
    </w:p>
    <w:p w14:paraId="187B6BF0" w14:textId="77777777" w:rsidR="00C63BA0" w:rsidRDefault="00C63BA0" w:rsidP="00C63BA0">
      <w:pPr>
        <w:pStyle w:val="SingleTxtG"/>
        <w:ind w:left="2268" w:hanging="567"/>
      </w:pPr>
      <w:r>
        <w:t>(b)</w:t>
      </w:r>
      <w:r>
        <w:tab/>
      </w:r>
      <w:r w:rsidRPr="00E96A05">
        <w:t xml:space="preserve">the Sub-Committee of Experts on the Globally Harmonized System of Classification and Labelling of Chemicals (GHS Sub-Committee). </w:t>
      </w:r>
    </w:p>
    <w:p w14:paraId="51E89F2B" w14:textId="7D06BC27" w:rsidR="00C63BA0" w:rsidRDefault="00C63BA0" w:rsidP="00C63BA0">
      <w:pPr>
        <w:pStyle w:val="SingleTxtG"/>
      </w:pPr>
      <w:r>
        <w:t>2.</w:t>
      </w:r>
      <w:r>
        <w:tab/>
        <w:t xml:space="preserve">Since its reconfiguration, the Committee held </w:t>
      </w:r>
      <w:r w:rsidR="00BE0F4E">
        <w:t>eleven</w:t>
      </w:r>
      <w:r w:rsidR="000341E0">
        <w:t xml:space="preserve"> </w:t>
      </w:r>
      <w:r>
        <w:t>sessions as follows. All sessions were held in Geneva:</w:t>
      </w:r>
    </w:p>
    <w:p w14:paraId="642F0B50" w14:textId="77777777" w:rsidR="00C63BA0" w:rsidRDefault="00C63BA0" w:rsidP="00C63BA0">
      <w:pPr>
        <w:pStyle w:val="SingleTxtG"/>
        <w:ind w:left="2268" w:hanging="567"/>
      </w:pPr>
      <w:r>
        <w:t>(a)</w:t>
      </w:r>
      <w:r>
        <w:tab/>
        <w:t>F</w:t>
      </w:r>
      <w:r w:rsidRPr="00E96A05">
        <w:t>irst session</w:t>
      </w:r>
      <w:r>
        <w:t>:</w:t>
      </w:r>
      <w:r w:rsidRPr="00E96A05">
        <w:t xml:space="preserve"> 11</w:t>
      </w:r>
      <w:r>
        <w:t>–</w:t>
      </w:r>
      <w:r w:rsidRPr="00E96A05">
        <w:t xml:space="preserve"> 12 December 2002</w:t>
      </w:r>
      <w:r>
        <w:t xml:space="preserve"> (</w:t>
      </w:r>
      <w:r w:rsidRPr="00E96A05">
        <w:t>report circulated as document ST/SG/AC.10/29 and Add</w:t>
      </w:r>
      <w:r>
        <w:t>.</w:t>
      </w:r>
      <w:r w:rsidRPr="00E96A05">
        <w:t>1</w:t>
      </w:r>
      <w:r>
        <w:t xml:space="preserve"> and </w:t>
      </w:r>
      <w:r w:rsidRPr="00E96A05">
        <w:t>2</w:t>
      </w:r>
      <w:r>
        <w:t>);</w:t>
      </w:r>
    </w:p>
    <w:p w14:paraId="7BD1DBF8" w14:textId="77777777" w:rsidR="00C63BA0" w:rsidRDefault="00C63BA0" w:rsidP="00C63BA0">
      <w:pPr>
        <w:pStyle w:val="SingleTxtG"/>
        <w:ind w:left="2268" w:hanging="567"/>
      </w:pPr>
      <w:r>
        <w:t>(b)</w:t>
      </w:r>
      <w:r>
        <w:tab/>
        <w:t>S</w:t>
      </w:r>
      <w:r w:rsidRPr="00E96A05">
        <w:t>econd session</w:t>
      </w:r>
      <w:r>
        <w:t xml:space="preserve">: </w:t>
      </w:r>
      <w:r w:rsidRPr="00E96A05">
        <w:t xml:space="preserve"> 10 December 2004</w:t>
      </w:r>
      <w:r>
        <w:t xml:space="preserve"> (</w:t>
      </w:r>
      <w:r w:rsidRPr="00E96A05">
        <w:t>report circulated as document ST/SG/AC.10/32 and Add</w:t>
      </w:r>
      <w:r>
        <w:t>.</w:t>
      </w:r>
      <w:r w:rsidRPr="00E96A05">
        <w:t>1-3 and Add.3/Corr.1</w:t>
      </w:r>
      <w:r>
        <w:t>);</w:t>
      </w:r>
    </w:p>
    <w:p w14:paraId="3CF0A61D" w14:textId="77777777" w:rsidR="00C63BA0" w:rsidRDefault="00C63BA0" w:rsidP="00C63BA0">
      <w:pPr>
        <w:pStyle w:val="SingleTxtG"/>
        <w:ind w:left="2268" w:hanging="567"/>
      </w:pPr>
      <w:r>
        <w:t>(c)</w:t>
      </w:r>
      <w:r>
        <w:tab/>
        <w:t>T</w:t>
      </w:r>
      <w:r w:rsidRPr="00E96A05">
        <w:t>hird session</w:t>
      </w:r>
      <w:r>
        <w:t>:</w:t>
      </w:r>
      <w:r w:rsidRPr="00E96A05">
        <w:t xml:space="preserve"> 15 December 2006</w:t>
      </w:r>
      <w:r>
        <w:t xml:space="preserve"> (</w:t>
      </w:r>
      <w:r w:rsidRPr="00E96A05">
        <w:t>report circulated as document ST/SG/AC.10/34 and Add.1–3, Add.1/Corr.1, Add.2/Corr.1 and Add.3/Corr.1</w:t>
      </w:r>
      <w:r>
        <w:t>);</w:t>
      </w:r>
    </w:p>
    <w:p w14:paraId="77218B76" w14:textId="77777777" w:rsidR="00C63BA0" w:rsidRDefault="00C63BA0" w:rsidP="00C63BA0">
      <w:pPr>
        <w:pStyle w:val="SingleTxtG"/>
        <w:ind w:left="2268" w:hanging="567"/>
      </w:pPr>
      <w:r>
        <w:t>(d)</w:t>
      </w:r>
      <w:r>
        <w:tab/>
        <w:t xml:space="preserve">Fourth </w:t>
      </w:r>
      <w:r w:rsidRPr="00E96A05">
        <w:t>session</w:t>
      </w:r>
      <w:r>
        <w:t>,</w:t>
      </w:r>
      <w:r w:rsidRPr="00E96A05">
        <w:t xml:space="preserve"> 1</w:t>
      </w:r>
      <w:r>
        <w:t>2</w:t>
      </w:r>
      <w:r w:rsidRPr="00E96A05">
        <w:t xml:space="preserve"> December 200</w:t>
      </w:r>
      <w:r>
        <w:t>8</w:t>
      </w:r>
      <w:r w:rsidRPr="00E96A05">
        <w:t xml:space="preserve"> </w:t>
      </w:r>
      <w:r>
        <w:t>(</w:t>
      </w:r>
      <w:r w:rsidRPr="00E96A05">
        <w:t>report circu</w:t>
      </w:r>
      <w:r>
        <w:t xml:space="preserve">lated as document </w:t>
      </w:r>
      <w:r w:rsidR="00592E44">
        <w:t xml:space="preserve">ST/SG/AC.10/36 and Corr.1, </w:t>
      </w:r>
      <w:r w:rsidRPr="00E96A05">
        <w:t>and Add.1-3, Add.1/</w:t>
      </w:r>
      <w:r>
        <w:t xml:space="preserve">Corr.1–3 and </w:t>
      </w:r>
      <w:r w:rsidRPr="00E96A05">
        <w:t>Add.2/Corr.1</w:t>
      </w:r>
      <w:r>
        <w:t>);</w:t>
      </w:r>
    </w:p>
    <w:p w14:paraId="5CF02168" w14:textId="77777777" w:rsidR="00C63BA0" w:rsidRDefault="00C63BA0" w:rsidP="00C63BA0">
      <w:pPr>
        <w:pStyle w:val="SingleTxtG"/>
        <w:ind w:left="2268" w:hanging="567"/>
      </w:pPr>
      <w:r>
        <w:t>(e)</w:t>
      </w:r>
      <w:r>
        <w:tab/>
        <w:t xml:space="preserve">Fifth </w:t>
      </w:r>
      <w:r w:rsidRPr="00E96A05">
        <w:t>session</w:t>
      </w:r>
      <w:r>
        <w:t>:</w:t>
      </w:r>
      <w:r w:rsidRPr="00E96A05">
        <w:t xml:space="preserve"> </w:t>
      </w:r>
      <w:r>
        <w:t>10</w:t>
      </w:r>
      <w:r w:rsidRPr="00E96A05">
        <w:t xml:space="preserve"> December 20</w:t>
      </w:r>
      <w:r>
        <w:t>10</w:t>
      </w:r>
      <w:r w:rsidRPr="00E96A05">
        <w:t xml:space="preserve"> </w:t>
      </w:r>
      <w:r>
        <w:t>(</w:t>
      </w:r>
      <w:r w:rsidRPr="00E96A05">
        <w:t>report circu</w:t>
      </w:r>
      <w:r>
        <w:t xml:space="preserve">lated as document ST/SG/AC.10/38 </w:t>
      </w:r>
      <w:r w:rsidRPr="00E96A05">
        <w:t>and Add.1-3</w:t>
      </w:r>
      <w:r>
        <w:t xml:space="preserve"> and</w:t>
      </w:r>
      <w:r w:rsidRPr="00E96A05">
        <w:t xml:space="preserve"> Add.1/</w:t>
      </w:r>
      <w:r>
        <w:t>Corr.1)</w:t>
      </w:r>
      <w:r w:rsidR="00C16CC5">
        <w:t>;</w:t>
      </w:r>
    </w:p>
    <w:p w14:paraId="033E7039" w14:textId="77777777" w:rsidR="00C63BA0" w:rsidRDefault="00C63BA0" w:rsidP="00C63BA0">
      <w:pPr>
        <w:pStyle w:val="SingleTxtG"/>
        <w:ind w:left="2268" w:hanging="567"/>
      </w:pPr>
      <w:r>
        <w:t>(f)</w:t>
      </w:r>
      <w:r>
        <w:tab/>
        <w:t xml:space="preserve">Sixth </w:t>
      </w:r>
      <w:r w:rsidRPr="00E96A05">
        <w:t>session</w:t>
      </w:r>
      <w:r>
        <w:t>:</w:t>
      </w:r>
      <w:r w:rsidRPr="00E96A05">
        <w:t xml:space="preserve"> </w:t>
      </w:r>
      <w:r>
        <w:t>14</w:t>
      </w:r>
      <w:r w:rsidRPr="00E96A05">
        <w:t xml:space="preserve"> December 20</w:t>
      </w:r>
      <w:r>
        <w:t>12</w:t>
      </w:r>
      <w:r w:rsidRPr="00E96A05">
        <w:t xml:space="preserve"> </w:t>
      </w:r>
      <w:r>
        <w:t>(</w:t>
      </w:r>
      <w:r w:rsidRPr="00E96A05">
        <w:t>report circu</w:t>
      </w:r>
      <w:r>
        <w:t xml:space="preserve">lated as document ST/SG/AC.10/40 </w:t>
      </w:r>
      <w:r w:rsidRPr="00E96A05">
        <w:t>and Add.1-3</w:t>
      </w:r>
      <w:r>
        <w:t xml:space="preserve"> and</w:t>
      </w:r>
      <w:r w:rsidRPr="00E96A05">
        <w:t xml:space="preserve"> Add.1/</w:t>
      </w:r>
      <w:r>
        <w:t>Corr.1 and Add.3/Corr.1 and 2)</w:t>
      </w:r>
      <w:r w:rsidR="00C16CC5">
        <w:t>;</w:t>
      </w:r>
    </w:p>
    <w:p w14:paraId="0D63DB3B" w14:textId="77777777" w:rsidR="00C63BA0" w:rsidRDefault="00C63BA0" w:rsidP="00C63BA0">
      <w:pPr>
        <w:pStyle w:val="SingleTxtG"/>
        <w:ind w:left="2268" w:hanging="567"/>
      </w:pPr>
      <w:r>
        <w:t>(g)</w:t>
      </w:r>
      <w:r>
        <w:tab/>
        <w:t>Seventh session: 12 December 2014 (</w:t>
      </w:r>
      <w:r w:rsidRPr="00E96A05">
        <w:t>report circu</w:t>
      </w:r>
      <w:r>
        <w:t xml:space="preserve">lated as document ST/SG/AC.10/42 </w:t>
      </w:r>
      <w:r w:rsidRPr="00E96A05">
        <w:t>and Add.1-3</w:t>
      </w:r>
      <w:r>
        <w:t xml:space="preserve"> and</w:t>
      </w:r>
      <w:r w:rsidRPr="00E96A05">
        <w:t xml:space="preserve"> Add.1/</w:t>
      </w:r>
      <w:r>
        <w:t xml:space="preserve">Corr.1 and </w:t>
      </w:r>
      <w:r w:rsidR="00F1625C">
        <w:t>2</w:t>
      </w:r>
      <w:r w:rsidR="0013728A">
        <w:t xml:space="preserve"> and </w:t>
      </w:r>
      <w:r>
        <w:t>Add.3/Corr.1)</w:t>
      </w:r>
      <w:r w:rsidR="00C16CC5">
        <w:t>;</w:t>
      </w:r>
    </w:p>
    <w:p w14:paraId="4ADE1378" w14:textId="77777777" w:rsidR="00E664B9" w:rsidRDefault="003F1979" w:rsidP="00C63BA0">
      <w:pPr>
        <w:pStyle w:val="SingleTxtG"/>
        <w:ind w:left="2268" w:hanging="567"/>
      </w:pPr>
      <w:r>
        <w:t>(h)</w:t>
      </w:r>
      <w:r>
        <w:tab/>
        <w:t>Eighth session: 9 December 2016</w:t>
      </w:r>
      <w:r w:rsidR="00135B07">
        <w:t xml:space="preserve"> (report circulated as document ST/SG/AC.10/44 and 44/Corr.1</w:t>
      </w:r>
      <w:r w:rsidR="00C16CC5">
        <w:t xml:space="preserve"> and</w:t>
      </w:r>
      <w:r w:rsidR="00135B07">
        <w:t xml:space="preserve"> Add.1-3</w:t>
      </w:r>
      <w:r w:rsidR="00875577">
        <w:t>)</w:t>
      </w:r>
      <w:r w:rsidR="00E664B9">
        <w:t>;</w:t>
      </w:r>
    </w:p>
    <w:p w14:paraId="449DB371" w14:textId="066D1829" w:rsidR="00135B07" w:rsidRDefault="00E664B9" w:rsidP="00C63BA0">
      <w:pPr>
        <w:pStyle w:val="SingleTxtG"/>
        <w:ind w:left="2268" w:hanging="567"/>
      </w:pPr>
      <w:r>
        <w:t>(i)</w:t>
      </w:r>
      <w:r>
        <w:tab/>
        <w:t>Ninth session: 7 December 2018 (report circulated as document ST/SG/AC.10/46 and Add.1-3)</w:t>
      </w:r>
      <w:r w:rsidR="00BE0F4E">
        <w:t>;</w:t>
      </w:r>
    </w:p>
    <w:p w14:paraId="31FFC103" w14:textId="50B8AD70" w:rsidR="00BE0F4E" w:rsidRDefault="007D7B56" w:rsidP="00C63BA0">
      <w:pPr>
        <w:pStyle w:val="SingleTxtG"/>
        <w:ind w:left="2268" w:hanging="567"/>
      </w:pPr>
      <w:r>
        <w:t>(j)</w:t>
      </w:r>
      <w:r>
        <w:tab/>
        <w:t>Tenth session</w:t>
      </w:r>
      <w:r w:rsidR="00891B61">
        <w:t>:</w:t>
      </w:r>
      <w:r w:rsidR="006F7E47">
        <w:t xml:space="preserve"> 11 December 2020 (report circulated as document ST/SG/AC.10/</w:t>
      </w:r>
      <w:r w:rsidR="009045FE">
        <w:t>48 and Add.1-3)</w:t>
      </w:r>
      <w:r w:rsidR="00BE0F4E">
        <w:t>;</w:t>
      </w:r>
    </w:p>
    <w:p w14:paraId="0F591065" w14:textId="00C41EBC" w:rsidR="008109E4" w:rsidRDefault="00BE0F4E" w:rsidP="00BE0F4E">
      <w:pPr>
        <w:pStyle w:val="SingleTxtG"/>
        <w:ind w:left="2268" w:hanging="567"/>
      </w:pPr>
      <w:r>
        <w:lastRenderedPageBreak/>
        <w:t>(k)</w:t>
      </w:r>
      <w:r>
        <w:tab/>
        <w:t>Eleventh session</w:t>
      </w:r>
      <w:r w:rsidR="00891B61">
        <w:t>:</w:t>
      </w:r>
      <w:r>
        <w:t xml:space="preserve"> </w:t>
      </w:r>
      <w:r w:rsidR="000C0F64">
        <w:t>9</w:t>
      </w:r>
      <w:r>
        <w:t xml:space="preserve"> December 202</w:t>
      </w:r>
      <w:r w:rsidR="000C0F64">
        <w:t>2</w:t>
      </w:r>
      <w:r>
        <w:t xml:space="preserve"> (report circulated as document ST/SG/AC.10/</w:t>
      </w:r>
      <w:r w:rsidR="000C0F64">
        <w:t>50</w:t>
      </w:r>
      <w:r>
        <w:t xml:space="preserve"> and Add.1-3)</w:t>
      </w:r>
      <w:r w:rsidR="009045FE">
        <w:t>.</w:t>
      </w:r>
    </w:p>
    <w:p w14:paraId="70F9CF83" w14:textId="77777777" w:rsidR="00C63BA0" w:rsidRPr="00E96A05" w:rsidRDefault="00C63BA0" w:rsidP="00C63BA0">
      <w:pPr>
        <w:pStyle w:val="SingleTxtG"/>
      </w:pPr>
      <w:r>
        <w:t>3.</w:t>
      </w:r>
      <w:r w:rsidRPr="00E96A05">
        <w:tab/>
        <w:t>Pursuant to the Economic and Social Council’s decisions 2001/201B, 2002/201C, 2003/201D, 2005/201C</w:t>
      </w:r>
      <w:r>
        <w:t>,</w:t>
      </w:r>
      <w:r w:rsidRPr="00E96A05">
        <w:t xml:space="preserve"> 2008/201C</w:t>
      </w:r>
      <w:r>
        <w:t>, 2009/201C, 2010/201B</w:t>
      </w:r>
      <w:r w:rsidRPr="00E96A05">
        <w:t xml:space="preserve"> </w:t>
      </w:r>
      <w:r>
        <w:t xml:space="preserve">and 2010/201E </w:t>
      </w:r>
      <w:r w:rsidRPr="00E96A05">
        <w:t xml:space="preserve">the membership of the Committee </w:t>
      </w:r>
      <w:r w:rsidRPr="00201682">
        <w:t xml:space="preserve">is </w:t>
      </w:r>
      <w:r>
        <w:t>40</w:t>
      </w:r>
      <w:r w:rsidRPr="00201682">
        <w:t>,</w:t>
      </w:r>
      <w:r w:rsidRPr="00E96A05">
        <w:t xml:space="preserve"> as follows:</w:t>
      </w:r>
    </w:p>
    <w:p w14:paraId="3A9AD026" w14:textId="06F7C35E" w:rsidR="00C63BA0" w:rsidRPr="00E96A05" w:rsidRDefault="00C63BA0" w:rsidP="00D83190">
      <w:pPr>
        <w:pStyle w:val="SingleTxtG"/>
        <w:ind w:left="1701"/>
      </w:pPr>
      <w:r>
        <w:tab/>
      </w:r>
      <w:r w:rsidRPr="00EF2AC4">
        <w:t>Argentina, Australia, Austria, Belgium, Brazil, Canada, China, Czech</w:t>
      </w:r>
      <w:r w:rsidR="00BB7BAC">
        <w:t>ia</w:t>
      </w:r>
      <w:r w:rsidRPr="00EF2AC4">
        <w:t>, Denmark</w:t>
      </w:r>
      <w:r w:rsidR="00875577" w:rsidRPr="00EF2AC4">
        <w:rPr>
          <w:rStyle w:val="FootnoteReference"/>
        </w:rPr>
        <w:footnoteReference w:id="4"/>
      </w:r>
      <w:r w:rsidRPr="00EF2AC4">
        <w:t>, Finland, France, Germany, Greece</w:t>
      </w:r>
      <w:r w:rsidR="00875577" w:rsidRPr="00EF2AC4">
        <w:rPr>
          <w:vertAlign w:val="superscript"/>
        </w:rPr>
        <w:t>1</w:t>
      </w:r>
      <w:r w:rsidRPr="00EF2AC4">
        <w:t>, India</w:t>
      </w:r>
      <w:r w:rsidR="00875577" w:rsidRPr="00EF2AC4">
        <w:rPr>
          <w:rStyle w:val="FootnoteReference"/>
        </w:rPr>
        <w:footnoteReference w:customMarkFollows="1" w:id="5"/>
        <w:t>2</w:t>
      </w:r>
      <w:r w:rsidRPr="00EF2AC4">
        <w:t xml:space="preserve"> , Iran (Islamic Republic of), Ireland</w:t>
      </w:r>
      <w:r w:rsidR="00875577" w:rsidRPr="00EF2AC4">
        <w:rPr>
          <w:vertAlign w:val="superscript"/>
        </w:rPr>
        <w:t>1</w:t>
      </w:r>
      <w:r w:rsidR="00875577" w:rsidRPr="00EF2AC4">
        <w:t>, Italy, Japan, Kenya, Mexico</w:t>
      </w:r>
      <w:r w:rsidR="00875577" w:rsidRPr="00EF2AC4">
        <w:rPr>
          <w:vertAlign w:val="superscript"/>
        </w:rPr>
        <w:t>2</w:t>
      </w:r>
      <w:r w:rsidRPr="00EF2AC4">
        <w:t>, Morocco</w:t>
      </w:r>
      <w:r w:rsidR="00875577" w:rsidRPr="00EF2AC4">
        <w:rPr>
          <w:vertAlign w:val="superscript"/>
        </w:rPr>
        <w:t>2</w:t>
      </w:r>
      <w:r w:rsidRPr="00EF2AC4">
        <w:t>, Netherlands, New Zealand</w:t>
      </w:r>
      <w:r w:rsidR="00875577" w:rsidRPr="00EF2AC4">
        <w:rPr>
          <w:vertAlign w:val="superscript"/>
        </w:rPr>
        <w:t>1</w:t>
      </w:r>
      <w:r w:rsidRPr="00EF2AC4">
        <w:t>, Nigeria</w:t>
      </w:r>
      <w:r w:rsidR="00875577" w:rsidRPr="00EF2AC4">
        <w:rPr>
          <w:vertAlign w:val="superscript"/>
        </w:rPr>
        <w:t>1</w:t>
      </w:r>
      <w:r w:rsidRPr="00EF2AC4">
        <w:t>, Norway, Poland, Portugal, Qatar</w:t>
      </w:r>
      <w:r w:rsidR="00875577" w:rsidRPr="00EF2AC4">
        <w:rPr>
          <w:vertAlign w:val="superscript"/>
        </w:rPr>
        <w:t>1</w:t>
      </w:r>
      <w:r w:rsidRPr="00EF2AC4">
        <w:t>, Republic of Korea, Russian Federation, Senegal</w:t>
      </w:r>
      <w:r w:rsidR="00875577" w:rsidRPr="00EF2AC4">
        <w:rPr>
          <w:vertAlign w:val="superscript"/>
        </w:rPr>
        <w:t>1</w:t>
      </w:r>
      <w:r w:rsidRPr="00EF2AC4">
        <w:t>, Serbia</w:t>
      </w:r>
      <w:r w:rsidR="00875577" w:rsidRPr="00EF2AC4">
        <w:rPr>
          <w:vertAlign w:val="superscript"/>
        </w:rPr>
        <w:t>1</w:t>
      </w:r>
      <w:r w:rsidRPr="00EF2AC4">
        <w:t>, South Africa, Spain, Sweden, Switzerland</w:t>
      </w:r>
      <w:r w:rsidR="00875577" w:rsidRPr="00EF2AC4">
        <w:rPr>
          <w:vertAlign w:val="superscript"/>
        </w:rPr>
        <w:t>2</w:t>
      </w:r>
      <w:r w:rsidRPr="00EF2AC4">
        <w:t>, Ukraine</w:t>
      </w:r>
      <w:r w:rsidR="00875577" w:rsidRPr="00EF2AC4">
        <w:rPr>
          <w:vertAlign w:val="superscript"/>
        </w:rPr>
        <w:t>1</w:t>
      </w:r>
      <w:r w:rsidRPr="00EF2AC4">
        <w:t>, United Kingdom of Great Britain and Northern Ireland, United States of America and Zambia</w:t>
      </w:r>
      <w:r w:rsidR="00875577" w:rsidRPr="00EF2AC4">
        <w:rPr>
          <w:vertAlign w:val="superscript"/>
        </w:rPr>
        <w:t>1</w:t>
      </w:r>
      <w:r w:rsidRPr="00EF2AC4">
        <w:t>.</w:t>
      </w:r>
    </w:p>
    <w:p w14:paraId="60300982" w14:textId="77777777" w:rsidR="00C63BA0" w:rsidRPr="00E96A05" w:rsidRDefault="00C63BA0" w:rsidP="00C63BA0">
      <w:pPr>
        <w:pStyle w:val="H1G"/>
      </w:pPr>
      <w:r>
        <w:tab/>
      </w:r>
      <w:r>
        <w:tab/>
      </w:r>
      <w:r w:rsidRPr="00E96A05">
        <w:t>Documentation</w:t>
      </w:r>
    </w:p>
    <w:p w14:paraId="2DE9B9E9" w14:textId="77777777" w:rsidR="00C63BA0" w:rsidRPr="00E96A05" w:rsidRDefault="00C63BA0" w:rsidP="00C63BA0">
      <w:pPr>
        <w:pStyle w:val="SingleTxtG"/>
      </w:pPr>
      <w:r>
        <w:t>4.</w:t>
      </w:r>
      <w:r w:rsidRPr="00E96A05">
        <w:tab/>
        <w:t>The documentation relating to the Committee is issued under the symbol ST/SG/AC.10/…</w:t>
      </w:r>
    </w:p>
    <w:p w14:paraId="7A8DF8E2" w14:textId="77777777" w:rsidR="00C63BA0" w:rsidRPr="00E96A05" w:rsidRDefault="00C63BA0" w:rsidP="00C63BA0">
      <w:pPr>
        <w:pStyle w:val="SingleTxtG"/>
      </w:pPr>
      <w:r>
        <w:t>5.</w:t>
      </w:r>
      <w:r w:rsidRPr="00E96A05">
        <w:tab/>
        <w:t>The documentation relating to the TDG Sub-Committee is issued under the symbol ST/SG/AC.10/C.3/…</w:t>
      </w:r>
    </w:p>
    <w:p w14:paraId="3391DCC1" w14:textId="77777777" w:rsidR="00C63BA0" w:rsidRPr="00E96A05" w:rsidRDefault="00C63BA0" w:rsidP="00C63BA0">
      <w:pPr>
        <w:pStyle w:val="SingleTxtG"/>
      </w:pPr>
      <w:r>
        <w:t>6.</w:t>
      </w:r>
      <w:r w:rsidRPr="00E96A05">
        <w:tab/>
        <w:t>The documentation relating to the GHS Sub-Committee is issued under the symbol ST/SG/AC.10/C.4/…</w:t>
      </w:r>
    </w:p>
    <w:p w14:paraId="7DCEAC41" w14:textId="77777777" w:rsidR="00C63BA0" w:rsidRPr="00E96A05" w:rsidRDefault="00C63BA0" w:rsidP="00C63BA0">
      <w:pPr>
        <w:pStyle w:val="SingleTxtG"/>
      </w:pPr>
      <w:r>
        <w:t>7.</w:t>
      </w:r>
      <w:r w:rsidRPr="00E96A05">
        <w:tab/>
        <w:t>Documents are issued in English and French only, which are the working languages of the secretariat.</w:t>
      </w:r>
    </w:p>
    <w:p w14:paraId="7CB33923" w14:textId="77777777" w:rsidR="00C63BA0" w:rsidRPr="00E96A05" w:rsidRDefault="00C63BA0" w:rsidP="00C63BA0">
      <w:pPr>
        <w:pStyle w:val="SingleTxtG"/>
      </w:pPr>
      <w:r>
        <w:t>8.</w:t>
      </w:r>
      <w:r w:rsidRPr="00E96A05">
        <w:tab/>
        <w:t>All documents are available on the website of the United Nations Economic Commission for Europe (UNECE)</w:t>
      </w:r>
      <w:r w:rsidR="00B13B78">
        <w:rPr>
          <w:rStyle w:val="FootnoteReference"/>
        </w:rPr>
        <w:footnoteReference w:customMarkFollows="1" w:id="6"/>
        <w:t>3</w:t>
      </w:r>
      <w:r w:rsidRPr="00E96A05">
        <w:t>, whose secretariat provides the secretariat services for the Committee</w:t>
      </w:r>
      <w:r>
        <w:t>.</w:t>
      </w:r>
    </w:p>
    <w:p w14:paraId="02A3F9EA" w14:textId="77777777" w:rsidR="00C63BA0" w:rsidRPr="00E96A05" w:rsidRDefault="00C63BA0" w:rsidP="00C63BA0">
      <w:pPr>
        <w:pStyle w:val="H1G"/>
      </w:pPr>
      <w:r>
        <w:tab/>
      </w:r>
      <w:r>
        <w:tab/>
      </w:r>
      <w:r w:rsidRPr="00E96A05">
        <w:t>Interpretation</w:t>
      </w:r>
    </w:p>
    <w:p w14:paraId="67B745C5" w14:textId="77777777" w:rsidR="00C63BA0" w:rsidRPr="00E96A05" w:rsidRDefault="00C63BA0" w:rsidP="00C63BA0">
      <w:pPr>
        <w:pStyle w:val="SingleTxtG"/>
      </w:pPr>
      <w:r>
        <w:t>9.</w:t>
      </w:r>
      <w:r w:rsidRPr="00E96A05">
        <w:tab/>
        <w:t>Interpretation during the session will be provided in Chinese, English, French, Russian and Spanish.</w:t>
      </w:r>
    </w:p>
    <w:p w14:paraId="7CFC8682" w14:textId="77777777" w:rsidR="00C63BA0" w:rsidRPr="00E96A05" w:rsidRDefault="00C63BA0" w:rsidP="00C63BA0">
      <w:pPr>
        <w:pStyle w:val="H1G"/>
      </w:pPr>
      <w:r>
        <w:tab/>
      </w:r>
      <w:r>
        <w:tab/>
      </w:r>
      <w:r w:rsidRPr="00E96A05">
        <w:t>Rules of procedure</w:t>
      </w:r>
    </w:p>
    <w:p w14:paraId="7EC1284D" w14:textId="77777777" w:rsidR="00C63BA0" w:rsidRPr="00E96A05" w:rsidRDefault="00C63BA0" w:rsidP="00C63BA0">
      <w:pPr>
        <w:pStyle w:val="SingleTxtG"/>
      </w:pPr>
      <w:r>
        <w:t>10.</w:t>
      </w:r>
      <w:r w:rsidRPr="00E96A05">
        <w:tab/>
        <w:t>In accordance with Rule 27 of the Rules of Procedure of the Economic and Social Council, Chapters VI and VIII to XII of the Rules of Procedure of the Economic and Social Council apply to the proceedings of the Committee and of its sub-committees (refer also to documents ST/SG/AC.10/C.4/2001/1</w:t>
      </w:r>
      <w:r>
        <w:t xml:space="preserve"> and</w:t>
      </w:r>
      <w:r w:rsidRPr="00E96A05">
        <w:t xml:space="preserve"> ST/SG/AC.10/C.4/2001/6).</w:t>
      </w:r>
    </w:p>
    <w:p w14:paraId="53341492" w14:textId="77777777" w:rsidR="00C63BA0" w:rsidRPr="00E96A05" w:rsidRDefault="00C63BA0" w:rsidP="00C63BA0">
      <w:pPr>
        <w:pStyle w:val="H1G"/>
      </w:pPr>
      <w:r>
        <w:tab/>
      </w:r>
      <w:r>
        <w:tab/>
      </w:r>
      <w:r w:rsidRPr="00E96A05">
        <w:t>Mandate</w:t>
      </w:r>
    </w:p>
    <w:p w14:paraId="100615F6" w14:textId="77777777" w:rsidR="00C63BA0" w:rsidRPr="00E96A05" w:rsidRDefault="00C63BA0" w:rsidP="00C63BA0">
      <w:pPr>
        <w:pStyle w:val="SingleTxtG"/>
      </w:pPr>
      <w:r>
        <w:t>11.</w:t>
      </w:r>
      <w:r w:rsidRPr="00E96A05">
        <w:tab/>
        <w:t>In accordance with resolution 1999/65, the mandate of the Committee is to deal with strategic issues rather than technical issues. It is not envisaged that it would review, change or revisit technical recommendations of the sub-committees.</w:t>
      </w:r>
    </w:p>
    <w:p w14:paraId="54852794" w14:textId="77777777" w:rsidR="00C63BA0" w:rsidRPr="00E96A05" w:rsidRDefault="00C63BA0" w:rsidP="00EB0424">
      <w:pPr>
        <w:pStyle w:val="SingleTxtG"/>
        <w:keepNext/>
        <w:keepLines/>
      </w:pPr>
      <w:r>
        <w:lastRenderedPageBreak/>
        <w:t>12.</w:t>
      </w:r>
      <w:r w:rsidRPr="00E96A05">
        <w:tab/>
        <w:t>Its main functions are:</w:t>
      </w:r>
    </w:p>
    <w:p w14:paraId="134C2EDC" w14:textId="77777777" w:rsidR="00C63BA0" w:rsidRPr="00E96A05" w:rsidRDefault="00C63BA0" w:rsidP="00C63BA0">
      <w:pPr>
        <w:pStyle w:val="SingleTxtG"/>
        <w:ind w:left="2268" w:hanging="567"/>
      </w:pPr>
      <w:r w:rsidRPr="00E96A05">
        <w:t>(a)</w:t>
      </w:r>
      <w:r w:rsidRPr="00E96A05">
        <w:tab/>
        <w:t>To approve the work programmes of the sub-committees in the light of available resources;</w:t>
      </w:r>
    </w:p>
    <w:p w14:paraId="6CAE7C72" w14:textId="77777777" w:rsidR="00C63BA0" w:rsidRPr="00E96A05" w:rsidRDefault="00C63BA0" w:rsidP="00C63BA0">
      <w:pPr>
        <w:pStyle w:val="SingleTxtG"/>
        <w:ind w:left="2268" w:hanging="567"/>
      </w:pPr>
      <w:r w:rsidRPr="00E96A05">
        <w:t>(b)</w:t>
      </w:r>
      <w:r w:rsidRPr="00E96A05">
        <w:tab/>
        <w:t>To coordinate strategic and policy directions in areas of shared interests and overlap;</w:t>
      </w:r>
    </w:p>
    <w:p w14:paraId="7CE90909" w14:textId="32309F87" w:rsidR="00C63BA0" w:rsidRPr="00E96A05" w:rsidRDefault="00C63BA0" w:rsidP="00C63BA0">
      <w:pPr>
        <w:pStyle w:val="SingleTxtG"/>
        <w:ind w:left="2268" w:hanging="567"/>
      </w:pPr>
      <w:r w:rsidRPr="00E96A05">
        <w:t>(c)</w:t>
      </w:r>
      <w:r w:rsidRPr="00E96A05">
        <w:tab/>
        <w:t>To give formal endorsement to the recommendations of the sub-committees and provide the mechanism for channelling them to the Economic and Social Council;</w:t>
      </w:r>
    </w:p>
    <w:p w14:paraId="130CA691" w14:textId="77777777" w:rsidR="00C63BA0" w:rsidRPr="00E96A05" w:rsidRDefault="00C63BA0" w:rsidP="00C63BA0">
      <w:pPr>
        <w:pStyle w:val="SingleTxtG"/>
        <w:ind w:left="2268" w:hanging="567"/>
      </w:pPr>
      <w:r w:rsidRPr="00E96A05">
        <w:t>(d)</w:t>
      </w:r>
      <w:r w:rsidRPr="00E96A05">
        <w:tab/>
        <w:t>Facilitate and coordinate the smooth running of the sub-committees.</w:t>
      </w:r>
    </w:p>
    <w:p w14:paraId="675ECBBC" w14:textId="77777777" w:rsidR="00C63BA0" w:rsidRPr="00E96A05" w:rsidRDefault="00C63BA0" w:rsidP="00C63BA0">
      <w:pPr>
        <w:pStyle w:val="H1G"/>
      </w:pPr>
      <w:r>
        <w:tab/>
      </w:r>
      <w:r>
        <w:tab/>
      </w:r>
      <w:r w:rsidRPr="00E96A05">
        <w:t>Timetable</w:t>
      </w:r>
    </w:p>
    <w:p w14:paraId="3ABADAF1" w14:textId="37A8AB5E" w:rsidR="00C63BA0" w:rsidRDefault="00C63BA0" w:rsidP="00C63BA0">
      <w:pPr>
        <w:pStyle w:val="SingleTxtG"/>
      </w:pPr>
      <w:r>
        <w:t>13.</w:t>
      </w:r>
      <w:r w:rsidRPr="00E96A05">
        <w:tab/>
        <w:t xml:space="preserve">The length of the session has been limited to half a day. It will be preceded by the </w:t>
      </w:r>
      <w:r w:rsidR="00084A17">
        <w:t>sixty-</w:t>
      </w:r>
      <w:r w:rsidR="000A5FEA">
        <w:t>fifth</w:t>
      </w:r>
      <w:r w:rsidRPr="00E96A05">
        <w:t xml:space="preserve"> session of the TDG Sub-Committee (</w:t>
      </w:r>
      <w:r w:rsidR="00F245F3">
        <w:t>2</w:t>
      </w:r>
      <w:r w:rsidR="00144E17">
        <w:t>5</w:t>
      </w:r>
      <w:r w:rsidR="0013728A">
        <w:t xml:space="preserve"> November </w:t>
      </w:r>
      <w:r>
        <w:t>–</w:t>
      </w:r>
      <w:r w:rsidR="0013728A">
        <w:t xml:space="preserve"> </w:t>
      </w:r>
      <w:r w:rsidR="00144E17">
        <w:t>3</w:t>
      </w:r>
      <w:r w:rsidRPr="00E96A05">
        <w:t xml:space="preserve"> December </w:t>
      </w:r>
      <w:r w:rsidR="0013728A">
        <w:t>20</w:t>
      </w:r>
      <w:r w:rsidR="00062096">
        <w:t>2</w:t>
      </w:r>
      <w:r w:rsidR="00144E17">
        <w:t>4</w:t>
      </w:r>
      <w:r w:rsidRPr="00E96A05">
        <w:t>) (</w:t>
      </w:r>
      <w:r>
        <w:t>a</w:t>
      </w:r>
      <w:r w:rsidRPr="00E96A05">
        <w:t>genda</w:t>
      </w:r>
      <w:r>
        <w:t>: </w:t>
      </w:r>
      <w:r w:rsidR="00062096" w:rsidRPr="00062096">
        <w:t>ST/SG/AC.10/C.3/1</w:t>
      </w:r>
      <w:r w:rsidR="00856751">
        <w:t>2</w:t>
      </w:r>
      <w:r w:rsidR="00951CEB">
        <w:t>9</w:t>
      </w:r>
      <w:r w:rsidR="0013728A" w:rsidRPr="00D95F0C">
        <w:t xml:space="preserve"> </w:t>
      </w:r>
      <w:r w:rsidRPr="00D95F0C">
        <w:t>and Add.1) and</w:t>
      </w:r>
      <w:r w:rsidRPr="00E96A05">
        <w:t xml:space="preserve"> the </w:t>
      </w:r>
      <w:r w:rsidR="00856751">
        <w:t>forty-</w:t>
      </w:r>
      <w:r w:rsidR="00951CEB">
        <w:t>seventh</w:t>
      </w:r>
      <w:r w:rsidR="00951CEB" w:rsidRPr="00E96A05">
        <w:t xml:space="preserve"> </w:t>
      </w:r>
      <w:r w:rsidRPr="00E96A05">
        <w:t>session of the GHS Sub-Committee (</w:t>
      </w:r>
      <w:r w:rsidR="004A415D">
        <w:t>4</w:t>
      </w:r>
      <w:r w:rsidR="008203AE">
        <w:t xml:space="preserve"> </w:t>
      </w:r>
      <w:r>
        <w:t>–</w:t>
      </w:r>
      <w:r w:rsidR="008203AE">
        <w:t xml:space="preserve"> </w:t>
      </w:r>
      <w:r w:rsidR="004A415D">
        <w:t>6</w:t>
      </w:r>
      <w:r>
        <w:t xml:space="preserve"> (morning) </w:t>
      </w:r>
      <w:r w:rsidRPr="00E96A05">
        <w:t xml:space="preserve">December </w:t>
      </w:r>
      <w:r w:rsidR="0013728A">
        <w:t>20</w:t>
      </w:r>
      <w:r w:rsidR="00384FA0">
        <w:t>2</w:t>
      </w:r>
      <w:r w:rsidR="004A415D">
        <w:t>4</w:t>
      </w:r>
      <w:r w:rsidRPr="00E96A05">
        <w:t>) (</w:t>
      </w:r>
      <w:r>
        <w:t>a</w:t>
      </w:r>
      <w:r w:rsidRPr="00E96A05">
        <w:t xml:space="preserve">genda: </w:t>
      </w:r>
      <w:r w:rsidR="00062096" w:rsidRPr="00062096">
        <w:t>ST/SG/AC.10/C.4/</w:t>
      </w:r>
      <w:r w:rsidR="00AB0FE8">
        <w:t>93</w:t>
      </w:r>
      <w:r w:rsidR="0013728A" w:rsidRPr="00E96A05">
        <w:t xml:space="preserve"> </w:t>
      </w:r>
      <w:r w:rsidRPr="00E96A05">
        <w:t xml:space="preserve">and </w:t>
      </w:r>
      <w:r w:rsidR="0013728A">
        <w:t>A</w:t>
      </w:r>
      <w:r w:rsidRPr="00E96A05">
        <w:t>dd.1).</w:t>
      </w:r>
    </w:p>
    <w:p w14:paraId="2D6E1BC1" w14:textId="77777777" w:rsidR="00C63BA0" w:rsidRDefault="00C63BA0" w:rsidP="00C63BA0">
      <w:pPr>
        <w:pStyle w:val="HChG"/>
      </w:pPr>
      <w:r>
        <w:tab/>
        <w:t>III.</w:t>
      </w:r>
      <w:r>
        <w:tab/>
        <w:t>Annotations</w:t>
      </w:r>
    </w:p>
    <w:p w14:paraId="742B8A89" w14:textId="77777777" w:rsidR="00C63BA0" w:rsidRPr="00E96A05" w:rsidRDefault="00C63BA0" w:rsidP="00C63BA0">
      <w:pPr>
        <w:pStyle w:val="H1G"/>
      </w:pPr>
      <w:r>
        <w:tab/>
        <w:t>1.</w:t>
      </w:r>
      <w:r>
        <w:tab/>
      </w:r>
      <w:r w:rsidRPr="00E96A05">
        <w:t>Adoption of the agenda</w:t>
      </w:r>
    </w:p>
    <w:p w14:paraId="456E984A" w14:textId="77777777" w:rsidR="00C63BA0" w:rsidRPr="00E96A05" w:rsidRDefault="00C63BA0" w:rsidP="00C63BA0">
      <w:pPr>
        <w:pStyle w:val="SingleTxtG"/>
      </w:pPr>
      <w:r>
        <w:t>14.</w:t>
      </w:r>
      <w:r w:rsidRPr="00E96A05">
        <w:tab/>
        <w:t>In accordance with the established practice, the first item on the agenda is the adoption of the agenda.</w:t>
      </w:r>
    </w:p>
    <w:p w14:paraId="3ED525BA" w14:textId="77777777" w:rsidR="00C63BA0" w:rsidRPr="00E96A05" w:rsidRDefault="00C63BA0" w:rsidP="00C63BA0">
      <w:pPr>
        <w:pStyle w:val="H1G"/>
      </w:pPr>
      <w:r>
        <w:tab/>
        <w:t>2.</w:t>
      </w:r>
      <w:r>
        <w:tab/>
      </w:r>
      <w:r w:rsidRPr="00E96A05">
        <w:t>Election of officers</w:t>
      </w:r>
    </w:p>
    <w:p w14:paraId="1215180E" w14:textId="77777777" w:rsidR="00C63BA0" w:rsidRPr="00E96A05" w:rsidRDefault="00C63BA0" w:rsidP="00C63BA0">
      <w:pPr>
        <w:pStyle w:val="SingleTxtG"/>
      </w:pPr>
      <w:r>
        <w:t>15.</w:t>
      </w:r>
      <w:r w:rsidRPr="00E96A05">
        <w:tab/>
        <w:t>In accordance with the established practice, the Committee shall elect one President and one or several vice-presidents from among the representatives of its members.</w:t>
      </w:r>
    </w:p>
    <w:p w14:paraId="4E488F80" w14:textId="77777777" w:rsidR="00C63BA0" w:rsidRPr="00E96A05" w:rsidRDefault="00C63BA0" w:rsidP="00C63BA0">
      <w:pPr>
        <w:pStyle w:val="H1G"/>
      </w:pPr>
      <w:r>
        <w:tab/>
        <w:t>3</w:t>
      </w:r>
      <w:r w:rsidRPr="00E96A05">
        <w:t>.</w:t>
      </w:r>
      <w:r w:rsidRPr="00E96A05">
        <w:tab/>
        <w:t>Resolutions and decisions of the Economic and Social Council</w:t>
      </w:r>
    </w:p>
    <w:p w14:paraId="50B6071A" w14:textId="6954A22C" w:rsidR="00C63BA0" w:rsidRPr="00E96A05" w:rsidRDefault="00C63BA0" w:rsidP="00C63BA0">
      <w:pPr>
        <w:pStyle w:val="SingleTxtG"/>
      </w:pPr>
      <w:r w:rsidRPr="00D50FE9">
        <w:t>16.</w:t>
      </w:r>
      <w:r w:rsidRPr="00D50FE9">
        <w:tab/>
        <w:t xml:space="preserve">The resolution of the Economic and Social Council of relevance to the programme of work of the Committee during the biennium </w:t>
      </w:r>
      <w:r w:rsidR="00D41AF4" w:rsidRPr="00D50FE9">
        <w:t>20</w:t>
      </w:r>
      <w:r w:rsidR="00FE0F6A">
        <w:t>2</w:t>
      </w:r>
      <w:r w:rsidR="00A006D3">
        <w:t>3</w:t>
      </w:r>
      <w:r w:rsidRPr="00D50FE9">
        <w:t>–</w:t>
      </w:r>
      <w:r w:rsidR="00D41AF4" w:rsidRPr="00D50FE9">
        <w:t>20</w:t>
      </w:r>
      <w:r w:rsidR="00384FA0" w:rsidRPr="00D50FE9">
        <w:t>2</w:t>
      </w:r>
      <w:r w:rsidR="00A006D3">
        <w:t>4</w:t>
      </w:r>
      <w:r w:rsidR="00D41AF4" w:rsidRPr="00D50FE9">
        <w:t xml:space="preserve"> </w:t>
      </w:r>
      <w:r w:rsidRPr="00D50FE9">
        <w:t xml:space="preserve">is resolution </w:t>
      </w:r>
      <w:r w:rsidR="003151C1" w:rsidRPr="00D50FE9">
        <w:t>20</w:t>
      </w:r>
      <w:r w:rsidR="002C53BE">
        <w:t>2</w:t>
      </w:r>
      <w:r w:rsidR="00B21BFB">
        <w:t>3</w:t>
      </w:r>
      <w:r w:rsidR="003151C1" w:rsidRPr="00D50FE9">
        <w:t>/</w:t>
      </w:r>
      <w:r w:rsidR="00B21BFB">
        <w:t>5</w:t>
      </w:r>
      <w:r w:rsidR="003151C1" w:rsidRPr="00D50FE9">
        <w:t xml:space="preserve"> of </w:t>
      </w:r>
      <w:r w:rsidR="005D6287">
        <w:t>1</w:t>
      </w:r>
      <w:r w:rsidR="00BF441A">
        <w:t>9</w:t>
      </w:r>
      <w:r w:rsidR="003151C1" w:rsidRPr="00D50FE9">
        <w:t xml:space="preserve"> June 20</w:t>
      </w:r>
      <w:r w:rsidR="005D6287">
        <w:t>2</w:t>
      </w:r>
      <w:r w:rsidR="00BF441A">
        <w:t>3</w:t>
      </w:r>
      <w:r w:rsidR="00732F40" w:rsidRPr="00D50FE9">
        <w:t xml:space="preserve"> (E/RES/20</w:t>
      </w:r>
      <w:r w:rsidR="005D6287">
        <w:t>2</w:t>
      </w:r>
      <w:r w:rsidR="00BF441A">
        <w:t>3</w:t>
      </w:r>
      <w:r w:rsidR="00732F40" w:rsidRPr="00D50FE9">
        <w:t>/</w:t>
      </w:r>
      <w:r w:rsidR="00BF441A">
        <w:t>5</w:t>
      </w:r>
      <w:r w:rsidR="00732F40" w:rsidRPr="00D50FE9">
        <w:t>)</w:t>
      </w:r>
      <w:r w:rsidRPr="00D50FE9">
        <w:t>.</w:t>
      </w:r>
    </w:p>
    <w:p w14:paraId="723B55F8" w14:textId="6379B384" w:rsidR="00C63BA0" w:rsidRPr="00E96A05" w:rsidRDefault="00C63BA0" w:rsidP="00C63BA0">
      <w:pPr>
        <w:pStyle w:val="H1G"/>
      </w:pPr>
      <w:r>
        <w:tab/>
        <w:t>4</w:t>
      </w:r>
      <w:r w:rsidRPr="00E96A05">
        <w:t>.</w:t>
      </w:r>
      <w:r>
        <w:tab/>
      </w:r>
      <w:r w:rsidRPr="00E96A05">
        <w:t xml:space="preserve">Work of the Sub-Committee of Experts on the Transport of Dangerous Goods during the biennium </w:t>
      </w:r>
      <w:r w:rsidR="00D41AF4">
        <w:t>20</w:t>
      </w:r>
      <w:r w:rsidR="00923F61">
        <w:t>2</w:t>
      </w:r>
      <w:r w:rsidR="00BF441A">
        <w:t>3</w:t>
      </w:r>
      <w:r w:rsidRPr="00E96A05">
        <w:t>-</w:t>
      </w:r>
      <w:r w:rsidR="00D41AF4">
        <w:t>20</w:t>
      </w:r>
      <w:r w:rsidR="00FE1368">
        <w:t>2</w:t>
      </w:r>
      <w:r w:rsidR="00BF441A">
        <w:t>4</w:t>
      </w:r>
    </w:p>
    <w:p w14:paraId="695E1004" w14:textId="0E0DDB51" w:rsidR="00C63BA0" w:rsidRPr="00732F40" w:rsidRDefault="00C63BA0" w:rsidP="00C63BA0">
      <w:pPr>
        <w:pStyle w:val="SingleTxtG"/>
      </w:pPr>
      <w:r w:rsidRPr="00997C20">
        <w:t>17.</w:t>
      </w:r>
      <w:r w:rsidRPr="00997C20">
        <w:tab/>
        <w:t xml:space="preserve">The reports of the TDG Sub-Committee on its </w:t>
      </w:r>
      <w:r w:rsidR="00FC299E">
        <w:t>six</w:t>
      </w:r>
      <w:r w:rsidR="00B5619B" w:rsidRPr="00997C20">
        <w:t>ty-</w:t>
      </w:r>
      <w:r w:rsidR="00FC299E">
        <w:t>second</w:t>
      </w:r>
      <w:r w:rsidR="00997C20">
        <w:t xml:space="preserve">, </w:t>
      </w:r>
      <w:r w:rsidR="00FC299E">
        <w:t>six</w:t>
      </w:r>
      <w:r w:rsidR="00915587">
        <w:t>ty-</w:t>
      </w:r>
      <w:r w:rsidR="00FC299E">
        <w:t>third</w:t>
      </w:r>
      <w:r w:rsidR="00FC299E" w:rsidRPr="00997C20">
        <w:t xml:space="preserve"> </w:t>
      </w:r>
      <w:r w:rsidR="00B5619B" w:rsidRPr="00997C20">
        <w:t xml:space="preserve">and </w:t>
      </w:r>
      <w:r w:rsidR="0041646E">
        <w:t>sixt</w:t>
      </w:r>
      <w:r w:rsidR="00FC299E">
        <w:t>y</w:t>
      </w:r>
      <w:r w:rsidR="00770B63">
        <w:t>-fourth</w:t>
      </w:r>
      <w:r w:rsidR="00B5619B" w:rsidRPr="00997C20">
        <w:t xml:space="preserve"> sessions</w:t>
      </w:r>
      <w:r w:rsidRPr="00997C20">
        <w:t xml:space="preserve"> are contained in documents ST/SG/AC.10/C.3/</w:t>
      </w:r>
      <w:r w:rsidR="00B5619B" w:rsidRPr="00997C20">
        <w:t>1</w:t>
      </w:r>
      <w:r w:rsidR="00777E33">
        <w:t>24</w:t>
      </w:r>
      <w:r w:rsidR="009711EF">
        <w:t>,</w:t>
      </w:r>
      <w:r w:rsidR="00480BC4" w:rsidRPr="00997C20">
        <w:t xml:space="preserve"> </w:t>
      </w:r>
      <w:r w:rsidR="009805B1" w:rsidRPr="00997C20">
        <w:t>ST/SG/AC.10/C.3/1</w:t>
      </w:r>
      <w:r w:rsidR="00777E33">
        <w:t>26</w:t>
      </w:r>
      <w:r w:rsidR="009805B1" w:rsidRPr="00997C20">
        <w:t xml:space="preserve"> and Add.1</w:t>
      </w:r>
      <w:r w:rsidR="00D2431D">
        <w:t xml:space="preserve">; </w:t>
      </w:r>
      <w:r w:rsidRPr="00997C20">
        <w:t>and ST/SG/AC.10/C.3/</w:t>
      </w:r>
      <w:r w:rsidR="00B5619B" w:rsidRPr="00997C20">
        <w:t>1</w:t>
      </w:r>
      <w:r w:rsidR="00D2431D">
        <w:t>2</w:t>
      </w:r>
      <w:r w:rsidR="005929E4">
        <w:t>8</w:t>
      </w:r>
      <w:r w:rsidR="00480BC4" w:rsidRPr="00997C20">
        <w:t xml:space="preserve"> and Add.1</w:t>
      </w:r>
      <w:r w:rsidRPr="00997C20">
        <w:t>.</w:t>
      </w:r>
      <w:r w:rsidR="00541376" w:rsidRPr="00997C20">
        <w:t xml:space="preserve"> </w:t>
      </w:r>
      <w:r w:rsidR="00B53D44">
        <w:t>Taking into account the global recovery from impact of the COVID-19 pandemic, the United Nations Office in Geneva returned back to in-person meetings. Therefore, the session</w:t>
      </w:r>
      <w:r w:rsidR="003E058A">
        <w:t>s</w:t>
      </w:r>
      <w:r w:rsidR="00B53D44">
        <w:t xml:space="preserve"> of the Sub-Committee w</w:t>
      </w:r>
      <w:r w:rsidR="003E058A">
        <w:t>ere</w:t>
      </w:r>
      <w:r w:rsidR="00B53D44">
        <w:t xml:space="preserve"> held again as an in-person meeting only</w:t>
      </w:r>
      <w:r w:rsidR="00541376" w:rsidRPr="00997C20">
        <w:t>.</w:t>
      </w:r>
    </w:p>
    <w:p w14:paraId="58994C48" w14:textId="4B77E15E" w:rsidR="00C63BA0" w:rsidRPr="00A333D6" w:rsidRDefault="00C63BA0" w:rsidP="00C63BA0">
      <w:pPr>
        <w:pStyle w:val="SingleTxtG"/>
      </w:pPr>
      <w:r w:rsidRPr="00A333D6">
        <w:t>18.</w:t>
      </w:r>
      <w:r w:rsidRPr="00A333D6">
        <w:tab/>
        <w:t>The list of draft amendments to the Recommendations on the Transport of Dangerous Goods, Model Regulations and Manual of Tests and Criteria adopted so far by the Sub-Committee has been consolidated in document ST/SG/AC.10/C.3/</w:t>
      </w:r>
      <w:r w:rsidR="00732F40" w:rsidRPr="00A333D6">
        <w:t>20</w:t>
      </w:r>
      <w:r w:rsidR="00FA6388" w:rsidRPr="00A333D6">
        <w:t>2</w:t>
      </w:r>
      <w:r w:rsidR="00185B67">
        <w:t>4</w:t>
      </w:r>
      <w:r w:rsidRPr="00A333D6">
        <w:t>/</w:t>
      </w:r>
      <w:r w:rsidR="00823847">
        <w:t>58</w:t>
      </w:r>
      <w:r w:rsidRPr="00A333D6">
        <w:t>.</w:t>
      </w:r>
    </w:p>
    <w:p w14:paraId="0C105667" w14:textId="1C6E739E" w:rsidR="00C63BA0" w:rsidRPr="00E96A05" w:rsidRDefault="00C63BA0" w:rsidP="00C63BA0">
      <w:pPr>
        <w:pStyle w:val="SingleTxtG"/>
      </w:pPr>
      <w:r w:rsidRPr="008504E4">
        <w:lastRenderedPageBreak/>
        <w:t>19.</w:t>
      </w:r>
      <w:r w:rsidRPr="008504E4">
        <w:tab/>
        <w:t xml:space="preserve">These draft amendments are still subject to a final reading at the Sub-Committee’s </w:t>
      </w:r>
      <w:r w:rsidR="002E5CB4" w:rsidRPr="004C360E">
        <w:t>sixty-fi</w:t>
      </w:r>
      <w:r w:rsidR="00814B5E">
        <w:t>fth</w:t>
      </w:r>
      <w:r w:rsidR="00732F40" w:rsidRPr="008504E4">
        <w:t xml:space="preserve"> </w:t>
      </w:r>
      <w:r w:rsidRPr="007748FA">
        <w:t>session (</w:t>
      </w:r>
      <w:r w:rsidR="00A77864" w:rsidRPr="004C360E">
        <w:t>2</w:t>
      </w:r>
      <w:r w:rsidR="00A47A4A">
        <w:t>5</w:t>
      </w:r>
      <w:r w:rsidR="00732F40" w:rsidRPr="008504E4">
        <w:t xml:space="preserve"> November-</w:t>
      </w:r>
      <w:r w:rsidR="00A47A4A">
        <w:t>3</w:t>
      </w:r>
      <w:r w:rsidR="00732F40" w:rsidRPr="008504E4">
        <w:t xml:space="preserve"> December 20</w:t>
      </w:r>
      <w:r w:rsidR="009F48F3" w:rsidRPr="007748FA">
        <w:t>2</w:t>
      </w:r>
      <w:r w:rsidR="00A47A4A">
        <w:t>4</w:t>
      </w:r>
      <w:r w:rsidRPr="008504E4">
        <w:t xml:space="preserve">) where additional amendment proposals should also be discussed. The report of the Sub-Committee on its </w:t>
      </w:r>
      <w:r w:rsidR="007748FA">
        <w:t>sixt</w:t>
      </w:r>
      <w:r w:rsidR="004B67BE">
        <w:t>y-</w:t>
      </w:r>
      <w:r w:rsidR="00A47A4A">
        <w:t>fifth</w:t>
      </w:r>
      <w:r w:rsidR="00A47A4A" w:rsidRPr="007748FA">
        <w:t xml:space="preserve"> </w:t>
      </w:r>
      <w:r w:rsidRPr="007748FA">
        <w:t xml:space="preserve">session will be made available to the Committee either in its final form or in the draft form prepared by the secretariat </w:t>
      </w:r>
      <w:r w:rsidR="000341E0" w:rsidRPr="004B67BE">
        <w:t>(</w:t>
      </w:r>
      <w:r w:rsidRPr="004B67BE">
        <w:t>ST/SG/AC.10/C.3/</w:t>
      </w:r>
      <w:r w:rsidR="00732F40" w:rsidRPr="004B67BE">
        <w:t>20</w:t>
      </w:r>
      <w:r w:rsidR="009F48F3" w:rsidRPr="004B67BE">
        <w:t>2</w:t>
      </w:r>
      <w:r w:rsidR="00473CE4">
        <w:t>4</w:t>
      </w:r>
      <w:r w:rsidRPr="004B67BE">
        <w:t>/</w:t>
      </w:r>
      <w:r w:rsidR="009F48F3" w:rsidRPr="004B67BE">
        <w:t>R</w:t>
      </w:r>
      <w:r w:rsidRPr="004B67BE">
        <w:t>.</w:t>
      </w:r>
      <w:r w:rsidR="004B67BE">
        <w:t>3</w:t>
      </w:r>
      <w:r w:rsidRPr="004B67BE">
        <w:t xml:space="preserve"> and addenda for the report proper and ST/SG/AC.10/C.3/</w:t>
      </w:r>
      <w:r w:rsidR="00732F40" w:rsidRPr="004B101F">
        <w:t>20</w:t>
      </w:r>
      <w:r w:rsidR="009F48F3" w:rsidRPr="004B101F">
        <w:t>2</w:t>
      </w:r>
      <w:r w:rsidR="00845987">
        <w:t>4</w:t>
      </w:r>
      <w:r w:rsidRPr="004B101F">
        <w:t>/R.</w:t>
      </w:r>
      <w:r w:rsidR="004B101F">
        <w:t>4</w:t>
      </w:r>
      <w:r w:rsidRPr="004B101F">
        <w:t xml:space="preserve"> and addenda for changes to the consolidated list of draft amendments</w:t>
      </w:r>
      <w:r w:rsidR="000341E0" w:rsidRPr="008504E4">
        <w:t>)</w:t>
      </w:r>
      <w:r w:rsidRPr="008504E4">
        <w:t>. The Committee may wish to endorse the draft amendments adopted by the Sub-Committee and any other recommendations made by it.</w:t>
      </w:r>
    </w:p>
    <w:p w14:paraId="69CF64A3" w14:textId="0CB6DAD6" w:rsidR="00C63BA0" w:rsidRPr="00E96A05" w:rsidRDefault="00C63BA0" w:rsidP="00C63BA0">
      <w:pPr>
        <w:pStyle w:val="H1G"/>
      </w:pPr>
      <w:r>
        <w:tab/>
        <w:t>5</w:t>
      </w:r>
      <w:r w:rsidRPr="00E96A05">
        <w:t>.</w:t>
      </w:r>
      <w:r w:rsidRPr="00E96A05">
        <w:tab/>
        <w:t xml:space="preserve">Work of the Sub-Committee of Experts on the Globally Harmonized System of Classification and Labelling of Chemicals during the biennium </w:t>
      </w:r>
      <w:r w:rsidR="0040630A">
        <w:t>20</w:t>
      </w:r>
      <w:r w:rsidR="00A77864">
        <w:t>2</w:t>
      </w:r>
      <w:r w:rsidR="00845987">
        <w:t>3</w:t>
      </w:r>
      <w:r>
        <w:t>–</w:t>
      </w:r>
      <w:r w:rsidR="0040630A">
        <w:t>20</w:t>
      </w:r>
      <w:r w:rsidR="00EA3ED9">
        <w:t>2</w:t>
      </w:r>
      <w:r w:rsidR="00845987">
        <w:t>4</w:t>
      </w:r>
    </w:p>
    <w:p w14:paraId="5454BC65" w14:textId="51445CBC" w:rsidR="00C63BA0" w:rsidRPr="004B101F" w:rsidRDefault="00C63BA0" w:rsidP="00C63BA0">
      <w:pPr>
        <w:pStyle w:val="SingleTxtG"/>
      </w:pPr>
      <w:r w:rsidRPr="004B101F">
        <w:t>20.</w:t>
      </w:r>
      <w:r w:rsidRPr="004B101F">
        <w:tab/>
      </w:r>
      <w:r w:rsidRPr="00FB1231">
        <w:t xml:space="preserve">The reports of the GHS Sub-Committee on its </w:t>
      </w:r>
      <w:r w:rsidR="00FB1231">
        <w:t>fort</w:t>
      </w:r>
      <w:r w:rsidR="00896F2A">
        <w:t>y-fourth</w:t>
      </w:r>
      <w:r w:rsidR="00FB1231">
        <w:t>, forty-</w:t>
      </w:r>
      <w:r w:rsidR="003E6A4F">
        <w:t>fi</w:t>
      </w:r>
      <w:r w:rsidR="00D50169">
        <w:t>fth</w:t>
      </w:r>
      <w:r w:rsidR="00B5619B" w:rsidRPr="00FB1231">
        <w:t xml:space="preserve"> and </w:t>
      </w:r>
      <w:r w:rsidR="00FB1231">
        <w:t>forty-</w:t>
      </w:r>
      <w:r w:rsidR="00751646">
        <w:t>sixth</w:t>
      </w:r>
      <w:r w:rsidR="00751646" w:rsidRPr="00FB1231">
        <w:t xml:space="preserve"> </w:t>
      </w:r>
      <w:r w:rsidRPr="00FB1231">
        <w:t>sessions have been issued as documents ST/SG/AC.10/C.4/</w:t>
      </w:r>
      <w:r w:rsidR="00D50169">
        <w:t>88</w:t>
      </w:r>
      <w:r w:rsidR="00A10D91">
        <w:t xml:space="preserve">, </w:t>
      </w:r>
      <w:r w:rsidR="00A10D91" w:rsidRPr="00FB1231">
        <w:t>ST/SG/AC.10/C.4/</w:t>
      </w:r>
      <w:r w:rsidR="00D50169">
        <w:t>90</w:t>
      </w:r>
      <w:r w:rsidR="00581A03">
        <w:t>,</w:t>
      </w:r>
      <w:r w:rsidR="0040630A" w:rsidRPr="00FB1231">
        <w:t xml:space="preserve"> </w:t>
      </w:r>
      <w:r w:rsidRPr="00FB1231">
        <w:t>and ST/SG/AC.10/C.4/</w:t>
      </w:r>
      <w:r w:rsidR="00D50169">
        <w:t>92</w:t>
      </w:r>
      <w:r w:rsidRPr="00A10D91">
        <w:t>.</w:t>
      </w:r>
      <w:r w:rsidR="00541376" w:rsidRPr="00A10D91">
        <w:t xml:space="preserve"> </w:t>
      </w:r>
      <w:r w:rsidR="00896F2A">
        <w:t>Foll</w:t>
      </w:r>
      <w:r w:rsidR="000F6163">
        <w:t>o</w:t>
      </w:r>
      <w:r w:rsidR="00896F2A">
        <w:t>wing the global recovery from impact of the COVID-19 pandemic, the sessions of the Sub-Committee were held again as an in-person meeting only</w:t>
      </w:r>
      <w:r w:rsidR="00541376" w:rsidRPr="004B101F">
        <w:t>.</w:t>
      </w:r>
    </w:p>
    <w:p w14:paraId="51CC6035" w14:textId="79560751" w:rsidR="00C63BA0" w:rsidRPr="00592E44" w:rsidRDefault="00C63BA0" w:rsidP="00C63BA0">
      <w:pPr>
        <w:pStyle w:val="SingleTxtG"/>
      </w:pPr>
      <w:r w:rsidRPr="001955B2">
        <w:t>21.</w:t>
      </w:r>
      <w:r w:rsidRPr="001955B2">
        <w:tab/>
        <w:t>The list of draft amendments to the Globally Harmonized System of Classification and Labelling of Chemicals (GHS) adopted so far by the Sub-Committee has been consolidated in document ST/SG/AC.10/C.4/</w:t>
      </w:r>
      <w:r w:rsidR="00732F40" w:rsidRPr="001955B2">
        <w:t>20</w:t>
      </w:r>
      <w:r w:rsidR="00A410D7" w:rsidRPr="001955B2">
        <w:t>2</w:t>
      </w:r>
      <w:r w:rsidR="000F6163">
        <w:t>4</w:t>
      </w:r>
      <w:r w:rsidRPr="001955B2">
        <w:t>/</w:t>
      </w:r>
      <w:r w:rsidR="009765E8">
        <w:t>11</w:t>
      </w:r>
      <w:r w:rsidRPr="001955B2">
        <w:t>.</w:t>
      </w:r>
    </w:p>
    <w:p w14:paraId="2893B236" w14:textId="0F88FB4A" w:rsidR="00C63BA0" w:rsidRPr="00E96A05" w:rsidRDefault="00C63BA0" w:rsidP="00C63BA0">
      <w:pPr>
        <w:pStyle w:val="SingleTxtG"/>
      </w:pPr>
      <w:r w:rsidRPr="00732F40">
        <w:t>22.</w:t>
      </w:r>
      <w:r w:rsidRPr="00732F40">
        <w:tab/>
        <w:t xml:space="preserve">These draft amendments are still subject to a final reading at the Sub-Committee’s </w:t>
      </w:r>
      <w:r w:rsidR="00E67AB9">
        <w:t>forty-</w:t>
      </w:r>
      <w:r w:rsidR="0030272A">
        <w:t>seventh</w:t>
      </w:r>
      <w:r w:rsidR="0030272A" w:rsidRPr="00732F40">
        <w:t xml:space="preserve"> </w:t>
      </w:r>
      <w:r w:rsidRPr="00732F40">
        <w:t>session (</w:t>
      </w:r>
      <w:r w:rsidR="00CB0887">
        <w:t>4</w:t>
      </w:r>
      <w:r w:rsidR="007C5D88">
        <w:t>-</w:t>
      </w:r>
      <w:r w:rsidR="00CB0887">
        <w:t>6</w:t>
      </w:r>
      <w:r w:rsidR="00732F40" w:rsidRPr="00D83190">
        <w:t xml:space="preserve"> December 20</w:t>
      </w:r>
      <w:r w:rsidR="00A410D7">
        <w:t>2</w:t>
      </w:r>
      <w:r w:rsidR="00CB0887">
        <w:t>4</w:t>
      </w:r>
      <w:r w:rsidRPr="00732F40">
        <w:t xml:space="preserve">) where additional amendment proposals should also be discussed. The report of the Sub-Committee on its </w:t>
      </w:r>
      <w:r w:rsidR="008954FB">
        <w:t>forty-</w:t>
      </w:r>
      <w:r w:rsidR="00DC3170">
        <w:t>seventh</w:t>
      </w:r>
      <w:r w:rsidR="00732F40" w:rsidRPr="00732F40">
        <w:t xml:space="preserve"> </w:t>
      </w:r>
      <w:r w:rsidRPr="00732F40">
        <w:t xml:space="preserve">session will be made available to the Committee </w:t>
      </w:r>
      <w:r w:rsidR="00802BF5">
        <w:t>in</w:t>
      </w:r>
      <w:r w:rsidRPr="00732F40">
        <w:t xml:space="preserve"> the draft form prepared by the secretariat</w:t>
      </w:r>
      <w:r w:rsidR="000341E0">
        <w:t xml:space="preserve"> (</w:t>
      </w:r>
      <w:r w:rsidRPr="00732F40">
        <w:t>ST/SG/AC.10/C.4/</w:t>
      </w:r>
      <w:r w:rsidR="00732F40" w:rsidRPr="00D83190">
        <w:t>20</w:t>
      </w:r>
      <w:r w:rsidR="00A410D7">
        <w:t>2</w:t>
      </w:r>
      <w:r w:rsidR="00D75AE6">
        <w:t>4</w:t>
      </w:r>
      <w:r w:rsidRPr="00732F40">
        <w:t>/R.</w:t>
      </w:r>
      <w:r w:rsidR="00E60E61">
        <w:t>3</w:t>
      </w:r>
      <w:r w:rsidRPr="00732F40">
        <w:t xml:space="preserve"> and addenda for the report proper and ST/SG/AC.10/C.4/</w:t>
      </w:r>
      <w:r w:rsidR="00732F40" w:rsidRPr="00D83190">
        <w:t>20</w:t>
      </w:r>
      <w:r w:rsidR="00A410D7">
        <w:t>2</w:t>
      </w:r>
      <w:r w:rsidR="00D75AE6">
        <w:t>4</w:t>
      </w:r>
      <w:r w:rsidRPr="00732F40">
        <w:t>/R.</w:t>
      </w:r>
      <w:r w:rsidR="00E60E61">
        <w:t>4</w:t>
      </w:r>
      <w:r w:rsidRPr="00732F40">
        <w:t xml:space="preserve"> and addenda for the consolidated list of draft amendments</w:t>
      </w:r>
      <w:r w:rsidR="000341E0">
        <w:t>)</w:t>
      </w:r>
      <w:r w:rsidRPr="00732F40">
        <w:t>. The Committee may wish to endorse the draft amendments adopted by the Sub-Committee and any other recommendations made</w:t>
      </w:r>
      <w:r w:rsidR="00A410D7">
        <w:t xml:space="preserve"> </w:t>
      </w:r>
      <w:r w:rsidRPr="00732F40">
        <w:t>by</w:t>
      </w:r>
      <w:r w:rsidR="00A410D7">
        <w:t xml:space="preserve"> </w:t>
      </w:r>
      <w:r w:rsidRPr="00732F40">
        <w:t>it.</w:t>
      </w:r>
    </w:p>
    <w:p w14:paraId="45289D1B" w14:textId="1415A169" w:rsidR="00C63BA0" w:rsidRPr="003156CD" w:rsidRDefault="00C63BA0" w:rsidP="00C63BA0">
      <w:pPr>
        <w:pStyle w:val="H1G"/>
        <w:rPr>
          <w:b w:val="0"/>
          <w:bCs/>
        </w:rPr>
      </w:pPr>
      <w:r>
        <w:tab/>
        <w:t>6</w:t>
      </w:r>
      <w:r w:rsidRPr="00E96A05">
        <w:t>.</w:t>
      </w:r>
      <w:r w:rsidRPr="00E96A05">
        <w:tab/>
        <w:t xml:space="preserve">Programme of work for the biennium </w:t>
      </w:r>
      <w:r w:rsidR="00B83194">
        <w:t>20</w:t>
      </w:r>
      <w:r w:rsidR="005B62AC">
        <w:t>2</w:t>
      </w:r>
      <w:r w:rsidR="00D75AE6">
        <w:t>5</w:t>
      </w:r>
      <w:r>
        <w:t>–</w:t>
      </w:r>
      <w:r w:rsidR="00B83194">
        <w:t>20</w:t>
      </w:r>
      <w:r w:rsidR="00135B07">
        <w:t>2</w:t>
      </w:r>
      <w:r w:rsidR="00D75AE6">
        <w:t>6</w:t>
      </w:r>
    </w:p>
    <w:p w14:paraId="421FE655" w14:textId="77777777" w:rsidR="00C63BA0" w:rsidRPr="00E96A05" w:rsidRDefault="00C63BA0" w:rsidP="00C63BA0">
      <w:pPr>
        <w:pStyle w:val="H23G"/>
      </w:pPr>
      <w:r>
        <w:tab/>
      </w:r>
      <w:r>
        <w:tab/>
      </w:r>
      <w:r w:rsidRPr="00E96A05">
        <w:t>(a)</w:t>
      </w:r>
      <w:r w:rsidRPr="00E96A05">
        <w:tab/>
        <w:t>Programme of work and related proposals</w:t>
      </w:r>
    </w:p>
    <w:p w14:paraId="5CD41655" w14:textId="16F9194C" w:rsidR="00C63BA0" w:rsidRPr="00E96A05" w:rsidRDefault="00C63BA0" w:rsidP="00C63952">
      <w:pPr>
        <w:pStyle w:val="SingleTxtG"/>
      </w:pPr>
      <w:r w:rsidRPr="00732F40">
        <w:t>23.</w:t>
      </w:r>
      <w:r w:rsidRPr="00732F40">
        <w:tab/>
        <w:t xml:space="preserve">The Committee should consider the proposals made by the TDG and the GHS Sub-Committees at their December </w:t>
      </w:r>
      <w:r w:rsidR="00B83194" w:rsidRPr="00732F40">
        <w:t>20</w:t>
      </w:r>
      <w:r w:rsidR="005B62AC">
        <w:t>2</w:t>
      </w:r>
      <w:r w:rsidR="00D75AE6">
        <w:t>4</w:t>
      </w:r>
      <w:r w:rsidR="00B83194" w:rsidRPr="00732F40">
        <w:t xml:space="preserve"> </w:t>
      </w:r>
      <w:r w:rsidRPr="00732F40">
        <w:t xml:space="preserve">sessions for their respective programmes of work and approve them in the light of resources available for </w:t>
      </w:r>
      <w:r w:rsidR="00B83194" w:rsidRPr="00732F40">
        <w:t>20</w:t>
      </w:r>
      <w:r w:rsidR="005B62AC">
        <w:t>2</w:t>
      </w:r>
      <w:r w:rsidR="00114E2A">
        <w:t>5</w:t>
      </w:r>
      <w:r w:rsidRPr="00732F40">
        <w:t>–</w:t>
      </w:r>
      <w:r w:rsidR="00B83194" w:rsidRPr="00732F40">
        <w:t>20</w:t>
      </w:r>
      <w:r w:rsidR="005B62AC">
        <w:t>2</w:t>
      </w:r>
      <w:r w:rsidR="00114E2A">
        <w:t>6</w:t>
      </w:r>
      <w:r w:rsidRPr="00732F40">
        <w:t>.</w:t>
      </w:r>
    </w:p>
    <w:p w14:paraId="4F699158" w14:textId="77777777" w:rsidR="00C63BA0" w:rsidRPr="00E96A05" w:rsidRDefault="00C63BA0" w:rsidP="00C63BA0">
      <w:pPr>
        <w:pStyle w:val="H23G"/>
      </w:pPr>
      <w:r>
        <w:tab/>
      </w:r>
      <w:r>
        <w:tab/>
      </w:r>
      <w:r w:rsidRPr="00E96A05">
        <w:t>(b)</w:t>
      </w:r>
      <w:r w:rsidRPr="00E96A05">
        <w:tab/>
        <w:t>Calendar of meetings</w:t>
      </w:r>
    </w:p>
    <w:p w14:paraId="1FF9CE56" w14:textId="1D41654E" w:rsidR="00C63BA0" w:rsidRDefault="00C63BA0" w:rsidP="00C63952">
      <w:pPr>
        <w:pStyle w:val="SingleTxtG"/>
      </w:pPr>
      <w:r w:rsidRPr="001656B6">
        <w:t>24.</w:t>
      </w:r>
      <w:r w:rsidRPr="001656B6">
        <w:tab/>
        <w:t xml:space="preserve">The total number of meeting days allocated to the Committee and its sub-committees by the Economic and Social Council for a biennium </w:t>
      </w:r>
      <w:r w:rsidRPr="000341E0">
        <w:t xml:space="preserve">is 38 days (i.e. 76 meetings of three-hour duration). On the basis of the experience </w:t>
      </w:r>
      <w:r w:rsidR="001B59B6">
        <w:t>from</w:t>
      </w:r>
      <w:r w:rsidR="001B59B6" w:rsidRPr="000341E0">
        <w:t xml:space="preserve"> </w:t>
      </w:r>
      <w:r w:rsidR="001B59B6">
        <w:t>previous</w:t>
      </w:r>
      <w:r w:rsidR="001B59B6" w:rsidRPr="000341E0">
        <w:t xml:space="preserve"> </w:t>
      </w:r>
      <w:r w:rsidRPr="000341E0">
        <w:t>bienni</w:t>
      </w:r>
      <w:r w:rsidR="001B59B6">
        <w:t>a</w:t>
      </w:r>
      <w:r w:rsidRPr="001656B6">
        <w:t xml:space="preserve">, the following dates have been provisionally scheduled by the secretariat for </w:t>
      </w:r>
      <w:r w:rsidR="00B83194" w:rsidRPr="001656B6">
        <w:t>20</w:t>
      </w:r>
      <w:r w:rsidR="005B62AC">
        <w:t>2</w:t>
      </w:r>
      <w:r w:rsidR="00C245AD">
        <w:t>5</w:t>
      </w:r>
      <w:r w:rsidRPr="001656B6">
        <w:t>–</w:t>
      </w:r>
      <w:r w:rsidR="00B83194" w:rsidRPr="001656B6">
        <w:t>20</w:t>
      </w:r>
      <w:r w:rsidR="003F1979" w:rsidRPr="00D83190">
        <w:t>2</w:t>
      </w:r>
      <w:r w:rsidR="00C245AD">
        <w:t>6</w:t>
      </w:r>
      <w:r w:rsidRPr="001656B6">
        <w:t>:</w:t>
      </w:r>
    </w:p>
    <w:p w14:paraId="54450C30" w14:textId="70D82DFC" w:rsidR="007C5D88" w:rsidRDefault="007C5D88" w:rsidP="00C63952">
      <w:pPr>
        <w:pStyle w:val="SingleTxtG"/>
      </w:pPr>
      <w:r>
        <w:t>202</w:t>
      </w:r>
      <w:r w:rsidR="00C245AD">
        <w:t>5</w:t>
      </w:r>
    </w:p>
    <w:p w14:paraId="06FF1355" w14:textId="06E06A8A" w:rsidR="007C5D88" w:rsidRDefault="00DB671C" w:rsidP="009F1DB4">
      <w:pPr>
        <w:pStyle w:val="SingleTxtG"/>
        <w:tabs>
          <w:tab w:val="left" w:pos="5529"/>
        </w:tabs>
      </w:pPr>
      <w:r>
        <w:t>3</w:t>
      </w:r>
      <w:r w:rsidR="005A254F">
        <w:t xml:space="preserve">0 June </w:t>
      </w:r>
      <w:r w:rsidR="00E6310C">
        <w:t>– 4</w:t>
      </w:r>
      <w:r>
        <w:t xml:space="preserve"> July 202</w:t>
      </w:r>
      <w:r w:rsidR="00E6310C">
        <w:t>5</w:t>
      </w:r>
      <w:r w:rsidR="009F1DB4">
        <w:tab/>
        <w:t>TDG Sub-Committee (6</w:t>
      </w:r>
      <w:r w:rsidR="005E611D">
        <w:t>6</w:t>
      </w:r>
      <w:r w:rsidR="005E611D">
        <w:rPr>
          <w:vertAlign w:val="superscript"/>
        </w:rPr>
        <w:t>th</w:t>
      </w:r>
      <w:r w:rsidR="009F1DB4">
        <w:t xml:space="preserve"> session)</w:t>
      </w:r>
    </w:p>
    <w:p w14:paraId="1099951D" w14:textId="70A3E1CE" w:rsidR="00F55523" w:rsidRDefault="00C341AD" w:rsidP="004C360E">
      <w:pPr>
        <w:pStyle w:val="SingleTxtG"/>
        <w:tabs>
          <w:tab w:val="left" w:pos="5529"/>
        </w:tabs>
      </w:pPr>
      <w:r>
        <w:t>7 – 9</w:t>
      </w:r>
      <w:r w:rsidR="00BA0B9B">
        <w:t xml:space="preserve"> </w:t>
      </w:r>
      <w:r w:rsidR="00472771">
        <w:t xml:space="preserve">(morning) </w:t>
      </w:r>
      <w:r w:rsidR="00BA0B9B">
        <w:t>July 202</w:t>
      </w:r>
      <w:r>
        <w:t>5</w:t>
      </w:r>
      <w:r w:rsidR="0006771B">
        <w:tab/>
        <w:t>GHS Sub-Committee (4</w:t>
      </w:r>
      <w:r w:rsidR="00283EF4">
        <w:t>8</w:t>
      </w:r>
      <w:r w:rsidR="0006771B" w:rsidRPr="004C360E">
        <w:rPr>
          <w:vertAlign w:val="superscript"/>
        </w:rPr>
        <w:t>th</w:t>
      </w:r>
      <w:r w:rsidR="0006771B">
        <w:t xml:space="preserve"> session)</w:t>
      </w:r>
    </w:p>
    <w:p w14:paraId="3924EEA0" w14:textId="6042B9D6" w:rsidR="007C5D88" w:rsidRDefault="007A0366" w:rsidP="004C360E">
      <w:pPr>
        <w:pStyle w:val="SingleTxtG"/>
        <w:tabs>
          <w:tab w:val="left" w:pos="5529"/>
        </w:tabs>
      </w:pPr>
      <w:r>
        <w:t>2</w:t>
      </w:r>
      <w:r w:rsidR="003B4539">
        <w:t>4</w:t>
      </w:r>
      <w:r>
        <w:t xml:space="preserve"> November</w:t>
      </w:r>
      <w:r w:rsidR="00B718CD">
        <w:t xml:space="preserve"> – </w:t>
      </w:r>
      <w:r w:rsidR="003B4539">
        <w:t>3</w:t>
      </w:r>
      <w:r w:rsidR="00B718CD">
        <w:t xml:space="preserve"> (morning) December 202</w:t>
      </w:r>
      <w:r w:rsidR="003B4539">
        <w:t>5</w:t>
      </w:r>
      <w:r w:rsidR="0002398B">
        <w:tab/>
        <w:t>TDG Sub-Committee (6</w:t>
      </w:r>
      <w:r w:rsidR="005E611D">
        <w:t>7</w:t>
      </w:r>
      <w:r w:rsidR="005E611D">
        <w:rPr>
          <w:vertAlign w:val="superscript"/>
        </w:rPr>
        <w:t>th</w:t>
      </w:r>
      <w:r w:rsidR="0002398B">
        <w:t xml:space="preserve"> session)</w:t>
      </w:r>
    </w:p>
    <w:p w14:paraId="1FA8534A" w14:textId="62396188" w:rsidR="007C5D88" w:rsidRDefault="003B4539" w:rsidP="004C360E">
      <w:pPr>
        <w:pStyle w:val="SingleTxtG"/>
        <w:tabs>
          <w:tab w:val="left" w:pos="5529"/>
        </w:tabs>
      </w:pPr>
      <w:r>
        <w:t>3</w:t>
      </w:r>
      <w:r w:rsidR="003826C5">
        <w:t xml:space="preserve"> (afternoon) – </w:t>
      </w:r>
      <w:r>
        <w:t>5</w:t>
      </w:r>
      <w:r w:rsidR="003826C5">
        <w:t xml:space="preserve"> December 202</w:t>
      </w:r>
      <w:r>
        <w:t>5</w:t>
      </w:r>
      <w:r w:rsidR="0002398B">
        <w:tab/>
        <w:t>GHS Sub-Committee (4</w:t>
      </w:r>
      <w:r w:rsidR="00283EF4">
        <w:t>9</w:t>
      </w:r>
      <w:r w:rsidR="0002398B" w:rsidRPr="004C360E">
        <w:rPr>
          <w:vertAlign w:val="superscript"/>
        </w:rPr>
        <w:t>th</w:t>
      </w:r>
      <w:r w:rsidR="0002398B">
        <w:t xml:space="preserve"> session)</w:t>
      </w:r>
    </w:p>
    <w:p w14:paraId="45D8B0AA" w14:textId="77777777" w:rsidR="0002398B" w:rsidRDefault="0002398B" w:rsidP="00C63952">
      <w:pPr>
        <w:pStyle w:val="SingleTxtG"/>
      </w:pPr>
    </w:p>
    <w:p w14:paraId="4C0378C4" w14:textId="4E5F8A87" w:rsidR="0002398B" w:rsidRDefault="000255FA" w:rsidP="00C63952">
      <w:pPr>
        <w:pStyle w:val="SingleTxtG"/>
      </w:pPr>
      <w:r>
        <w:lastRenderedPageBreak/>
        <w:t>202</w:t>
      </w:r>
      <w:r w:rsidR="004A416A">
        <w:t>6</w:t>
      </w:r>
    </w:p>
    <w:p w14:paraId="53C58AA8" w14:textId="43565080" w:rsidR="0069379F" w:rsidRDefault="00435F82" w:rsidP="0069379F">
      <w:pPr>
        <w:pStyle w:val="SingleTxtG"/>
        <w:tabs>
          <w:tab w:val="left" w:pos="5529"/>
        </w:tabs>
      </w:pPr>
      <w:r>
        <w:t xml:space="preserve">29 June – </w:t>
      </w:r>
      <w:r w:rsidR="00EB5728">
        <w:t>8</w:t>
      </w:r>
      <w:r w:rsidR="001B0BB0">
        <w:t xml:space="preserve"> (morning)</w:t>
      </w:r>
      <w:r w:rsidR="0069379F">
        <w:t xml:space="preserve"> July 202</w:t>
      </w:r>
      <w:r w:rsidR="00EB5728">
        <w:t>6</w:t>
      </w:r>
      <w:r w:rsidR="0069379F">
        <w:tab/>
        <w:t>TDG Sub-Committee (6</w:t>
      </w:r>
      <w:r w:rsidR="005E611D">
        <w:t>8</w:t>
      </w:r>
      <w:r w:rsidR="004F70AA">
        <w:rPr>
          <w:vertAlign w:val="superscript"/>
        </w:rPr>
        <w:t>th</w:t>
      </w:r>
      <w:r w:rsidR="0069379F">
        <w:t xml:space="preserve"> session)</w:t>
      </w:r>
    </w:p>
    <w:p w14:paraId="5C6532D6" w14:textId="18F5BCA2" w:rsidR="0069379F" w:rsidRDefault="00AE10AE" w:rsidP="0069379F">
      <w:pPr>
        <w:pStyle w:val="SingleTxtG"/>
        <w:tabs>
          <w:tab w:val="left" w:pos="5529"/>
        </w:tabs>
      </w:pPr>
      <w:r>
        <w:t xml:space="preserve">8 </w:t>
      </w:r>
      <w:r w:rsidR="00B3122E">
        <w:t xml:space="preserve">(afternoon) </w:t>
      </w:r>
      <w:r w:rsidR="0069379F">
        <w:t>-1</w:t>
      </w:r>
      <w:r>
        <w:t>0</w:t>
      </w:r>
      <w:r w:rsidR="0069379F">
        <w:t xml:space="preserve"> July 202</w:t>
      </w:r>
      <w:r>
        <w:t>6</w:t>
      </w:r>
      <w:r w:rsidR="0069379F">
        <w:tab/>
        <w:t>GHS Sub-Committee (</w:t>
      </w:r>
      <w:r w:rsidR="00283EF4">
        <w:t>50</w:t>
      </w:r>
      <w:r w:rsidR="0069379F" w:rsidRPr="0075409A">
        <w:rPr>
          <w:vertAlign w:val="superscript"/>
        </w:rPr>
        <w:t>th</w:t>
      </w:r>
      <w:r w:rsidR="0069379F">
        <w:t xml:space="preserve"> session)</w:t>
      </w:r>
    </w:p>
    <w:p w14:paraId="315C137C" w14:textId="633059A4" w:rsidR="0069379F" w:rsidRDefault="0069379F" w:rsidP="0069379F">
      <w:pPr>
        <w:pStyle w:val="SingleTxtG"/>
        <w:tabs>
          <w:tab w:val="left" w:pos="5529"/>
        </w:tabs>
      </w:pPr>
      <w:r>
        <w:t>2</w:t>
      </w:r>
      <w:r w:rsidR="00740079">
        <w:t>3</w:t>
      </w:r>
      <w:r>
        <w:t xml:space="preserve"> November – </w:t>
      </w:r>
      <w:r w:rsidR="00740079">
        <w:t>1</w:t>
      </w:r>
      <w:r>
        <w:t xml:space="preserve"> December </w:t>
      </w:r>
      <w:r w:rsidR="00740079">
        <w:t>2026</w:t>
      </w:r>
      <w:r>
        <w:tab/>
        <w:t>TDG Sub-Committee (6</w:t>
      </w:r>
      <w:r w:rsidR="005E611D">
        <w:t>9</w:t>
      </w:r>
      <w:r w:rsidR="004F70AA">
        <w:rPr>
          <w:vertAlign w:val="superscript"/>
        </w:rPr>
        <w:t>th</w:t>
      </w:r>
      <w:r>
        <w:t xml:space="preserve"> session)</w:t>
      </w:r>
    </w:p>
    <w:p w14:paraId="34644A6C" w14:textId="47A632DE" w:rsidR="0069379F" w:rsidRDefault="00740079" w:rsidP="0069379F">
      <w:pPr>
        <w:pStyle w:val="SingleTxtG"/>
        <w:tabs>
          <w:tab w:val="left" w:pos="5529"/>
        </w:tabs>
      </w:pPr>
      <w:r>
        <w:t>2</w:t>
      </w:r>
      <w:r w:rsidR="0069379F">
        <w:t xml:space="preserve"> – </w:t>
      </w:r>
      <w:r>
        <w:t>4</w:t>
      </w:r>
      <w:r w:rsidR="00E37229">
        <w:t xml:space="preserve"> (morning)</w:t>
      </w:r>
      <w:r w:rsidR="0069379F">
        <w:t xml:space="preserve"> December </w:t>
      </w:r>
      <w:r>
        <w:t>2026</w:t>
      </w:r>
      <w:r w:rsidR="0069379F">
        <w:tab/>
        <w:t>GHS Sub-Committee (</w:t>
      </w:r>
      <w:r w:rsidR="00283EF4">
        <w:t>51</w:t>
      </w:r>
      <w:r w:rsidR="00283EF4">
        <w:rPr>
          <w:vertAlign w:val="superscript"/>
        </w:rPr>
        <w:t>st</w:t>
      </w:r>
      <w:r w:rsidR="0069379F">
        <w:t xml:space="preserve"> session)</w:t>
      </w:r>
    </w:p>
    <w:p w14:paraId="070683D3" w14:textId="5EA84CC3" w:rsidR="0002398B" w:rsidRDefault="00740079" w:rsidP="004C360E">
      <w:pPr>
        <w:pStyle w:val="SingleTxtG"/>
        <w:tabs>
          <w:tab w:val="left" w:pos="5529"/>
        </w:tabs>
      </w:pPr>
      <w:r>
        <w:t>4</w:t>
      </w:r>
      <w:r w:rsidR="00DA5E34">
        <w:t xml:space="preserve"> (afternoon) December </w:t>
      </w:r>
      <w:r>
        <w:t>2026</w:t>
      </w:r>
      <w:r w:rsidR="00DA5E34">
        <w:tab/>
        <w:t>TDG-GHS Committee (</w:t>
      </w:r>
      <w:r w:rsidR="006A426E">
        <w:t>1</w:t>
      </w:r>
      <w:r w:rsidR="00283EF4">
        <w:t>3</w:t>
      </w:r>
      <w:r w:rsidR="00DA5E34" w:rsidRPr="0075409A">
        <w:rPr>
          <w:vertAlign w:val="superscript"/>
        </w:rPr>
        <w:t>th</w:t>
      </w:r>
      <w:r w:rsidR="00DA5E34">
        <w:t xml:space="preserve"> session)</w:t>
      </w:r>
    </w:p>
    <w:p w14:paraId="00777BE4" w14:textId="5EDF1080" w:rsidR="0002398B" w:rsidRDefault="0002398B" w:rsidP="00C63952">
      <w:pPr>
        <w:pStyle w:val="SingleTxtG"/>
      </w:pPr>
    </w:p>
    <w:p w14:paraId="16156C38" w14:textId="4EAA9087" w:rsidR="00C63BA0" w:rsidRPr="00E96A05" w:rsidRDefault="00C63BA0" w:rsidP="00C63952">
      <w:pPr>
        <w:pStyle w:val="SingleTxtG"/>
      </w:pPr>
      <w:r>
        <w:t>25.</w:t>
      </w:r>
      <w:r>
        <w:tab/>
      </w:r>
      <w:r w:rsidRPr="00722170">
        <w:t>The Committee may wish to consider the allocation of meetings for each sub-committee</w:t>
      </w:r>
      <w:r w:rsidRPr="00E96A05">
        <w:t xml:space="preserve"> depending on their respective programmes of work.</w:t>
      </w:r>
    </w:p>
    <w:p w14:paraId="4EE5505F" w14:textId="7995ACE1" w:rsidR="00C63BA0" w:rsidRPr="003156CD" w:rsidRDefault="00C63BA0" w:rsidP="00C63BA0">
      <w:pPr>
        <w:pStyle w:val="H1G"/>
        <w:rPr>
          <w:b w:val="0"/>
          <w:bCs/>
        </w:rPr>
      </w:pPr>
      <w:r>
        <w:tab/>
        <w:t>7</w:t>
      </w:r>
      <w:r w:rsidRPr="00E96A05">
        <w:t>.</w:t>
      </w:r>
      <w:r w:rsidRPr="00E96A05">
        <w:tab/>
        <w:t xml:space="preserve">Draft resolution </w:t>
      </w:r>
      <w:r w:rsidR="00732F40">
        <w:t>20</w:t>
      </w:r>
      <w:r w:rsidR="00ED6A65">
        <w:t>2</w:t>
      </w:r>
      <w:r w:rsidR="00283EF4">
        <w:t>5</w:t>
      </w:r>
      <w:r w:rsidRPr="00E96A05">
        <w:t>/… of the Economic and Social Council</w:t>
      </w:r>
    </w:p>
    <w:p w14:paraId="4E4936E9" w14:textId="7E161DFC" w:rsidR="00C63BA0" w:rsidRPr="00E96A05" w:rsidRDefault="00C63BA0" w:rsidP="00C63BA0">
      <w:pPr>
        <w:pStyle w:val="SingleTxtG"/>
      </w:pPr>
      <w:r>
        <w:t>26.</w:t>
      </w:r>
      <w:r w:rsidRPr="00E96A05">
        <w:tab/>
        <w:t xml:space="preserve">The Committee may wish to note that both sub-committees will have prepared their own contribution to the draft resolution to be submitted to the Economic and Social Council for adoption at its </w:t>
      </w:r>
      <w:r w:rsidR="00732F40">
        <w:t>20</w:t>
      </w:r>
      <w:r w:rsidR="00ED6A65">
        <w:t>2</w:t>
      </w:r>
      <w:r w:rsidR="00283EF4">
        <w:t>5</w:t>
      </w:r>
      <w:r w:rsidR="00732F40" w:rsidRPr="00E96A05">
        <w:t xml:space="preserve"> </w:t>
      </w:r>
      <w:r w:rsidRPr="00E96A05">
        <w:t>session. The Committee should combine the two parts and adopt the draft resolution to be submitted to the Council.</w:t>
      </w:r>
    </w:p>
    <w:p w14:paraId="674F3A21" w14:textId="4259EF6A" w:rsidR="00DD302A" w:rsidRPr="003156CD" w:rsidRDefault="00DD302A" w:rsidP="00DD302A">
      <w:pPr>
        <w:pStyle w:val="H1G"/>
        <w:rPr>
          <w:b w:val="0"/>
          <w:bCs/>
        </w:rPr>
      </w:pPr>
      <w:r>
        <w:tab/>
        <w:t>8</w:t>
      </w:r>
      <w:r w:rsidRPr="00E96A05">
        <w:t>.</w:t>
      </w:r>
      <w:r w:rsidRPr="00E96A05">
        <w:tab/>
      </w:r>
      <w:r w:rsidR="006F4618">
        <w:t>W</w:t>
      </w:r>
      <w:r>
        <w:t>ork</w:t>
      </w:r>
      <w:r w:rsidR="00EF5171">
        <w:t xml:space="preserve"> of</w:t>
      </w:r>
      <w:r w:rsidR="006F4618" w:rsidRPr="006F4618">
        <w:t xml:space="preserve"> </w:t>
      </w:r>
      <w:r w:rsidR="006F4618">
        <w:t>the Economic and Social Council</w:t>
      </w:r>
    </w:p>
    <w:p w14:paraId="65760071" w14:textId="3582D1DF" w:rsidR="00DD302A" w:rsidRPr="00E96A05" w:rsidRDefault="00DD302A" w:rsidP="00DD302A">
      <w:pPr>
        <w:pStyle w:val="SingleTxtG"/>
      </w:pPr>
      <w:r>
        <w:t>27.</w:t>
      </w:r>
      <w:r>
        <w:tab/>
      </w:r>
      <w:r w:rsidR="002C78D0" w:rsidRPr="00722170">
        <w:t xml:space="preserve">The Committee may wish to </w:t>
      </w:r>
      <w:r w:rsidR="00963F41">
        <w:t xml:space="preserve">note </w:t>
      </w:r>
      <w:r w:rsidR="002C78D0" w:rsidRPr="00722170">
        <w:t xml:space="preserve">the </w:t>
      </w:r>
      <w:r w:rsidR="002C78D0" w:rsidRPr="00E96A05">
        <w:t>programme of work</w:t>
      </w:r>
      <w:r w:rsidR="002C78D0">
        <w:t xml:space="preserve"> of the</w:t>
      </w:r>
      <w:r w:rsidR="00D938B4" w:rsidRPr="00D938B4">
        <w:t xml:space="preserve"> </w:t>
      </w:r>
      <w:r w:rsidR="00D938B4">
        <w:t>Economic and Social</w:t>
      </w:r>
      <w:r w:rsidR="002C78D0">
        <w:t xml:space="preserve"> </w:t>
      </w:r>
      <w:r w:rsidR="00D938B4">
        <w:t>Council</w:t>
      </w:r>
      <w:r w:rsidR="005449EB">
        <w:t xml:space="preserve"> and </w:t>
      </w:r>
      <w:r w:rsidR="00963F41" w:rsidRPr="00722170">
        <w:t>consider</w:t>
      </w:r>
      <w:r w:rsidR="00963F41">
        <w:t xml:space="preserve"> </w:t>
      </w:r>
      <w:r w:rsidR="002A38F9">
        <w:t>the</w:t>
      </w:r>
      <w:r w:rsidR="00963F41">
        <w:t xml:space="preserve"> feedback</w:t>
      </w:r>
      <w:r w:rsidR="002A38F9">
        <w:t xml:space="preserve"> f</w:t>
      </w:r>
      <w:r w:rsidR="008779B2">
        <w:t>rom</w:t>
      </w:r>
      <w:r w:rsidR="002A38F9">
        <w:t xml:space="preserve"> </w:t>
      </w:r>
      <w:r w:rsidR="002A38F9" w:rsidRPr="00E96A05">
        <w:t>both sub-committees</w:t>
      </w:r>
      <w:r w:rsidRPr="00E96A05">
        <w:t>.</w:t>
      </w:r>
    </w:p>
    <w:p w14:paraId="69CC5FC9" w14:textId="6018BB00" w:rsidR="00C63BA0" w:rsidRPr="003156CD" w:rsidRDefault="00C63BA0" w:rsidP="00C63BA0">
      <w:pPr>
        <w:pStyle w:val="H1G"/>
        <w:rPr>
          <w:b w:val="0"/>
          <w:bCs/>
        </w:rPr>
      </w:pPr>
      <w:r>
        <w:tab/>
      </w:r>
      <w:r w:rsidR="00EF5171">
        <w:t>9</w:t>
      </w:r>
      <w:r w:rsidRPr="00E96A05">
        <w:t>.</w:t>
      </w:r>
      <w:r w:rsidRPr="00E96A05">
        <w:tab/>
        <w:t>Any other business</w:t>
      </w:r>
    </w:p>
    <w:p w14:paraId="6083855F" w14:textId="2FCACE63" w:rsidR="00C63BA0" w:rsidRPr="00E96A05" w:rsidRDefault="00C63BA0" w:rsidP="00C63BA0">
      <w:pPr>
        <w:pStyle w:val="SingleTxtG"/>
      </w:pPr>
      <w:r>
        <w:t>2</w:t>
      </w:r>
      <w:r w:rsidR="00EF5171">
        <w:t>8</w:t>
      </w:r>
      <w:r>
        <w:t>.</w:t>
      </w:r>
      <w:r>
        <w:tab/>
      </w:r>
      <w:r w:rsidRPr="00E96A05">
        <w:t>At the time of writing, there is no issue under this agenda item.</w:t>
      </w:r>
    </w:p>
    <w:p w14:paraId="30A0882C" w14:textId="125C6836" w:rsidR="00C63BA0" w:rsidRPr="003156CD" w:rsidRDefault="00C63BA0" w:rsidP="00C63BA0">
      <w:pPr>
        <w:pStyle w:val="H1G"/>
        <w:rPr>
          <w:b w:val="0"/>
          <w:bCs/>
        </w:rPr>
      </w:pPr>
      <w:r>
        <w:tab/>
      </w:r>
      <w:r w:rsidR="00EF5171">
        <w:t>10</w:t>
      </w:r>
      <w:r w:rsidRPr="00E96A05">
        <w:t>.</w:t>
      </w:r>
      <w:r w:rsidRPr="00E96A05">
        <w:tab/>
        <w:t>Adoption of the report</w:t>
      </w:r>
    </w:p>
    <w:p w14:paraId="1994C0BA" w14:textId="548F08AE" w:rsidR="00C63BA0" w:rsidRDefault="00C63BA0" w:rsidP="00C63BA0">
      <w:pPr>
        <w:pStyle w:val="SingleTxtG"/>
      </w:pPr>
      <w:r>
        <w:t>2</w:t>
      </w:r>
      <w:r w:rsidR="000950C4">
        <w:t>9</w:t>
      </w:r>
      <w:r>
        <w:t>.</w:t>
      </w:r>
      <w:r w:rsidRPr="00E96A05">
        <w:tab/>
        <w:t xml:space="preserve">The Committee should adopt the report on its </w:t>
      </w:r>
      <w:r w:rsidR="00C52CB5">
        <w:t>eleventh</w:t>
      </w:r>
      <w:r w:rsidR="00740919" w:rsidRPr="00E96A05">
        <w:t xml:space="preserve"> </w:t>
      </w:r>
      <w:r w:rsidRPr="00E96A05">
        <w:t>session on the basis of a draft prepared by the secretariat.</w:t>
      </w:r>
    </w:p>
    <w:p w14:paraId="7AB250A5" w14:textId="77777777" w:rsidR="00C63BA0" w:rsidRPr="00E457B4" w:rsidRDefault="00C63BA0" w:rsidP="00C63BA0">
      <w:pPr>
        <w:pStyle w:val="SingleTxtG"/>
        <w:spacing w:before="240" w:after="0"/>
        <w:jc w:val="center"/>
        <w:rPr>
          <w:u w:val="single"/>
        </w:rPr>
      </w:pPr>
      <w:r>
        <w:rPr>
          <w:u w:val="single"/>
        </w:rPr>
        <w:tab/>
      </w:r>
      <w:r>
        <w:rPr>
          <w:u w:val="single"/>
        </w:rPr>
        <w:tab/>
      </w:r>
      <w:r>
        <w:rPr>
          <w:u w:val="single"/>
        </w:rPr>
        <w:tab/>
      </w:r>
    </w:p>
    <w:sectPr w:rsidR="00C63BA0" w:rsidRPr="00E457B4" w:rsidSect="00ED7BB7">
      <w:headerReference w:type="even" r:id="rId12"/>
      <w:headerReference w:type="default" r:id="rId13"/>
      <w:footerReference w:type="even" r:id="rId14"/>
      <w:footerReference w:type="default" r:id="rId15"/>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D7AC7" w14:textId="77777777" w:rsidR="0034291D" w:rsidRDefault="0034291D"/>
  </w:endnote>
  <w:endnote w:type="continuationSeparator" w:id="0">
    <w:p w14:paraId="035FD5D9" w14:textId="77777777" w:rsidR="0034291D" w:rsidRDefault="0034291D"/>
  </w:endnote>
  <w:endnote w:type="continuationNotice" w:id="1">
    <w:p w14:paraId="014FA925" w14:textId="77777777" w:rsidR="0034291D" w:rsidRDefault="003429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190AA" w14:textId="77777777" w:rsidR="00ED7BB7" w:rsidRPr="00ED7BB7" w:rsidRDefault="00ED7BB7" w:rsidP="00ED7BB7">
    <w:pPr>
      <w:pStyle w:val="Footer"/>
      <w:tabs>
        <w:tab w:val="right" w:pos="9638"/>
      </w:tabs>
      <w:rPr>
        <w:sz w:val="18"/>
      </w:rPr>
    </w:pPr>
    <w:r w:rsidRPr="00ED7BB7">
      <w:rPr>
        <w:b/>
        <w:sz w:val="18"/>
      </w:rPr>
      <w:fldChar w:fldCharType="begin"/>
    </w:r>
    <w:r w:rsidRPr="00ED7BB7">
      <w:rPr>
        <w:b/>
        <w:sz w:val="18"/>
      </w:rPr>
      <w:instrText xml:space="preserve"> PAGE  \* MERGEFORMAT </w:instrText>
    </w:r>
    <w:r w:rsidRPr="00ED7BB7">
      <w:rPr>
        <w:b/>
        <w:sz w:val="18"/>
      </w:rPr>
      <w:fldChar w:fldCharType="separate"/>
    </w:r>
    <w:r w:rsidR="00137AB5">
      <w:rPr>
        <w:b/>
        <w:noProof/>
        <w:sz w:val="18"/>
      </w:rPr>
      <w:t>6</w:t>
    </w:r>
    <w:r w:rsidRPr="00ED7BB7">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80EF8" w14:textId="77777777" w:rsidR="00ED7BB7" w:rsidRPr="00ED7BB7" w:rsidRDefault="00ED7BB7" w:rsidP="00ED7BB7">
    <w:pPr>
      <w:pStyle w:val="Footer"/>
      <w:tabs>
        <w:tab w:val="right" w:pos="9638"/>
      </w:tabs>
      <w:rPr>
        <w:b/>
        <w:sz w:val="18"/>
      </w:rPr>
    </w:pPr>
    <w:r>
      <w:tab/>
    </w:r>
    <w:r w:rsidRPr="00ED7BB7">
      <w:rPr>
        <w:b/>
        <w:sz w:val="18"/>
      </w:rPr>
      <w:fldChar w:fldCharType="begin"/>
    </w:r>
    <w:r w:rsidRPr="00ED7BB7">
      <w:rPr>
        <w:b/>
        <w:sz w:val="18"/>
      </w:rPr>
      <w:instrText xml:space="preserve"> PAGE  \* MERGEFORMAT </w:instrText>
    </w:r>
    <w:r w:rsidRPr="00ED7BB7">
      <w:rPr>
        <w:b/>
        <w:sz w:val="18"/>
      </w:rPr>
      <w:fldChar w:fldCharType="separate"/>
    </w:r>
    <w:r w:rsidR="00137AB5">
      <w:rPr>
        <w:b/>
        <w:noProof/>
        <w:sz w:val="18"/>
      </w:rPr>
      <w:t>5</w:t>
    </w:r>
    <w:r w:rsidRPr="00ED7BB7">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6D2E5" w14:textId="77777777" w:rsidR="0034291D" w:rsidRPr="000B175B" w:rsidRDefault="0034291D" w:rsidP="000B175B">
      <w:pPr>
        <w:tabs>
          <w:tab w:val="right" w:pos="2155"/>
        </w:tabs>
        <w:spacing w:after="80"/>
        <w:ind w:left="680"/>
        <w:rPr>
          <w:u w:val="single"/>
        </w:rPr>
      </w:pPr>
      <w:r>
        <w:rPr>
          <w:u w:val="single"/>
        </w:rPr>
        <w:tab/>
      </w:r>
    </w:p>
  </w:footnote>
  <w:footnote w:type="continuationSeparator" w:id="0">
    <w:p w14:paraId="3606AC07" w14:textId="77777777" w:rsidR="0034291D" w:rsidRPr="00FC68B7" w:rsidRDefault="0034291D" w:rsidP="00FC68B7">
      <w:pPr>
        <w:tabs>
          <w:tab w:val="left" w:pos="2155"/>
        </w:tabs>
        <w:spacing w:after="80"/>
        <w:ind w:left="680"/>
        <w:rPr>
          <w:u w:val="single"/>
        </w:rPr>
      </w:pPr>
      <w:r>
        <w:rPr>
          <w:u w:val="single"/>
        </w:rPr>
        <w:tab/>
      </w:r>
    </w:p>
  </w:footnote>
  <w:footnote w:type="continuationNotice" w:id="1">
    <w:p w14:paraId="2C962EFD" w14:textId="77777777" w:rsidR="0034291D" w:rsidRDefault="0034291D"/>
  </w:footnote>
  <w:footnote w:id="2">
    <w:p w14:paraId="20790AA7" w14:textId="041A51C3" w:rsidR="00684D6D" w:rsidRPr="00684D6D" w:rsidRDefault="00684D6D" w:rsidP="00684D6D">
      <w:pPr>
        <w:pStyle w:val="FootnoteText"/>
        <w:tabs>
          <w:tab w:val="left" w:pos="1418"/>
        </w:tabs>
        <w:ind w:firstLine="0"/>
        <w:rPr>
          <w:lang w:val="fr-CH"/>
        </w:rPr>
      </w:pPr>
      <w:r w:rsidRPr="007C3A30">
        <w:rPr>
          <w:rStyle w:val="FootnoteReference"/>
          <w:sz w:val="20"/>
        </w:rPr>
        <w:t>*</w:t>
      </w:r>
      <w:r>
        <w:tab/>
      </w:r>
      <w:r w:rsidR="00974E34">
        <w:rPr>
          <w:szCs w:val="18"/>
        </w:rPr>
        <w:t xml:space="preserve">All documentation </w:t>
      </w:r>
      <w:r w:rsidR="008D0085">
        <w:rPr>
          <w:szCs w:val="18"/>
        </w:rPr>
        <w:t xml:space="preserve">for the session </w:t>
      </w:r>
      <w:r w:rsidR="00555187">
        <w:rPr>
          <w:szCs w:val="18"/>
        </w:rPr>
        <w:t xml:space="preserve">will be made available online at: </w:t>
      </w:r>
      <w:hyperlink r:id="rId1" w:history="1">
        <w:r w:rsidR="009E6F93" w:rsidRPr="00D368A5">
          <w:rPr>
            <w:rStyle w:val="Hyperlink"/>
            <w:rFonts w:eastAsia="SimSun"/>
            <w:color w:val="0000FF"/>
            <w:szCs w:val="18"/>
            <w:lang w:eastAsia="zh-CN"/>
          </w:rPr>
          <w:t>https://unece.org/info/Transport/Dangerous-Goods/events/387249</w:t>
        </w:r>
      </w:hyperlink>
      <w:r w:rsidRPr="008A5E39">
        <w:rPr>
          <w:szCs w:val="18"/>
        </w:rPr>
        <w:t xml:space="preserve">. </w:t>
      </w:r>
      <w:r w:rsidR="00FD5482">
        <w:t xml:space="preserve">This will be a paperless meeting. Printed documents will not be available </w:t>
      </w:r>
      <w:r w:rsidR="00FD5482">
        <w:rPr>
          <w:szCs w:val="18"/>
        </w:rPr>
        <w:t>in the meeting room.</w:t>
      </w:r>
    </w:p>
  </w:footnote>
  <w:footnote w:id="3">
    <w:p w14:paraId="3C6D4C09" w14:textId="6BC772C5" w:rsidR="00850406" w:rsidRDefault="00684D6D" w:rsidP="00850406">
      <w:pPr>
        <w:pStyle w:val="FootnoteText"/>
        <w:tabs>
          <w:tab w:val="left" w:pos="1418"/>
        </w:tabs>
        <w:ind w:firstLine="0"/>
        <w:rPr>
          <w:color w:val="000000"/>
        </w:rPr>
      </w:pPr>
      <w:r w:rsidRPr="007C3A30">
        <w:rPr>
          <w:rStyle w:val="FootnoteReference"/>
          <w:sz w:val="20"/>
        </w:rPr>
        <w:t>**</w:t>
      </w:r>
      <w:r>
        <w:t xml:space="preserve"> </w:t>
      </w:r>
      <w:r>
        <w:tab/>
      </w:r>
      <w:r w:rsidR="00850406">
        <w:t>Participation will only be possible for registered delegates. All participants wishing to attend the session shall register in INDICO at the following address:</w:t>
      </w:r>
      <w:r w:rsidR="00AA3831">
        <w:t xml:space="preserve"> </w:t>
      </w:r>
      <w:hyperlink r:id="rId2" w:history="1">
        <w:r w:rsidR="00AA3831" w:rsidRPr="001233FA">
          <w:rPr>
            <w:rStyle w:val="Hyperlink"/>
            <w:rFonts w:eastAsia="SimSun"/>
            <w:color w:val="0000FF"/>
            <w:szCs w:val="18"/>
            <w:lang w:eastAsia="zh-CN"/>
          </w:rPr>
          <w:t>https://indico.un.org/event/1004869/</w:t>
        </w:r>
      </w:hyperlink>
      <w:r w:rsidR="00850406" w:rsidRPr="003400A8">
        <w:rPr>
          <w:color w:val="000000"/>
        </w:rPr>
        <w:t>.</w:t>
      </w:r>
    </w:p>
    <w:p w14:paraId="5E9A7DDC" w14:textId="1DB3C392" w:rsidR="00684D6D" w:rsidRPr="00684D6D" w:rsidRDefault="00212EBD" w:rsidP="004C360E">
      <w:pPr>
        <w:pStyle w:val="FootnoteText"/>
        <w:tabs>
          <w:tab w:val="left" w:pos="1418"/>
        </w:tabs>
        <w:ind w:firstLine="0"/>
        <w:rPr>
          <w:lang w:val="fr-CH"/>
        </w:rPr>
      </w:pPr>
      <w:r w:rsidRPr="009E5EAE">
        <w:t>Delegates should</w:t>
      </w:r>
      <w:r w:rsidRPr="009E5EAE">
        <w:rPr>
          <w:color w:val="000000"/>
          <w:szCs w:val="18"/>
        </w:rPr>
        <w:t xml:space="preserve">, </w:t>
      </w:r>
      <w:r w:rsidR="009C7E9E">
        <w:rPr>
          <w:color w:val="000000"/>
          <w:szCs w:val="18"/>
        </w:rPr>
        <w:t>u</w:t>
      </w:r>
      <w:r w:rsidR="00850406" w:rsidRPr="003400A8">
        <w:rPr>
          <w:color w:val="000000"/>
        </w:rPr>
        <w:t>pon arrival at the Palais des Nations, obtain an identification badge at the UNOG Security and Safety Section</w:t>
      </w:r>
      <w:r w:rsidR="0093769B" w:rsidRPr="0093769B">
        <w:rPr>
          <w:color w:val="000000"/>
        </w:rPr>
        <w:t xml:space="preserve"> </w:t>
      </w:r>
      <w:r w:rsidR="0093769B" w:rsidRPr="003400A8">
        <w:rPr>
          <w:color w:val="000000"/>
        </w:rPr>
        <w:t>located at the Pregny Gate (14, Avenue de la Paix</w:t>
      </w:r>
      <w:r w:rsidR="004B6CB0">
        <w:rPr>
          <w:color w:val="000000"/>
        </w:rPr>
        <w:t xml:space="preserve">, </w:t>
      </w:r>
      <w:r w:rsidR="004B6CB0" w:rsidRPr="00594C92">
        <w:rPr>
          <w:szCs w:val="18"/>
        </w:rPr>
        <w:t>from 8 a.m. to 5 p.m</w:t>
      </w:r>
      <w:r w:rsidR="004B6CB0">
        <w:rPr>
          <w:szCs w:val="18"/>
        </w:rPr>
        <w:t>.</w:t>
      </w:r>
      <w:r w:rsidR="0093769B" w:rsidRPr="003400A8">
        <w:rPr>
          <w:color w:val="000000"/>
        </w:rPr>
        <w:t>)</w:t>
      </w:r>
      <w:r w:rsidR="001911E4" w:rsidRPr="003400A8">
        <w:rPr>
          <w:color w:val="000000"/>
        </w:rPr>
        <w:t>.</w:t>
      </w:r>
      <w:r w:rsidR="001911E4">
        <w:rPr>
          <w:color w:val="000000"/>
        </w:rPr>
        <w:t xml:space="preserve"> </w:t>
      </w:r>
      <w:r w:rsidR="00CA2D66" w:rsidRPr="00C03907">
        <w:rPr>
          <w:szCs w:val="18"/>
        </w:rPr>
        <w:t>Access procedures have now reverted to standard, allowing entry for all users including blue badge holders, and conference participants using digital badges</w:t>
      </w:r>
      <w:r w:rsidR="007F5996">
        <w:rPr>
          <w:color w:val="000000"/>
        </w:rPr>
        <w:t xml:space="preserve">. </w:t>
      </w:r>
      <w:r w:rsidR="00850406" w:rsidRPr="003400A8">
        <w:rPr>
          <w:color w:val="000000"/>
        </w:rPr>
        <w:t>In case of difficulty, please contact the secretariat by telephone (ext. 7</w:t>
      </w:r>
      <w:r w:rsidR="00D84BD4">
        <w:rPr>
          <w:color w:val="000000"/>
        </w:rPr>
        <w:t>5028</w:t>
      </w:r>
      <w:r w:rsidR="00850406" w:rsidRPr="003400A8">
        <w:rPr>
          <w:color w:val="000000"/>
        </w:rPr>
        <w:t xml:space="preserve">). For a map of the Palais des Nations and other useful information, </w:t>
      </w:r>
      <w:r w:rsidR="004D055A">
        <w:rPr>
          <w:color w:val="000000"/>
        </w:rPr>
        <w:t>refer to</w:t>
      </w:r>
      <w:r w:rsidR="00850406">
        <w:rPr>
          <w:color w:val="000000"/>
        </w:rPr>
        <w:t>:</w:t>
      </w:r>
      <w:r w:rsidR="00850406" w:rsidRPr="003400A8">
        <w:rPr>
          <w:color w:val="000000"/>
        </w:rPr>
        <w:t xml:space="preserve"> </w:t>
      </w:r>
      <w:hyperlink r:id="rId3" w:history="1">
        <w:r w:rsidR="00741DD2" w:rsidRPr="007A091D">
          <w:rPr>
            <w:rStyle w:val="Hyperlink"/>
            <w:rFonts w:eastAsia="SimSun"/>
            <w:color w:val="0000FF"/>
            <w:szCs w:val="18"/>
            <w:lang w:eastAsia="zh-CN"/>
          </w:rPr>
          <w:t>https://unece.org/practical-information-delegates</w:t>
        </w:r>
      </w:hyperlink>
      <w:r w:rsidR="007A091D">
        <w:rPr>
          <w:rStyle w:val="Hyperlink"/>
          <w:rFonts w:eastAsia="SimSun"/>
          <w:color w:val="0000FF"/>
          <w:szCs w:val="18"/>
          <w:lang w:eastAsia="zh-CN"/>
        </w:rPr>
        <w:t>.</w:t>
      </w:r>
    </w:p>
  </w:footnote>
  <w:footnote w:id="4">
    <w:p w14:paraId="67DB4EEA" w14:textId="77777777" w:rsidR="00875577" w:rsidRPr="00875577" w:rsidRDefault="00875577" w:rsidP="00875577">
      <w:pPr>
        <w:pStyle w:val="FootnoteText"/>
        <w:tabs>
          <w:tab w:val="left" w:pos="1418"/>
        </w:tabs>
        <w:ind w:firstLine="0"/>
        <w:rPr>
          <w:lang w:val="fr-CH"/>
        </w:rPr>
      </w:pPr>
      <w:r>
        <w:rPr>
          <w:rStyle w:val="FootnoteReference"/>
        </w:rPr>
        <w:footnoteRef/>
      </w:r>
      <w:r>
        <w:t xml:space="preserve"> </w:t>
      </w:r>
      <w:r>
        <w:tab/>
      </w:r>
      <w:r w:rsidRPr="008A5E39">
        <w:t>Committee and GHS Sub-Committee only.</w:t>
      </w:r>
    </w:p>
  </w:footnote>
  <w:footnote w:id="5">
    <w:p w14:paraId="636F59B9" w14:textId="77777777" w:rsidR="00875577" w:rsidRPr="00875577" w:rsidRDefault="00875577" w:rsidP="00875577">
      <w:pPr>
        <w:pStyle w:val="FootnoteText"/>
        <w:tabs>
          <w:tab w:val="left" w:pos="1418"/>
        </w:tabs>
        <w:ind w:firstLine="0"/>
        <w:rPr>
          <w:lang w:val="fr-CH"/>
        </w:rPr>
      </w:pPr>
      <w:r>
        <w:rPr>
          <w:rStyle w:val="FootnoteReference"/>
        </w:rPr>
        <w:t>2</w:t>
      </w:r>
      <w:r>
        <w:t xml:space="preserve"> </w:t>
      </w:r>
      <w:r>
        <w:tab/>
        <w:t>Committee and TDG</w:t>
      </w:r>
      <w:r w:rsidRPr="008A5E39">
        <w:t xml:space="preserve"> Sub-Committee only.</w:t>
      </w:r>
    </w:p>
  </w:footnote>
  <w:footnote w:id="6">
    <w:p w14:paraId="41D1EB91" w14:textId="1818EDF4" w:rsidR="00B13B78" w:rsidRPr="00B13B78" w:rsidRDefault="00B13B78" w:rsidP="00B13B78">
      <w:pPr>
        <w:pStyle w:val="FootnoteText"/>
        <w:tabs>
          <w:tab w:val="left" w:pos="1418"/>
        </w:tabs>
        <w:ind w:firstLine="0"/>
        <w:rPr>
          <w:lang w:val="fr-CH"/>
        </w:rPr>
      </w:pPr>
      <w:r>
        <w:rPr>
          <w:rStyle w:val="FootnoteReference"/>
        </w:rPr>
        <w:t>3</w:t>
      </w:r>
      <w:r>
        <w:t xml:space="preserve"> </w:t>
      </w:r>
      <w:r>
        <w:tab/>
      </w:r>
      <w:hyperlink r:id="rId4" w:history="1">
        <w:r w:rsidR="00954DF4" w:rsidRPr="00AC099E">
          <w:rPr>
            <w:rStyle w:val="Hyperlink"/>
            <w:rFonts w:eastAsia="SimSun"/>
            <w:color w:val="0000FF"/>
            <w:szCs w:val="18"/>
            <w:lang w:eastAsia="zh-CN"/>
          </w:rPr>
          <w:t>https://unece.org/transport/dangerous-goods</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00855" w14:textId="78D9CFF2" w:rsidR="00ED7BB7" w:rsidRPr="00ED7BB7" w:rsidRDefault="00ED7BB7">
    <w:pPr>
      <w:pStyle w:val="Header"/>
    </w:pPr>
    <w:r>
      <w:t>ST/SG/AC.10/</w:t>
    </w:r>
    <w:r w:rsidR="00FD0524">
      <w:t>51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A963A" w14:textId="6CC338C8" w:rsidR="00ED7BB7" w:rsidRPr="00ED7BB7" w:rsidRDefault="00ED7BB7" w:rsidP="00ED7BB7">
    <w:pPr>
      <w:pStyle w:val="Header"/>
      <w:jc w:val="right"/>
    </w:pPr>
    <w:r>
      <w:t>ST/SG/AC.10/</w:t>
    </w:r>
    <w:r w:rsidR="00FD0524">
      <w:t>51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990793608">
    <w:abstractNumId w:val="1"/>
  </w:num>
  <w:num w:numId="2" w16cid:durableId="1081491861">
    <w:abstractNumId w:val="0"/>
  </w:num>
  <w:num w:numId="3" w16cid:durableId="471291125">
    <w:abstractNumId w:val="2"/>
  </w:num>
  <w:num w:numId="4" w16cid:durableId="133329376">
    <w:abstractNumId w:val="3"/>
  </w:num>
  <w:num w:numId="5" w16cid:durableId="178006835">
    <w:abstractNumId w:val="8"/>
  </w:num>
  <w:num w:numId="6" w16cid:durableId="120193579">
    <w:abstractNumId w:val="9"/>
  </w:num>
  <w:num w:numId="7" w16cid:durableId="1871916976">
    <w:abstractNumId w:val="7"/>
  </w:num>
  <w:num w:numId="8" w16cid:durableId="2072269038">
    <w:abstractNumId w:val="6"/>
  </w:num>
  <w:num w:numId="9" w16cid:durableId="926621767">
    <w:abstractNumId w:val="5"/>
  </w:num>
  <w:num w:numId="10" w16cid:durableId="1732535862">
    <w:abstractNumId w:val="4"/>
  </w:num>
  <w:num w:numId="11" w16cid:durableId="1678775095">
    <w:abstractNumId w:val="12"/>
  </w:num>
  <w:num w:numId="12" w16cid:durableId="44837985">
    <w:abstractNumId w:val="11"/>
  </w:num>
  <w:num w:numId="13" w16cid:durableId="1964649488">
    <w:abstractNumId w:val="10"/>
  </w:num>
  <w:num w:numId="14" w16cid:durableId="801653121">
    <w:abstractNumId w:val="13"/>
  </w:num>
  <w:num w:numId="15" w16cid:durableId="718824414">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CH"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BB7"/>
    <w:rsid w:val="000120D8"/>
    <w:rsid w:val="00016FEA"/>
    <w:rsid w:val="0002398B"/>
    <w:rsid w:val="00024C04"/>
    <w:rsid w:val="000255FA"/>
    <w:rsid w:val="000341E0"/>
    <w:rsid w:val="000347AE"/>
    <w:rsid w:val="00047254"/>
    <w:rsid w:val="00050F6B"/>
    <w:rsid w:val="00054B9F"/>
    <w:rsid w:val="00062096"/>
    <w:rsid w:val="000624C6"/>
    <w:rsid w:val="0006579C"/>
    <w:rsid w:val="0006771B"/>
    <w:rsid w:val="00072C8C"/>
    <w:rsid w:val="00083762"/>
    <w:rsid w:val="00084A17"/>
    <w:rsid w:val="00091419"/>
    <w:rsid w:val="00092ADD"/>
    <w:rsid w:val="00092EA8"/>
    <w:rsid w:val="000931C0"/>
    <w:rsid w:val="000950C4"/>
    <w:rsid w:val="000A5FEA"/>
    <w:rsid w:val="000B175B"/>
    <w:rsid w:val="000B3A0F"/>
    <w:rsid w:val="000C0F64"/>
    <w:rsid w:val="000C4A9E"/>
    <w:rsid w:val="000E0415"/>
    <w:rsid w:val="000F2FE9"/>
    <w:rsid w:val="000F6163"/>
    <w:rsid w:val="000F6C7A"/>
    <w:rsid w:val="000F728E"/>
    <w:rsid w:val="00104759"/>
    <w:rsid w:val="00104F14"/>
    <w:rsid w:val="00114E2A"/>
    <w:rsid w:val="00117787"/>
    <w:rsid w:val="00122F06"/>
    <w:rsid w:val="001233FA"/>
    <w:rsid w:val="001256AD"/>
    <w:rsid w:val="00131D42"/>
    <w:rsid w:val="00135B07"/>
    <w:rsid w:val="0013728A"/>
    <w:rsid w:val="001379C6"/>
    <w:rsid w:val="00137AB5"/>
    <w:rsid w:val="00144E17"/>
    <w:rsid w:val="00153534"/>
    <w:rsid w:val="001572F9"/>
    <w:rsid w:val="001633FB"/>
    <w:rsid w:val="001656B6"/>
    <w:rsid w:val="00172256"/>
    <w:rsid w:val="001724C1"/>
    <w:rsid w:val="00185B67"/>
    <w:rsid w:val="001911E4"/>
    <w:rsid w:val="0019506F"/>
    <w:rsid w:val="001955B2"/>
    <w:rsid w:val="001A3847"/>
    <w:rsid w:val="001B0BB0"/>
    <w:rsid w:val="001B4B04"/>
    <w:rsid w:val="001B59B6"/>
    <w:rsid w:val="001C0CA8"/>
    <w:rsid w:val="001C5986"/>
    <w:rsid w:val="001C6663"/>
    <w:rsid w:val="001C7895"/>
    <w:rsid w:val="001D26DF"/>
    <w:rsid w:val="001D2FDC"/>
    <w:rsid w:val="001D7746"/>
    <w:rsid w:val="0020703C"/>
    <w:rsid w:val="00211E0B"/>
    <w:rsid w:val="00212663"/>
    <w:rsid w:val="00212EBD"/>
    <w:rsid w:val="002132BA"/>
    <w:rsid w:val="002309A7"/>
    <w:rsid w:val="00231521"/>
    <w:rsid w:val="00237785"/>
    <w:rsid w:val="00241466"/>
    <w:rsid w:val="00242FD2"/>
    <w:rsid w:val="0026209D"/>
    <w:rsid w:val="002725CA"/>
    <w:rsid w:val="00280EB7"/>
    <w:rsid w:val="00283EF4"/>
    <w:rsid w:val="00286033"/>
    <w:rsid w:val="00287A50"/>
    <w:rsid w:val="002A38F9"/>
    <w:rsid w:val="002B1CDA"/>
    <w:rsid w:val="002C53BE"/>
    <w:rsid w:val="002C78D0"/>
    <w:rsid w:val="002E5CB4"/>
    <w:rsid w:val="002F559F"/>
    <w:rsid w:val="002F6FD9"/>
    <w:rsid w:val="0030272A"/>
    <w:rsid w:val="00307A43"/>
    <w:rsid w:val="003107FA"/>
    <w:rsid w:val="00312789"/>
    <w:rsid w:val="003151C1"/>
    <w:rsid w:val="003211F9"/>
    <w:rsid w:val="0032256B"/>
    <w:rsid w:val="003229D8"/>
    <w:rsid w:val="0034291D"/>
    <w:rsid w:val="0034407A"/>
    <w:rsid w:val="00345AB9"/>
    <w:rsid w:val="0035189D"/>
    <w:rsid w:val="003826C5"/>
    <w:rsid w:val="00384FA0"/>
    <w:rsid w:val="0039277A"/>
    <w:rsid w:val="0039702E"/>
    <w:rsid w:val="003972E0"/>
    <w:rsid w:val="003A1318"/>
    <w:rsid w:val="003B16AA"/>
    <w:rsid w:val="003B4539"/>
    <w:rsid w:val="003B5AC1"/>
    <w:rsid w:val="003C2CC4"/>
    <w:rsid w:val="003D4B23"/>
    <w:rsid w:val="003E058A"/>
    <w:rsid w:val="003E36F5"/>
    <w:rsid w:val="003E6A4F"/>
    <w:rsid w:val="003F1979"/>
    <w:rsid w:val="003F6CAA"/>
    <w:rsid w:val="0040630A"/>
    <w:rsid w:val="004105AD"/>
    <w:rsid w:val="0041646E"/>
    <w:rsid w:val="00420B2E"/>
    <w:rsid w:val="004325CB"/>
    <w:rsid w:val="00435F82"/>
    <w:rsid w:val="00437F3F"/>
    <w:rsid w:val="00441E05"/>
    <w:rsid w:val="00442160"/>
    <w:rsid w:val="00446DE4"/>
    <w:rsid w:val="00454036"/>
    <w:rsid w:val="00455439"/>
    <w:rsid w:val="00472771"/>
    <w:rsid w:val="00473CE4"/>
    <w:rsid w:val="0047498B"/>
    <w:rsid w:val="00480BC4"/>
    <w:rsid w:val="00483626"/>
    <w:rsid w:val="00485C24"/>
    <w:rsid w:val="004A39D2"/>
    <w:rsid w:val="004A3AEC"/>
    <w:rsid w:val="004A415D"/>
    <w:rsid w:val="004A416A"/>
    <w:rsid w:val="004B101F"/>
    <w:rsid w:val="004B2C9D"/>
    <w:rsid w:val="004B67BE"/>
    <w:rsid w:val="004B6CB0"/>
    <w:rsid w:val="004C360E"/>
    <w:rsid w:val="004D055A"/>
    <w:rsid w:val="004D41D6"/>
    <w:rsid w:val="004D4FC4"/>
    <w:rsid w:val="004E2500"/>
    <w:rsid w:val="004F25E9"/>
    <w:rsid w:val="004F390C"/>
    <w:rsid w:val="004F70AA"/>
    <w:rsid w:val="00510571"/>
    <w:rsid w:val="00517A3F"/>
    <w:rsid w:val="00526301"/>
    <w:rsid w:val="00527910"/>
    <w:rsid w:val="00541376"/>
    <w:rsid w:val="005420F2"/>
    <w:rsid w:val="005449EB"/>
    <w:rsid w:val="0054752D"/>
    <w:rsid w:val="00555187"/>
    <w:rsid w:val="00555B0C"/>
    <w:rsid w:val="00581A03"/>
    <w:rsid w:val="00590144"/>
    <w:rsid w:val="00591FD1"/>
    <w:rsid w:val="005929E4"/>
    <w:rsid w:val="00592E44"/>
    <w:rsid w:val="00596D34"/>
    <w:rsid w:val="005A254F"/>
    <w:rsid w:val="005B3DB3"/>
    <w:rsid w:val="005B62AC"/>
    <w:rsid w:val="005D2852"/>
    <w:rsid w:val="005D6287"/>
    <w:rsid w:val="005E3605"/>
    <w:rsid w:val="005E611D"/>
    <w:rsid w:val="005F1540"/>
    <w:rsid w:val="00611684"/>
    <w:rsid w:val="00611FC4"/>
    <w:rsid w:val="006176FB"/>
    <w:rsid w:val="0063419C"/>
    <w:rsid w:val="00640B26"/>
    <w:rsid w:val="006500BA"/>
    <w:rsid w:val="006503F4"/>
    <w:rsid w:val="00653C52"/>
    <w:rsid w:val="006730F7"/>
    <w:rsid w:val="0067333E"/>
    <w:rsid w:val="006769B6"/>
    <w:rsid w:val="0067742C"/>
    <w:rsid w:val="00684D6D"/>
    <w:rsid w:val="0069379F"/>
    <w:rsid w:val="006A426E"/>
    <w:rsid w:val="006A67CB"/>
    <w:rsid w:val="006A7392"/>
    <w:rsid w:val="006C0D34"/>
    <w:rsid w:val="006C7E11"/>
    <w:rsid w:val="006E564B"/>
    <w:rsid w:val="006E578B"/>
    <w:rsid w:val="006F4618"/>
    <w:rsid w:val="006F7E47"/>
    <w:rsid w:val="0072632A"/>
    <w:rsid w:val="00732F06"/>
    <w:rsid w:val="00732F40"/>
    <w:rsid w:val="0073476E"/>
    <w:rsid w:val="007366E7"/>
    <w:rsid w:val="007370B2"/>
    <w:rsid w:val="00740079"/>
    <w:rsid w:val="0074051C"/>
    <w:rsid w:val="00740919"/>
    <w:rsid w:val="00741DD2"/>
    <w:rsid w:val="00751646"/>
    <w:rsid w:val="00752D96"/>
    <w:rsid w:val="007605C3"/>
    <w:rsid w:val="00770B63"/>
    <w:rsid w:val="007748FA"/>
    <w:rsid w:val="00777E33"/>
    <w:rsid w:val="00790791"/>
    <w:rsid w:val="007A0366"/>
    <w:rsid w:val="007A0909"/>
    <w:rsid w:val="007A091D"/>
    <w:rsid w:val="007A58FC"/>
    <w:rsid w:val="007B1C4E"/>
    <w:rsid w:val="007B5C28"/>
    <w:rsid w:val="007B6BA5"/>
    <w:rsid w:val="007C3219"/>
    <w:rsid w:val="007C3390"/>
    <w:rsid w:val="007C3A30"/>
    <w:rsid w:val="007C4F4B"/>
    <w:rsid w:val="007C5D88"/>
    <w:rsid w:val="007D7B56"/>
    <w:rsid w:val="007F5996"/>
    <w:rsid w:val="007F6611"/>
    <w:rsid w:val="00802BF5"/>
    <w:rsid w:val="008109E4"/>
    <w:rsid w:val="00814B5E"/>
    <w:rsid w:val="008175E9"/>
    <w:rsid w:val="008203AE"/>
    <w:rsid w:val="0082254D"/>
    <w:rsid w:val="00823847"/>
    <w:rsid w:val="008242D7"/>
    <w:rsid w:val="00836619"/>
    <w:rsid w:val="00843E46"/>
    <w:rsid w:val="00845987"/>
    <w:rsid w:val="00850406"/>
    <w:rsid w:val="008504E4"/>
    <w:rsid w:val="00856751"/>
    <w:rsid w:val="00871FD5"/>
    <w:rsid w:val="00875577"/>
    <w:rsid w:val="008778C3"/>
    <w:rsid w:val="008779B2"/>
    <w:rsid w:val="00891B61"/>
    <w:rsid w:val="008954FB"/>
    <w:rsid w:val="0089592F"/>
    <w:rsid w:val="00895CC6"/>
    <w:rsid w:val="00896F2A"/>
    <w:rsid w:val="008979B1"/>
    <w:rsid w:val="008A03C0"/>
    <w:rsid w:val="008A6B25"/>
    <w:rsid w:val="008A6C4F"/>
    <w:rsid w:val="008C345F"/>
    <w:rsid w:val="008C5D49"/>
    <w:rsid w:val="008D0085"/>
    <w:rsid w:val="008D5DE2"/>
    <w:rsid w:val="008E0E46"/>
    <w:rsid w:val="009045FE"/>
    <w:rsid w:val="00915587"/>
    <w:rsid w:val="00915D30"/>
    <w:rsid w:val="00923F61"/>
    <w:rsid w:val="0093769B"/>
    <w:rsid w:val="00945A5D"/>
    <w:rsid w:val="00951CEB"/>
    <w:rsid w:val="00954DF4"/>
    <w:rsid w:val="00963CBA"/>
    <w:rsid w:val="00963F41"/>
    <w:rsid w:val="00967068"/>
    <w:rsid w:val="009675AC"/>
    <w:rsid w:val="009711EF"/>
    <w:rsid w:val="00974E34"/>
    <w:rsid w:val="009765E8"/>
    <w:rsid w:val="009805B1"/>
    <w:rsid w:val="00981F70"/>
    <w:rsid w:val="009865F2"/>
    <w:rsid w:val="00990C70"/>
    <w:rsid w:val="0099124E"/>
    <w:rsid w:val="00991261"/>
    <w:rsid w:val="00994FA5"/>
    <w:rsid w:val="00997C20"/>
    <w:rsid w:val="009A0E7F"/>
    <w:rsid w:val="009C0F42"/>
    <w:rsid w:val="009C3671"/>
    <w:rsid w:val="009C4ABD"/>
    <w:rsid w:val="009C7E9E"/>
    <w:rsid w:val="009E0DB9"/>
    <w:rsid w:val="009E6F93"/>
    <w:rsid w:val="009F0F06"/>
    <w:rsid w:val="009F1DB4"/>
    <w:rsid w:val="009F48F3"/>
    <w:rsid w:val="00A006D3"/>
    <w:rsid w:val="00A05EE0"/>
    <w:rsid w:val="00A10D91"/>
    <w:rsid w:val="00A1427D"/>
    <w:rsid w:val="00A17A92"/>
    <w:rsid w:val="00A321AB"/>
    <w:rsid w:val="00A333D6"/>
    <w:rsid w:val="00A410D7"/>
    <w:rsid w:val="00A47A4A"/>
    <w:rsid w:val="00A6295D"/>
    <w:rsid w:val="00A72A86"/>
    <w:rsid w:val="00A72F22"/>
    <w:rsid w:val="00A748A6"/>
    <w:rsid w:val="00A75EC9"/>
    <w:rsid w:val="00A77864"/>
    <w:rsid w:val="00A86102"/>
    <w:rsid w:val="00A879A4"/>
    <w:rsid w:val="00AA10A5"/>
    <w:rsid w:val="00AA3831"/>
    <w:rsid w:val="00AB0FE8"/>
    <w:rsid w:val="00AB17D4"/>
    <w:rsid w:val="00AC099E"/>
    <w:rsid w:val="00AD6659"/>
    <w:rsid w:val="00AE10AE"/>
    <w:rsid w:val="00AE6AA4"/>
    <w:rsid w:val="00AE7E7B"/>
    <w:rsid w:val="00B13B78"/>
    <w:rsid w:val="00B16896"/>
    <w:rsid w:val="00B21BFB"/>
    <w:rsid w:val="00B30179"/>
    <w:rsid w:val="00B3087B"/>
    <w:rsid w:val="00B3122E"/>
    <w:rsid w:val="00B3317B"/>
    <w:rsid w:val="00B400C8"/>
    <w:rsid w:val="00B4204E"/>
    <w:rsid w:val="00B47F45"/>
    <w:rsid w:val="00B5180E"/>
    <w:rsid w:val="00B53D44"/>
    <w:rsid w:val="00B5619B"/>
    <w:rsid w:val="00B63294"/>
    <w:rsid w:val="00B718CD"/>
    <w:rsid w:val="00B735B2"/>
    <w:rsid w:val="00B77BC9"/>
    <w:rsid w:val="00B81E12"/>
    <w:rsid w:val="00B828BB"/>
    <w:rsid w:val="00B83194"/>
    <w:rsid w:val="00B93068"/>
    <w:rsid w:val="00BA0B9B"/>
    <w:rsid w:val="00BA18B0"/>
    <w:rsid w:val="00BB7BAC"/>
    <w:rsid w:val="00BC734D"/>
    <w:rsid w:val="00BC74E9"/>
    <w:rsid w:val="00BE0F4E"/>
    <w:rsid w:val="00BE46B3"/>
    <w:rsid w:val="00BE618E"/>
    <w:rsid w:val="00BE71C9"/>
    <w:rsid w:val="00BF441A"/>
    <w:rsid w:val="00BF5703"/>
    <w:rsid w:val="00C01C8A"/>
    <w:rsid w:val="00C16CC5"/>
    <w:rsid w:val="00C245AD"/>
    <w:rsid w:val="00C33A97"/>
    <w:rsid w:val="00C341AD"/>
    <w:rsid w:val="00C463DD"/>
    <w:rsid w:val="00C5218F"/>
    <w:rsid w:val="00C52CB5"/>
    <w:rsid w:val="00C62F76"/>
    <w:rsid w:val="00C63952"/>
    <w:rsid w:val="00C63BA0"/>
    <w:rsid w:val="00C70A47"/>
    <w:rsid w:val="00C745C3"/>
    <w:rsid w:val="00C925B9"/>
    <w:rsid w:val="00CA146D"/>
    <w:rsid w:val="00CA2D66"/>
    <w:rsid w:val="00CB0887"/>
    <w:rsid w:val="00CB28B3"/>
    <w:rsid w:val="00CD19A0"/>
    <w:rsid w:val="00CD3225"/>
    <w:rsid w:val="00CE4A8F"/>
    <w:rsid w:val="00CF5AA4"/>
    <w:rsid w:val="00D2031B"/>
    <w:rsid w:val="00D2431D"/>
    <w:rsid w:val="00D25FE2"/>
    <w:rsid w:val="00D35BBD"/>
    <w:rsid w:val="00D368A5"/>
    <w:rsid w:val="00D41AF4"/>
    <w:rsid w:val="00D43252"/>
    <w:rsid w:val="00D461BD"/>
    <w:rsid w:val="00D47CA1"/>
    <w:rsid w:val="00D50169"/>
    <w:rsid w:val="00D50FE9"/>
    <w:rsid w:val="00D753D8"/>
    <w:rsid w:val="00D75AE6"/>
    <w:rsid w:val="00D83190"/>
    <w:rsid w:val="00D84BD4"/>
    <w:rsid w:val="00D938B4"/>
    <w:rsid w:val="00D96CC5"/>
    <w:rsid w:val="00D978C6"/>
    <w:rsid w:val="00DA5E34"/>
    <w:rsid w:val="00DA67AD"/>
    <w:rsid w:val="00DA7398"/>
    <w:rsid w:val="00DB671C"/>
    <w:rsid w:val="00DC3170"/>
    <w:rsid w:val="00DD1E56"/>
    <w:rsid w:val="00DD302A"/>
    <w:rsid w:val="00DE6314"/>
    <w:rsid w:val="00E130AB"/>
    <w:rsid w:val="00E35ABD"/>
    <w:rsid w:val="00E37229"/>
    <w:rsid w:val="00E54844"/>
    <w:rsid w:val="00E5644E"/>
    <w:rsid w:val="00E60E61"/>
    <w:rsid w:val="00E6310C"/>
    <w:rsid w:val="00E65D6E"/>
    <w:rsid w:val="00E664B9"/>
    <w:rsid w:val="00E67AB9"/>
    <w:rsid w:val="00E7260F"/>
    <w:rsid w:val="00E7301B"/>
    <w:rsid w:val="00E8535A"/>
    <w:rsid w:val="00E9244C"/>
    <w:rsid w:val="00E96630"/>
    <w:rsid w:val="00EA0070"/>
    <w:rsid w:val="00EA3ED9"/>
    <w:rsid w:val="00EA5239"/>
    <w:rsid w:val="00EA772F"/>
    <w:rsid w:val="00EB0424"/>
    <w:rsid w:val="00EB4961"/>
    <w:rsid w:val="00EB5499"/>
    <w:rsid w:val="00EB5728"/>
    <w:rsid w:val="00EB6832"/>
    <w:rsid w:val="00EC45DD"/>
    <w:rsid w:val="00ED6A65"/>
    <w:rsid w:val="00ED7A2A"/>
    <w:rsid w:val="00ED7BB7"/>
    <w:rsid w:val="00EE4CB7"/>
    <w:rsid w:val="00EF1D7F"/>
    <w:rsid w:val="00EF2AC4"/>
    <w:rsid w:val="00EF5171"/>
    <w:rsid w:val="00EF6FBE"/>
    <w:rsid w:val="00F1625C"/>
    <w:rsid w:val="00F245F3"/>
    <w:rsid w:val="00F40E75"/>
    <w:rsid w:val="00F54674"/>
    <w:rsid w:val="00F55523"/>
    <w:rsid w:val="00F64534"/>
    <w:rsid w:val="00F753E1"/>
    <w:rsid w:val="00F87E6B"/>
    <w:rsid w:val="00F92C7A"/>
    <w:rsid w:val="00FA4D91"/>
    <w:rsid w:val="00FA6388"/>
    <w:rsid w:val="00FB1231"/>
    <w:rsid w:val="00FB6884"/>
    <w:rsid w:val="00FC299E"/>
    <w:rsid w:val="00FC68B7"/>
    <w:rsid w:val="00FD0524"/>
    <w:rsid w:val="00FD5482"/>
    <w:rsid w:val="00FD6B2B"/>
    <w:rsid w:val="00FE0F6A"/>
    <w:rsid w:val="00FE1368"/>
    <w:rsid w:val="00FF03B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6DD5E"/>
  <w15:docId w15:val="{DF2E85A4-2F9B-4A7D-B033-775A06C7C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7E11"/>
    <w:pPr>
      <w:suppressAutoHyphens/>
      <w:spacing w:line="240" w:lineRule="atLeast"/>
    </w:pPr>
    <w:rPr>
      <w:lang w:eastAsia="en-US"/>
    </w:rPr>
  </w:style>
  <w:style w:type="paragraph" w:styleId="Heading1">
    <w:name w:val="heading 1"/>
    <w:aliases w:val="Table_G"/>
    <w:basedOn w:val="SingleTxtG"/>
    <w:next w:val="SingleTxtG"/>
    <w:qFormat/>
    <w:rsid w:val="006C7E11"/>
    <w:pPr>
      <w:spacing w:after="0" w:line="240" w:lineRule="auto"/>
      <w:ind w:right="0"/>
      <w:jc w:val="left"/>
      <w:outlineLvl w:val="0"/>
    </w:pPr>
  </w:style>
  <w:style w:type="paragraph" w:styleId="Heading2">
    <w:name w:val="heading 2"/>
    <w:basedOn w:val="Normal"/>
    <w:next w:val="Normal"/>
    <w:qFormat/>
    <w:rsid w:val="006C7E11"/>
    <w:pPr>
      <w:spacing w:line="240" w:lineRule="auto"/>
      <w:outlineLvl w:val="1"/>
    </w:pPr>
  </w:style>
  <w:style w:type="paragraph" w:styleId="Heading3">
    <w:name w:val="heading 3"/>
    <w:basedOn w:val="Normal"/>
    <w:next w:val="Normal"/>
    <w:qFormat/>
    <w:rsid w:val="006C7E11"/>
    <w:pPr>
      <w:spacing w:line="240" w:lineRule="auto"/>
      <w:outlineLvl w:val="2"/>
    </w:pPr>
  </w:style>
  <w:style w:type="paragraph" w:styleId="Heading4">
    <w:name w:val="heading 4"/>
    <w:basedOn w:val="Normal"/>
    <w:next w:val="Normal"/>
    <w:qFormat/>
    <w:rsid w:val="006C7E11"/>
    <w:pPr>
      <w:spacing w:line="240" w:lineRule="auto"/>
      <w:outlineLvl w:val="3"/>
    </w:pPr>
  </w:style>
  <w:style w:type="paragraph" w:styleId="Heading5">
    <w:name w:val="heading 5"/>
    <w:basedOn w:val="Normal"/>
    <w:next w:val="Normal"/>
    <w:qFormat/>
    <w:rsid w:val="006C7E11"/>
    <w:pPr>
      <w:spacing w:line="240" w:lineRule="auto"/>
      <w:outlineLvl w:val="4"/>
    </w:pPr>
  </w:style>
  <w:style w:type="paragraph" w:styleId="Heading6">
    <w:name w:val="heading 6"/>
    <w:basedOn w:val="Normal"/>
    <w:next w:val="Normal"/>
    <w:qFormat/>
    <w:rsid w:val="006C7E11"/>
    <w:pPr>
      <w:spacing w:line="240" w:lineRule="auto"/>
      <w:outlineLvl w:val="5"/>
    </w:pPr>
  </w:style>
  <w:style w:type="paragraph" w:styleId="Heading7">
    <w:name w:val="heading 7"/>
    <w:basedOn w:val="Normal"/>
    <w:next w:val="Normal"/>
    <w:qFormat/>
    <w:rsid w:val="006C7E11"/>
    <w:pPr>
      <w:spacing w:line="240" w:lineRule="auto"/>
      <w:outlineLvl w:val="6"/>
    </w:pPr>
  </w:style>
  <w:style w:type="paragraph" w:styleId="Heading8">
    <w:name w:val="heading 8"/>
    <w:basedOn w:val="Normal"/>
    <w:next w:val="Normal"/>
    <w:qFormat/>
    <w:rsid w:val="006C7E11"/>
    <w:pPr>
      <w:spacing w:line="240" w:lineRule="auto"/>
      <w:outlineLvl w:val="7"/>
    </w:pPr>
  </w:style>
  <w:style w:type="paragraph" w:styleId="Heading9">
    <w:name w:val="heading 9"/>
    <w:basedOn w:val="Normal"/>
    <w:next w:val="Normal"/>
    <w:qFormat/>
    <w:rsid w:val="006C7E11"/>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6C7E11"/>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6C7E11"/>
    <w:pPr>
      <w:keepNext/>
      <w:keepLines/>
      <w:tabs>
        <w:tab w:val="right" w:pos="851"/>
      </w:tabs>
      <w:spacing w:before="360" w:after="240" w:line="300" w:lineRule="exact"/>
      <w:ind w:left="1134" w:right="1134" w:hanging="1134"/>
    </w:pPr>
    <w:rPr>
      <w:b/>
      <w:sz w:val="28"/>
    </w:rPr>
  </w:style>
  <w:style w:type="paragraph" w:customStyle="1" w:styleId="SingleTxtG">
    <w:name w:val="_ Single Txt_G"/>
    <w:basedOn w:val="Normal"/>
    <w:rsid w:val="006C7E11"/>
    <w:pPr>
      <w:spacing w:after="120"/>
      <w:ind w:left="1134" w:right="1134"/>
      <w:jc w:val="both"/>
    </w:pPr>
  </w:style>
  <w:style w:type="character" w:styleId="PageNumber">
    <w:name w:val="page number"/>
    <w:aliases w:val="7_G"/>
    <w:basedOn w:val="DefaultParagraphFont"/>
    <w:rsid w:val="006C7E11"/>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6C7E11"/>
    <w:pPr>
      <w:keepNext/>
      <w:keepLines/>
      <w:spacing w:before="240" w:after="240" w:line="420" w:lineRule="exact"/>
      <w:ind w:left="1134" w:right="1134"/>
    </w:pPr>
    <w:rPr>
      <w:b/>
      <w:sz w:val="40"/>
    </w:rPr>
  </w:style>
  <w:style w:type="paragraph" w:customStyle="1" w:styleId="SLG">
    <w:name w:val="__S_L_G"/>
    <w:basedOn w:val="Normal"/>
    <w:next w:val="Normal"/>
    <w:rsid w:val="006C7E11"/>
    <w:pPr>
      <w:keepNext/>
      <w:keepLines/>
      <w:spacing w:before="240" w:after="240" w:line="580" w:lineRule="exact"/>
      <w:ind w:left="1134" w:right="1134"/>
    </w:pPr>
    <w:rPr>
      <w:b/>
      <w:sz w:val="56"/>
    </w:rPr>
  </w:style>
  <w:style w:type="paragraph" w:customStyle="1" w:styleId="SSG">
    <w:name w:val="__S_S_G"/>
    <w:basedOn w:val="Normal"/>
    <w:next w:val="Normal"/>
    <w:rsid w:val="006C7E11"/>
    <w:pPr>
      <w:keepNext/>
      <w:keepLines/>
      <w:spacing w:before="240" w:after="240" w:line="300" w:lineRule="exact"/>
      <w:ind w:left="1134" w:right="1134"/>
    </w:pPr>
    <w:rPr>
      <w:b/>
      <w:sz w:val="28"/>
    </w:rPr>
  </w:style>
  <w:style w:type="character" w:styleId="EndnoteReference">
    <w:name w:val="endnote reference"/>
    <w:aliases w:val="1_G"/>
    <w:basedOn w:val="FootnoteReference"/>
    <w:rsid w:val="006C7E11"/>
    <w:rPr>
      <w:rFonts w:ascii="Times New Roman" w:hAnsi="Times New Roman"/>
      <w:sz w:val="18"/>
      <w:vertAlign w:val="superscript"/>
    </w:rPr>
  </w:style>
  <w:style w:type="character" w:styleId="FootnoteReference">
    <w:name w:val="footnote reference"/>
    <w:aliases w:val="4_G"/>
    <w:basedOn w:val="DefaultParagraphFont"/>
    <w:rsid w:val="006C7E11"/>
    <w:rPr>
      <w:rFonts w:ascii="Times New Roman" w:hAnsi="Times New Roman"/>
      <w:sz w:val="18"/>
      <w:vertAlign w:val="superscript"/>
    </w:rPr>
  </w:style>
  <w:style w:type="paragraph" w:styleId="FootnoteText">
    <w:name w:val="footnote text"/>
    <w:aliases w:val="5_G"/>
    <w:basedOn w:val="Normal"/>
    <w:link w:val="FootnoteTextChar"/>
    <w:qFormat/>
    <w:rsid w:val="006C7E11"/>
    <w:pPr>
      <w:tabs>
        <w:tab w:val="right" w:pos="1021"/>
      </w:tabs>
      <w:spacing w:line="220" w:lineRule="exact"/>
      <w:ind w:left="1134" w:right="1134" w:hanging="1134"/>
    </w:pPr>
    <w:rPr>
      <w:sz w:val="18"/>
    </w:rPr>
  </w:style>
  <w:style w:type="paragraph" w:customStyle="1" w:styleId="XLargeG">
    <w:name w:val="__XLarge_G"/>
    <w:basedOn w:val="Normal"/>
    <w:next w:val="Normal"/>
    <w:rsid w:val="006C7E11"/>
    <w:pPr>
      <w:keepNext/>
      <w:keepLines/>
      <w:spacing w:before="240" w:after="240" w:line="420" w:lineRule="exact"/>
      <w:ind w:left="1134" w:right="1134"/>
    </w:pPr>
    <w:rPr>
      <w:b/>
      <w:sz w:val="40"/>
    </w:rPr>
  </w:style>
  <w:style w:type="paragraph" w:customStyle="1" w:styleId="Bullet1G">
    <w:name w:val="_Bullet 1_G"/>
    <w:basedOn w:val="Normal"/>
    <w:rsid w:val="006C7E11"/>
    <w:pPr>
      <w:numPr>
        <w:numId w:val="14"/>
      </w:numPr>
      <w:spacing w:after="120"/>
      <w:ind w:right="1134"/>
      <w:jc w:val="both"/>
    </w:pPr>
  </w:style>
  <w:style w:type="paragraph" w:styleId="EndnoteText">
    <w:name w:val="endnote text"/>
    <w:aliases w:val="2_G"/>
    <w:basedOn w:val="FootnoteText"/>
    <w:rsid w:val="006C7E11"/>
  </w:style>
  <w:style w:type="character" w:styleId="CommentReference">
    <w:name w:val="annotation reference"/>
    <w:basedOn w:val="DefaultParagraphFont"/>
    <w:semiHidden/>
    <w:rPr>
      <w:sz w:val="6"/>
    </w:rPr>
  </w:style>
  <w:style w:type="paragraph" w:styleId="CommentText">
    <w:name w:val="annotation text"/>
    <w:basedOn w:val="Normal"/>
    <w:link w:val="CommentTextChar"/>
    <w:semiHidden/>
  </w:style>
  <w:style w:type="character" w:styleId="LineNumber">
    <w:name w:val="line number"/>
    <w:basedOn w:val="DefaultParagraphFont"/>
    <w:semiHidden/>
    <w:rPr>
      <w:sz w:val="14"/>
    </w:rPr>
  </w:style>
  <w:style w:type="paragraph" w:customStyle="1" w:styleId="Bullet2G">
    <w:name w:val="_Bullet 2_G"/>
    <w:basedOn w:val="Normal"/>
    <w:rsid w:val="006C7E11"/>
    <w:pPr>
      <w:numPr>
        <w:numId w:val="15"/>
      </w:numPr>
      <w:spacing w:after="120"/>
      <w:ind w:right="1134"/>
      <w:jc w:val="both"/>
    </w:pPr>
  </w:style>
  <w:style w:type="paragraph" w:customStyle="1" w:styleId="H1G">
    <w:name w:val="_ H_1_G"/>
    <w:basedOn w:val="Normal"/>
    <w:next w:val="Normal"/>
    <w:rsid w:val="006C7E11"/>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6C7E11"/>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6C7E11"/>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6C7E11"/>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basedOn w:val="DefaultParagraphFont"/>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basedOn w:val="DefaultParagraphFont"/>
    <w:semiHidden/>
    <w:rsid w:val="006C7E11"/>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basedOn w:val="DefaultParagraphFont"/>
    <w:semiHidden/>
    <w:rsid w:val="008A6C4F"/>
    <w:rPr>
      <w:i/>
      <w:iCs/>
    </w:rPr>
  </w:style>
  <w:style w:type="character" w:styleId="HTMLCode">
    <w:name w:val="HTML Code"/>
    <w:basedOn w:val="DefaultParagraphFont"/>
    <w:semiHidden/>
    <w:rsid w:val="008A6C4F"/>
    <w:rPr>
      <w:rFonts w:ascii="Courier New" w:hAnsi="Courier New" w:cs="Courier New"/>
      <w:sz w:val="20"/>
      <w:szCs w:val="20"/>
    </w:rPr>
  </w:style>
  <w:style w:type="character" w:styleId="HTMLDefinition">
    <w:name w:val="HTML Definition"/>
    <w:basedOn w:val="DefaultParagraphFont"/>
    <w:semiHidden/>
    <w:rsid w:val="008A6C4F"/>
    <w:rPr>
      <w:i/>
      <w:iCs/>
    </w:rPr>
  </w:style>
  <w:style w:type="character" w:styleId="HTMLKeyboard">
    <w:name w:val="HTML Keyboard"/>
    <w:basedOn w:val="DefaultParagraphFont"/>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basedOn w:val="DefaultParagraphFont"/>
    <w:semiHidden/>
    <w:rsid w:val="008A6C4F"/>
    <w:rPr>
      <w:rFonts w:ascii="Courier New" w:hAnsi="Courier New" w:cs="Courier New"/>
    </w:rPr>
  </w:style>
  <w:style w:type="character" w:styleId="HTMLTypewriter">
    <w:name w:val="HTML Typewriter"/>
    <w:basedOn w:val="DefaultParagraphFont"/>
    <w:semiHidden/>
    <w:rsid w:val="008A6C4F"/>
    <w:rPr>
      <w:rFonts w:ascii="Courier New" w:hAnsi="Courier New" w:cs="Courier New"/>
      <w:sz w:val="20"/>
      <w:szCs w:val="20"/>
    </w:rPr>
  </w:style>
  <w:style w:type="character" w:styleId="HTMLVariable">
    <w:name w:val="HTML Variable"/>
    <w:basedOn w:val="DefaultParagraphFont"/>
    <w:semiHidden/>
    <w:rsid w:val="008A6C4F"/>
    <w:rPr>
      <w:i/>
      <w:iCs/>
    </w:rPr>
  </w:style>
  <w:style w:type="character" w:styleId="Hyperlink">
    <w:name w:val="Hyperlink"/>
    <w:basedOn w:val="DefaultParagraphFont"/>
    <w:rsid w:val="006C7E11"/>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basedOn w:val="DefaultParagraphFont"/>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6C7E11"/>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rsid w:val="006C7E11"/>
    <w:pPr>
      <w:spacing w:line="240" w:lineRule="auto"/>
    </w:pPr>
    <w:rPr>
      <w:sz w:val="16"/>
    </w:rPr>
  </w:style>
  <w:style w:type="paragraph" w:styleId="Header">
    <w:name w:val="header"/>
    <w:aliases w:val="6_G"/>
    <w:basedOn w:val="Normal"/>
    <w:rsid w:val="006C7E11"/>
    <w:pPr>
      <w:pBdr>
        <w:bottom w:val="single" w:sz="4" w:space="4" w:color="auto"/>
      </w:pBdr>
      <w:spacing w:line="240" w:lineRule="auto"/>
    </w:pPr>
    <w:rPr>
      <w:b/>
      <w:sz w:val="18"/>
    </w:rPr>
  </w:style>
  <w:style w:type="character" w:customStyle="1" w:styleId="HChGChar">
    <w:name w:val="_ H _Ch_G Char"/>
    <w:link w:val="HChG"/>
    <w:rsid w:val="00C63BA0"/>
    <w:rPr>
      <w:b/>
      <w:sz w:val="28"/>
      <w:lang w:eastAsia="en-US"/>
    </w:rPr>
  </w:style>
  <w:style w:type="paragraph" w:styleId="BalloonText">
    <w:name w:val="Balloon Text"/>
    <w:basedOn w:val="Normal"/>
    <w:link w:val="BalloonTextChar"/>
    <w:rsid w:val="0047498B"/>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47498B"/>
    <w:rPr>
      <w:rFonts w:ascii="Tahoma" w:hAnsi="Tahoma" w:cs="Tahoma"/>
      <w:sz w:val="16"/>
      <w:szCs w:val="16"/>
      <w:lang w:eastAsia="en-US"/>
    </w:rPr>
  </w:style>
  <w:style w:type="character" w:styleId="UnresolvedMention">
    <w:name w:val="Unresolved Mention"/>
    <w:basedOn w:val="DefaultParagraphFont"/>
    <w:uiPriority w:val="99"/>
    <w:semiHidden/>
    <w:unhideWhenUsed/>
    <w:rsid w:val="00135B07"/>
    <w:rPr>
      <w:color w:val="808080"/>
      <w:shd w:val="clear" w:color="auto" w:fill="E6E6E6"/>
    </w:rPr>
  </w:style>
  <w:style w:type="character" w:customStyle="1" w:styleId="FootnoteTextChar">
    <w:name w:val="Footnote Text Char"/>
    <w:aliases w:val="5_G Char"/>
    <w:basedOn w:val="DefaultParagraphFont"/>
    <w:link w:val="FootnoteText"/>
    <w:rsid w:val="00850406"/>
    <w:rPr>
      <w:sz w:val="18"/>
      <w:lang w:eastAsia="en-US"/>
    </w:rPr>
  </w:style>
  <w:style w:type="paragraph" w:styleId="CommentSubject">
    <w:name w:val="annotation subject"/>
    <w:basedOn w:val="CommentText"/>
    <w:next w:val="CommentText"/>
    <w:link w:val="CommentSubjectChar"/>
    <w:semiHidden/>
    <w:unhideWhenUsed/>
    <w:rsid w:val="00B828BB"/>
    <w:pPr>
      <w:spacing w:line="240" w:lineRule="auto"/>
    </w:pPr>
    <w:rPr>
      <w:b/>
      <w:bCs/>
    </w:rPr>
  </w:style>
  <w:style w:type="character" w:customStyle="1" w:styleId="CommentTextChar">
    <w:name w:val="Comment Text Char"/>
    <w:basedOn w:val="DefaultParagraphFont"/>
    <w:link w:val="CommentText"/>
    <w:semiHidden/>
    <w:rsid w:val="00B828BB"/>
    <w:rPr>
      <w:lang w:eastAsia="en-US"/>
    </w:rPr>
  </w:style>
  <w:style w:type="character" w:customStyle="1" w:styleId="CommentSubjectChar">
    <w:name w:val="Comment Subject Char"/>
    <w:basedOn w:val="CommentTextChar"/>
    <w:link w:val="CommentSubject"/>
    <w:semiHidden/>
    <w:rsid w:val="00B828BB"/>
    <w:rPr>
      <w:b/>
      <w:bCs/>
      <w:lang w:eastAsia="en-US"/>
    </w:rPr>
  </w:style>
  <w:style w:type="paragraph" w:styleId="Revision">
    <w:name w:val="Revision"/>
    <w:hidden/>
    <w:uiPriority w:val="99"/>
    <w:semiHidden/>
    <w:rsid w:val="002132B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45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unece.org/practical-information-delegates" TargetMode="External"/><Relationship Id="rId2" Type="http://schemas.openxmlformats.org/officeDocument/2006/relationships/hyperlink" Target="https://indico.un.org/event/1004869/" TargetMode="External"/><Relationship Id="rId1" Type="http://schemas.openxmlformats.org/officeDocument/2006/relationships/hyperlink" Target="https://unece.org/info/Transport/Dangerous-Goods/events/387249" TargetMode="External"/><Relationship Id="rId4" Type="http://schemas.openxmlformats.org/officeDocument/2006/relationships/hyperlink" Target="https://unece.org/transport/dangerous-good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cia_Couto\AppData\Roaming\Microsoft\Templates\ST_SG\AC10_C3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SharedWithUsers xmlns="4b4a1c0d-4a69-4996-a84a-fc699b9f49de">
      <UserInfo>
        <DisplayName>Laurence Berthet</DisplayName>
        <AccountId>44</AccountId>
        <AccountType/>
      </UserInfo>
      <UserInfo>
        <DisplayName>Romain Hubert</DisplayName>
        <AccountId>40</AccountId>
        <AccountType/>
      </UserInfo>
      <UserInfo>
        <DisplayName>Rosa Garcia Couto</DisplayName>
        <AccountId>33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1F6D7-EC15-4AE1-9870-1CE3965FDB19}">
  <ds:schemaRefs>
    <ds:schemaRef ds:uri="http://schemas.microsoft.com/sharepoint/v3/contenttype/forms"/>
  </ds:schemaRefs>
</ds:datastoreItem>
</file>

<file path=customXml/itemProps2.xml><?xml version="1.0" encoding="utf-8"?>
<ds:datastoreItem xmlns:ds="http://schemas.openxmlformats.org/officeDocument/2006/customXml" ds:itemID="{C0E6F285-320A-47D1-8375-ADA87A3138AA}">
  <ds:schemaRefs>
    <ds:schemaRef ds:uri="http://schemas.microsoft.com/office/2006/metadata/properties"/>
    <ds:schemaRef ds:uri="http://schemas.microsoft.com/office/infopath/2007/PartnerControls"/>
    <ds:schemaRef ds:uri="acccb6d4-dbe5-46d2-b4d3-5733603d8cc6"/>
    <ds:schemaRef ds:uri="985ec44e-1bab-4c0b-9df0-6ba128686fc9"/>
    <ds:schemaRef ds:uri="4b4a1c0d-4a69-4996-a84a-fc699b9f49de"/>
  </ds:schemaRefs>
</ds:datastoreItem>
</file>

<file path=customXml/itemProps3.xml><?xml version="1.0" encoding="utf-8"?>
<ds:datastoreItem xmlns:ds="http://schemas.openxmlformats.org/officeDocument/2006/customXml" ds:itemID="{A6BE67F8-E2BF-4E0A-9138-E8F15CF819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32BFC0-A5B6-4259-B39A-CD6D9660D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AC10_C3_E.dotm</Template>
  <TotalTime>33</TotalTime>
  <Pages>6</Pages>
  <Words>1802</Words>
  <Characters>9913</Characters>
  <Application>Microsoft Office Word</Application>
  <DocSecurity>0</DocSecurity>
  <Lines>82</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United Nations</vt:lpstr>
      <vt:lpstr>United Nations</vt:lpstr>
    </vt:vector>
  </TitlesOfParts>
  <Company>CSD</Company>
  <LinksUpToDate>false</LinksUpToDate>
  <CharactersWithSpaces>11692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creator>Rosa Garcia-Couto</dc:creator>
  <cp:lastModifiedBy>Alicia Dorca Garcia</cp:lastModifiedBy>
  <cp:revision>28</cp:revision>
  <cp:lastPrinted>2022-09-14T13:10:00Z</cp:lastPrinted>
  <dcterms:created xsi:type="dcterms:W3CDTF">2024-09-24T07:47:00Z</dcterms:created>
  <dcterms:modified xsi:type="dcterms:W3CDTF">2024-09-26T10:16:00Z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rder">
    <vt:r8>7348400</vt:r8>
  </property>
  <property fmtid="{D5CDD505-2E9C-101B-9397-08002B2CF9AE}" pid="4" name="Office_x0020_of_x0020_Origin">
    <vt:lpwstr/>
  </property>
  <property fmtid="{D5CDD505-2E9C-101B-9397-08002B2CF9AE}" pid="5" name="MediaServiceImageTags">
    <vt:lpwstr/>
  </property>
  <property fmtid="{D5CDD505-2E9C-101B-9397-08002B2CF9AE}" pid="6" name="gba66df640194346a5267c50f24d4797">
    <vt:lpwstr/>
  </property>
  <property fmtid="{D5CDD505-2E9C-101B-9397-08002B2CF9AE}" pid="7" name="Office of Origin">
    <vt:lpwstr/>
  </property>
</Properties>
</file>