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85C6" w14:textId="0857E8F5" w:rsidR="00773FAA" w:rsidRPr="00AD54FC" w:rsidRDefault="00482B9F" w:rsidP="00201C89">
      <w:pPr>
        <w:pStyle w:val="HChG"/>
        <w:ind w:left="567" w:right="567" w:firstLine="0"/>
        <w:jc w:val="center"/>
      </w:pPr>
      <w:bookmarkStart w:id="0" w:name="_Hlk158725998"/>
      <w:r w:rsidRPr="00AD54FC">
        <w:t>Proposal for amendments to UN Regulation No.</w:t>
      </w:r>
      <w:r w:rsidR="007E65B0" w:rsidRPr="00AD54FC">
        <w:t xml:space="preserve"> 13</w:t>
      </w:r>
    </w:p>
    <w:p w14:paraId="2DEF2366" w14:textId="6951984A" w:rsidR="00CA4FD3" w:rsidRDefault="009C2B0E" w:rsidP="00D94670">
      <w:pPr>
        <w:ind w:left="851" w:right="850"/>
        <w:jc w:val="both"/>
        <w:rPr>
          <w:bCs/>
        </w:rPr>
      </w:pPr>
      <w:r>
        <w:rPr>
          <w:bCs/>
        </w:rPr>
        <w:tab/>
      </w:r>
      <w:r w:rsidR="00D94670" w:rsidRPr="00D94670">
        <w:rPr>
          <w:bCs/>
        </w:rPr>
        <w:t>The text reproduced below was prepared by the experts from the International Organization of Motor Vehicle Manufacturers (OICA) and from the European Association of Automotive Suppliers (CLEPA), addressing the type approval of a park lock device as an alternative to the friction parking braking to hold the vehicle. It is based on informal document GRVA-19-06</w:t>
      </w:r>
      <w:r w:rsidR="00D94670">
        <w:rPr>
          <w:bCs/>
        </w:rPr>
        <w:t xml:space="preserve"> an</w:t>
      </w:r>
      <w:r w:rsidR="00DB6B12">
        <w:rPr>
          <w:bCs/>
        </w:rPr>
        <w:t xml:space="preserve">d </w:t>
      </w:r>
      <w:r w:rsidR="0042772E">
        <w:rPr>
          <w:bCs/>
        </w:rPr>
        <w:t>on the workin</w:t>
      </w:r>
      <w:r w:rsidR="00214605">
        <w:rPr>
          <w:bCs/>
        </w:rPr>
        <w:t xml:space="preserve"> </w:t>
      </w:r>
      <w:r w:rsidR="0042772E">
        <w:rPr>
          <w:bCs/>
        </w:rPr>
        <w:t xml:space="preserve">g document </w:t>
      </w:r>
      <w:r w:rsidR="00003C82">
        <w:rPr>
          <w:bCs/>
        </w:rPr>
        <w:t>EC</w:t>
      </w:r>
      <w:r w:rsidR="004A5FC9">
        <w:rPr>
          <w:bCs/>
        </w:rPr>
        <w:t>E/TRANS/WP.29/GRVA/2024/</w:t>
      </w:r>
      <w:r w:rsidR="003B2A5F">
        <w:rPr>
          <w:bCs/>
        </w:rPr>
        <w:t>38.</w:t>
      </w:r>
      <w:r w:rsidR="00D94670" w:rsidRPr="00D94670">
        <w:rPr>
          <w:bCs/>
        </w:rPr>
        <w:t xml:space="preserve"> The modifications to the existing text of the Regulations are marked in bold for new or strikethrough for deleted characters.</w:t>
      </w:r>
      <w:r w:rsidR="00166998">
        <w:rPr>
          <w:bCs/>
        </w:rPr>
        <w:t xml:space="preserve"> </w:t>
      </w:r>
      <w:r w:rsidR="00166998" w:rsidRPr="00D94670">
        <w:rPr>
          <w:bCs/>
        </w:rPr>
        <w:t xml:space="preserve">The modifications to </w:t>
      </w:r>
      <w:r w:rsidR="00166998" w:rsidRPr="00166998">
        <w:rPr>
          <w:bCs/>
        </w:rPr>
        <w:t>ECE/TRANS/WP.29/GRVA/2024/38</w:t>
      </w:r>
      <w:r w:rsidR="00166998">
        <w:rPr>
          <w:bCs/>
        </w:rPr>
        <w:t xml:space="preserve"> </w:t>
      </w:r>
      <w:r w:rsidR="00166998" w:rsidRPr="00D94670">
        <w:rPr>
          <w:bCs/>
        </w:rPr>
        <w:t xml:space="preserve">are marked in </w:t>
      </w:r>
      <w:r w:rsidR="00166998" w:rsidRPr="007B169D">
        <w:rPr>
          <w:b/>
          <w:color w:val="5B9BD5" w:themeColor="accent1"/>
        </w:rPr>
        <w:t xml:space="preserve">bold, </w:t>
      </w:r>
      <w:r w:rsidR="007B169D" w:rsidRPr="007B169D">
        <w:rPr>
          <w:b/>
          <w:i/>
          <w:iCs/>
          <w:color w:val="5B9BD5" w:themeColor="accent1"/>
        </w:rPr>
        <w:t>cursive,</w:t>
      </w:r>
      <w:r w:rsidR="007B169D" w:rsidRPr="007B169D">
        <w:rPr>
          <w:b/>
          <w:color w:val="5B9BD5" w:themeColor="accent1"/>
        </w:rPr>
        <w:t xml:space="preserve"> blue</w:t>
      </w:r>
      <w:r w:rsidR="007B169D" w:rsidRPr="007B169D">
        <w:rPr>
          <w:bCs/>
          <w:color w:val="5B9BD5" w:themeColor="accent1"/>
        </w:rPr>
        <w:t xml:space="preserve"> </w:t>
      </w:r>
      <w:r w:rsidR="00166998" w:rsidRPr="00D94670">
        <w:rPr>
          <w:bCs/>
        </w:rPr>
        <w:t>characters</w:t>
      </w:r>
      <w:r w:rsidR="007B169D">
        <w:rPr>
          <w:bCs/>
        </w:rPr>
        <w:t>.</w:t>
      </w:r>
    </w:p>
    <w:p w14:paraId="4F8278A0" w14:textId="28DCA50A" w:rsidR="001D57E1" w:rsidRDefault="001D57E1" w:rsidP="001D57E1">
      <w:pPr>
        <w:ind w:left="851" w:right="850"/>
        <w:jc w:val="both"/>
        <w:rPr>
          <w:bCs/>
        </w:rPr>
      </w:pPr>
      <w:r w:rsidRPr="00D94670">
        <w:rPr>
          <w:bCs/>
        </w:rPr>
        <w:t xml:space="preserve">The modifications to </w:t>
      </w:r>
      <w:r>
        <w:rPr>
          <w:bCs/>
        </w:rPr>
        <w:t xml:space="preserve">GRVA 20-06 </w:t>
      </w:r>
      <w:r w:rsidRPr="00D94670">
        <w:rPr>
          <w:bCs/>
        </w:rPr>
        <w:t xml:space="preserve">are marked in </w:t>
      </w:r>
      <w:r w:rsidRPr="001D57E1">
        <w:rPr>
          <w:b/>
          <w:color w:val="00B050"/>
        </w:rPr>
        <w:t xml:space="preserve">bold, </w:t>
      </w:r>
      <w:r w:rsidRPr="001D57E1">
        <w:rPr>
          <w:b/>
          <w:i/>
          <w:iCs/>
          <w:color w:val="00B050"/>
        </w:rPr>
        <w:t>cursive,</w:t>
      </w:r>
      <w:r w:rsidRPr="001D57E1">
        <w:rPr>
          <w:b/>
          <w:color w:val="00B050"/>
        </w:rPr>
        <w:t xml:space="preserve"> blue</w:t>
      </w:r>
      <w:r w:rsidRPr="001D57E1">
        <w:rPr>
          <w:bCs/>
          <w:color w:val="00B050"/>
        </w:rPr>
        <w:t xml:space="preserve"> </w:t>
      </w:r>
      <w:r w:rsidRPr="00D94670">
        <w:rPr>
          <w:bCs/>
        </w:rPr>
        <w:t>characters</w:t>
      </w:r>
      <w:r>
        <w:rPr>
          <w:bCs/>
        </w:rPr>
        <w:t>.</w:t>
      </w:r>
    </w:p>
    <w:p w14:paraId="291CC370" w14:textId="77777777" w:rsidR="001D57E1" w:rsidRDefault="001D57E1" w:rsidP="00D94670">
      <w:pPr>
        <w:ind w:left="851" w:right="850"/>
        <w:jc w:val="both"/>
        <w:rPr>
          <w:bCs/>
        </w:rPr>
      </w:pPr>
    </w:p>
    <w:p w14:paraId="45CB9BB3" w14:textId="42845F55" w:rsidR="00773FAA" w:rsidRDefault="00E70FB2" w:rsidP="00E70FB2">
      <w:pPr>
        <w:pStyle w:val="HChG"/>
      </w:pPr>
      <w:r>
        <w:tab/>
        <w:t>I.</w:t>
      </w:r>
      <w:r>
        <w:tab/>
      </w:r>
      <w:r w:rsidR="00773FAA" w:rsidRPr="00AD54FC">
        <w:t>Proposal</w:t>
      </w:r>
    </w:p>
    <w:p w14:paraId="0E82DB7B" w14:textId="77777777" w:rsidR="001D0C31" w:rsidRDefault="001D0C31" w:rsidP="001D0C31">
      <w:pPr>
        <w:spacing w:after="120"/>
        <w:ind w:left="1134" w:right="1133"/>
        <w:jc w:val="both"/>
      </w:pPr>
      <w:r>
        <w:rPr>
          <w:rFonts w:asciiTheme="majorBidi" w:hAnsiTheme="majorBidi"/>
          <w:i/>
          <w:iCs/>
        </w:rPr>
        <w:t xml:space="preserve">Paragraph 5.2.1.10., </w:t>
      </w:r>
      <w:r>
        <w:rPr>
          <w:rFonts w:asciiTheme="majorBidi" w:hAnsiTheme="majorBidi"/>
        </w:rPr>
        <w:t>amend to read:</w:t>
      </w:r>
    </w:p>
    <w:p w14:paraId="4D2AB308" w14:textId="77777777" w:rsidR="001D0C31" w:rsidRDefault="001D0C31" w:rsidP="001D0C31">
      <w:pPr>
        <w:spacing w:after="120"/>
        <w:ind w:left="2268" w:right="1134" w:hanging="1134"/>
        <w:jc w:val="both"/>
        <w:rPr>
          <w:b/>
          <w:bCs/>
          <w:i/>
          <w:iCs/>
          <w:lang w:val="en-US"/>
        </w:rPr>
      </w:pPr>
      <w:r>
        <w:t>“5.2.1.10.</w:t>
      </w:r>
      <w:r>
        <w:tab/>
      </w:r>
      <w:r>
        <w:rPr>
          <w:lang w:val="en-US"/>
        </w:rPr>
        <w:t>The service, secondary and parking braking systems shall act on braking surfaces connected to the wheels through components of adequate strength</w:t>
      </w:r>
      <w:r>
        <w:rPr>
          <w:b/>
          <w:bCs/>
          <w:lang w:val="en-US"/>
        </w:rPr>
        <w:t xml:space="preserve">. </w:t>
      </w:r>
    </w:p>
    <w:p w14:paraId="7A232054" w14:textId="6C959B30" w:rsidR="001D0C31" w:rsidRDefault="001D0C31" w:rsidP="001D0C31">
      <w:pPr>
        <w:spacing w:after="120"/>
        <w:ind w:left="2268" w:right="1134"/>
        <w:jc w:val="both"/>
        <w:rPr>
          <w:b/>
          <w:bCs/>
          <w:lang w:val="en-US"/>
        </w:rPr>
      </w:pPr>
      <w:r w:rsidRPr="00F61E5B">
        <w:rPr>
          <w:b/>
          <w:bCs/>
          <w:lang w:val="en-US"/>
        </w:rPr>
        <w:t xml:space="preserve">The parking braking system may use a </w:t>
      </w:r>
      <w:r w:rsidRPr="00F61E5B">
        <w:rPr>
          <w:b/>
          <w:bCs/>
          <w:i/>
          <w:iCs/>
          <w:lang w:val="en-US"/>
        </w:rPr>
        <w:t>park lock</w:t>
      </w:r>
      <w:r w:rsidRPr="00F61E5B">
        <w:rPr>
          <w:b/>
          <w:bCs/>
          <w:lang w:val="en-US"/>
        </w:rPr>
        <w:t xml:space="preserve"> device as an alternative to</w:t>
      </w:r>
      <w:r>
        <w:rPr>
          <w:b/>
          <w:bCs/>
          <w:lang w:val="en-US"/>
        </w:rPr>
        <w:t xml:space="preserve"> </w:t>
      </w:r>
      <w:r w:rsidRPr="00A62A30">
        <w:rPr>
          <w:b/>
          <w:bCs/>
          <w:i/>
          <w:iCs/>
          <w:color w:val="5B9BD5" w:themeColor="accent1"/>
          <w:lang w:val="en-US"/>
        </w:rPr>
        <w:t>or in combination with</w:t>
      </w:r>
      <w:r w:rsidRPr="00A62A30">
        <w:rPr>
          <w:b/>
          <w:bCs/>
          <w:color w:val="5B9BD5" w:themeColor="accent1"/>
          <w:lang w:val="en-US"/>
        </w:rPr>
        <w:t xml:space="preserve"> </w:t>
      </w:r>
      <w:r w:rsidRPr="00F61E5B">
        <w:rPr>
          <w:b/>
          <w:bCs/>
          <w:i/>
          <w:iCs/>
          <w:lang w:val="en-US"/>
        </w:rPr>
        <w:t>the</w:t>
      </w:r>
      <w:r w:rsidRPr="00A62A30">
        <w:rPr>
          <w:b/>
          <w:bCs/>
          <w:color w:val="5B9BD5" w:themeColor="accent1"/>
          <w:lang w:val="en-US"/>
        </w:rPr>
        <w:t xml:space="preserve"> </w:t>
      </w:r>
      <w:r w:rsidRPr="00F61E5B">
        <w:rPr>
          <w:b/>
          <w:bCs/>
          <w:lang w:val="en-US"/>
        </w:rPr>
        <w:t xml:space="preserve">means acting on the braking surfaces. This park lock device shall consist of components of an adequate strength and shall provide equal </w:t>
      </w:r>
      <w:r w:rsidRPr="00F61E5B">
        <w:rPr>
          <w:b/>
          <w:bCs/>
        </w:rPr>
        <w:t>effectiveness compared</w:t>
      </w:r>
      <w:r w:rsidRPr="00F61E5B">
        <w:rPr>
          <w:b/>
          <w:bCs/>
          <w:lang w:val="en-US"/>
        </w:rPr>
        <w:t xml:space="preserve"> to layouts purely acting on the braking surfaces to fulfil the requirements set out in annex 4, paragraphs 2.3.1. and 2.3.2. of this Regulation. </w:t>
      </w:r>
      <w:r w:rsidRPr="00E82A3A">
        <w:rPr>
          <w:b/>
          <w:bCs/>
          <w:i/>
          <w:iCs/>
          <w:color w:val="5B9BD5" w:themeColor="accent1"/>
          <w:lang w:val="en-US"/>
        </w:rPr>
        <w:t xml:space="preserve">It shall be </w:t>
      </w:r>
      <w:r w:rsidR="004E6941" w:rsidRPr="00E82A3A">
        <w:rPr>
          <w:b/>
          <w:bCs/>
          <w:i/>
          <w:iCs/>
          <w:color w:val="5B9BD5" w:themeColor="accent1"/>
          <w:lang w:val="en-US"/>
        </w:rPr>
        <w:t>ensured</w:t>
      </w:r>
      <w:r w:rsidRPr="00E82A3A">
        <w:rPr>
          <w:b/>
          <w:bCs/>
          <w:i/>
          <w:iCs/>
          <w:color w:val="5B9BD5" w:themeColor="accent1"/>
          <w:lang w:val="en-US"/>
        </w:rPr>
        <w:t xml:space="preserve"> that the vehicle </w:t>
      </w:r>
      <w:r>
        <w:rPr>
          <w:b/>
          <w:bCs/>
          <w:i/>
          <w:iCs/>
          <w:color w:val="5B9BD5" w:themeColor="accent1"/>
          <w:lang w:val="en-US"/>
        </w:rPr>
        <w:t xml:space="preserve">does not move </w:t>
      </w:r>
      <w:r w:rsidRPr="00E82A3A">
        <w:rPr>
          <w:b/>
          <w:bCs/>
          <w:i/>
          <w:iCs/>
          <w:color w:val="5B9BD5" w:themeColor="accent1"/>
          <w:lang w:val="en-US"/>
        </w:rPr>
        <w:t xml:space="preserve">more than </w:t>
      </w:r>
      <w:r w:rsidR="00140C82">
        <w:rPr>
          <w:b/>
          <w:bCs/>
          <w:i/>
          <w:iCs/>
          <w:color w:val="5B9BD5" w:themeColor="accent1"/>
          <w:lang w:val="en-US"/>
        </w:rPr>
        <w:t>[3</w:t>
      </w:r>
      <w:r>
        <w:rPr>
          <w:b/>
          <w:bCs/>
          <w:i/>
          <w:iCs/>
          <w:color w:val="5B9BD5" w:themeColor="accent1"/>
          <w:lang w:val="en-US"/>
        </w:rPr>
        <w:t>00</w:t>
      </w:r>
      <w:r w:rsidR="00140C82">
        <w:rPr>
          <w:b/>
          <w:bCs/>
          <w:i/>
          <w:iCs/>
          <w:color w:val="5B9BD5" w:themeColor="accent1"/>
          <w:lang w:val="en-US"/>
        </w:rPr>
        <w:t>]</w:t>
      </w:r>
      <w:r w:rsidRPr="00E82A3A">
        <w:rPr>
          <w:b/>
          <w:bCs/>
          <w:i/>
          <w:iCs/>
          <w:color w:val="5B9BD5" w:themeColor="accent1"/>
          <w:lang w:val="en-US"/>
        </w:rPr>
        <w:t xml:space="preserve"> mm</w:t>
      </w:r>
      <w:r>
        <w:rPr>
          <w:b/>
          <w:bCs/>
          <w:i/>
          <w:iCs/>
          <w:color w:val="5B9BD5" w:themeColor="accent1"/>
          <w:lang w:val="en-US"/>
        </w:rPr>
        <w:t xml:space="preserve"> after the activation of the parking braking system </w:t>
      </w:r>
      <w:r w:rsidRPr="00654C99">
        <w:rPr>
          <w:b/>
          <w:bCs/>
          <w:i/>
          <w:iCs/>
          <w:color w:val="5B9BD5" w:themeColor="accent1"/>
          <w:lang w:val="en-US"/>
        </w:rPr>
        <w:t>before the park lock device is fully engaged.</w:t>
      </w:r>
    </w:p>
    <w:p w14:paraId="309C4255" w14:textId="77777777" w:rsidR="001D0C31" w:rsidRDefault="001D0C31" w:rsidP="001D0C31">
      <w:pPr>
        <w:spacing w:after="120"/>
        <w:ind w:left="2268" w:right="1134"/>
        <w:jc w:val="both"/>
        <w:rPr>
          <w:lang w:val="en-US"/>
        </w:rPr>
      </w:pPr>
      <w:r>
        <w:rPr>
          <w:lang w:val="en-US"/>
        </w:rPr>
        <w:t>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5.2.7.1.2.1. above.</w:t>
      </w:r>
    </w:p>
    <w:p w14:paraId="75A98E9E" w14:textId="77777777" w:rsidR="001D0C31" w:rsidRDefault="001D0C31" w:rsidP="001D0C31">
      <w:pPr>
        <w:spacing w:after="120"/>
        <w:ind w:left="2268" w:right="1134"/>
        <w:jc w:val="both"/>
        <w:rPr>
          <w:lang w:val="en-US"/>
        </w:rPr>
      </w:pPr>
      <w:r>
        <w:rPr>
          <w:lang w:val="en-US"/>
        </w:rPr>
        <w:t>However, in the case of short disconnection transients, incomplete compensation is accepted, but within 1s, this compensation shall have attained at least 75 per cent of its final value.</w:t>
      </w:r>
    </w:p>
    <w:p w14:paraId="04D13824" w14:textId="77777777" w:rsidR="001D0C31" w:rsidRDefault="001D0C31" w:rsidP="001D0C31">
      <w:pPr>
        <w:spacing w:after="120"/>
        <w:ind w:left="2268" w:right="1134"/>
        <w:jc w:val="both"/>
        <w:rPr>
          <w:lang w:val="en-US"/>
        </w:rPr>
      </w:pPr>
      <w:r>
        <w:rPr>
          <w:lang w:val="en-US"/>
        </w:rPr>
        <w:t>Nevertheless, in all cases, the permanently connected friction braking source shall ensure that both the service and secondary braking systems continue to operate with the prescribed degree of effectiveness.</w:t>
      </w:r>
    </w:p>
    <w:p w14:paraId="6963708D" w14:textId="77777777" w:rsidR="001D0C31" w:rsidRDefault="001D0C31" w:rsidP="001D0C31">
      <w:pPr>
        <w:spacing w:after="120"/>
        <w:ind w:left="2268" w:right="1134"/>
        <w:jc w:val="both"/>
        <w:rPr>
          <w:lang w:val="en-US"/>
        </w:rPr>
      </w:pPr>
      <w:r>
        <w:rPr>
          <w:lang w:val="en-US"/>
        </w:rPr>
        <w:t xml:space="preserve">Disconnection of the braking surfaces </w:t>
      </w:r>
      <w:bookmarkStart w:id="1" w:name="_Hlk156998154"/>
      <w:r>
        <w:rPr>
          <w:b/>
          <w:bCs/>
          <w:i/>
          <w:iCs/>
          <w:lang w:val="en-US"/>
        </w:rPr>
        <w:t>or of the park lock device,</w:t>
      </w:r>
      <w:r>
        <w:rPr>
          <w:i/>
          <w:iCs/>
          <w:lang w:val="en-US"/>
        </w:rPr>
        <w:t xml:space="preserve"> </w:t>
      </w:r>
      <w:r>
        <w:rPr>
          <w:b/>
          <w:bCs/>
          <w:i/>
          <w:iCs/>
          <w:lang w:val="en-US"/>
        </w:rPr>
        <w:t>as relevant</w:t>
      </w:r>
      <w:bookmarkEnd w:id="1"/>
      <w:r>
        <w:rPr>
          <w:b/>
          <w:bCs/>
          <w:i/>
          <w:iCs/>
          <w:lang w:val="en-US"/>
        </w:rPr>
        <w:t>,</w:t>
      </w:r>
      <w:r>
        <w:rPr>
          <w:i/>
          <w:iCs/>
          <w:lang w:val="en-US"/>
        </w:rPr>
        <w:t xml:space="preserve"> </w:t>
      </w:r>
      <w:r>
        <w:rPr>
          <w:lang w:val="en-US"/>
        </w:rPr>
        <w:t>of the parking braking system shall be permitted only on condition that the disconnection is controlled by the driver from his driving seat or from a remote-control device, by a system incapable of being brought into action by a leak.</w:t>
      </w:r>
    </w:p>
    <w:p w14:paraId="26E1C942" w14:textId="77777777" w:rsidR="001D0C31" w:rsidRPr="00C97888" w:rsidRDefault="001D0C31" w:rsidP="001D0C31">
      <w:pPr>
        <w:spacing w:after="120"/>
        <w:ind w:left="2268" w:right="1134"/>
        <w:jc w:val="both"/>
      </w:pPr>
      <w:r>
        <w:rPr>
          <w:lang w:val="en-US"/>
        </w:rPr>
        <w:t>The remote-control device mentioned above shall be part of a system fulfilling the technical requirements of an ACSF of Category A as specified in the 02 series of amendments to UN Regulation No. 79 or later series of amendments</w:t>
      </w:r>
      <w:r>
        <w:rPr>
          <w:b/>
        </w:rPr>
        <w:t>.</w:t>
      </w:r>
      <w:r>
        <w:t>”</w:t>
      </w:r>
    </w:p>
    <w:p w14:paraId="5BD7E5CB" w14:textId="77777777" w:rsidR="001D0C31" w:rsidRDefault="001D0C31" w:rsidP="001D0C31">
      <w:pPr>
        <w:ind w:left="670"/>
      </w:pPr>
    </w:p>
    <w:p w14:paraId="6C3C338E" w14:textId="77777777" w:rsidR="00C35C89" w:rsidRDefault="00C35C89" w:rsidP="001D0C31">
      <w:pPr>
        <w:ind w:left="670"/>
      </w:pPr>
    </w:p>
    <w:p w14:paraId="21AC175A" w14:textId="77777777" w:rsidR="00247144" w:rsidRDefault="00247144" w:rsidP="001D0C31">
      <w:pPr>
        <w:ind w:left="670"/>
      </w:pPr>
    </w:p>
    <w:p w14:paraId="02112C23" w14:textId="77777777" w:rsidR="00247144" w:rsidRDefault="00247144" w:rsidP="001D0C31">
      <w:pPr>
        <w:ind w:left="670"/>
      </w:pPr>
    </w:p>
    <w:p w14:paraId="39D8F25B" w14:textId="77777777" w:rsidR="00247144" w:rsidRDefault="00247144" w:rsidP="001D0C31">
      <w:pPr>
        <w:ind w:left="670"/>
      </w:pPr>
    </w:p>
    <w:p w14:paraId="07C5E541" w14:textId="77777777" w:rsidR="00247144" w:rsidRDefault="00247144" w:rsidP="001D0C31">
      <w:pPr>
        <w:ind w:left="670"/>
      </w:pPr>
    </w:p>
    <w:p w14:paraId="56C27A47" w14:textId="77777777" w:rsidR="00247144" w:rsidRDefault="00247144" w:rsidP="001D0C31">
      <w:pPr>
        <w:ind w:left="670"/>
      </w:pPr>
    </w:p>
    <w:p w14:paraId="274473EE" w14:textId="77777777" w:rsidR="00247144" w:rsidRDefault="00247144" w:rsidP="001D0C31">
      <w:pPr>
        <w:ind w:left="670"/>
      </w:pPr>
    </w:p>
    <w:p w14:paraId="1F5B02E2" w14:textId="695CD3A1" w:rsidR="003642E4" w:rsidRDefault="003642E4" w:rsidP="003642E4">
      <w:pPr>
        <w:spacing w:after="120"/>
        <w:ind w:left="1134" w:right="1133"/>
        <w:jc w:val="both"/>
        <w:rPr>
          <w:rFonts w:asciiTheme="majorBidi" w:hAnsiTheme="majorBidi"/>
        </w:rPr>
      </w:pPr>
      <w:r>
        <w:lastRenderedPageBreak/>
        <w:tab/>
      </w:r>
      <w:r>
        <w:rPr>
          <w:rFonts w:asciiTheme="majorBidi" w:hAnsiTheme="majorBidi"/>
          <w:i/>
          <w:iCs/>
        </w:rPr>
        <w:t xml:space="preserve">Paragraph 5.1.4.4., </w:t>
      </w:r>
      <w:r>
        <w:rPr>
          <w:rFonts w:asciiTheme="majorBidi" w:hAnsiTheme="majorBidi"/>
        </w:rPr>
        <w:t>amend to read:</w:t>
      </w:r>
    </w:p>
    <w:p w14:paraId="59CD5C74" w14:textId="4F2A71BF" w:rsidR="00247144" w:rsidRPr="003642E4" w:rsidRDefault="003642E4" w:rsidP="00817804">
      <w:pPr>
        <w:ind w:left="2835" w:right="1134" w:hanging="1701"/>
        <w:jc w:val="both"/>
        <w:rPr>
          <w:b/>
          <w:bCs/>
          <w:i/>
          <w:iCs/>
          <w:color w:val="00B050"/>
        </w:rPr>
      </w:pPr>
      <w:r>
        <w:t xml:space="preserve">“5.1.4.4. </w:t>
      </w:r>
      <w:r>
        <w:tab/>
      </w:r>
      <w:r w:rsidR="00817804">
        <w:tab/>
      </w:r>
      <w:r>
        <w:t xml:space="preserve">It shall be possible to generate maximum braking forces under static conditions on a rolling road or roller brake tester. </w:t>
      </w:r>
      <w:r w:rsidRPr="003642E4">
        <w:rPr>
          <w:b/>
          <w:bCs/>
          <w:i/>
          <w:iCs/>
          <w:color w:val="00B050"/>
        </w:rPr>
        <w:t>If any special information or procedures are needed, these shall be made freely available.”</w:t>
      </w:r>
    </w:p>
    <w:p w14:paraId="37ED7944" w14:textId="77777777" w:rsidR="00247144" w:rsidRDefault="00247144" w:rsidP="001D0C31">
      <w:pPr>
        <w:ind w:left="670"/>
      </w:pPr>
    </w:p>
    <w:p w14:paraId="595DE89B" w14:textId="4559BD5A" w:rsidR="005C06EF" w:rsidRDefault="005C06EF" w:rsidP="005C06EF">
      <w:pPr>
        <w:spacing w:after="120"/>
        <w:ind w:left="1134" w:right="1133"/>
        <w:jc w:val="both"/>
        <w:rPr>
          <w:rFonts w:asciiTheme="majorBidi" w:hAnsiTheme="majorBidi"/>
        </w:rPr>
      </w:pPr>
      <w:r>
        <w:rPr>
          <w:rFonts w:asciiTheme="majorBidi" w:hAnsiTheme="majorBidi"/>
          <w:i/>
          <w:iCs/>
        </w:rPr>
        <w:t xml:space="preserve">Paragraph 5.2.1.26.2. 3., </w:t>
      </w:r>
      <w:r>
        <w:rPr>
          <w:rFonts w:asciiTheme="majorBidi" w:hAnsiTheme="majorBidi"/>
        </w:rPr>
        <w:t>amend to read:</w:t>
      </w:r>
    </w:p>
    <w:p w14:paraId="23416907" w14:textId="47229179" w:rsidR="005C06EF" w:rsidRDefault="005C06EF" w:rsidP="005C06EF">
      <w:pPr>
        <w:spacing w:after="120"/>
        <w:ind w:left="2835" w:right="1133" w:hanging="1701"/>
        <w:jc w:val="both"/>
      </w:pPr>
      <w:r w:rsidRPr="005C06EF">
        <w:t xml:space="preserve">5.2.1.26.2.3. </w:t>
      </w:r>
      <w:r>
        <w:tab/>
      </w:r>
      <w:r>
        <w:tab/>
      </w:r>
      <w:r w:rsidRPr="005C06EF">
        <w:t xml:space="preserve">A break in the wiring within the electric transmission, or an electric failure in the control of the parking braking system shall be signalled to the driver by the yellow warning signal specified in paragraph 5.2.1.29.1.2. When caused by a break in the wiring within the electric control transmission of the parking braking system, this yellow warning signal shall be signalled as soon as the break occurs. In addition, such an electric failure in the control or break in the wiring external to the electronic control unit(s) and excluding the energy supply shall be signalled to the driver by flashing the red warning signal specified in paragraph 5.2.1.29.1.1. as long as the ignition (start) switch is in the "on" (run) position including a period of not less than 10 seconds thereafter and the control is in the "on" (activated) position. However, if the parking braking system detects correct </w:t>
      </w:r>
      <w:r w:rsidRPr="001D57E1">
        <w:rPr>
          <w:b/>
          <w:bCs/>
          <w:i/>
          <w:iCs/>
          <w:color w:val="00B050"/>
        </w:rPr>
        <w:t xml:space="preserve">engagement </w:t>
      </w:r>
      <w:r w:rsidRPr="001D57E1">
        <w:rPr>
          <w:b/>
          <w:bCs/>
          <w:i/>
          <w:iCs/>
          <w:strike/>
          <w:color w:val="00B050"/>
        </w:rPr>
        <w:t>clamping</w:t>
      </w:r>
      <w:r w:rsidRPr="001D57E1">
        <w:rPr>
          <w:strike/>
          <w:color w:val="00B050"/>
        </w:rPr>
        <w:t xml:space="preserve"> </w:t>
      </w:r>
      <w:r w:rsidRPr="005C06EF">
        <w:t>of the parking brake, the flashing of the red warning signal may be suppressed and the nonflashing red signal shall be used to indicate parking brake applied. Where actuation of the parking brake is normally indicated by a separate red warning signal, satisfying all the requirements of 5.2.1.29.3., this signal shall be used to satisfy the above requirement for a red signal</w:t>
      </w:r>
    </w:p>
    <w:p w14:paraId="11C11146" w14:textId="77777777" w:rsidR="005C06EF" w:rsidRDefault="005C06EF" w:rsidP="00961DC3">
      <w:pPr>
        <w:spacing w:after="120"/>
        <w:ind w:left="1134" w:right="1133"/>
        <w:jc w:val="both"/>
        <w:rPr>
          <w:rFonts w:asciiTheme="majorBidi" w:hAnsiTheme="majorBidi"/>
          <w:i/>
          <w:iCs/>
        </w:rPr>
      </w:pPr>
    </w:p>
    <w:p w14:paraId="767F93D1" w14:textId="67941108" w:rsidR="00961DC3" w:rsidRDefault="00961DC3" w:rsidP="00961DC3">
      <w:pPr>
        <w:spacing w:after="120"/>
        <w:ind w:left="1134" w:right="1133"/>
        <w:jc w:val="both"/>
      </w:pPr>
      <w:r>
        <w:rPr>
          <w:rFonts w:asciiTheme="majorBidi" w:hAnsiTheme="majorBidi"/>
          <w:i/>
          <w:iCs/>
        </w:rPr>
        <w:t xml:space="preserve">Paragraph 5.2.1.26.5., </w:t>
      </w:r>
      <w:r>
        <w:rPr>
          <w:rFonts w:asciiTheme="majorBidi" w:hAnsiTheme="majorBidi"/>
        </w:rPr>
        <w:t>amend to read:</w:t>
      </w:r>
    </w:p>
    <w:p w14:paraId="3B4D40E5" w14:textId="3138B0E8" w:rsidR="00247144" w:rsidRPr="005C06EF" w:rsidRDefault="00247144" w:rsidP="001D57E1">
      <w:pPr>
        <w:suppressAutoHyphens w:val="0"/>
        <w:spacing w:line="240" w:lineRule="auto"/>
        <w:ind w:left="2835" w:right="1134" w:hanging="1701"/>
        <w:jc w:val="both"/>
        <w:rPr>
          <w:lang w:val="en-US"/>
        </w:rPr>
      </w:pPr>
      <w:r w:rsidRPr="005C06EF">
        <w:rPr>
          <w:lang w:val="en-US"/>
        </w:rPr>
        <w:t xml:space="preserve">5.2.1.26.5. </w:t>
      </w:r>
      <w:r w:rsidR="00C062B4" w:rsidRPr="005C06EF">
        <w:rPr>
          <w:lang w:val="en-US"/>
        </w:rPr>
        <w:tab/>
      </w:r>
      <w:r w:rsidR="00C062B4" w:rsidRPr="005C06EF">
        <w:rPr>
          <w:lang w:val="en-US"/>
        </w:rPr>
        <w:tab/>
      </w:r>
      <w:r w:rsidRPr="005C06EF">
        <w:rPr>
          <w:lang w:val="en-US"/>
        </w:rPr>
        <w:t>If the parking braking system detects a request (generated automatically or by the driver):</w:t>
      </w:r>
    </w:p>
    <w:p w14:paraId="1DBF6D5B" w14:textId="77777777" w:rsidR="00247144" w:rsidRPr="005C06EF" w:rsidRDefault="00247144" w:rsidP="001D57E1">
      <w:pPr>
        <w:suppressAutoHyphens w:val="0"/>
        <w:spacing w:line="240" w:lineRule="auto"/>
        <w:ind w:left="2835" w:right="1134"/>
        <w:jc w:val="both"/>
        <w:rPr>
          <w:lang w:val="en-US"/>
        </w:rPr>
      </w:pPr>
      <w:r w:rsidRPr="005C06EF">
        <w:rPr>
          <w:lang w:val="en-US"/>
        </w:rPr>
        <w:t xml:space="preserve">(a) To fully apply the parking brake (i.e. to reach the mechanically locked </w:t>
      </w:r>
    </w:p>
    <w:p w14:paraId="53D2FF91" w14:textId="77777777" w:rsidR="00247144" w:rsidRPr="005C06EF" w:rsidRDefault="00247144" w:rsidP="001D57E1">
      <w:pPr>
        <w:suppressAutoHyphens w:val="0"/>
        <w:spacing w:line="240" w:lineRule="auto"/>
        <w:ind w:left="2835" w:right="1134"/>
        <w:jc w:val="both"/>
        <w:rPr>
          <w:lang w:val="en-US"/>
        </w:rPr>
      </w:pPr>
      <w:r w:rsidRPr="005C06EF">
        <w:rPr>
          <w:lang w:val="en-US"/>
        </w:rPr>
        <w:t>position of the parking brake), or</w:t>
      </w:r>
    </w:p>
    <w:p w14:paraId="60A350C4" w14:textId="77777777" w:rsidR="00247144" w:rsidRPr="005C06EF" w:rsidRDefault="00247144" w:rsidP="001D57E1">
      <w:pPr>
        <w:suppressAutoHyphens w:val="0"/>
        <w:spacing w:line="240" w:lineRule="auto"/>
        <w:ind w:left="2835" w:right="1134"/>
        <w:jc w:val="both"/>
        <w:rPr>
          <w:lang w:val="en-US"/>
        </w:rPr>
      </w:pPr>
      <w:r w:rsidRPr="005C06EF">
        <w:rPr>
          <w:lang w:val="en-US"/>
        </w:rPr>
        <w:t>(b) To gradually control the parking brake action,</w:t>
      </w:r>
    </w:p>
    <w:p w14:paraId="2BACF978" w14:textId="7F7D9912" w:rsidR="00C63A44" w:rsidRPr="00C63A44" w:rsidRDefault="00247144" w:rsidP="001D57E1">
      <w:pPr>
        <w:suppressAutoHyphens w:val="0"/>
        <w:spacing w:line="240" w:lineRule="auto"/>
        <w:ind w:left="2835" w:right="1134"/>
        <w:jc w:val="both"/>
        <w:rPr>
          <w:rFonts w:ascii="Calibri" w:hAnsi="Calibri" w:cs="Calibri"/>
          <w:sz w:val="22"/>
          <w:szCs w:val="22"/>
          <w:lang w:val="en-US"/>
        </w:rPr>
      </w:pPr>
      <w:r w:rsidRPr="005C06EF">
        <w:rPr>
          <w:lang w:val="en-US"/>
        </w:rPr>
        <w:t xml:space="preserve">The actuation of the warning as required in paragraph 2.6. of Annex 8 may be delayed until the parking brake system has detected the correct </w:t>
      </w:r>
      <w:r w:rsidRPr="001D57E1">
        <w:rPr>
          <w:i/>
          <w:iCs/>
          <w:strike/>
          <w:color w:val="00B050"/>
          <w:lang w:val="en-US"/>
        </w:rPr>
        <w:t>clamping</w:t>
      </w:r>
      <w:r w:rsidRPr="001D57E1">
        <w:rPr>
          <w:color w:val="00B050"/>
          <w:lang w:val="en-US"/>
        </w:rPr>
        <w:t xml:space="preserve"> </w:t>
      </w:r>
      <w:r w:rsidR="007C4A8D" w:rsidRPr="001D57E1">
        <w:rPr>
          <w:b/>
          <w:bCs/>
          <w:i/>
          <w:iCs/>
          <w:color w:val="00B050"/>
          <w:lang w:val="en-US"/>
        </w:rPr>
        <w:t>engagement</w:t>
      </w:r>
      <w:r w:rsidR="007C4A8D" w:rsidRPr="001D57E1">
        <w:rPr>
          <w:color w:val="00B050"/>
          <w:lang w:val="en-US"/>
        </w:rPr>
        <w:t xml:space="preserve"> </w:t>
      </w:r>
      <w:r w:rsidRPr="005C06EF">
        <w:rPr>
          <w:lang w:val="en-US"/>
        </w:rPr>
        <w:t>of the parking brake. The yellow warning signal specified in paragraph 5.2.1.29.1.2. shall be displayed at the latest 10s after the request for a full parking brake application, in the case the stable state is not reached</w:t>
      </w:r>
      <w:r w:rsidRPr="00247144">
        <w:rPr>
          <w:rFonts w:ascii="Calibri" w:hAnsi="Calibri" w:cs="Calibri"/>
          <w:sz w:val="22"/>
          <w:szCs w:val="22"/>
          <w:lang w:val="en-US"/>
        </w:rPr>
        <w:t>.</w:t>
      </w:r>
    </w:p>
    <w:p w14:paraId="647DEEA3" w14:textId="77777777" w:rsidR="00C35C89" w:rsidRDefault="00C35C89" w:rsidP="001D0C31">
      <w:pPr>
        <w:ind w:left="670"/>
      </w:pPr>
    </w:p>
    <w:p w14:paraId="16422031" w14:textId="77777777" w:rsidR="00D6448C" w:rsidRDefault="00D6448C" w:rsidP="001D0C31">
      <w:pPr>
        <w:ind w:left="670"/>
      </w:pPr>
    </w:p>
    <w:p w14:paraId="15D49CBF" w14:textId="77777777" w:rsidR="00D6448C" w:rsidRDefault="00D6448C" w:rsidP="001D0C31">
      <w:pPr>
        <w:ind w:left="670"/>
      </w:pPr>
    </w:p>
    <w:p w14:paraId="19AE1604" w14:textId="77777777" w:rsidR="00D6448C" w:rsidRDefault="00D6448C" w:rsidP="001D0C31">
      <w:pPr>
        <w:ind w:left="670"/>
      </w:pPr>
    </w:p>
    <w:p w14:paraId="03C9EC29" w14:textId="77777777" w:rsidR="00D6448C" w:rsidRDefault="00D6448C" w:rsidP="001D0C31">
      <w:pPr>
        <w:ind w:left="670"/>
      </w:pPr>
    </w:p>
    <w:p w14:paraId="5E1D2E6E" w14:textId="77777777" w:rsidR="00D6448C" w:rsidRDefault="00D6448C" w:rsidP="001D0C31">
      <w:pPr>
        <w:ind w:left="670"/>
      </w:pPr>
    </w:p>
    <w:p w14:paraId="16584F36" w14:textId="77777777" w:rsidR="00D6448C" w:rsidRDefault="00D6448C" w:rsidP="001D0C31">
      <w:pPr>
        <w:ind w:left="670"/>
      </w:pPr>
    </w:p>
    <w:p w14:paraId="359FF972" w14:textId="77777777" w:rsidR="00D6448C" w:rsidRDefault="00D6448C" w:rsidP="001D0C31">
      <w:pPr>
        <w:ind w:left="670"/>
      </w:pPr>
    </w:p>
    <w:p w14:paraId="600B83E0" w14:textId="77777777" w:rsidR="00D6448C" w:rsidRDefault="00D6448C" w:rsidP="001D0C31">
      <w:pPr>
        <w:ind w:left="670"/>
      </w:pPr>
    </w:p>
    <w:p w14:paraId="04EB05C7" w14:textId="77777777" w:rsidR="00D6448C" w:rsidRDefault="00D6448C" w:rsidP="001D0C31">
      <w:pPr>
        <w:ind w:left="670"/>
      </w:pPr>
    </w:p>
    <w:p w14:paraId="6239A4C1" w14:textId="77777777" w:rsidR="00D6448C" w:rsidRDefault="00D6448C" w:rsidP="001D0C31">
      <w:pPr>
        <w:ind w:left="670"/>
      </w:pPr>
    </w:p>
    <w:p w14:paraId="3AFF3D1E" w14:textId="77777777" w:rsidR="00D6448C" w:rsidRDefault="00D6448C" w:rsidP="001D0C31">
      <w:pPr>
        <w:ind w:left="670"/>
      </w:pPr>
    </w:p>
    <w:p w14:paraId="46F0989C" w14:textId="77777777" w:rsidR="00D6448C" w:rsidRPr="001D0C31" w:rsidRDefault="00D6448C" w:rsidP="001D0C31">
      <w:pPr>
        <w:ind w:left="670"/>
      </w:pPr>
    </w:p>
    <w:p w14:paraId="295D1D49" w14:textId="04006F75" w:rsidR="00773FAA" w:rsidRPr="00AD54FC" w:rsidRDefault="00763B37" w:rsidP="00763B37">
      <w:pPr>
        <w:pStyle w:val="HChG"/>
      </w:pPr>
      <w:r w:rsidRPr="00AD54FC">
        <w:lastRenderedPageBreak/>
        <w:tab/>
        <w:t>II.</w:t>
      </w:r>
      <w:r w:rsidRPr="00AD54FC">
        <w:tab/>
      </w:r>
      <w:r w:rsidR="00773FAA" w:rsidRPr="00AD54FC">
        <w:t xml:space="preserve">Justification </w:t>
      </w:r>
    </w:p>
    <w:p w14:paraId="0B38AE43" w14:textId="67D4D18A" w:rsidR="005B45BA" w:rsidRDefault="007B0094" w:rsidP="005123B1">
      <w:pPr>
        <w:pStyle w:val="SingleTxtG"/>
        <w:rPr>
          <w:rFonts w:asciiTheme="majorBidi" w:hAnsiTheme="majorBidi" w:cstheme="majorBidi"/>
          <w:sz w:val="20"/>
          <w:szCs w:val="20"/>
        </w:rPr>
      </w:pPr>
      <w:r>
        <w:rPr>
          <w:rFonts w:asciiTheme="majorBidi" w:hAnsiTheme="majorBidi" w:cstheme="majorBidi"/>
          <w:sz w:val="20"/>
          <w:szCs w:val="20"/>
        </w:rPr>
        <w:tab/>
      </w:r>
      <w:r w:rsidR="00763B37" w:rsidRPr="00AD54FC">
        <w:rPr>
          <w:rFonts w:asciiTheme="majorBidi" w:hAnsiTheme="majorBidi" w:cstheme="majorBidi"/>
          <w:sz w:val="20"/>
          <w:szCs w:val="20"/>
        </w:rPr>
        <w:tab/>
      </w:r>
      <w:r w:rsidR="005123B1" w:rsidRPr="00AD54FC">
        <w:rPr>
          <w:rFonts w:asciiTheme="majorBidi" w:hAnsiTheme="majorBidi" w:cstheme="majorBidi"/>
          <w:sz w:val="20"/>
          <w:szCs w:val="20"/>
        </w:rPr>
        <w:t xml:space="preserve">This amendment enables the use of a </w:t>
      </w:r>
      <w:r w:rsidR="00773D19" w:rsidRPr="00B7307C">
        <w:rPr>
          <w:rFonts w:asciiTheme="majorBidi" w:hAnsiTheme="majorBidi" w:cstheme="majorBidi"/>
          <w:sz w:val="20"/>
          <w:szCs w:val="20"/>
        </w:rPr>
        <w:t>park lock device</w:t>
      </w:r>
      <w:r w:rsidR="00773D19" w:rsidRPr="00757F90">
        <w:rPr>
          <w:rFonts w:asciiTheme="majorBidi" w:hAnsiTheme="majorBidi" w:cstheme="majorBidi"/>
          <w:sz w:val="20"/>
          <w:szCs w:val="20"/>
        </w:rPr>
        <w:t xml:space="preserve"> </w:t>
      </w:r>
      <w:r w:rsidR="005123B1" w:rsidRPr="00AD54FC">
        <w:rPr>
          <w:rFonts w:asciiTheme="majorBidi" w:hAnsiTheme="majorBidi" w:cstheme="majorBidi"/>
          <w:sz w:val="20"/>
          <w:szCs w:val="20"/>
        </w:rPr>
        <w:t>as an alternative to a friction type parking braking system to fulfil the static requirements of UN R</w:t>
      </w:r>
      <w:r w:rsidR="00953F67">
        <w:rPr>
          <w:rFonts w:asciiTheme="majorBidi" w:hAnsiTheme="majorBidi" w:cstheme="majorBidi"/>
          <w:sz w:val="20"/>
          <w:szCs w:val="20"/>
        </w:rPr>
        <w:t xml:space="preserve">egulation No. </w:t>
      </w:r>
      <w:r w:rsidR="005123B1" w:rsidRPr="00AD54FC">
        <w:rPr>
          <w:rFonts w:asciiTheme="majorBidi" w:hAnsiTheme="majorBidi" w:cstheme="majorBidi"/>
          <w:sz w:val="20"/>
          <w:szCs w:val="20"/>
        </w:rPr>
        <w:t>13</w:t>
      </w:r>
      <w:r w:rsidR="00305209">
        <w:rPr>
          <w:rFonts w:asciiTheme="majorBidi" w:hAnsiTheme="majorBidi" w:cstheme="majorBidi"/>
          <w:sz w:val="20"/>
          <w:szCs w:val="20"/>
        </w:rPr>
        <w:t xml:space="preserve"> </w:t>
      </w:r>
      <w:r w:rsidR="005123B1" w:rsidRPr="00AD54FC">
        <w:rPr>
          <w:rFonts w:asciiTheme="majorBidi" w:hAnsiTheme="majorBidi" w:cstheme="majorBidi"/>
          <w:sz w:val="20"/>
          <w:szCs w:val="20"/>
        </w:rPr>
        <w:t>for parking braking systems</w:t>
      </w:r>
      <w:r w:rsidR="005B45BA" w:rsidRPr="00AD54FC">
        <w:rPr>
          <w:rFonts w:asciiTheme="majorBidi" w:hAnsiTheme="majorBidi" w:cstheme="majorBidi"/>
          <w:sz w:val="20"/>
          <w:szCs w:val="20"/>
        </w:rPr>
        <w:t>.</w:t>
      </w:r>
    </w:p>
    <w:p w14:paraId="7FB7231F" w14:textId="77777777" w:rsidR="000E106A" w:rsidRPr="0050618A" w:rsidRDefault="000E106A" w:rsidP="00A7727E">
      <w:pPr>
        <w:pStyle w:val="SingleTxtG"/>
        <w:rPr>
          <w:rFonts w:asciiTheme="majorBidi" w:hAnsiTheme="majorBidi" w:cstheme="majorBidi"/>
          <w:sz w:val="20"/>
          <w:szCs w:val="20"/>
        </w:rPr>
      </w:pPr>
      <w:r w:rsidRPr="0050618A">
        <w:rPr>
          <w:rFonts w:asciiTheme="majorBidi" w:hAnsiTheme="majorBidi" w:cstheme="majorBidi"/>
          <w:sz w:val="20"/>
          <w:szCs w:val="20"/>
        </w:rPr>
        <w:t>After GRVA-19 the following observations were raised</w:t>
      </w:r>
    </w:p>
    <w:p w14:paraId="2FCB496F" w14:textId="77777777" w:rsidR="000E106A" w:rsidRPr="0050618A" w:rsidRDefault="000E106A" w:rsidP="000E106A">
      <w:pPr>
        <w:pStyle w:val="SingleTxtG"/>
        <w:numPr>
          <w:ilvl w:val="0"/>
          <w:numId w:val="16"/>
        </w:numPr>
        <w:rPr>
          <w:rFonts w:asciiTheme="majorBidi" w:hAnsiTheme="majorBidi" w:cstheme="majorBidi"/>
          <w:sz w:val="20"/>
          <w:szCs w:val="20"/>
        </w:rPr>
      </w:pPr>
      <w:r w:rsidRPr="0050618A">
        <w:rPr>
          <w:rFonts w:asciiTheme="majorBidi" w:hAnsiTheme="majorBidi" w:cstheme="majorBidi"/>
          <w:sz w:val="20"/>
          <w:szCs w:val="20"/>
        </w:rPr>
        <w:t>Switzerland requested a requirement to ensure that the rollaway distance after activation the Park Lock Device is limited. Based on CFR 571-114 – Standard No. 114 (Theft protection and rollaway prevention) the required rollaway distance of 150 mm is proposed. Based on this requirement the rollaway distance for commercial vehicles is derive from the ratio of the rolling circumference of tire for commercial vehicles compared to the rolling circumference of tire for passenger car.</w:t>
      </w:r>
    </w:p>
    <w:p w14:paraId="24CCFF5E" w14:textId="0C45F605" w:rsidR="000E106A" w:rsidRPr="0050618A" w:rsidRDefault="000E106A" w:rsidP="000E106A">
      <w:pPr>
        <w:pStyle w:val="SingleTxtG"/>
        <w:spacing w:after="0" w:line="240" w:lineRule="auto"/>
        <w:ind w:left="1491"/>
        <w:jc w:val="left"/>
        <w:rPr>
          <w:rFonts w:asciiTheme="majorBidi" w:hAnsiTheme="majorBidi" w:cstheme="majorBidi"/>
          <w:sz w:val="20"/>
          <w:szCs w:val="20"/>
        </w:rPr>
      </w:pPr>
      <w:r w:rsidRPr="0050618A">
        <w:rPr>
          <w:rFonts w:asciiTheme="majorBidi" w:hAnsiTheme="majorBidi" w:cstheme="majorBidi"/>
          <w:sz w:val="20"/>
          <w:szCs w:val="20"/>
        </w:rPr>
        <w:t xml:space="preserve">rolling circumference for a commercial vehicle tire:  </w:t>
      </w:r>
      <w:r w:rsidR="0050618A">
        <w:rPr>
          <w:rFonts w:asciiTheme="majorBidi" w:hAnsiTheme="majorBidi" w:cstheme="majorBidi"/>
          <w:sz w:val="20"/>
          <w:szCs w:val="20"/>
        </w:rPr>
        <w:t xml:space="preserve">      </w:t>
      </w:r>
      <w:r w:rsidRPr="0050618A">
        <w:rPr>
          <w:rFonts w:asciiTheme="majorBidi" w:hAnsiTheme="majorBidi" w:cstheme="majorBidi"/>
          <w:sz w:val="20"/>
          <w:szCs w:val="20"/>
        </w:rPr>
        <w:t>4525 mm (16.00 R25)</w:t>
      </w:r>
    </w:p>
    <w:p w14:paraId="676D7D08" w14:textId="7942F00D" w:rsidR="000E106A" w:rsidRPr="0050618A" w:rsidRDefault="000E106A" w:rsidP="000E106A">
      <w:pPr>
        <w:pStyle w:val="SingleTxtG"/>
        <w:spacing w:after="0" w:line="240" w:lineRule="auto"/>
        <w:ind w:left="1491"/>
        <w:jc w:val="left"/>
        <w:rPr>
          <w:rFonts w:asciiTheme="majorBidi" w:hAnsiTheme="majorBidi" w:cstheme="majorBidi"/>
          <w:sz w:val="20"/>
          <w:szCs w:val="20"/>
        </w:rPr>
      </w:pPr>
      <w:r w:rsidRPr="0050618A">
        <w:rPr>
          <w:rFonts w:asciiTheme="majorBidi" w:hAnsiTheme="majorBidi" w:cstheme="majorBidi"/>
          <w:sz w:val="20"/>
          <w:szCs w:val="20"/>
        </w:rPr>
        <w:t xml:space="preserve">rolling circumference for a passenger car tire:  </w:t>
      </w:r>
      <w:r w:rsidRPr="0050618A">
        <w:rPr>
          <w:rFonts w:asciiTheme="majorBidi" w:hAnsiTheme="majorBidi" w:cstheme="majorBidi"/>
          <w:sz w:val="20"/>
          <w:szCs w:val="20"/>
        </w:rPr>
        <w:tab/>
        <w:t xml:space="preserve">   </w:t>
      </w:r>
      <w:r w:rsidR="008E1E7F" w:rsidRPr="0050618A">
        <w:rPr>
          <w:rFonts w:asciiTheme="majorBidi" w:hAnsiTheme="majorBidi" w:cstheme="majorBidi"/>
          <w:sz w:val="20"/>
          <w:szCs w:val="20"/>
        </w:rPr>
        <w:t xml:space="preserve">   </w:t>
      </w:r>
      <w:r w:rsidRPr="0050618A">
        <w:rPr>
          <w:rFonts w:asciiTheme="majorBidi" w:hAnsiTheme="majorBidi" w:cstheme="majorBidi"/>
          <w:sz w:val="20"/>
          <w:szCs w:val="20"/>
        </w:rPr>
        <w:t xml:space="preserve"> 2200 mm (20´´ 265/40)</w:t>
      </w:r>
    </w:p>
    <w:p w14:paraId="6E628B79" w14:textId="77777777" w:rsidR="000E106A" w:rsidRPr="0050618A" w:rsidRDefault="000E106A" w:rsidP="000E106A">
      <w:pPr>
        <w:pStyle w:val="SingleTxtG"/>
        <w:spacing w:after="0" w:line="240" w:lineRule="auto"/>
        <w:ind w:left="1491"/>
        <w:rPr>
          <w:rFonts w:asciiTheme="majorBidi" w:hAnsiTheme="majorBidi" w:cstheme="majorBidi"/>
          <w:sz w:val="20"/>
          <w:szCs w:val="20"/>
        </w:rPr>
      </w:pPr>
    </w:p>
    <w:p w14:paraId="558D8C8E" w14:textId="35382F79" w:rsidR="000E106A" w:rsidRDefault="005D7430" w:rsidP="000E106A">
      <w:pPr>
        <w:pStyle w:val="SingleTxtG"/>
        <w:ind w:left="1494"/>
        <w:rPr>
          <w:rFonts w:asciiTheme="majorBidi" w:hAnsiTheme="majorBidi" w:cstheme="majorBidi"/>
          <w:sz w:val="20"/>
          <w:szCs w:val="20"/>
        </w:rPr>
      </w:pPr>
      <m:oMath>
        <m:r>
          <m:rPr>
            <m:sty m:val="p"/>
          </m:rPr>
          <w:rPr>
            <w:rFonts w:ascii="Cambria Math" w:hAnsi="Cambria Math" w:cstheme="majorBidi"/>
            <w:sz w:val="20"/>
            <w:szCs w:val="20"/>
          </w:rPr>
          <m:t>ratio=</m:t>
        </m:r>
        <m:f>
          <m:fPr>
            <m:ctrlPr>
              <w:rPr>
                <w:rFonts w:ascii="Cambria Math" w:hAnsi="Cambria Math" w:cstheme="majorBidi"/>
                <w:sz w:val="20"/>
                <w:szCs w:val="20"/>
              </w:rPr>
            </m:ctrlPr>
          </m:fPr>
          <m:num>
            <m:r>
              <m:rPr>
                <m:sty m:val="p"/>
              </m:rPr>
              <w:rPr>
                <w:rFonts w:ascii="Cambria Math" w:hAnsi="Cambria Math" w:cstheme="majorBidi"/>
                <w:sz w:val="20"/>
                <w:szCs w:val="20"/>
              </w:rPr>
              <m:t>4525mm</m:t>
            </m:r>
          </m:num>
          <m:den>
            <m:r>
              <m:rPr>
                <m:sty m:val="p"/>
              </m:rPr>
              <w:rPr>
                <w:rFonts w:ascii="Cambria Math" w:hAnsi="Cambria Math" w:cstheme="majorBidi"/>
                <w:sz w:val="20"/>
                <w:szCs w:val="20"/>
              </w:rPr>
              <m:t>2200mm</m:t>
            </m:r>
          </m:den>
        </m:f>
        <m:r>
          <m:rPr>
            <m:sty m:val="p"/>
          </m:rPr>
          <w:rPr>
            <w:rFonts w:ascii="Cambria Math" w:hAnsi="Cambria Math" w:cstheme="majorBidi"/>
            <w:sz w:val="20"/>
            <w:szCs w:val="20"/>
          </w:rPr>
          <m:t xml:space="preserve"> </m:t>
        </m:r>
        <m:r>
          <m:rPr>
            <m:sty m:val="p"/>
          </m:rPr>
          <w:rPr>
            <w:rFonts w:ascii="Cambria Math" w:hAnsi="Cambria Math" w:cstheme="majorBidi"/>
            <w:sz w:val="20"/>
            <w:szCs w:val="20"/>
          </w:rPr>
          <w:sym w:font="Symbol" w:char="F040"/>
        </m:r>
        <m:r>
          <m:rPr>
            <m:sty m:val="p"/>
          </m:rPr>
          <w:rPr>
            <w:rFonts w:ascii="Cambria Math" w:hAnsi="Cambria Math" w:cstheme="majorBidi"/>
            <w:sz w:val="20"/>
            <w:szCs w:val="20"/>
          </w:rPr>
          <m:t xml:space="preserve">  2,05</m:t>
        </m:r>
      </m:oMath>
      <w:r w:rsidR="000E106A" w:rsidRPr="0050618A">
        <w:rPr>
          <w:rFonts w:asciiTheme="majorBidi" w:hAnsiTheme="majorBidi" w:cstheme="majorBidi"/>
          <w:sz w:val="20"/>
          <w:szCs w:val="20"/>
        </w:rPr>
        <w:t xml:space="preserve">   </w:t>
      </w:r>
    </w:p>
    <w:p w14:paraId="3255F722" w14:textId="60BF8193" w:rsidR="000E106A" w:rsidRPr="0050618A" w:rsidRDefault="000E106A" w:rsidP="000E106A">
      <w:pPr>
        <w:pStyle w:val="SingleTxtG"/>
        <w:ind w:left="1494"/>
        <w:rPr>
          <w:rFonts w:asciiTheme="majorBidi" w:hAnsiTheme="majorBidi" w:cstheme="majorBidi"/>
          <w:sz w:val="20"/>
          <w:szCs w:val="20"/>
        </w:rPr>
      </w:pPr>
      <w:r w:rsidRPr="0050618A">
        <w:rPr>
          <w:rFonts w:asciiTheme="majorBidi" w:hAnsiTheme="majorBidi" w:cstheme="majorBidi"/>
          <w:sz w:val="20"/>
          <w:szCs w:val="20"/>
        </w:rPr>
        <w:sym w:font="Wingdings" w:char="F0E0"/>
      </w:r>
      <w:r w:rsidRPr="0050618A">
        <w:rPr>
          <w:rFonts w:asciiTheme="majorBidi" w:hAnsiTheme="majorBidi" w:cstheme="majorBidi"/>
          <w:sz w:val="20"/>
          <w:szCs w:val="20"/>
        </w:rPr>
        <w:t xml:space="preserve"> rollaway distance for commercial vehicles 1</w:t>
      </w:r>
      <w:r w:rsidR="009B5741">
        <w:rPr>
          <w:rFonts w:asciiTheme="majorBidi" w:hAnsiTheme="majorBidi" w:cstheme="majorBidi"/>
          <w:sz w:val="20"/>
          <w:szCs w:val="20"/>
        </w:rPr>
        <w:t>50</w:t>
      </w:r>
      <w:r w:rsidRPr="0050618A">
        <w:rPr>
          <w:rFonts w:asciiTheme="majorBidi" w:hAnsiTheme="majorBidi" w:cstheme="majorBidi"/>
          <w:sz w:val="20"/>
          <w:szCs w:val="20"/>
        </w:rPr>
        <w:t xml:space="preserve"> mm x 2,05 </w:t>
      </w:r>
      <w:r w:rsidRPr="0050618A">
        <w:rPr>
          <w:rFonts w:asciiTheme="majorBidi" w:hAnsiTheme="majorBidi" w:cstheme="majorBidi"/>
          <w:sz w:val="20"/>
          <w:szCs w:val="20"/>
        </w:rPr>
        <w:sym w:font="Symbol" w:char="F040"/>
      </w:r>
      <w:r w:rsidRPr="0050618A">
        <w:rPr>
          <w:rFonts w:asciiTheme="majorBidi" w:hAnsiTheme="majorBidi" w:cstheme="majorBidi"/>
          <w:sz w:val="20"/>
          <w:szCs w:val="20"/>
        </w:rPr>
        <w:t xml:space="preserve">  300</w:t>
      </w:r>
      <w:r w:rsidR="00A46AC2">
        <w:rPr>
          <w:rFonts w:asciiTheme="majorBidi" w:hAnsiTheme="majorBidi" w:cstheme="majorBidi"/>
          <w:sz w:val="20"/>
          <w:szCs w:val="20"/>
        </w:rPr>
        <w:t xml:space="preserve"> </w:t>
      </w:r>
      <w:r w:rsidRPr="0050618A">
        <w:rPr>
          <w:rFonts w:asciiTheme="majorBidi" w:hAnsiTheme="majorBidi" w:cstheme="majorBidi"/>
          <w:sz w:val="20"/>
          <w:szCs w:val="20"/>
        </w:rPr>
        <w:t>mm</w:t>
      </w:r>
    </w:p>
    <w:p w14:paraId="5DAA41A3" w14:textId="77777777" w:rsidR="000E106A" w:rsidRDefault="000E106A" w:rsidP="000E106A">
      <w:pPr>
        <w:pStyle w:val="SingleTxtG"/>
        <w:numPr>
          <w:ilvl w:val="0"/>
          <w:numId w:val="16"/>
        </w:numPr>
        <w:rPr>
          <w:rFonts w:asciiTheme="majorBidi" w:hAnsiTheme="majorBidi" w:cstheme="majorBidi"/>
          <w:sz w:val="20"/>
          <w:szCs w:val="20"/>
        </w:rPr>
      </w:pPr>
      <w:r w:rsidRPr="0050618A">
        <w:rPr>
          <w:rFonts w:asciiTheme="majorBidi" w:hAnsiTheme="majorBidi" w:cstheme="majorBidi"/>
          <w:sz w:val="20"/>
          <w:szCs w:val="20"/>
        </w:rPr>
        <w:t>To satisfy the static requirements by paragraphs 2.3.1. and 2.3.2. of annex 4 of this regulation, the wording “… or in combination with …”  is introduced to clarify a technical solution consisting of a friction type parking brake and a park lock device or a combination of both.</w:t>
      </w:r>
    </w:p>
    <w:p w14:paraId="0C8131CE" w14:textId="274826E9" w:rsidR="00882DD5" w:rsidRDefault="001B5AB8" w:rsidP="000E106A">
      <w:pPr>
        <w:pStyle w:val="SingleTxtG"/>
        <w:numPr>
          <w:ilvl w:val="0"/>
          <w:numId w:val="16"/>
        </w:numPr>
        <w:rPr>
          <w:rFonts w:asciiTheme="majorBidi" w:hAnsiTheme="majorBidi" w:cstheme="majorBidi"/>
          <w:b/>
          <w:bCs/>
          <w:i/>
          <w:iCs/>
          <w:color w:val="00B050"/>
          <w:sz w:val="20"/>
          <w:szCs w:val="20"/>
        </w:rPr>
      </w:pPr>
      <w:r w:rsidRPr="001D57E1">
        <w:rPr>
          <w:rFonts w:asciiTheme="majorBidi" w:hAnsiTheme="majorBidi" w:cstheme="majorBidi"/>
          <w:b/>
          <w:bCs/>
          <w:i/>
          <w:iCs/>
          <w:color w:val="00B050"/>
          <w:sz w:val="20"/>
          <w:szCs w:val="20"/>
        </w:rPr>
        <w:t>As the combination of friction type and park lock device or a combination of both will keep the vehicle in a static position, the wording engagement seems more appropriate as clamp</w:t>
      </w:r>
      <w:r w:rsidR="000240C3" w:rsidRPr="001D57E1">
        <w:rPr>
          <w:rFonts w:asciiTheme="majorBidi" w:hAnsiTheme="majorBidi" w:cstheme="majorBidi"/>
          <w:b/>
          <w:bCs/>
          <w:i/>
          <w:iCs/>
          <w:color w:val="00B050"/>
          <w:sz w:val="20"/>
          <w:szCs w:val="20"/>
        </w:rPr>
        <w:t>ing.</w:t>
      </w:r>
    </w:p>
    <w:p w14:paraId="17051444" w14:textId="0A19A126" w:rsidR="003642E4" w:rsidRPr="001D57E1" w:rsidRDefault="003642E4" w:rsidP="000E106A">
      <w:pPr>
        <w:pStyle w:val="SingleTxtG"/>
        <w:numPr>
          <w:ilvl w:val="0"/>
          <w:numId w:val="16"/>
        </w:numPr>
        <w:rPr>
          <w:rFonts w:asciiTheme="majorBidi" w:hAnsiTheme="majorBidi" w:cstheme="majorBidi"/>
          <w:b/>
          <w:bCs/>
          <w:i/>
          <w:iCs/>
          <w:color w:val="00B050"/>
          <w:sz w:val="20"/>
          <w:szCs w:val="20"/>
        </w:rPr>
      </w:pPr>
      <w:r>
        <w:rPr>
          <w:rFonts w:asciiTheme="majorBidi" w:hAnsiTheme="majorBidi" w:cstheme="majorBidi"/>
          <w:b/>
          <w:bCs/>
          <w:i/>
          <w:iCs/>
          <w:color w:val="00B050"/>
          <w:sz w:val="20"/>
          <w:szCs w:val="20"/>
        </w:rPr>
        <w:t>To enable the PTI inspection for a Park Lock Device specific,</w:t>
      </w:r>
      <w:r w:rsidR="00F65ECE">
        <w:rPr>
          <w:rFonts w:asciiTheme="majorBidi" w:hAnsiTheme="majorBidi" w:cstheme="majorBidi"/>
          <w:b/>
          <w:bCs/>
          <w:i/>
          <w:iCs/>
          <w:color w:val="00B050"/>
          <w:sz w:val="20"/>
          <w:szCs w:val="20"/>
        </w:rPr>
        <w:t xml:space="preserve"> additional information is provided by manufacturer.</w:t>
      </w:r>
    </w:p>
    <w:p w14:paraId="50298A43" w14:textId="77777777" w:rsidR="009D079B" w:rsidRDefault="009D079B" w:rsidP="009D079B">
      <w:pPr>
        <w:pStyle w:val="SingleTxtG"/>
        <w:rPr>
          <w:rFonts w:asciiTheme="majorBidi" w:hAnsiTheme="majorBidi" w:cstheme="majorBidi"/>
          <w:sz w:val="20"/>
          <w:szCs w:val="20"/>
        </w:rPr>
      </w:pPr>
    </w:p>
    <w:p w14:paraId="14B8A904" w14:textId="4767BA72" w:rsidR="005B45BA" w:rsidRPr="00F317F8" w:rsidRDefault="00D456E8" w:rsidP="00D456E8">
      <w:pPr>
        <w:pStyle w:val="SingleTxtG"/>
        <w:jc w:val="center"/>
        <w:rPr>
          <w:rFonts w:asciiTheme="majorBidi" w:hAnsiTheme="majorBidi" w:cstheme="majorBidi"/>
          <w:sz w:val="20"/>
          <w:szCs w:val="20"/>
          <w:lang w:val="de-DE"/>
        </w:rPr>
      </w:pPr>
      <w:bookmarkStart w:id="2" w:name="_Hlk165299946"/>
      <w:r w:rsidRPr="00F317F8">
        <w:rPr>
          <w:rFonts w:asciiTheme="majorBidi" w:hAnsiTheme="majorBidi" w:cstheme="majorBidi"/>
          <w:sz w:val="20"/>
          <w:szCs w:val="20"/>
          <w:lang w:val="de-DE"/>
        </w:rPr>
        <w:t>___________</w:t>
      </w:r>
      <w:bookmarkEnd w:id="0"/>
      <w:bookmarkEnd w:id="2"/>
    </w:p>
    <w:sectPr w:rsidR="005B45BA" w:rsidRPr="00F317F8" w:rsidSect="007A418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92E0" w14:textId="77777777" w:rsidR="001A6D02" w:rsidRDefault="001A6D02" w:rsidP="002E0688">
      <w:pPr>
        <w:spacing w:line="240" w:lineRule="auto"/>
      </w:pPr>
      <w:r>
        <w:separator/>
      </w:r>
    </w:p>
  </w:endnote>
  <w:endnote w:type="continuationSeparator" w:id="0">
    <w:p w14:paraId="59BFC462" w14:textId="77777777" w:rsidR="001A6D02" w:rsidRDefault="001A6D02" w:rsidP="002E0688">
      <w:pPr>
        <w:spacing w:line="240" w:lineRule="auto"/>
      </w:pPr>
      <w:r>
        <w:continuationSeparator/>
      </w:r>
    </w:p>
  </w:endnote>
  <w:endnote w:type="continuationNotice" w:id="1">
    <w:p w14:paraId="517A2C91" w14:textId="77777777" w:rsidR="00B2413D" w:rsidRDefault="00B241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6B9816CF" w:rsidR="005123B1" w:rsidRPr="0020417D" w:rsidRDefault="00387FD9" w:rsidP="0020417D">
    <w:pPr>
      <w:pStyle w:val="Footer"/>
      <w:tabs>
        <w:tab w:val="right" w:pos="9638"/>
      </w:tabs>
      <w:rPr>
        <w:sz w:val="18"/>
      </w:rPr>
    </w:pPr>
    <w:r>
      <w:rPr>
        <w:b/>
        <w:noProof/>
        <w:sz w:val="18"/>
      </w:rPr>
      <mc:AlternateContent>
        <mc:Choice Requires="wps">
          <w:drawing>
            <wp:anchor distT="0" distB="0" distL="0" distR="0" simplePos="0" relativeHeight="251658241" behindDoc="0" locked="0" layoutInCell="1" allowOverlap="1" wp14:anchorId="44AFFE02" wp14:editId="6199D9BD">
              <wp:simplePos x="635" y="635"/>
              <wp:positionH relativeFrom="page">
                <wp:align>center</wp:align>
              </wp:positionH>
              <wp:positionV relativeFrom="page">
                <wp:align>bottom</wp:align>
              </wp:positionV>
              <wp:extent cx="443865" cy="443865"/>
              <wp:effectExtent l="0" t="0" r="3810" b="0"/>
              <wp:wrapNone/>
              <wp:docPr id="15928494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85B7D" w14:textId="52FA9FE7" w:rsidR="00387FD9" w:rsidRPr="00387FD9" w:rsidRDefault="00387FD9" w:rsidP="00387FD9">
                          <w:pPr>
                            <w:rPr>
                              <w:rFonts w:ascii="Arial" w:eastAsia="Arial" w:hAnsi="Arial" w:cs="Arial"/>
                              <w:noProof/>
                              <w:color w:val="000000"/>
                              <w:sz w:val="16"/>
                              <w:szCs w:val="16"/>
                            </w:rPr>
                          </w:pPr>
                          <w:r w:rsidRPr="00387FD9">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FFE02" id="_x0000_t202" coordsize="21600,21600" o:spt="202" path="m,l,21600r21600,l21600,xe">
              <v:stroke joinstyle="miter"/>
              <v:path gradientshapeok="t" o:connecttype="rect"/>
            </v:shapetype>
            <v:shape id="Textfeld 2" o:spid="_x0000_s1026"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F985B7D" w14:textId="52FA9FE7" w:rsidR="00387FD9" w:rsidRPr="00387FD9" w:rsidRDefault="00387FD9" w:rsidP="00387FD9">
                    <w:pPr>
                      <w:rPr>
                        <w:rFonts w:ascii="Arial" w:eastAsia="Arial" w:hAnsi="Arial" w:cs="Arial"/>
                        <w:noProof/>
                        <w:color w:val="000000"/>
                        <w:sz w:val="16"/>
                        <w:szCs w:val="16"/>
                      </w:rPr>
                    </w:pPr>
                    <w:r w:rsidRPr="00387FD9">
                      <w:rPr>
                        <w:rFonts w:ascii="Arial" w:eastAsia="Arial" w:hAnsi="Arial" w:cs="Arial"/>
                        <w:noProof/>
                        <w:color w:val="000000"/>
                        <w:sz w:val="16"/>
                        <w:szCs w:val="16"/>
                      </w:rPr>
                      <w:t>Internal</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35DC434F" w:rsidR="005123B1" w:rsidRPr="0020417D" w:rsidRDefault="00387FD9" w:rsidP="0020417D">
    <w:pPr>
      <w:pStyle w:val="Footer"/>
      <w:tabs>
        <w:tab w:val="right" w:pos="9638"/>
      </w:tabs>
      <w:rPr>
        <w:b/>
        <w:sz w:val="18"/>
      </w:rPr>
    </w:pPr>
    <w:r>
      <w:rPr>
        <w:noProof/>
      </w:rPr>
      <mc:AlternateContent>
        <mc:Choice Requires="wps">
          <w:drawing>
            <wp:anchor distT="0" distB="0" distL="0" distR="0" simplePos="0" relativeHeight="251658242" behindDoc="0" locked="0" layoutInCell="1" allowOverlap="1" wp14:anchorId="5E0EF481" wp14:editId="235CD276">
              <wp:simplePos x="635" y="635"/>
              <wp:positionH relativeFrom="page">
                <wp:align>center</wp:align>
              </wp:positionH>
              <wp:positionV relativeFrom="page">
                <wp:align>bottom</wp:align>
              </wp:positionV>
              <wp:extent cx="443865" cy="443865"/>
              <wp:effectExtent l="0" t="0" r="3810" b="0"/>
              <wp:wrapNone/>
              <wp:docPr id="139200653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B4A00" w14:textId="53629DDE" w:rsidR="00387FD9" w:rsidRPr="00387FD9" w:rsidRDefault="00387FD9" w:rsidP="00387FD9">
                          <w:pPr>
                            <w:rPr>
                              <w:rFonts w:ascii="Arial" w:eastAsia="Arial" w:hAnsi="Arial" w:cs="Arial"/>
                              <w:noProof/>
                              <w:color w:val="000000"/>
                              <w:sz w:val="16"/>
                              <w:szCs w:val="16"/>
                            </w:rPr>
                          </w:pPr>
                          <w:r w:rsidRPr="00387FD9">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0EF481" id="_x0000_t202" coordsize="21600,21600" o:spt="202" path="m,l,21600r21600,l21600,xe">
              <v:stroke joinstyle="miter"/>
              <v:path gradientshapeok="t" o:connecttype="rect"/>
            </v:shapetype>
            <v:shape id="Textfeld 3" o:spid="_x0000_s1027" type="#_x0000_t202" alt="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04B4A00" w14:textId="53629DDE" w:rsidR="00387FD9" w:rsidRPr="00387FD9" w:rsidRDefault="00387FD9" w:rsidP="00387FD9">
                    <w:pPr>
                      <w:rPr>
                        <w:rFonts w:ascii="Arial" w:eastAsia="Arial" w:hAnsi="Arial" w:cs="Arial"/>
                        <w:noProof/>
                        <w:color w:val="000000"/>
                        <w:sz w:val="16"/>
                        <w:szCs w:val="16"/>
                      </w:rPr>
                    </w:pPr>
                    <w:r w:rsidRPr="00387FD9">
                      <w:rPr>
                        <w:rFonts w:ascii="Arial" w:eastAsia="Arial" w:hAnsi="Arial" w:cs="Arial"/>
                        <w:noProof/>
                        <w:color w:val="000000"/>
                        <w:sz w:val="16"/>
                        <w:szCs w:val="16"/>
                      </w:rPr>
                      <w:t>Internal</w:t>
                    </w:r>
                  </w:p>
                </w:txbxContent>
              </v:textbox>
              <w10:wrap anchorx="page" anchory="page"/>
            </v:shape>
          </w:pict>
        </mc:Fallback>
      </mc:AlternateContent>
    </w:r>
    <w:r w:rsidR="00C00D37">
      <w:tab/>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7650BA">
      <w:rPr>
        <w:b/>
        <w:noProof/>
        <w:sz w:val="18"/>
      </w:rPr>
      <w:t>2</w:t>
    </w:r>
    <w:r w:rsidR="00C00D37"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60265F33" w:rsidR="005123B1" w:rsidRPr="009C6390" w:rsidRDefault="00387FD9" w:rsidP="00BE23FC">
    <w:pPr>
      <w:pStyle w:val="Footer"/>
      <w:jc w:val="right"/>
      <w:rPr>
        <w:b/>
        <w:sz w:val="18"/>
        <w:szCs w:val="18"/>
      </w:rPr>
    </w:pPr>
    <w:r>
      <w:rPr>
        <w:b/>
        <w:noProof/>
        <w:sz w:val="18"/>
        <w:szCs w:val="18"/>
      </w:rPr>
      <mc:AlternateContent>
        <mc:Choice Requires="wps">
          <w:drawing>
            <wp:anchor distT="0" distB="0" distL="0" distR="0" simplePos="0" relativeHeight="251658240" behindDoc="0" locked="0" layoutInCell="1" allowOverlap="1" wp14:anchorId="3B1F130D" wp14:editId="073C4FC6">
              <wp:simplePos x="635" y="635"/>
              <wp:positionH relativeFrom="page">
                <wp:align>center</wp:align>
              </wp:positionH>
              <wp:positionV relativeFrom="page">
                <wp:align>bottom</wp:align>
              </wp:positionV>
              <wp:extent cx="443865" cy="443865"/>
              <wp:effectExtent l="0" t="0" r="3810" b="0"/>
              <wp:wrapNone/>
              <wp:docPr id="1952176179"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AA3E0" w14:textId="49ADA24A" w:rsidR="00387FD9" w:rsidRPr="00387FD9" w:rsidRDefault="00387FD9" w:rsidP="00387FD9">
                          <w:pPr>
                            <w:rPr>
                              <w:rFonts w:ascii="Arial" w:eastAsia="Arial" w:hAnsi="Arial" w:cs="Arial"/>
                              <w:noProof/>
                              <w:color w:val="000000"/>
                              <w:sz w:val="16"/>
                              <w:szCs w:val="16"/>
                            </w:rPr>
                          </w:pPr>
                          <w:r w:rsidRPr="00387FD9">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F130D" id="_x0000_t202" coordsize="21600,21600" o:spt="202" path="m,l,21600r21600,l21600,xe">
              <v:stroke joinstyle="miter"/>
              <v:path gradientshapeok="t" o:connecttype="rect"/>
            </v:shapetype>
            <v:shape id="Textfeld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93AA3E0" w14:textId="49ADA24A" w:rsidR="00387FD9" w:rsidRPr="00387FD9" w:rsidRDefault="00387FD9" w:rsidP="00387FD9">
                    <w:pPr>
                      <w:rPr>
                        <w:rFonts w:ascii="Arial" w:eastAsia="Arial" w:hAnsi="Arial" w:cs="Arial"/>
                        <w:noProof/>
                        <w:color w:val="000000"/>
                        <w:sz w:val="16"/>
                        <w:szCs w:val="16"/>
                      </w:rPr>
                    </w:pPr>
                    <w:r w:rsidRPr="00387FD9">
                      <w:rPr>
                        <w:rFonts w:ascii="Arial" w:eastAsia="Arial" w:hAnsi="Arial" w:cs="Arial"/>
                        <w:noProof/>
                        <w:color w:val="000000"/>
                        <w:sz w:val="16"/>
                        <w:szCs w:val="16"/>
                      </w:rPr>
                      <w:t>Internal</w:t>
                    </w:r>
                  </w:p>
                </w:txbxContent>
              </v:textbox>
              <w10:wrap anchorx="page" anchory="page"/>
            </v:shape>
          </w:pict>
        </mc:Fallback>
      </mc:AlternateContent>
    </w:r>
    <w:r w:rsidR="00C00D37" w:rsidRPr="0053705F">
      <w:rPr>
        <w:b/>
        <w:sz w:val="18"/>
        <w:szCs w:val="18"/>
      </w:rPr>
      <w:fldChar w:fldCharType="begin"/>
    </w:r>
    <w:r w:rsidR="00C00D37" w:rsidRPr="0053705F">
      <w:rPr>
        <w:b/>
        <w:sz w:val="18"/>
        <w:szCs w:val="18"/>
      </w:rPr>
      <w:instrText xml:space="preserve"> PAGE   \* MERGEFORMAT </w:instrText>
    </w:r>
    <w:r w:rsidR="00C00D37" w:rsidRPr="0053705F">
      <w:rPr>
        <w:b/>
        <w:sz w:val="18"/>
        <w:szCs w:val="18"/>
      </w:rPr>
      <w:fldChar w:fldCharType="separate"/>
    </w:r>
    <w:r w:rsidR="007650BA">
      <w:rPr>
        <w:b/>
        <w:noProof/>
        <w:sz w:val="18"/>
        <w:szCs w:val="18"/>
      </w:rPr>
      <w:t>1</w:t>
    </w:r>
    <w:r w:rsidR="00C00D37"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812D" w14:textId="77777777" w:rsidR="001A6D02" w:rsidRDefault="001A6D02" w:rsidP="002E0688">
      <w:pPr>
        <w:spacing w:line="240" w:lineRule="auto"/>
      </w:pPr>
      <w:r>
        <w:separator/>
      </w:r>
    </w:p>
  </w:footnote>
  <w:footnote w:type="continuationSeparator" w:id="0">
    <w:p w14:paraId="7FCCE69F" w14:textId="77777777" w:rsidR="001A6D02" w:rsidRDefault="001A6D02" w:rsidP="002E0688">
      <w:pPr>
        <w:spacing w:line="240" w:lineRule="auto"/>
      </w:pPr>
      <w:r>
        <w:continuationSeparator/>
      </w:r>
    </w:p>
  </w:footnote>
  <w:footnote w:type="continuationNotice" w:id="1">
    <w:p w14:paraId="23AD73D8" w14:textId="77777777" w:rsidR="00B2413D" w:rsidRDefault="00B241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5123B1"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5"/>
    </w:tblGrid>
    <w:tr w:rsidR="00A938C2" w14:paraId="2C3E9BA6" w14:textId="77777777" w:rsidTr="008862FA">
      <w:tc>
        <w:tcPr>
          <w:tcW w:w="2694" w:type="dxa"/>
        </w:tcPr>
        <w:p w14:paraId="2123B35A" w14:textId="670CC166" w:rsidR="00A938C2" w:rsidRPr="00CA56E7" w:rsidRDefault="00A938C2" w:rsidP="00A938C2">
          <w:pPr>
            <w:pStyle w:val="Header"/>
            <w:pBdr>
              <w:bottom w:val="none" w:sz="0" w:space="0" w:color="auto"/>
            </w:pBdr>
            <w:rPr>
              <w:b w:val="0"/>
              <w:bCs/>
              <w:sz w:val="20"/>
              <w:lang w:val="en-US"/>
            </w:rPr>
          </w:pPr>
          <w:r w:rsidRPr="00CA56E7">
            <w:rPr>
              <w:b w:val="0"/>
              <w:bCs/>
              <w:sz w:val="20"/>
              <w:lang w:val="en-US"/>
            </w:rPr>
            <w:t>Submitted by the expert</w:t>
          </w:r>
          <w:r w:rsidR="00BF1EE7">
            <w:rPr>
              <w:b w:val="0"/>
              <w:bCs/>
              <w:sz w:val="20"/>
              <w:lang w:val="en-US"/>
            </w:rPr>
            <w:t>s</w:t>
          </w:r>
          <w:r w:rsidRPr="00CA56E7">
            <w:rPr>
              <w:b w:val="0"/>
              <w:bCs/>
              <w:sz w:val="20"/>
              <w:lang w:val="en-US"/>
            </w:rPr>
            <w:t xml:space="preserve"> from </w:t>
          </w:r>
          <w:r w:rsidR="00BF1EE7">
            <w:rPr>
              <w:b w:val="0"/>
              <w:bCs/>
              <w:sz w:val="20"/>
              <w:lang w:val="en-US"/>
            </w:rPr>
            <w:t>CLEPA and OICA</w:t>
          </w:r>
        </w:p>
      </w:tc>
      <w:tc>
        <w:tcPr>
          <w:tcW w:w="6935" w:type="dxa"/>
        </w:tcPr>
        <w:p w14:paraId="71A451D8" w14:textId="74A32B2F" w:rsidR="00A938C2" w:rsidRDefault="00A938C2" w:rsidP="000624A1">
          <w:pPr>
            <w:pStyle w:val="Header"/>
            <w:pBdr>
              <w:bottom w:val="none" w:sz="0" w:space="0" w:color="auto"/>
            </w:pBdr>
            <w:ind w:left="3154"/>
            <w:jc w:val="right"/>
            <w:rPr>
              <w:b w:val="0"/>
              <w:bCs/>
              <w:sz w:val="20"/>
              <w:lang w:val="en-US"/>
            </w:rPr>
          </w:pPr>
          <w:r w:rsidRPr="00CA56E7">
            <w:rPr>
              <w:b w:val="0"/>
              <w:bCs/>
              <w:sz w:val="20"/>
              <w:u w:val="single"/>
              <w:lang w:val="en-US"/>
            </w:rPr>
            <w:t>Informal document</w:t>
          </w:r>
          <w:r w:rsidRPr="00CA56E7">
            <w:rPr>
              <w:b w:val="0"/>
              <w:bCs/>
              <w:sz w:val="20"/>
              <w:lang w:val="en-US"/>
            </w:rPr>
            <w:t xml:space="preserve"> </w:t>
          </w:r>
          <w:r w:rsidR="00B10286">
            <w:rPr>
              <w:b w:val="0"/>
              <w:bCs/>
              <w:sz w:val="20"/>
              <w:lang w:val="en-US"/>
            </w:rPr>
            <w:t xml:space="preserve">  </w:t>
          </w:r>
          <w:r w:rsidRPr="00CA56E7">
            <w:rPr>
              <w:sz w:val="20"/>
              <w:lang w:val="en-US"/>
            </w:rPr>
            <w:t>GRVA-</w:t>
          </w:r>
          <w:r w:rsidR="0075604B">
            <w:rPr>
              <w:sz w:val="20"/>
              <w:lang w:val="en-US"/>
            </w:rPr>
            <w:t>20</w:t>
          </w:r>
          <w:r w:rsidR="00BF1EE7">
            <w:rPr>
              <w:sz w:val="20"/>
              <w:lang w:val="en-US"/>
            </w:rPr>
            <w:t>-</w:t>
          </w:r>
          <w:r w:rsidR="00E70FB2">
            <w:rPr>
              <w:sz w:val="20"/>
              <w:lang w:val="en-US"/>
            </w:rPr>
            <w:t>06</w:t>
          </w:r>
          <w:r w:rsidR="008A08B0">
            <w:rPr>
              <w:sz w:val="20"/>
              <w:lang w:val="en-US"/>
            </w:rPr>
            <w:t>/</w:t>
          </w:r>
          <w:r w:rsidR="008A08B0">
            <w:rPr>
              <w:i/>
              <w:iCs/>
              <w:color w:val="00B050"/>
              <w:sz w:val="20"/>
              <w:lang w:val="en-US"/>
            </w:rPr>
            <w:t>R</w:t>
          </w:r>
          <w:r w:rsidR="00817804" w:rsidRPr="00433AE0">
            <w:rPr>
              <w:i/>
              <w:iCs/>
              <w:color w:val="00B050"/>
              <w:sz w:val="20"/>
              <w:lang w:val="en-US"/>
            </w:rPr>
            <w:t>ev</w:t>
          </w:r>
          <w:r w:rsidR="008A08B0">
            <w:rPr>
              <w:i/>
              <w:iCs/>
              <w:color w:val="00B050"/>
              <w:sz w:val="20"/>
              <w:lang w:val="en-US"/>
            </w:rPr>
            <w:t>.</w:t>
          </w:r>
          <w:r w:rsidR="00817804" w:rsidRPr="00433AE0">
            <w:rPr>
              <w:i/>
              <w:iCs/>
              <w:color w:val="00B050"/>
              <w:sz w:val="20"/>
              <w:lang w:val="en-US"/>
            </w:rPr>
            <w:t>1</w:t>
          </w:r>
          <w:r w:rsidRPr="00CA56E7">
            <w:rPr>
              <w:b w:val="0"/>
              <w:bCs/>
              <w:sz w:val="20"/>
              <w:lang w:val="en-US"/>
            </w:rPr>
            <w:t xml:space="preserve"> </w:t>
          </w:r>
          <w:r w:rsidRPr="00CA56E7">
            <w:rPr>
              <w:b w:val="0"/>
              <w:bCs/>
              <w:sz w:val="20"/>
              <w:lang w:val="en-US"/>
            </w:rPr>
            <w:br/>
          </w:r>
          <w:r w:rsidR="004F054A">
            <w:rPr>
              <w:b w:val="0"/>
              <w:bCs/>
              <w:sz w:val="20"/>
              <w:lang w:val="en-US"/>
            </w:rPr>
            <w:t>20</w:t>
          </w:r>
          <w:r w:rsidR="009A1D62" w:rsidRPr="00E70FB2">
            <w:rPr>
              <w:b w:val="0"/>
              <w:bCs/>
              <w:sz w:val="20"/>
              <w:lang w:val="en-US"/>
            </w:rPr>
            <w:t>th</w:t>
          </w:r>
          <w:r w:rsidR="009A1D62">
            <w:rPr>
              <w:b w:val="0"/>
              <w:bCs/>
              <w:sz w:val="20"/>
              <w:lang w:val="en-US"/>
            </w:rPr>
            <w:t xml:space="preserve"> GRVA, </w:t>
          </w:r>
          <w:r w:rsidR="00D567AF">
            <w:rPr>
              <w:b w:val="0"/>
              <w:bCs/>
              <w:sz w:val="20"/>
              <w:lang w:val="en-US"/>
            </w:rPr>
            <w:t>23-</w:t>
          </w:r>
          <w:r w:rsidR="009A1D62">
            <w:rPr>
              <w:b w:val="0"/>
              <w:bCs/>
              <w:sz w:val="20"/>
              <w:lang w:val="en-US"/>
            </w:rPr>
            <w:t>2</w:t>
          </w:r>
          <w:r w:rsidR="00EB1310">
            <w:rPr>
              <w:b w:val="0"/>
              <w:bCs/>
              <w:sz w:val="20"/>
              <w:lang w:val="en-US"/>
            </w:rPr>
            <w:t>7</w:t>
          </w:r>
          <w:r w:rsidR="009A1D62">
            <w:rPr>
              <w:b w:val="0"/>
              <w:bCs/>
              <w:sz w:val="20"/>
              <w:lang w:val="en-US"/>
            </w:rPr>
            <w:t xml:space="preserve"> </w:t>
          </w:r>
          <w:r w:rsidR="004F054A">
            <w:rPr>
              <w:b w:val="0"/>
              <w:bCs/>
              <w:sz w:val="20"/>
              <w:lang w:val="en-US"/>
            </w:rPr>
            <w:t>September</w:t>
          </w:r>
          <w:r w:rsidR="009A1D62">
            <w:rPr>
              <w:b w:val="0"/>
              <w:bCs/>
              <w:sz w:val="20"/>
              <w:lang w:val="en-US"/>
            </w:rPr>
            <w:t xml:space="preserve"> 2024</w:t>
          </w:r>
        </w:p>
        <w:p w14:paraId="47E4B69E" w14:textId="6159D037" w:rsidR="00A938C2" w:rsidRPr="009C2B0E" w:rsidRDefault="00A938C2" w:rsidP="000624A1">
          <w:pPr>
            <w:ind w:left="3154"/>
            <w:jc w:val="right"/>
            <w:rPr>
              <w:b/>
              <w:bCs/>
              <w:lang w:val="en-IN"/>
            </w:rPr>
          </w:pPr>
          <w:r w:rsidRPr="009C2B0E">
            <w:rPr>
              <w:b/>
              <w:bCs/>
              <w:lang w:val="en-IN"/>
            </w:rPr>
            <w:t xml:space="preserve">Provisional agenda item </w:t>
          </w:r>
          <w:r w:rsidR="001C3866" w:rsidRPr="009C2B0E">
            <w:rPr>
              <w:b/>
              <w:bCs/>
              <w:lang w:val="en-IN"/>
            </w:rPr>
            <w:t>8</w:t>
          </w:r>
          <w:r w:rsidR="00526A6A" w:rsidRPr="009C2B0E">
            <w:rPr>
              <w:b/>
              <w:bCs/>
              <w:lang w:val="en-IN"/>
            </w:rPr>
            <w:t>(c)</w:t>
          </w:r>
        </w:p>
      </w:tc>
    </w:tr>
  </w:tbl>
  <w:p w14:paraId="5D422E78" w14:textId="77C023A0"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9"/>
    <w:multiLevelType w:val="hybridMultilevel"/>
    <w:tmpl w:val="ED36ED2E"/>
    <w:lvl w:ilvl="0" w:tplc="FFFFFFFF">
      <w:start w:val="3"/>
      <w:numFmt w:val="upperRoman"/>
      <w:lvlText w:val="%1."/>
      <w:lvlJc w:val="left"/>
      <w:pPr>
        <w:ind w:left="939" w:hanging="720"/>
      </w:pPr>
      <w:rPr>
        <w:rFonts w:hint="default"/>
      </w:rPr>
    </w:lvl>
    <w:lvl w:ilvl="1" w:tplc="0407000F">
      <w:start w:val="1"/>
      <w:numFmt w:val="decimal"/>
      <w:lvlText w:val="%2."/>
      <w:lvlJc w:val="left"/>
      <w:pPr>
        <w:ind w:left="1299" w:hanging="360"/>
      </w:pPr>
      <w:rPr>
        <w:rFonts w:hint="default"/>
      </w:r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8A124D"/>
    <w:multiLevelType w:val="hybridMultilevel"/>
    <w:tmpl w:val="D4A676B8"/>
    <w:lvl w:ilvl="0" w:tplc="582C2744">
      <w:start w:val="1"/>
      <w:numFmt w:val="upperRoman"/>
      <w:lvlText w:val="%1."/>
      <w:lvlJc w:val="left"/>
      <w:pPr>
        <w:ind w:left="1390" w:hanging="720"/>
      </w:pPr>
      <w:rPr>
        <w:rFonts w:hint="default"/>
      </w:rPr>
    </w:lvl>
    <w:lvl w:ilvl="1" w:tplc="04070019" w:tentative="1">
      <w:start w:val="1"/>
      <w:numFmt w:val="lowerLetter"/>
      <w:lvlText w:val="%2."/>
      <w:lvlJc w:val="left"/>
      <w:pPr>
        <w:ind w:left="1750" w:hanging="360"/>
      </w:pPr>
    </w:lvl>
    <w:lvl w:ilvl="2" w:tplc="0407001B" w:tentative="1">
      <w:start w:val="1"/>
      <w:numFmt w:val="lowerRoman"/>
      <w:lvlText w:val="%3."/>
      <w:lvlJc w:val="right"/>
      <w:pPr>
        <w:ind w:left="2470" w:hanging="180"/>
      </w:pPr>
    </w:lvl>
    <w:lvl w:ilvl="3" w:tplc="0407000F" w:tentative="1">
      <w:start w:val="1"/>
      <w:numFmt w:val="decimal"/>
      <w:lvlText w:val="%4."/>
      <w:lvlJc w:val="left"/>
      <w:pPr>
        <w:ind w:left="3190" w:hanging="360"/>
      </w:pPr>
    </w:lvl>
    <w:lvl w:ilvl="4" w:tplc="04070019" w:tentative="1">
      <w:start w:val="1"/>
      <w:numFmt w:val="lowerLetter"/>
      <w:lvlText w:val="%5."/>
      <w:lvlJc w:val="left"/>
      <w:pPr>
        <w:ind w:left="3910" w:hanging="360"/>
      </w:pPr>
    </w:lvl>
    <w:lvl w:ilvl="5" w:tplc="0407001B" w:tentative="1">
      <w:start w:val="1"/>
      <w:numFmt w:val="lowerRoman"/>
      <w:lvlText w:val="%6."/>
      <w:lvlJc w:val="right"/>
      <w:pPr>
        <w:ind w:left="4630" w:hanging="180"/>
      </w:pPr>
    </w:lvl>
    <w:lvl w:ilvl="6" w:tplc="0407000F" w:tentative="1">
      <w:start w:val="1"/>
      <w:numFmt w:val="decimal"/>
      <w:lvlText w:val="%7."/>
      <w:lvlJc w:val="left"/>
      <w:pPr>
        <w:ind w:left="5350" w:hanging="360"/>
      </w:pPr>
    </w:lvl>
    <w:lvl w:ilvl="7" w:tplc="04070019" w:tentative="1">
      <w:start w:val="1"/>
      <w:numFmt w:val="lowerLetter"/>
      <w:lvlText w:val="%8."/>
      <w:lvlJc w:val="left"/>
      <w:pPr>
        <w:ind w:left="6070" w:hanging="360"/>
      </w:pPr>
    </w:lvl>
    <w:lvl w:ilvl="8" w:tplc="0407001B" w:tentative="1">
      <w:start w:val="1"/>
      <w:numFmt w:val="lowerRoman"/>
      <w:lvlText w:val="%9."/>
      <w:lvlJc w:val="right"/>
      <w:pPr>
        <w:ind w:left="6790" w:hanging="180"/>
      </w:pPr>
    </w:lvl>
  </w:abstractNum>
  <w:abstractNum w:abstractNumId="4"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0B02C8"/>
    <w:multiLevelType w:val="hybridMultilevel"/>
    <w:tmpl w:val="B30C853C"/>
    <w:lvl w:ilvl="0" w:tplc="00121B38">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6"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7"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561B6E"/>
    <w:multiLevelType w:val="hybridMultilevel"/>
    <w:tmpl w:val="37D0AB0A"/>
    <w:lvl w:ilvl="0" w:tplc="60AE78B4">
      <w:start w:val="3"/>
      <w:numFmt w:val="bullet"/>
      <w:lvlText w:val=""/>
      <w:lvlJc w:val="left"/>
      <w:pPr>
        <w:ind w:left="1494" w:hanging="360"/>
      </w:pPr>
      <w:rPr>
        <w:rFonts w:ascii="Wingdings" w:eastAsiaTheme="minorHAnsi" w:hAnsi="Wingdings" w:cstheme="majorBidi"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9"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10" w15:restartNumberingAfterBreak="0">
    <w:nsid w:val="5E69220D"/>
    <w:multiLevelType w:val="hybridMultilevel"/>
    <w:tmpl w:val="F9B65F70"/>
    <w:lvl w:ilvl="0" w:tplc="5F628B62">
      <w:start w:val="3"/>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1"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3"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018671">
    <w:abstractNumId w:val="1"/>
  </w:num>
  <w:num w:numId="2" w16cid:durableId="527793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042829">
    <w:abstractNumId w:val="4"/>
  </w:num>
  <w:num w:numId="4" w16cid:durableId="1526796092">
    <w:abstractNumId w:val="2"/>
  </w:num>
  <w:num w:numId="5" w16cid:durableId="2081055908">
    <w:abstractNumId w:val="4"/>
    <w:lvlOverride w:ilvl="0">
      <w:startOverride w:val="1"/>
    </w:lvlOverride>
  </w:num>
  <w:num w:numId="6" w16cid:durableId="2104763443">
    <w:abstractNumId w:val="6"/>
  </w:num>
  <w:num w:numId="7" w16cid:durableId="1655143036">
    <w:abstractNumId w:val="9"/>
  </w:num>
  <w:num w:numId="8" w16cid:durableId="429469977">
    <w:abstractNumId w:val="13"/>
  </w:num>
  <w:num w:numId="9" w16cid:durableId="1690794252">
    <w:abstractNumId w:val="7"/>
  </w:num>
  <w:num w:numId="10" w16cid:durableId="1777360341">
    <w:abstractNumId w:val="11"/>
  </w:num>
  <w:num w:numId="11" w16cid:durableId="1464805786">
    <w:abstractNumId w:val="0"/>
  </w:num>
  <w:num w:numId="12" w16cid:durableId="1325402545">
    <w:abstractNumId w:val="12"/>
  </w:num>
  <w:num w:numId="13" w16cid:durableId="19288203">
    <w:abstractNumId w:val="8"/>
  </w:num>
  <w:num w:numId="14" w16cid:durableId="1070351258">
    <w:abstractNumId w:val="3"/>
  </w:num>
  <w:num w:numId="15" w16cid:durableId="1824153918">
    <w:abstractNumId w:val="10"/>
  </w:num>
  <w:num w:numId="16" w16cid:durableId="1057781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03C82"/>
    <w:rsid w:val="00004968"/>
    <w:rsid w:val="0001101B"/>
    <w:rsid w:val="0001238D"/>
    <w:rsid w:val="000240C3"/>
    <w:rsid w:val="0003715D"/>
    <w:rsid w:val="000403ED"/>
    <w:rsid w:val="000428DD"/>
    <w:rsid w:val="00045189"/>
    <w:rsid w:val="000624A1"/>
    <w:rsid w:val="000720DF"/>
    <w:rsid w:val="00072632"/>
    <w:rsid w:val="00082AC4"/>
    <w:rsid w:val="0008362F"/>
    <w:rsid w:val="00090E39"/>
    <w:rsid w:val="000951BC"/>
    <w:rsid w:val="000A099D"/>
    <w:rsid w:val="000A4790"/>
    <w:rsid w:val="000B360B"/>
    <w:rsid w:val="000C7F48"/>
    <w:rsid w:val="000D689C"/>
    <w:rsid w:val="000E106A"/>
    <w:rsid w:val="000E7312"/>
    <w:rsid w:val="000F0FF4"/>
    <w:rsid w:val="00113B9B"/>
    <w:rsid w:val="00131537"/>
    <w:rsid w:val="00140C82"/>
    <w:rsid w:val="00140D94"/>
    <w:rsid w:val="001561D7"/>
    <w:rsid w:val="0016231C"/>
    <w:rsid w:val="00166998"/>
    <w:rsid w:val="00166C36"/>
    <w:rsid w:val="001746F7"/>
    <w:rsid w:val="00186DD0"/>
    <w:rsid w:val="00190D60"/>
    <w:rsid w:val="001A4B0A"/>
    <w:rsid w:val="001A6D02"/>
    <w:rsid w:val="001B5615"/>
    <w:rsid w:val="001B5AB8"/>
    <w:rsid w:val="001C2CB4"/>
    <w:rsid w:val="001C3866"/>
    <w:rsid w:val="001D0C31"/>
    <w:rsid w:val="001D57E1"/>
    <w:rsid w:val="001D7B0B"/>
    <w:rsid w:val="001E7602"/>
    <w:rsid w:val="001E762B"/>
    <w:rsid w:val="001F17C8"/>
    <w:rsid w:val="001F1901"/>
    <w:rsid w:val="001F6B5A"/>
    <w:rsid w:val="00201C89"/>
    <w:rsid w:val="002022F0"/>
    <w:rsid w:val="0020251A"/>
    <w:rsid w:val="00214605"/>
    <w:rsid w:val="00247144"/>
    <w:rsid w:val="0025562C"/>
    <w:rsid w:val="00273BDC"/>
    <w:rsid w:val="00273D15"/>
    <w:rsid w:val="00293A0C"/>
    <w:rsid w:val="002A0013"/>
    <w:rsid w:val="002A081E"/>
    <w:rsid w:val="002A08EA"/>
    <w:rsid w:val="002A3989"/>
    <w:rsid w:val="002C76D5"/>
    <w:rsid w:val="002D11DA"/>
    <w:rsid w:val="002D436F"/>
    <w:rsid w:val="002E0688"/>
    <w:rsid w:val="002E44C5"/>
    <w:rsid w:val="002E4A64"/>
    <w:rsid w:val="00305209"/>
    <w:rsid w:val="003402EF"/>
    <w:rsid w:val="00350EA2"/>
    <w:rsid w:val="003642DF"/>
    <w:rsid w:val="003642E4"/>
    <w:rsid w:val="0038299E"/>
    <w:rsid w:val="00385B3A"/>
    <w:rsid w:val="00387FD9"/>
    <w:rsid w:val="00394D26"/>
    <w:rsid w:val="00396853"/>
    <w:rsid w:val="003B2A5F"/>
    <w:rsid w:val="003B73C4"/>
    <w:rsid w:val="00415583"/>
    <w:rsid w:val="0042772E"/>
    <w:rsid w:val="00433AE0"/>
    <w:rsid w:val="004344AC"/>
    <w:rsid w:val="00435ECF"/>
    <w:rsid w:val="004615E4"/>
    <w:rsid w:val="00463180"/>
    <w:rsid w:val="00482B9F"/>
    <w:rsid w:val="00483935"/>
    <w:rsid w:val="00497C49"/>
    <w:rsid w:val="004A31F4"/>
    <w:rsid w:val="004A5FC9"/>
    <w:rsid w:val="004C1DD5"/>
    <w:rsid w:val="004C2164"/>
    <w:rsid w:val="004C2D83"/>
    <w:rsid w:val="004D5A51"/>
    <w:rsid w:val="004E4ACF"/>
    <w:rsid w:val="004E6941"/>
    <w:rsid w:val="004F054A"/>
    <w:rsid w:val="0050618A"/>
    <w:rsid w:val="005123B1"/>
    <w:rsid w:val="00526A6A"/>
    <w:rsid w:val="00534206"/>
    <w:rsid w:val="00536B80"/>
    <w:rsid w:val="00536F27"/>
    <w:rsid w:val="00542759"/>
    <w:rsid w:val="005438B8"/>
    <w:rsid w:val="005510F1"/>
    <w:rsid w:val="00553518"/>
    <w:rsid w:val="005575E5"/>
    <w:rsid w:val="005710C6"/>
    <w:rsid w:val="005753DF"/>
    <w:rsid w:val="00577AE1"/>
    <w:rsid w:val="00582985"/>
    <w:rsid w:val="005858B9"/>
    <w:rsid w:val="00592248"/>
    <w:rsid w:val="005B07EA"/>
    <w:rsid w:val="005B45BA"/>
    <w:rsid w:val="005C06EF"/>
    <w:rsid w:val="005C54FE"/>
    <w:rsid w:val="005D19D6"/>
    <w:rsid w:val="005D2F9A"/>
    <w:rsid w:val="005D5037"/>
    <w:rsid w:val="005D7430"/>
    <w:rsid w:val="005F1786"/>
    <w:rsid w:val="005F7AE3"/>
    <w:rsid w:val="00601258"/>
    <w:rsid w:val="00605EE2"/>
    <w:rsid w:val="006169B0"/>
    <w:rsid w:val="00620686"/>
    <w:rsid w:val="00627B27"/>
    <w:rsid w:val="00627F4E"/>
    <w:rsid w:val="00656E07"/>
    <w:rsid w:val="006636FB"/>
    <w:rsid w:val="00675A0B"/>
    <w:rsid w:val="006C078F"/>
    <w:rsid w:val="006C0A02"/>
    <w:rsid w:val="006C47E3"/>
    <w:rsid w:val="006D2A39"/>
    <w:rsid w:val="006D6679"/>
    <w:rsid w:val="006F6CB9"/>
    <w:rsid w:val="00733F18"/>
    <w:rsid w:val="0075604B"/>
    <w:rsid w:val="00757F90"/>
    <w:rsid w:val="00763B37"/>
    <w:rsid w:val="007650BA"/>
    <w:rsid w:val="00773D19"/>
    <w:rsid w:val="00773FAA"/>
    <w:rsid w:val="007A418B"/>
    <w:rsid w:val="007B0094"/>
    <w:rsid w:val="007B169D"/>
    <w:rsid w:val="007C4A8D"/>
    <w:rsid w:val="007D03E0"/>
    <w:rsid w:val="007D4B23"/>
    <w:rsid w:val="007E492B"/>
    <w:rsid w:val="007E65B0"/>
    <w:rsid w:val="0080168F"/>
    <w:rsid w:val="00817804"/>
    <w:rsid w:val="0084044E"/>
    <w:rsid w:val="00856DEA"/>
    <w:rsid w:val="00865E6C"/>
    <w:rsid w:val="00875B8C"/>
    <w:rsid w:val="008778A7"/>
    <w:rsid w:val="00880ED0"/>
    <w:rsid w:val="00882DD5"/>
    <w:rsid w:val="008862FA"/>
    <w:rsid w:val="008A08B0"/>
    <w:rsid w:val="008A0F14"/>
    <w:rsid w:val="008B64D4"/>
    <w:rsid w:val="008C0D2B"/>
    <w:rsid w:val="008D39E1"/>
    <w:rsid w:val="008D7660"/>
    <w:rsid w:val="008E1E7F"/>
    <w:rsid w:val="008F23C8"/>
    <w:rsid w:val="008F4227"/>
    <w:rsid w:val="008F6F78"/>
    <w:rsid w:val="00905810"/>
    <w:rsid w:val="009064DB"/>
    <w:rsid w:val="009278C1"/>
    <w:rsid w:val="00937AA7"/>
    <w:rsid w:val="00940693"/>
    <w:rsid w:val="00941972"/>
    <w:rsid w:val="00942652"/>
    <w:rsid w:val="00953F67"/>
    <w:rsid w:val="00961DC3"/>
    <w:rsid w:val="00971B24"/>
    <w:rsid w:val="00990151"/>
    <w:rsid w:val="0099793C"/>
    <w:rsid w:val="009A1D62"/>
    <w:rsid w:val="009B5741"/>
    <w:rsid w:val="009C2B0E"/>
    <w:rsid w:val="009D079B"/>
    <w:rsid w:val="009D38B3"/>
    <w:rsid w:val="009E12D1"/>
    <w:rsid w:val="009E31B6"/>
    <w:rsid w:val="009F4B43"/>
    <w:rsid w:val="00A11D0E"/>
    <w:rsid w:val="00A25E9E"/>
    <w:rsid w:val="00A46AC2"/>
    <w:rsid w:val="00A51BE0"/>
    <w:rsid w:val="00A62A30"/>
    <w:rsid w:val="00A7727E"/>
    <w:rsid w:val="00A802B1"/>
    <w:rsid w:val="00A80F2C"/>
    <w:rsid w:val="00A81880"/>
    <w:rsid w:val="00A87E19"/>
    <w:rsid w:val="00A938C2"/>
    <w:rsid w:val="00AA3F52"/>
    <w:rsid w:val="00AB0264"/>
    <w:rsid w:val="00AB3D9D"/>
    <w:rsid w:val="00AC03E6"/>
    <w:rsid w:val="00AC0CC0"/>
    <w:rsid w:val="00AC1567"/>
    <w:rsid w:val="00AD0C08"/>
    <w:rsid w:val="00AD54FC"/>
    <w:rsid w:val="00AD71F1"/>
    <w:rsid w:val="00AE4464"/>
    <w:rsid w:val="00AF1FA9"/>
    <w:rsid w:val="00AF2808"/>
    <w:rsid w:val="00B10286"/>
    <w:rsid w:val="00B10A63"/>
    <w:rsid w:val="00B132EA"/>
    <w:rsid w:val="00B2413D"/>
    <w:rsid w:val="00B725B6"/>
    <w:rsid w:val="00B7307C"/>
    <w:rsid w:val="00B848BB"/>
    <w:rsid w:val="00B866A6"/>
    <w:rsid w:val="00B874A4"/>
    <w:rsid w:val="00B9186F"/>
    <w:rsid w:val="00B9647A"/>
    <w:rsid w:val="00BC2CE4"/>
    <w:rsid w:val="00BD130F"/>
    <w:rsid w:val="00BD538A"/>
    <w:rsid w:val="00BE3529"/>
    <w:rsid w:val="00BE5187"/>
    <w:rsid w:val="00BE6F0C"/>
    <w:rsid w:val="00BF1EE7"/>
    <w:rsid w:val="00BF6108"/>
    <w:rsid w:val="00BF799B"/>
    <w:rsid w:val="00C00D37"/>
    <w:rsid w:val="00C00E2E"/>
    <w:rsid w:val="00C062B4"/>
    <w:rsid w:val="00C35C89"/>
    <w:rsid w:val="00C43FD1"/>
    <w:rsid w:val="00C61F86"/>
    <w:rsid w:val="00C63A44"/>
    <w:rsid w:val="00C81BA1"/>
    <w:rsid w:val="00C86BDE"/>
    <w:rsid w:val="00C90A2C"/>
    <w:rsid w:val="00CA4FD3"/>
    <w:rsid w:val="00CA5BC7"/>
    <w:rsid w:val="00CD5073"/>
    <w:rsid w:val="00CD67F8"/>
    <w:rsid w:val="00D151A1"/>
    <w:rsid w:val="00D32485"/>
    <w:rsid w:val="00D32DE9"/>
    <w:rsid w:val="00D3779A"/>
    <w:rsid w:val="00D456E8"/>
    <w:rsid w:val="00D567AF"/>
    <w:rsid w:val="00D6448C"/>
    <w:rsid w:val="00D65A05"/>
    <w:rsid w:val="00D74A63"/>
    <w:rsid w:val="00D85221"/>
    <w:rsid w:val="00D85C33"/>
    <w:rsid w:val="00D94670"/>
    <w:rsid w:val="00DA581C"/>
    <w:rsid w:val="00DB6B12"/>
    <w:rsid w:val="00DC1188"/>
    <w:rsid w:val="00DC1B13"/>
    <w:rsid w:val="00DC48B8"/>
    <w:rsid w:val="00DC64D9"/>
    <w:rsid w:val="00E14806"/>
    <w:rsid w:val="00E2223F"/>
    <w:rsid w:val="00E4213B"/>
    <w:rsid w:val="00E56C82"/>
    <w:rsid w:val="00E65604"/>
    <w:rsid w:val="00E70FB2"/>
    <w:rsid w:val="00E93A4E"/>
    <w:rsid w:val="00EA1F5F"/>
    <w:rsid w:val="00EB1310"/>
    <w:rsid w:val="00EB7B29"/>
    <w:rsid w:val="00EB7B72"/>
    <w:rsid w:val="00EE0380"/>
    <w:rsid w:val="00EF2293"/>
    <w:rsid w:val="00EF3682"/>
    <w:rsid w:val="00EF7278"/>
    <w:rsid w:val="00F03AF6"/>
    <w:rsid w:val="00F056AA"/>
    <w:rsid w:val="00F16D74"/>
    <w:rsid w:val="00F317F8"/>
    <w:rsid w:val="00F41523"/>
    <w:rsid w:val="00F52D95"/>
    <w:rsid w:val="00F563D6"/>
    <w:rsid w:val="00F61E5B"/>
    <w:rsid w:val="00F62131"/>
    <w:rsid w:val="00F62DE3"/>
    <w:rsid w:val="00F65ECE"/>
    <w:rsid w:val="00F6711D"/>
    <w:rsid w:val="00F8460F"/>
    <w:rsid w:val="00F8721B"/>
    <w:rsid w:val="00F87A30"/>
    <w:rsid w:val="00F91F2B"/>
    <w:rsid w:val="00FA6B66"/>
    <w:rsid w:val="00FB75C0"/>
    <w:rsid w:val="00FC7E3B"/>
    <w:rsid w:val="00FD704A"/>
    <w:rsid w:val="00FE05FA"/>
    <w:rsid w:val="00FE4E2E"/>
    <w:rsid w:val="00FE6704"/>
    <w:rsid w:val="00FE79D8"/>
    <w:rsid w:val="00FF7D7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character" w:styleId="CommentReference">
    <w:name w:val="annotation reference"/>
    <w:basedOn w:val="DefaultParagraphFont"/>
    <w:uiPriority w:val="99"/>
    <w:semiHidden/>
    <w:unhideWhenUsed/>
    <w:rsid w:val="00FB75C0"/>
    <w:rPr>
      <w:sz w:val="16"/>
      <w:szCs w:val="16"/>
    </w:rPr>
  </w:style>
  <w:style w:type="paragraph" w:styleId="CommentText">
    <w:name w:val="annotation text"/>
    <w:basedOn w:val="Normal"/>
    <w:link w:val="CommentTextChar"/>
    <w:uiPriority w:val="99"/>
    <w:semiHidden/>
    <w:unhideWhenUsed/>
    <w:rsid w:val="00FB75C0"/>
    <w:pPr>
      <w:spacing w:line="240" w:lineRule="auto"/>
    </w:pPr>
  </w:style>
  <w:style w:type="character" w:customStyle="1" w:styleId="CommentTextChar">
    <w:name w:val="Comment Text Char"/>
    <w:basedOn w:val="DefaultParagraphFont"/>
    <w:link w:val="CommentText"/>
    <w:uiPriority w:val="99"/>
    <w:semiHidden/>
    <w:rsid w:val="00FB75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75C0"/>
    <w:rPr>
      <w:b/>
      <w:bCs/>
    </w:rPr>
  </w:style>
  <w:style w:type="character" w:customStyle="1" w:styleId="CommentSubjectChar">
    <w:name w:val="Comment Subject Char"/>
    <w:basedOn w:val="CommentTextChar"/>
    <w:link w:val="CommentSubject"/>
    <w:uiPriority w:val="99"/>
    <w:semiHidden/>
    <w:rsid w:val="00FB75C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9554">
      <w:bodyDiv w:val="1"/>
      <w:marLeft w:val="0"/>
      <w:marRight w:val="0"/>
      <w:marTop w:val="0"/>
      <w:marBottom w:val="0"/>
      <w:divBdr>
        <w:top w:val="none" w:sz="0" w:space="0" w:color="auto"/>
        <w:left w:val="none" w:sz="0" w:space="0" w:color="auto"/>
        <w:bottom w:val="none" w:sz="0" w:space="0" w:color="auto"/>
        <w:right w:val="none" w:sz="0" w:space="0" w:color="auto"/>
      </w:divBdr>
    </w:div>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99147339">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67391617">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1800605837">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4EB4EF7-12CF-4564-9184-A396F3264B9C}"/>
</file>

<file path=customXml/itemProps2.xml><?xml version="1.0" encoding="utf-8"?>
<ds:datastoreItem xmlns:ds="http://schemas.openxmlformats.org/officeDocument/2006/customXml" ds:itemID="{9DA8F73E-D6DE-454B-8574-D7BD87FC2FC8}">
  <ds:schemaRefs>
    <ds:schemaRef ds:uri="http://schemas.microsoft.com/sharepoint/v3/contenttype/forms"/>
  </ds:schemaRefs>
</ds:datastoreItem>
</file>

<file path=customXml/itemProps3.xml><?xml version="1.0" encoding="utf-8"?>
<ds:datastoreItem xmlns:ds="http://schemas.openxmlformats.org/officeDocument/2006/customXml" ds:itemID="{AAB2071B-91B4-453B-8576-CB3C254C067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2882be50-2012-4d88-ac86-544124e120c8}" enabled="0" method="" siteId="{2882be50-2012-4d88-ac86-544124e120c8}" removed="1"/>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5702</Characters>
  <Application>Microsoft Office Word</Application>
  <DocSecurity>0</DocSecurity>
  <Lines>121</Lines>
  <Paragraphs>48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BOSCH Group</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Francois Guichard</cp:lastModifiedBy>
  <cp:revision>3</cp:revision>
  <cp:lastPrinted>2023-08-08T11:25:00Z</cp:lastPrinted>
  <dcterms:created xsi:type="dcterms:W3CDTF">2024-09-25T13:22:00Z</dcterms:created>
  <dcterms:modified xsi:type="dcterms:W3CDTF">2024-09-26T11:37:00Z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4,3341dcaa,1e7b3720,745bd833,97e7ece,52f85585</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y fmtid="{D5CDD505-2E9C-101B-9397-08002B2CF9AE}" pid="5" name="ContentTypeId">
    <vt:lpwstr>0x0101003B8422D08C252547BB1CFA7F78E2CB83</vt:lpwstr>
  </property>
  <property fmtid="{D5CDD505-2E9C-101B-9397-08002B2CF9AE}" pid="6" name="Office_x0020_of_x0020_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 of Origin">
    <vt:lpwstr/>
  </property>
</Properties>
</file>