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1D9F" w14:textId="23A8460F" w:rsidR="008814B7" w:rsidRPr="005E2D53" w:rsidRDefault="005E2D53" w:rsidP="005E2D53">
      <w:pPr>
        <w:pStyle w:val="SingleTxtG"/>
        <w:widowControl w:val="0"/>
        <w:spacing w:after="80"/>
        <w:ind w:left="0"/>
        <w:rPr>
          <w:b/>
          <w:bCs/>
          <w:sz w:val="28"/>
          <w:szCs w:val="28"/>
          <w:lang w:val="en-GB"/>
        </w:rPr>
      </w:pPr>
      <w:r w:rsidRPr="005E2D53">
        <w:rPr>
          <w:b/>
          <w:bCs/>
          <w:sz w:val="28"/>
          <w:szCs w:val="28"/>
          <w:lang w:val="en-GB"/>
        </w:rPr>
        <w:t>Running order of the 12</w:t>
      </w:r>
      <w:r w:rsidR="004B5A01">
        <w:rPr>
          <w:b/>
          <w:bCs/>
          <w:sz w:val="28"/>
          <w:szCs w:val="28"/>
          <w:lang w:val="en-GB"/>
        </w:rPr>
        <w:t>8</w:t>
      </w:r>
      <w:r w:rsidRPr="005E2D53">
        <w:rPr>
          <w:b/>
          <w:bCs/>
          <w:sz w:val="28"/>
          <w:szCs w:val="28"/>
          <w:vertAlign w:val="superscript"/>
          <w:lang w:val="en-GB"/>
        </w:rPr>
        <w:t>th</w:t>
      </w:r>
      <w:r w:rsidRPr="005E2D53">
        <w:rPr>
          <w:b/>
          <w:bCs/>
          <w:sz w:val="28"/>
          <w:szCs w:val="28"/>
          <w:lang w:val="en-GB"/>
        </w:rPr>
        <w:t xml:space="preserve"> session of the Working Party on General safety Provisions 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2552"/>
        <w:gridCol w:w="7654"/>
      </w:tblGrid>
      <w:tr w:rsidR="00DA0423" w:rsidRPr="00DA0423" w14:paraId="35B73223" w14:textId="77777777" w:rsidTr="00490977">
        <w:trPr>
          <w:trHeight w:val="952"/>
        </w:trPr>
        <w:tc>
          <w:tcPr>
            <w:tcW w:w="2552" w:type="dxa"/>
            <w:shd w:val="clear" w:color="auto" w:fill="auto"/>
            <w:tcMar>
              <w:top w:w="113" w:type="dxa"/>
            </w:tcMar>
          </w:tcPr>
          <w:p w14:paraId="28E96202" w14:textId="4687271A" w:rsidR="00B10F01" w:rsidRPr="00DA0423" w:rsidRDefault="002065D1" w:rsidP="00490977">
            <w:pPr>
              <w:rPr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Monday, </w:t>
            </w:r>
            <w:r w:rsidR="004B5A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7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4B5A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October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br/>
            </w:r>
            <w:r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(starting at 2.30 p.m.)</w:t>
            </w:r>
          </w:p>
          <w:p w14:paraId="4D84963D" w14:textId="40C68CA6" w:rsidR="002065D1" w:rsidRPr="00DA0423" w:rsidRDefault="002065D1" w:rsidP="00490977">
            <w:pPr>
              <w:rPr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1C0E9566" w14:textId="76861C67" w:rsidR="002065D1" w:rsidRPr="00DA0423" w:rsidRDefault="002065D1" w:rsidP="00490977">
            <w:pPr>
              <w:rPr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11FC9E05" w14:textId="2346F05F" w:rsidR="002065D1" w:rsidRPr="00DA0423" w:rsidRDefault="002065D1" w:rsidP="00490977">
            <w:pPr>
              <w:rPr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3803C15" w14:textId="198DEE16" w:rsidR="002065D1" w:rsidRPr="00DA0423" w:rsidRDefault="002065D1" w:rsidP="00490977">
            <w:pPr>
              <w:rPr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056C542B" w14:textId="77777777" w:rsidR="00997338" w:rsidRPr="00DA0423" w:rsidRDefault="00997338" w:rsidP="00490977">
            <w:pPr>
              <w:rPr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08B55884" w14:textId="77777777" w:rsidR="00023287" w:rsidRPr="00DA0423" w:rsidRDefault="00023287" w:rsidP="00490977">
            <w:pPr>
              <w:tabs>
                <w:tab w:val="left" w:pos="1701"/>
              </w:tabs>
              <w:rPr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1C61A572" w14:textId="34930F0E" w:rsidR="00B10F01" w:rsidRPr="00DA0423" w:rsidRDefault="0069005F" w:rsidP="00490977">
            <w:pPr>
              <w:tabs>
                <w:tab w:val="left" w:pos="1701"/>
              </w:tabs>
              <w:rPr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Tuesday</w:t>
            </w:r>
            <w:r w:rsidR="00B10F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, </w:t>
            </w:r>
            <w:r w:rsidR="004B5A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8</w:t>
            </w:r>
            <w:r w:rsidR="00B10F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4B5A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October</w:t>
            </w:r>
            <w:r w:rsidR="00B10F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br/>
            </w:r>
            <w:r w:rsidR="00B10F01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 xml:space="preserve">(starting at </w:t>
            </w:r>
            <w:r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9</w:t>
            </w:r>
            <w:r w:rsidR="00B10F01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.</w:t>
            </w:r>
            <w:r w:rsidR="00480119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3</w:t>
            </w:r>
            <w:r w:rsidR="00B10F01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 xml:space="preserve">0 </w:t>
            </w:r>
            <w:r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a</w:t>
            </w:r>
            <w:r w:rsidR="00B10F01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.m.)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</w:tcMar>
          </w:tcPr>
          <w:p w14:paraId="2E3DEFCD" w14:textId="28840EC9" w:rsidR="002065D1" w:rsidRPr="00DA0423" w:rsidRDefault="002065D1" w:rsidP="002065D1">
            <w:pPr>
              <w:tabs>
                <w:tab w:val="left" w:pos="1167"/>
              </w:tabs>
              <w:spacing w:line="276" w:lineRule="auto"/>
              <w:ind w:left="1167" w:right="177" w:hanging="1134"/>
              <w:rPr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Item </w:t>
            </w:r>
            <w:r w:rsidR="00427785"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18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(c) 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 xml:space="preserve">Highlights of the </w:t>
            </w:r>
            <w:r w:rsidR="00427785" w:rsidRPr="00DA0423">
              <w:rPr>
                <w:color w:val="000000" w:themeColor="text1"/>
                <w:sz w:val="22"/>
                <w:szCs w:val="22"/>
                <w:lang w:val="en-GB"/>
              </w:rPr>
              <w:t xml:space="preserve">June </w:t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>202</w:t>
            </w:r>
            <w:r w:rsidR="00427785" w:rsidRPr="00DA0423">
              <w:rPr>
                <w:color w:val="000000" w:themeColor="text1"/>
                <w:sz w:val="22"/>
                <w:szCs w:val="22"/>
                <w:lang w:val="en-GB"/>
              </w:rPr>
              <w:t>4</w:t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 xml:space="preserve"> session of WP.29</w:t>
            </w:r>
          </w:p>
          <w:p w14:paraId="192562FE" w14:textId="77777777" w:rsidR="002065D1" w:rsidRPr="00DA0423" w:rsidRDefault="002065D1" w:rsidP="002065D1">
            <w:pPr>
              <w:tabs>
                <w:tab w:val="left" w:pos="1167"/>
              </w:tabs>
              <w:spacing w:line="276" w:lineRule="auto"/>
              <w:ind w:left="1167" w:right="177" w:hanging="1134"/>
              <w:rPr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Item 1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>Adoption of the Agenda</w:t>
            </w:r>
          </w:p>
          <w:p w14:paraId="210C57BD" w14:textId="4640874A" w:rsidR="00023287" w:rsidRPr="00DA0423" w:rsidRDefault="00023287" w:rsidP="002065D1">
            <w:pPr>
              <w:tabs>
                <w:tab w:val="left" w:pos="1167"/>
              </w:tabs>
              <w:spacing w:line="276" w:lineRule="auto"/>
              <w:ind w:left="1167" w:right="177" w:hanging="1134"/>
              <w:rPr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Item 17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>Election of Officers.</w:t>
            </w:r>
          </w:p>
          <w:p w14:paraId="4916D8B5" w14:textId="70914459" w:rsidR="00A43413" w:rsidRPr="00DA0423" w:rsidRDefault="00A43413" w:rsidP="00A43413">
            <w:pPr>
              <w:tabs>
                <w:tab w:val="left" w:pos="1167"/>
              </w:tabs>
              <w:spacing w:line="276" w:lineRule="auto"/>
              <w:ind w:left="1167" w:right="177" w:hanging="1134"/>
              <w:rPr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Item 2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>Amendments to Regulations on Buses and Coaches (UN R107)</w:t>
            </w:r>
          </w:p>
          <w:p w14:paraId="33CC5080" w14:textId="533FC639" w:rsidR="00B10F01" w:rsidRPr="00DA0423" w:rsidRDefault="00B10F01" w:rsidP="00490977">
            <w:pPr>
              <w:tabs>
                <w:tab w:val="left" w:pos="1167"/>
              </w:tabs>
              <w:spacing w:line="276" w:lineRule="auto"/>
              <w:ind w:left="1167" w:right="177" w:hanging="1134"/>
              <w:rPr>
                <w:color w:val="000000" w:themeColor="text1"/>
                <w:sz w:val="22"/>
                <w:szCs w:val="22"/>
                <w:lang w:val="en-GB" w:eastAsia="en-US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Item 3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ab/>
            </w:r>
            <w:r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Amendments to Safety glazing Regulation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Pr="00DA0423">
              <w:rPr>
                <w:color w:val="000000" w:themeColor="text1"/>
                <w:sz w:val="22"/>
                <w:szCs w:val="22"/>
                <w:lang w:val="en-GB" w:eastAsia="en-US"/>
              </w:rPr>
              <w:t>(UN R43)</w:t>
            </w:r>
          </w:p>
          <w:p w14:paraId="66901736" w14:textId="0252B930" w:rsidR="00427785" w:rsidRPr="00DA0423" w:rsidRDefault="0069005F" w:rsidP="00427785">
            <w:pPr>
              <w:tabs>
                <w:tab w:val="left" w:pos="1167"/>
              </w:tabs>
              <w:spacing w:line="276" w:lineRule="auto"/>
              <w:ind w:left="1167" w:right="177" w:hanging="1134"/>
              <w:rPr>
                <w:color w:val="000000" w:themeColor="text1"/>
                <w:sz w:val="22"/>
                <w:szCs w:val="22"/>
                <w:lang w:val="en-GB" w:eastAsia="en-US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Item 4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>Awareness of the Proximity of Vulnerable Road Users</w:t>
            </w:r>
            <w:r w:rsidRPr="00DA0423">
              <w:rPr>
                <w:color w:val="000000" w:themeColor="text1"/>
                <w:sz w:val="22"/>
                <w:szCs w:val="22"/>
                <w:lang w:val="en-GB" w:eastAsia="en-US"/>
              </w:rPr>
              <w:t xml:space="preserve"> (UN R46, R158</w:t>
            </w:r>
            <w:r w:rsidR="00427785" w:rsidRPr="00DA0423">
              <w:rPr>
                <w:color w:val="000000" w:themeColor="text1"/>
                <w:sz w:val="22"/>
                <w:szCs w:val="22"/>
                <w:lang w:val="en-GB" w:eastAsia="en-US"/>
              </w:rPr>
              <w:t xml:space="preserve"> and</w:t>
            </w:r>
            <w:r w:rsidRPr="00DA0423">
              <w:rPr>
                <w:color w:val="000000" w:themeColor="text1"/>
                <w:sz w:val="22"/>
                <w:szCs w:val="22"/>
                <w:lang w:val="en-GB" w:eastAsia="en-US"/>
              </w:rPr>
              <w:t xml:space="preserve"> 159)</w:t>
            </w:r>
          </w:p>
          <w:p w14:paraId="1FD9135B" w14:textId="522931AF" w:rsidR="00695CF8" w:rsidRPr="00DA0423" w:rsidRDefault="00695CF8" w:rsidP="00695CF8">
            <w:pPr>
              <w:tabs>
                <w:tab w:val="left" w:pos="1167"/>
              </w:tabs>
              <w:spacing w:line="276" w:lineRule="auto"/>
              <w:ind w:left="1167" w:right="177" w:hanging="1134"/>
              <w:rPr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Item 2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>Amendments to Regulations on Buses and Coaches (UN R107)</w:t>
            </w:r>
          </w:p>
          <w:p w14:paraId="5F222D23" w14:textId="5F9FE168" w:rsidR="00F019D1" w:rsidRPr="00DA0423" w:rsidRDefault="00F019D1" w:rsidP="008031B0">
            <w:pPr>
              <w:tabs>
                <w:tab w:val="left" w:pos="1204"/>
              </w:tabs>
              <w:spacing w:line="276" w:lineRule="auto"/>
              <w:ind w:left="40" w:right="177"/>
              <w:rPr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 xml:space="preserve">Item </w:t>
            </w:r>
            <w:r w:rsidR="00695CF8" w:rsidRPr="00DA0423">
              <w:rPr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18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(</w:t>
            </w:r>
            <w:r w:rsidR="00695CF8" w:rsidRPr="00DA0423">
              <w:rPr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d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)</w:t>
            </w:r>
            <w:r w:rsidRPr="00DA0423">
              <w:rPr>
                <w:color w:val="000000" w:themeColor="text1"/>
              </w:rPr>
              <w:t xml:space="preserve"> 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 w:eastAsia="en-US"/>
              </w:rPr>
              <w:t>UN Regulation No. 105 (ADR)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</w:p>
          <w:p w14:paraId="75796181" w14:textId="6BA38832" w:rsidR="00F019D1" w:rsidRPr="00DA0423" w:rsidRDefault="00F019D1" w:rsidP="00F019D1">
            <w:pPr>
              <w:tabs>
                <w:tab w:val="left" w:pos="1204"/>
              </w:tabs>
              <w:spacing w:line="276" w:lineRule="auto"/>
              <w:ind w:left="40" w:right="177"/>
              <w:rPr>
                <w:color w:val="000000" w:themeColor="text1"/>
                <w:sz w:val="22"/>
                <w:szCs w:val="22"/>
                <w:lang w:val="en-GB" w:eastAsia="en-US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Item </w:t>
            </w:r>
            <w:r w:rsidR="008031B0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5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>UN Regulation No. 39 (Speedometer and Odometer)</w:t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br/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 xml:space="preserve">Item </w:t>
            </w:r>
            <w:r w:rsidR="008031B0" w:rsidRPr="00DA0423">
              <w:rPr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6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.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 w:eastAsia="en-US"/>
              </w:rPr>
              <w:t>UN Regulation No. 66 (Strength of superstructure (buses)).</w:t>
            </w:r>
          </w:p>
          <w:p w14:paraId="69D1EE7D" w14:textId="763A82D6" w:rsidR="00473E3A" w:rsidRPr="00DA0423" w:rsidRDefault="008031B0" w:rsidP="008031B0">
            <w:pPr>
              <w:tabs>
                <w:tab w:val="left" w:pos="1204"/>
              </w:tabs>
              <w:spacing w:line="276" w:lineRule="auto"/>
              <w:ind w:left="40" w:right="177"/>
              <w:rPr>
                <w:color w:val="000000" w:themeColor="text1"/>
                <w:sz w:val="22"/>
                <w:szCs w:val="22"/>
                <w:lang w:val="en-GB" w:eastAsia="en-US"/>
              </w:rPr>
            </w:pP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 xml:space="preserve">Item 7. 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 w:eastAsia="en-US"/>
              </w:rPr>
              <w:t>UN Regulation No. 73 (Lateral Protection Devices)</w:t>
            </w:r>
            <w:r w:rsidRPr="00DA0423">
              <w:rPr>
                <w:color w:val="000000" w:themeColor="text1"/>
                <w:sz w:val="22"/>
                <w:szCs w:val="22"/>
                <w:lang w:val="en-GB" w:eastAsia="en-US"/>
              </w:rPr>
              <w:t>.</w:t>
            </w:r>
          </w:p>
        </w:tc>
      </w:tr>
      <w:tr w:rsidR="00DA0423" w:rsidRPr="00DA0423" w14:paraId="6E8C80C5" w14:textId="77777777" w:rsidTr="00490977">
        <w:trPr>
          <w:trHeight w:val="750"/>
        </w:trPr>
        <w:tc>
          <w:tcPr>
            <w:tcW w:w="2552" w:type="dxa"/>
            <w:shd w:val="clear" w:color="auto" w:fill="auto"/>
            <w:tcMar>
              <w:top w:w="113" w:type="dxa"/>
            </w:tcMar>
          </w:tcPr>
          <w:p w14:paraId="758874AA" w14:textId="37B5843A" w:rsidR="00B10F01" w:rsidRPr="00DA0423" w:rsidRDefault="008713A5" w:rsidP="00490977">
            <w:pPr>
              <w:tabs>
                <w:tab w:val="left" w:pos="1701"/>
              </w:tabs>
              <w:rPr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Wednesday</w:t>
            </w:r>
            <w:r w:rsidR="00B10F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, </w:t>
            </w:r>
            <w:r w:rsidR="004B5A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9</w:t>
            </w:r>
            <w:r w:rsidR="00B10F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4B5A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October</w:t>
            </w:r>
            <w:r w:rsidR="00B10F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br/>
            </w:r>
            <w:r w:rsidR="00B10F01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 xml:space="preserve">(starting at </w:t>
            </w:r>
            <w:r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9</w:t>
            </w:r>
            <w:r w:rsidR="00B10F01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.</w:t>
            </w:r>
            <w:r w:rsidR="00170C44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3</w:t>
            </w:r>
            <w:r w:rsidR="00B10F01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0 a.m.)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</w:tcMar>
          </w:tcPr>
          <w:p w14:paraId="4811370F" w14:textId="61FDAC19" w:rsidR="008C6CDF" w:rsidRPr="00DA0423" w:rsidRDefault="008C6CDF" w:rsidP="008C6CDF">
            <w:pPr>
              <w:tabs>
                <w:tab w:val="left" w:pos="1204"/>
              </w:tabs>
              <w:spacing w:line="276" w:lineRule="auto"/>
              <w:ind w:left="40" w:right="177"/>
              <w:rPr>
                <w:bCs/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Item </w:t>
            </w:r>
            <w:r w:rsidR="008031B0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8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ab/>
            </w:r>
            <w:r w:rsidRPr="00DA0423">
              <w:rPr>
                <w:bCs/>
                <w:color w:val="000000" w:themeColor="text1"/>
                <w:sz w:val="22"/>
                <w:szCs w:val="22"/>
                <w:lang w:val="en-GB"/>
              </w:rPr>
              <w:t>Amendments to Gas-Fuelled Vehicle regulations (UN R67 &amp; 110)</w:t>
            </w:r>
          </w:p>
          <w:p w14:paraId="4F97D3F4" w14:textId="35AD1EDD" w:rsidR="00A86D85" w:rsidRPr="00DA0423" w:rsidRDefault="00A86D85" w:rsidP="004227B8">
            <w:pPr>
              <w:tabs>
                <w:tab w:val="left" w:pos="1167"/>
              </w:tabs>
              <w:spacing w:line="276" w:lineRule="auto"/>
              <w:ind w:left="1167" w:hanging="1134"/>
              <w:rPr>
                <w:bCs/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Item </w:t>
            </w:r>
            <w:r w:rsidR="008031B0"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9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.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bCs/>
                <w:color w:val="000000" w:themeColor="text1"/>
                <w:sz w:val="22"/>
                <w:szCs w:val="22"/>
                <w:lang w:val="en-GB"/>
              </w:rPr>
              <w:t>Amendments to the Regulations on Devices against Unauthorized Use, Immobilizers and Vehicle Alarm systems (UN R116, 161, 162 &amp; 163)</w:t>
            </w:r>
          </w:p>
          <w:p w14:paraId="34C0030E" w14:textId="2408FEE7" w:rsidR="00A86D85" w:rsidRPr="00DA0423" w:rsidRDefault="00A86D85" w:rsidP="00A86D85">
            <w:pPr>
              <w:tabs>
                <w:tab w:val="left" w:pos="1167"/>
              </w:tabs>
              <w:spacing w:line="276" w:lineRule="auto"/>
              <w:ind w:left="1167" w:hanging="1134"/>
              <w:rPr>
                <w:bCs/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Item 1</w:t>
            </w:r>
            <w:r w:rsidR="008031B0"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0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.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bCs/>
                <w:color w:val="000000" w:themeColor="text1"/>
                <w:sz w:val="22"/>
                <w:szCs w:val="22"/>
                <w:lang w:val="en-GB"/>
              </w:rPr>
              <w:t>UN Regulation No. 121 (Identification of controls, tell-tales and indicators).</w:t>
            </w:r>
          </w:p>
          <w:p w14:paraId="2505A57E" w14:textId="73D6391E" w:rsidR="00A86D85" w:rsidRPr="00DA0423" w:rsidRDefault="00A86D85" w:rsidP="00A86D85">
            <w:pPr>
              <w:tabs>
                <w:tab w:val="left" w:pos="1167"/>
              </w:tabs>
              <w:spacing w:line="276" w:lineRule="auto"/>
              <w:ind w:left="1167" w:hanging="1134"/>
              <w:rPr>
                <w:bCs/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Item 1</w:t>
            </w:r>
            <w:r w:rsidR="008031B0"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1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.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bCs/>
                <w:color w:val="000000" w:themeColor="text1"/>
                <w:sz w:val="22"/>
                <w:szCs w:val="22"/>
                <w:lang w:val="en-GB"/>
              </w:rPr>
              <w:t>UN Regulation No. 122 (Heating systems).</w:t>
            </w:r>
          </w:p>
          <w:p w14:paraId="433BF756" w14:textId="165A5A45" w:rsidR="00997338" w:rsidRPr="00DA0423" w:rsidRDefault="00997338" w:rsidP="008031B0">
            <w:pPr>
              <w:tabs>
                <w:tab w:val="left" w:pos="1167"/>
              </w:tabs>
              <w:spacing w:line="276" w:lineRule="auto"/>
              <w:ind w:left="1167" w:hanging="1134"/>
              <w:rPr>
                <w:bCs/>
                <w:color w:val="000000" w:themeColor="text1"/>
                <w:sz w:val="22"/>
                <w:szCs w:val="22"/>
                <w:lang w:val="en-GB" w:eastAsia="ar-SA"/>
              </w:rPr>
            </w:pPr>
          </w:p>
        </w:tc>
      </w:tr>
      <w:tr w:rsidR="00DA0423" w:rsidRPr="00DA0423" w14:paraId="0AAD92F4" w14:textId="77777777" w:rsidTr="00490977">
        <w:trPr>
          <w:trHeight w:val="1840"/>
        </w:trPr>
        <w:tc>
          <w:tcPr>
            <w:tcW w:w="2552" w:type="dxa"/>
            <w:shd w:val="clear" w:color="auto" w:fill="auto"/>
            <w:tcMar>
              <w:top w:w="113" w:type="dxa"/>
            </w:tcMar>
          </w:tcPr>
          <w:p w14:paraId="1F35004D" w14:textId="71C20918" w:rsidR="00B10F01" w:rsidRPr="00DA0423" w:rsidRDefault="00170C44" w:rsidP="00490977">
            <w:pPr>
              <w:tabs>
                <w:tab w:val="left" w:pos="1701"/>
              </w:tabs>
              <w:rPr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Thursday</w:t>
            </w:r>
            <w:r w:rsidR="00B10F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, </w:t>
            </w:r>
            <w:r w:rsidR="004227B8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1</w:t>
            </w:r>
            <w:r w:rsidR="004B5A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0</w:t>
            </w:r>
            <w:r w:rsidR="004227B8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4B5A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October</w:t>
            </w:r>
            <w:r w:rsidR="00B10F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br/>
            </w:r>
            <w:r w:rsidR="00B10F01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 xml:space="preserve">(starting at </w:t>
            </w:r>
            <w:r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9</w:t>
            </w:r>
            <w:r w:rsidR="00B10F01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.</w:t>
            </w:r>
            <w:r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3</w:t>
            </w:r>
            <w:r w:rsidR="00B10F01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0 a.m.)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</w:tcMar>
          </w:tcPr>
          <w:p w14:paraId="4076F970" w14:textId="3C2AC0CF" w:rsidR="00997338" w:rsidRPr="00DA0423" w:rsidRDefault="00997338" w:rsidP="00997338">
            <w:pPr>
              <w:tabs>
                <w:tab w:val="left" w:pos="1167"/>
              </w:tabs>
              <w:spacing w:line="276" w:lineRule="auto"/>
              <w:ind w:left="1167" w:hanging="1134"/>
              <w:rPr>
                <w:bCs/>
                <w:color w:val="000000" w:themeColor="text1"/>
                <w:sz w:val="22"/>
                <w:szCs w:val="22"/>
                <w:lang w:val="en-GB" w:eastAsia="ar-SA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 w:eastAsia="ar-SA"/>
              </w:rPr>
              <w:t>Item 1</w:t>
            </w:r>
            <w:r w:rsidR="00833F2A" w:rsidRPr="00DA0423">
              <w:rPr>
                <w:b/>
                <w:color w:val="000000" w:themeColor="text1"/>
                <w:sz w:val="22"/>
                <w:szCs w:val="22"/>
                <w:lang w:val="en-GB" w:eastAsia="ar-SA"/>
              </w:rPr>
              <w:t>2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 w:eastAsia="ar-SA"/>
              </w:rPr>
              <w:t>.</w:t>
            </w:r>
            <w:r w:rsidRPr="00DA0423">
              <w:rPr>
                <w:bCs/>
                <w:color w:val="000000" w:themeColor="text1"/>
                <w:sz w:val="22"/>
                <w:szCs w:val="22"/>
                <w:lang w:val="en-GB" w:eastAsia="ar-SA"/>
              </w:rPr>
              <w:tab/>
              <w:t>Event Data Recorder (Guidance Document, UNR160 &amp; New UNR HDV)</w:t>
            </w:r>
          </w:p>
          <w:p w14:paraId="1287C0CA" w14:textId="2A188287" w:rsidR="00997338" w:rsidRPr="00DA0423" w:rsidRDefault="00997338" w:rsidP="00997338">
            <w:pPr>
              <w:tabs>
                <w:tab w:val="left" w:pos="1167"/>
              </w:tabs>
              <w:spacing w:line="276" w:lineRule="auto"/>
              <w:ind w:left="1167" w:hanging="1134"/>
              <w:rPr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Item 1</w:t>
            </w:r>
            <w:r w:rsidR="00023287"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3</w:t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bCs/>
                <w:color w:val="000000" w:themeColor="text1"/>
                <w:sz w:val="22"/>
                <w:szCs w:val="22"/>
                <w:lang w:val="en-GB"/>
              </w:rPr>
              <w:t>UN Regulation No. 0 (International Whole Vehicle Type Approval)</w:t>
            </w:r>
          </w:p>
          <w:p w14:paraId="7F2BFCAA" w14:textId="02184924" w:rsidR="00D177F9" w:rsidRPr="00DA0423" w:rsidRDefault="00D177F9" w:rsidP="00D177F9">
            <w:pPr>
              <w:tabs>
                <w:tab w:val="left" w:pos="1167"/>
              </w:tabs>
              <w:spacing w:line="276" w:lineRule="auto"/>
              <w:ind w:left="1167" w:right="139" w:hanging="1134"/>
              <w:rPr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Item 1</w:t>
            </w:r>
            <w:r w:rsidR="00023287"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4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>Consolidated Resolution on the Construction of Vehicles (R.E.3)</w:t>
            </w:r>
          </w:p>
          <w:p w14:paraId="5588F4A7" w14:textId="130580D6" w:rsidR="00D177F9" w:rsidRPr="00DA0423" w:rsidRDefault="00D177F9" w:rsidP="00D177F9">
            <w:pPr>
              <w:tabs>
                <w:tab w:val="left" w:pos="1167"/>
              </w:tabs>
              <w:spacing w:line="276" w:lineRule="auto"/>
              <w:ind w:left="1167" w:hanging="1134"/>
              <w:rPr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Item </w:t>
            </w:r>
            <w:r w:rsidR="00023287"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15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>Special Resolution No. 1 concerning the common definitions of vehicle categories, masses and dimensions</w:t>
            </w:r>
          </w:p>
          <w:p w14:paraId="0FC6D064" w14:textId="590C1EBC" w:rsidR="004227B8" w:rsidRPr="00DA0423" w:rsidRDefault="004227B8" w:rsidP="004227B8">
            <w:pPr>
              <w:tabs>
                <w:tab w:val="left" w:pos="1167"/>
              </w:tabs>
              <w:spacing w:line="276" w:lineRule="auto"/>
              <w:ind w:left="1167" w:hanging="1134"/>
              <w:rPr>
                <w:bCs/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Item </w:t>
            </w:r>
            <w:r w:rsidR="00023287"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16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>Exchange of Views on Vehicle Automation</w:t>
            </w:r>
            <w:r w:rsidR="00023287" w:rsidRPr="00DA0423">
              <w:rPr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023287" w:rsidRPr="00DA0423">
              <w:rPr>
                <w:color w:val="000000" w:themeColor="text1"/>
              </w:rPr>
              <w:t>Autonomous</w:t>
            </w:r>
            <w:proofErr w:type="spellEnd"/>
            <w:r w:rsidR="00023287" w:rsidRPr="00DA0423">
              <w:rPr>
                <w:color w:val="000000" w:themeColor="text1"/>
              </w:rPr>
              <w:t xml:space="preserve"> </w:t>
            </w:r>
            <w:proofErr w:type="spellStart"/>
            <w:r w:rsidR="00023287" w:rsidRPr="00DA0423">
              <w:rPr>
                <w:color w:val="000000" w:themeColor="text1"/>
              </w:rPr>
              <w:t>Shuttles</w:t>
            </w:r>
            <w:proofErr w:type="spellEnd"/>
            <w:r w:rsidR="00023287" w:rsidRPr="00DA0423">
              <w:rPr>
                <w:color w:val="000000" w:themeColor="text1"/>
              </w:rPr>
              <w:t xml:space="preserve"> &amp; </w:t>
            </w:r>
            <w:proofErr w:type="spellStart"/>
            <w:r w:rsidR="00023287" w:rsidRPr="00DA0423">
              <w:rPr>
                <w:color w:val="000000" w:themeColor="text1"/>
              </w:rPr>
              <w:t>Categorization</w:t>
            </w:r>
            <w:proofErr w:type="spellEnd"/>
            <w:r w:rsidR="00023287" w:rsidRPr="00DA0423">
              <w:rPr>
                <w:color w:val="000000" w:themeColor="text1"/>
              </w:rPr>
              <w:t xml:space="preserve"> of </w:t>
            </w:r>
            <w:proofErr w:type="spellStart"/>
            <w:r w:rsidR="00023287" w:rsidRPr="00DA0423">
              <w:rPr>
                <w:color w:val="000000" w:themeColor="text1"/>
              </w:rPr>
              <w:t>Automated</w:t>
            </w:r>
            <w:proofErr w:type="spellEnd"/>
            <w:r w:rsidR="00023287" w:rsidRPr="00DA0423">
              <w:rPr>
                <w:color w:val="000000" w:themeColor="text1"/>
              </w:rPr>
              <w:t xml:space="preserve"> </w:t>
            </w:r>
            <w:proofErr w:type="spellStart"/>
            <w:r w:rsidR="00023287" w:rsidRPr="00DA0423">
              <w:rPr>
                <w:color w:val="000000" w:themeColor="text1"/>
              </w:rPr>
              <w:t>Vehicles</w:t>
            </w:r>
            <w:proofErr w:type="spellEnd"/>
            <w:r w:rsidR="00023287" w:rsidRPr="00DA0423">
              <w:rPr>
                <w:color w:val="000000" w:themeColor="text1"/>
              </w:rPr>
              <w:t xml:space="preserve"> and </w:t>
            </w:r>
            <w:proofErr w:type="spellStart"/>
            <w:r w:rsidR="00023287" w:rsidRPr="00DA0423">
              <w:rPr>
                <w:color w:val="000000" w:themeColor="text1"/>
              </w:rPr>
              <w:t>Autonomous</w:t>
            </w:r>
            <w:proofErr w:type="spellEnd"/>
            <w:r w:rsidR="00023287" w:rsidRPr="00DA0423">
              <w:rPr>
                <w:color w:val="000000" w:themeColor="text1"/>
              </w:rPr>
              <w:t xml:space="preserve"> </w:t>
            </w:r>
            <w:proofErr w:type="spellStart"/>
            <w:r w:rsidR="00023287" w:rsidRPr="00DA0423">
              <w:rPr>
                <w:color w:val="000000" w:themeColor="text1"/>
              </w:rPr>
              <w:t>Vehicle</w:t>
            </w:r>
            <w:proofErr w:type="spellEnd"/>
            <w:r w:rsidR="00023287" w:rsidRPr="00DA0423">
              <w:rPr>
                <w:color w:val="000000" w:themeColor="text1"/>
              </w:rPr>
              <w:t xml:space="preserve"> </w:t>
            </w:r>
            <w:proofErr w:type="spellStart"/>
            <w:r w:rsidR="00023287" w:rsidRPr="00DA0423">
              <w:rPr>
                <w:color w:val="000000" w:themeColor="text1"/>
              </w:rPr>
              <w:t>Regulation</w:t>
            </w:r>
            <w:proofErr w:type="spellEnd"/>
            <w:r w:rsidR="00023287" w:rsidRPr="00DA0423">
              <w:rPr>
                <w:color w:val="000000" w:themeColor="text1"/>
              </w:rPr>
              <w:t xml:space="preserve"> Screening</w:t>
            </w:r>
            <w:r w:rsidR="00023287" w:rsidRPr="00DA0423">
              <w:rPr>
                <w:color w:val="000000" w:themeColor="text1"/>
              </w:rPr>
              <w:t>)</w:t>
            </w:r>
          </w:p>
          <w:p w14:paraId="25CB7E00" w14:textId="0B582664" w:rsidR="00B10F01" w:rsidRPr="00DA0423" w:rsidRDefault="00960B27" w:rsidP="00FC66A2">
            <w:pPr>
              <w:spacing w:line="276" w:lineRule="auto"/>
              <w:ind w:left="1168" w:hanging="1134"/>
              <w:rPr>
                <w:bCs/>
                <w:color w:val="000000" w:themeColor="text1"/>
                <w:sz w:val="22"/>
                <w:szCs w:val="22"/>
                <w:lang w:val="en-GB" w:eastAsia="ar-SA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 w:eastAsia="ar-SA"/>
              </w:rPr>
              <w:t xml:space="preserve">Item </w:t>
            </w:r>
            <w:r w:rsidR="00023287" w:rsidRPr="00DA0423">
              <w:rPr>
                <w:b/>
                <w:color w:val="000000" w:themeColor="text1"/>
                <w:sz w:val="22"/>
                <w:szCs w:val="22"/>
                <w:lang w:val="en-GB" w:eastAsia="ar-SA"/>
              </w:rPr>
              <w:t>18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 w:eastAsia="ar-SA"/>
              </w:rPr>
              <w:t>(</w:t>
            </w:r>
            <w:r w:rsidR="00F757C8" w:rsidRPr="00DA0423">
              <w:rPr>
                <w:b/>
                <w:color w:val="000000" w:themeColor="text1"/>
                <w:sz w:val="22"/>
                <w:szCs w:val="22"/>
                <w:lang w:val="en-GB" w:eastAsia="ar-SA"/>
              </w:rPr>
              <w:t>f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 w:eastAsia="ar-SA"/>
              </w:rPr>
              <w:t xml:space="preserve">). 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 w:eastAsia="ar-SA"/>
              </w:rPr>
              <w:tab/>
            </w:r>
            <w:r w:rsidR="00F757C8" w:rsidRPr="00DA0423">
              <w:rPr>
                <w:color w:val="000000" w:themeColor="text1"/>
              </w:rPr>
              <w:t xml:space="preserve">Driver Distraction and </w:t>
            </w:r>
            <w:proofErr w:type="spellStart"/>
            <w:r w:rsidR="00F757C8" w:rsidRPr="00DA0423">
              <w:rPr>
                <w:color w:val="000000" w:themeColor="text1"/>
              </w:rPr>
              <w:t>Drowsiness</w:t>
            </w:r>
            <w:proofErr w:type="spellEnd"/>
            <w:r w:rsidR="00F757C8" w:rsidRPr="00DA0423">
              <w:rPr>
                <w:color w:val="000000" w:themeColor="text1"/>
              </w:rPr>
              <w:t xml:space="preserve"> Warning </w:t>
            </w:r>
            <w:proofErr w:type="spellStart"/>
            <w:r w:rsidR="00F757C8" w:rsidRPr="00DA0423">
              <w:rPr>
                <w:color w:val="000000" w:themeColor="text1"/>
              </w:rPr>
              <w:t>Systems</w:t>
            </w:r>
            <w:proofErr w:type="spellEnd"/>
          </w:p>
        </w:tc>
      </w:tr>
      <w:tr w:rsidR="00DA0423" w:rsidRPr="00DA0423" w14:paraId="16CBFAA3" w14:textId="77777777" w:rsidTr="00E6311E">
        <w:trPr>
          <w:trHeight w:val="1840"/>
        </w:trPr>
        <w:tc>
          <w:tcPr>
            <w:tcW w:w="2552" w:type="dxa"/>
            <w:shd w:val="clear" w:color="auto" w:fill="auto"/>
            <w:tcMar>
              <w:top w:w="113" w:type="dxa"/>
            </w:tcMar>
          </w:tcPr>
          <w:p w14:paraId="51387FEC" w14:textId="5469A8C2" w:rsidR="00B9521B" w:rsidRPr="00DA0423" w:rsidRDefault="00C47244" w:rsidP="00E6311E">
            <w:pPr>
              <w:tabs>
                <w:tab w:val="left" w:pos="1701"/>
              </w:tabs>
              <w:rPr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Friday</w:t>
            </w:r>
            <w:r w:rsidR="00B9521B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, </w:t>
            </w:r>
            <w:r w:rsidR="00E83D99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1</w:t>
            </w:r>
            <w:r w:rsidR="004B5A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1</w:t>
            </w:r>
            <w:r w:rsidR="00B9521B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4B5A01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t>October</w:t>
            </w:r>
            <w:r w:rsidR="00B9521B" w:rsidRPr="00DA0423">
              <w:rPr>
                <w:b/>
                <w:color w:val="000000" w:themeColor="text1"/>
                <w:sz w:val="22"/>
                <w:szCs w:val="22"/>
                <w:lang w:val="en-GB" w:eastAsia="en-US"/>
              </w:rPr>
              <w:br/>
            </w:r>
            <w:r w:rsidR="00B9521B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 xml:space="preserve">(starting </w:t>
            </w:r>
            <w:r w:rsidR="004752A7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>at</w:t>
            </w:r>
            <w:r w:rsidR="00B9521B" w:rsidRPr="00DA0423">
              <w:rPr>
                <w:bCs/>
                <w:color w:val="000000" w:themeColor="text1"/>
                <w:sz w:val="22"/>
                <w:szCs w:val="22"/>
                <w:lang w:val="en-GB" w:eastAsia="en-US"/>
              </w:rPr>
              <w:t xml:space="preserve"> 9.30 a.m.)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</w:tcMar>
          </w:tcPr>
          <w:p w14:paraId="60850459" w14:textId="118DC52E" w:rsidR="00B9521B" w:rsidRPr="00DA0423" w:rsidRDefault="00B9521B" w:rsidP="00E6311E">
            <w:pPr>
              <w:tabs>
                <w:tab w:val="left" w:pos="1167"/>
              </w:tabs>
              <w:spacing w:line="276" w:lineRule="auto"/>
              <w:ind w:left="1167" w:hanging="1134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Item </w:t>
            </w:r>
            <w:r w:rsidR="00F757C8"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18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(a)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>Exchange of Views on the Future Work of the Working Party on General Safety Provisions</w:t>
            </w:r>
          </w:p>
          <w:p w14:paraId="1AFF7601" w14:textId="42AEE84D" w:rsidR="00B9521B" w:rsidRPr="00DA0423" w:rsidRDefault="00B9521B" w:rsidP="00B9521B">
            <w:pPr>
              <w:tabs>
                <w:tab w:val="left" w:pos="1167"/>
              </w:tabs>
              <w:spacing w:line="276" w:lineRule="auto"/>
              <w:ind w:left="1167" w:hanging="1134"/>
              <w:rPr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Item </w:t>
            </w:r>
            <w:r w:rsidR="00F757C8"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18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(</w:t>
            </w:r>
            <w:r w:rsidR="00997338"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b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)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ab/>
            </w:r>
            <w:proofErr w:type="spellStart"/>
            <w:r w:rsidR="00997338" w:rsidRPr="00DA0423">
              <w:rPr>
                <w:color w:val="000000" w:themeColor="text1"/>
              </w:rPr>
              <w:t>Periodical</w:t>
            </w:r>
            <w:proofErr w:type="spellEnd"/>
            <w:r w:rsidR="00997338" w:rsidRPr="00DA0423">
              <w:rPr>
                <w:color w:val="000000" w:themeColor="text1"/>
              </w:rPr>
              <w:t xml:space="preserve"> </w:t>
            </w:r>
            <w:proofErr w:type="spellStart"/>
            <w:r w:rsidR="00997338" w:rsidRPr="00DA0423">
              <w:rPr>
                <w:color w:val="000000" w:themeColor="text1"/>
              </w:rPr>
              <w:t>Technical</w:t>
            </w:r>
            <w:proofErr w:type="spellEnd"/>
            <w:r w:rsidR="00997338" w:rsidRPr="00DA0423">
              <w:rPr>
                <w:color w:val="000000" w:themeColor="text1"/>
              </w:rPr>
              <w:t xml:space="preserve"> Inspections</w:t>
            </w:r>
          </w:p>
          <w:p w14:paraId="28B78B68" w14:textId="3C460CB4" w:rsidR="002B7EF0" w:rsidRPr="00DA0423" w:rsidRDefault="002B7EF0" w:rsidP="002B7EF0">
            <w:pPr>
              <w:tabs>
                <w:tab w:val="left" w:pos="1167"/>
              </w:tabs>
              <w:spacing w:line="276" w:lineRule="auto"/>
              <w:ind w:left="1167" w:hanging="1134"/>
              <w:rPr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Item </w:t>
            </w:r>
            <w:r w:rsidR="00F757C8"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18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(</w:t>
            </w:r>
            <w:r w:rsidR="00F757C8"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g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)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>Any other business</w:t>
            </w:r>
          </w:p>
          <w:p w14:paraId="72B7F8AD" w14:textId="4CD2AE2A" w:rsidR="00C265E2" w:rsidRPr="00DA0423" w:rsidRDefault="00C265E2" w:rsidP="002B7EF0">
            <w:pPr>
              <w:tabs>
                <w:tab w:val="left" w:pos="1167"/>
              </w:tabs>
              <w:spacing w:line="276" w:lineRule="auto"/>
              <w:ind w:left="1167" w:hanging="1134"/>
              <w:rPr>
                <w:color w:val="000000" w:themeColor="text1"/>
                <w:sz w:val="22"/>
                <w:szCs w:val="22"/>
                <w:lang w:val="en-GB"/>
              </w:rPr>
            </w:pP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Item </w:t>
            </w:r>
            <w:r w:rsidR="00F757C8"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18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(</w:t>
            </w:r>
            <w:r w:rsidR="00F757C8"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e</w:t>
            </w:r>
            <w:r w:rsidRPr="00DA0423">
              <w:rPr>
                <w:b/>
                <w:color w:val="000000" w:themeColor="text1"/>
                <w:sz w:val="22"/>
                <w:szCs w:val="22"/>
                <w:lang w:val="en-GB"/>
              </w:rPr>
              <w:t>)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DA0423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ab/>
            </w:r>
            <w:r w:rsidRPr="00DA0423">
              <w:rPr>
                <w:color w:val="000000" w:themeColor="text1"/>
                <w:sz w:val="22"/>
                <w:szCs w:val="22"/>
                <w:lang w:val="en-GB"/>
              </w:rPr>
              <w:t>Cooperation with WP.1</w:t>
            </w:r>
          </w:p>
        </w:tc>
      </w:tr>
    </w:tbl>
    <w:p w14:paraId="3FEB6306" w14:textId="58229CA5" w:rsidR="00B10F01" w:rsidRPr="00DA0423" w:rsidRDefault="00B10F01" w:rsidP="00B10F01">
      <w:pPr>
        <w:rPr>
          <w:color w:val="000000" w:themeColor="text1"/>
          <w:sz w:val="22"/>
          <w:szCs w:val="22"/>
          <w:lang w:val="en-GB"/>
        </w:rPr>
      </w:pPr>
      <w:r w:rsidRPr="00DA0423">
        <w:rPr>
          <w:color w:val="000000" w:themeColor="text1"/>
          <w:sz w:val="22"/>
          <w:szCs w:val="22"/>
          <w:lang w:val="en-GB"/>
        </w:rPr>
        <w:t>This is an informal guidance for the running order of the GRSG work. It may be modified according to the work progress made during the session.</w:t>
      </w:r>
    </w:p>
    <w:sectPr w:rsidR="00B10F01" w:rsidRPr="00DA0423" w:rsidSect="00382A1F">
      <w:headerReference w:type="default" r:id="rId11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11C1" w14:textId="77777777" w:rsidR="00D53B2E" w:rsidRDefault="00D53B2E" w:rsidP="00F95C08">
      <w:pPr>
        <w:spacing w:line="240" w:lineRule="auto"/>
      </w:pPr>
    </w:p>
  </w:endnote>
  <w:endnote w:type="continuationSeparator" w:id="0">
    <w:p w14:paraId="2C10389A" w14:textId="77777777" w:rsidR="00D53B2E" w:rsidRPr="00AC3823" w:rsidRDefault="00D53B2E" w:rsidP="00AC3823">
      <w:pPr>
        <w:pStyle w:val="Footer"/>
      </w:pPr>
    </w:p>
  </w:endnote>
  <w:endnote w:type="continuationNotice" w:id="1">
    <w:p w14:paraId="21D9B6FA" w14:textId="77777777" w:rsidR="00D53B2E" w:rsidRDefault="00D53B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E741" w14:textId="77777777" w:rsidR="00D53B2E" w:rsidRPr="00AC3823" w:rsidRDefault="00D53B2E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29258F4" w14:textId="77777777" w:rsidR="00D53B2E" w:rsidRPr="00AC3823" w:rsidRDefault="00D53B2E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63B620F" w14:textId="77777777" w:rsidR="00D53B2E" w:rsidRPr="00AC3823" w:rsidRDefault="00D53B2E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43" w:type="dxa"/>
      <w:tblLook w:val="04A0" w:firstRow="1" w:lastRow="0" w:firstColumn="1" w:lastColumn="0" w:noHBand="0" w:noVBand="1"/>
    </w:tblPr>
    <w:tblGrid>
      <w:gridCol w:w="10024"/>
      <w:gridCol w:w="222"/>
    </w:tblGrid>
    <w:tr w:rsidR="008814B7" w:rsidRPr="006E7F78" w14:paraId="45DE644F" w14:textId="77777777" w:rsidTr="00490977">
      <w:tc>
        <w:tcPr>
          <w:tcW w:w="5529" w:type="dxa"/>
          <w:hideMark/>
        </w:tcPr>
        <w:tbl>
          <w:tblPr>
            <w:tblW w:w="8568" w:type="dxa"/>
            <w:tblLook w:val="04A0" w:firstRow="1" w:lastRow="0" w:firstColumn="1" w:lastColumn="0" w:noHBand="0" w:noVBand="1"/>
          </w:tblPr>
          <w:tblGrid>
            <w:gridCol w:w="9808"/>
          </w:tblGrid>
          <w:tr w:rsidR="008814B7" w:rsidRPr="008814B7" w14:paraId="5D405FA8" w14:textId="77777777" w:rsidTr="00490977">
            <w:tc>
              <w:tcPr>
                <w:tcW w:w="8568" w:type="dxa"/>
              </w:tcPr>
              <w:tbl>
                <w:tblPr>
                  <w:tblW w:w="9592" w:type="dxa"/>
                  <w:tblLook w:val="04A0" w:firstRow="1" w:lastRow="0" w:firstColumn="1" w:lastColumn="0" w:noHBand="0" w:noVBand="1"/>
                </w:tblPr>
                <w:tblGrid>
                  <w:gridCol w:w="4635"/>
                  <w:gridCol w:w="4957"/>
                </w:tblGrid>
                <w:tr w:rsidR="008814B7" w:rsidRPr="008814B7" w14:paraId="38165573" w14:textId="77777777" w:rsidTr="008814B7">
                  <w:tc>
                    <w:tcPr>
                      <w:tcW w:w="4635" w:type="dxa"/>
                      <w:hideMark/>
                    </w:tcPr>
                    <w:p w14:paraId="77CC1E04" w14:textId="608CF9F3" w:rsidR="008814B7" w:rsidRPr="006E7F78" w:rsidRDefault="008814B7" w:rsidP="008814B7">
                      <w:pPr>
                        <w:rPr>
                          <w:lang w:val="en-GB"/>
                        </w:rPr>
                      </w:pPr>
                      <w:r w:rsidRPr="00875E14">
                        <w:rPr>
                          <w:lang w:val="en-GB"/>
                        </w:rPr>
                        <w:t>Submitted</w:t>
                      </w:r>
                      <w:r w:rsidRPr="006E7F78">
                        <w:rPr>
                          <w:lang w:val="en-GB"/>
                        </w:rPr>
                        <w:t xml:space="preserve"> by the </w:t>
                      </w:r>
                      <w:r>
                        <w:rPr>
                          <w:lang w:val="en-GB"/>
                        </w:rPr>
                        <w:t>GRSG Chair</w:t>
                      </w:r>
                    </w:p>
                  </w:tc>
                  <w:tc>
                    <w:tcPr>
                      <w:tcW w:w="4957" w:type="dxa"/>
                      <w:hideMark/>
                    </w:tcPr>
                    <w:p w14:paraId="6CA87A68" w14:textId="5FDF7DD9" w:rsidR="008814B7" w:rsidRPr="006E7F78" w:rsidRDefault="008814B7" w:rsidP="008814B7">
                      <w:pPr>
                        <w:spacing w:line="240" w:lineRule="auto"/>
                        <w:ind w:left="1167"/>
                        <w:jc w:val="right"/>
                        <w:rPr>
                          <w:rFonts w:eastAsia="Calibri"/>
                          <w:b/>
                          <w:bCs/>
                          <w:kern w:val="2"/>
                          <w:lang w:val="en-GB"/>
                        </w:rPr>
                      </w:pPr>
                      <w:r w:rsidRPr="006E7F78">
                        <w:rPr>
                          <w:rFonts w:eastAsia="Calibri"/>
                          <w:kern w:val="2"/>
                          <w:u w:val="single"/>
                          <w:lang w:val="en-GB"/>
                        </w:rPr>
                        <w:t>Informal document</w:t>
                      </w:r>
                      <w:r w:rsidRPr="006E7F78">
                        <w:rPr>
                          <w:rFonts w:eastAsia="Calibri"/>
                          <w:kern w:val="2"/>
                          <w:lang w:val="en-GB"/>
                        </w:rPr>
                        <w:t xml:space="preserve"> </w:t>
                      </w:r>
                      <w:r w:rsidRPr="006E7F78">
                        <w:rPr>
                          <w:rFonts w:eastAsia="Calibri"/>
                          <w:b/>
                          <w:bCs/>
                          <w:kern w:val="2"/>
                          <w:lang w:val="en-GB"/>
                        </w:rPr>
                        <w:t>GRSG-12</w:t>
                      </w:r>
                      <w:r w:rsidR="004B5A01">
                        <w:rPr>
                          <w:rFonts w:eastAsia="Calibri"/>
                          <w:b/>
                          <w:bCs/>
                          <w:kern w:val="2"/>
                          <w:lang w:val="en-GB"/>
                        </w:rPr>
                        <w:t>8</w:t>
                      </w:r>
                      <w:r w:rsidRPr="006E7F78">
                        <w:rPr>
                          <w:rFonts w:eastAsia="Calibri"/>
                          <w:b/>
                          <w:bCs/>
                          <w:kern w:val="2"/>
                          <w:lang w:val="en-GB"/>
                        </w:rPr>
                        <w:t>-0</w:t>
                      </w:r>
                      <w:r w:rsidR="004B5A01">
                        <w:rPr>
                          <w:rFonts w:eastAsia="Calibri"/>
                          <w:b/>
                          <w:bCs/>
                          <w:kern w:val="2"/>
                          <w:lang w:val="en-GB"/>
                        </w:rPr>
                        <w:t>3</w:t>
                      </w:r>
                    </w:p>
                    <w:p w14:paraId="166CEAD5" w14:textId="11023BEC" w:rsidR="008814B7" w:rsidRPr="006E7F78" w:rsidRDefault="008814B7" w:rsidP="008814B7">
                      <w:pPr>
                        <w:tabs>
                          <w:tab w:val="right" w:pos="9072"/>
                        </w:tabs>
                        <w:spacing w:line="240" w:lineRule="auto"/>
                        <w:ind w:left="1876"/>
                        <w:jc w:val="right"/>
                        <w:rPr>
                          <w:rFonts w:eastAsia="Calibri"/>
                          <w:kern w:val="2"/>
                          <w:lang w:val="en-GB"/>
                        </w:rPr>
                      </w:pPr>
                      <w:r w:rsidRPr="006E7F78">
                        <w:rPr>
                          <w:rFonts w:eastAsia="Calibri"/>
                          <w:kern w:val="2"/>
                          <w:lang w:val="en-GB"/>
                        </w:rPr>
                        <w:t>(12</w:t>
                      </w:r>
                      <w:r w:rsidR="004B5A01">
                        <w:rPr>
                          <w:rFonts w:eastAsia="Calibri"/>
                          <w:kern w:val="2"/>
                          <w:lang w:val="en-GB"/>
                        </w:rPr>
                        <w:t>8</w:t>
                      </w:r>
                      <w:r w:rsidRPr="008814B7">
                        <w:rPr>
                          <w:rFonts w:eastAsia="Calibri"/>
                          <w:kern w:val="2"/>
                          <w:vertAlign w:val="superscript"/>
                          <w:lang w:val="en-GB"/>
                        </w:rPr>
                        <w:t>th</w:t>
                      </w:r>
                      <w:r w:rsidRPr="006E7F78">
                        <w:rPr>
                          <w:rFonts w:eastAsia="Calibri"/>
                          <w:kern w:val="2"/>
                          <w:lang w:val="en-GB"/>
                        </w:rPr>
                        <w:t xml:space="preserve"> GRSG,</w:t>
                      </w:r>
                      <w:r w:rsidR="009A4C94">
                        <w:rPr>
                          <w:rFonts w:eastAsia="Calibri"/>
                          <w:kern w:val="2"/>
                          <w:lang w:val="en-GB"/>
                        </w:rPr>
                        <w:t xml:space="preserve"> </w:t>
                      </w:r>
                      <w:r w:rsidR="004B5A01">
                        <w:rPr>
                          <w:rFonts w:eastAsia="Calibri"/>
                          <w:kern w:val="2"/>
                          <w:lang w:val="en-GB"/>
                        </w:rPr>
                        <w:t>07</w:t>
                      </w:r>
                      <w:r w:rsidRPr="006E7F78">
                        <w:rPr>
                          <w:rFonts w:eastAsia="Calibri"/>
                          <w:kern w:val="2"/>
                          <w:lang w:val="en-GB"/>
                        </w:rPr>
                        <w:t>–</w:t>
                      </w:r>
                      <w:r w:rsidR="0069005F">
                        <w:rPr>
                          <w:rFonts w:eastAsia="Calibri"/>
                          <w:kern w:val="2"/>
                          <w:lang w:val="en-GB"/>
                        </w:rPr>
                        <w:t>1</w:t>
                      </w:r>
                      <w:r w:rsidR="004B5A01">
                        <w:rPr>
                          <w:rFonts w:eastAsia="Calibri"/>
                          <w:kern w:val="2"/>
                          <w:lang w:val="en-GB"/>
                        </w:rPr>
                        <w:t>1</w:t>
                      </w:r>
                      <w:r w:rsidRPr="006E7F78">
                        <w:rPr>
                          <w:rFonts w:eastAsia="Calibri"/>
                          <w:kern w:val="2"/>
                          <w:lang w:val="en-GB"/>
                        </w:rPr>
                        <w:t xml:space="preserve"> </w:t>
                      </w:r>
                      <w:r w:rsidR="004B5A01">
                        <w:rPr>
                          <w:rFonts w:eastAsia="Calibri"/>
                          <w:kern w:val="2"/>
                          <w:lang w:val="en-GB"/>
                        </w:rPr>
                        <w:t>October</w:t>
                      </w:r>
                      <w:r w:rsidRPr="006E7F78">
                        <w:rPr>
                          <w:rFonts w:eastAsia="Calibri"/>
                          <w:kern w:val="2"/>
                          <w:lang w:val="en-GB"/>
                        </w:rPr>
                        <w:t xml:space="preserve"> 202</w:t>
                      </w:r>
                      <w:r w:rsidR="002065D1">
                        <w:rPr>
                          <w:rFonts w:eastAsia="Calibri"/>
                          <w:kern w:val="2"/>
                          <w:lang w:val="en-GB"/>
                        </w:rPr>
                        <w:t>4</w:t>
                      </w:r>
                    </w:p>
                    <w:p w14:paraId="6B79BB60" w14:textId="3C7A972D" w:rsidR="008814B7" w:rsidRPr="006E7F78" w:rsidRDefault="008814B7" w:rsidP="008814B7">
                      <w:pPr>
                        <w:tabs>
                          <w:tab w:val="center" w:pos="4536"/>
                          <w:tab w:val="right" w:pos="9072"/>
                        </w:tabs>
                        <w:spacing w:line="240" w:lineRule="auto"/>
                        <w:ind w:left="2155"/>
                        <w:jc w:val="right"/>
                        <w:rPr>
                          <w:rFonts w:eastAsia="Calibri"/>
                          <w:kern w:val="2"/>
                          <w:lang w:val="en-GB"/>
                        </w:rPr>
                      </w:pPr>
                      <w:r w:rsidRPr="006E7F78">
                        <w:rPr>
                          <w:rFonts w:eastAsia="Calibri"/>
                          <w:kern w:val="2"/>
                          <w:lang w:val="en-GB"/>
                        </w:rPr>
                        <w:t xml:space="preserve">Agenda item </w:t>
                      </w:r>
                      <w:r>
                        <w:rPr>
                          <w:rFonts w:eastAsia="Calibri"/>
                          <w:kern w:val="2"/>
                          <w:lang w:val="en-GB"/>
                        </w:rPr>
                        <w:t>1)</w:t>
                      </w:r>
                    </w:p>
                  </w:tc>
                </w:tr>
              </w:tbl>
              <w:p w14:paraId="4BD8F51E" w14:textId="77777777" w:rsidR="008814B7" w:rsidRPr="006E7F78" w:rsidRDefault="008814B7" w:rsidP="008814B7">
                <w:pPr>
                  <w:pStyle w:val="Header"/>
                  <w:rPr>
                    <w:rFonts w:asciiTheme="majorBidi" w:hAnsiTheme="majorBidi" w:cstheme="majorBidi"/>
                    <w:sz w:val="20"/>
                    <w:lang w:val="en-GB"/>
                  </w:rPr>
                </w:pPr>
              </w:p>
            </w:tc>
          </w:tr>
        </w:tbl>
        <w:p w14:paraId="09A28F1E" w14:textId="7989D351" w:rsidR="008814B7" w:rsidRPr="006E7F78" w:rsidRDefault="008814B7" w:rsidP="008814B7">
          <w:pPr>
            <w:tabs>
              <w:tab w:val="center" w:pos="4320"/>
              <w:tab w:val="right" w:pos="8640"/>
            </w:tabs>
            <w:spacing w:line="240" w:lineRule="auto"/>
            <w:rPr>
              <w:rFonts w:eastAsia="Times New Roman"/>
              <w:lang w:val="en-GB"/>
            </w:rPr>
          </w:pPr>
        </w:p>
      </w:tc>
      <w:tc>
        <w:tcPr>
          <w:tcW w:w="4394" w:type="dxa"/>
          <w:hideMark/>
        </w:tcPr>
        <w:p w14:paraId="3C5938A2" w14:textId="77777777" w:rsidR="008814B7" w:rsidRPr="006E7F78" w:rsidRDefault="008814B7" w:rsidP="008814B7">
          <w:pPr>
            <w:spacing w:line="240" w:lineRule="auto"/>
            <w:ind w:left="743"/>
            <w:jc w:val="right"/>
            <w:rPr>
              <w:rFonts w:eastAsia="Times New Roman"/>
              <w:lang w:val="en-GB"/>
            </w:rPr>
          </w:pPr>
        </w:p>
      </w:tc>
    </w:tr>
  </w:tbl>
  <w:p w14:paraId="5BBD8924" w14:textId="77777777" w:rsidR="008814B7" w:rsidRPr="008814B7" w:rsidRDefault="008814B7" w:rsidP="008814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2061052548">
    <w:abstractNumId w:val="12"/>
  </w:num>
  <w:num w:numId="2" w16cid:durableId="207109624">
    <w:abstractNumId w:val="11"/>
  </w:num>
  <w:num w:numId="3" w16cid:durableId="392705893">
    <w:abstractNumId w:val="10"/>
  </w:num>
  <w:num w:numId="4" w16cid:durableId="1751930802">
    <w:abstractNumId w:val="8"/>
  </w:num>
  <w:num w:numId="5" w16cid:durableId="1367678385">
    <w:abstractNumId w:val="3"/>
  </w:num>
  <w:num w:numId="6" w16cid:durableId="1331131896">
    <w:abstractNumId w:val="2"/>
  </w:num>
  <w:num w:numId="7" w16cid:durableId="309482741">
    <w:abstractNumId w:val="1"/>
  </w:num>
  <w:num w:numId="8" w16cid:durableId="1613971468">
    <w:abstractNumId w:val="0"/>
  </w:num>
  <w:num w:numId="9" w16cid:durableId="1452894251">
    <w:abstractNumId w:val="9"/>
  </w:num>
  <w:num w:numId="10" w16cid:durableId="1324552694">
    <w:abstractNumId w:val="7"/>
  </w:num>
  <w:num w:numId="11" w16cid:durableId="265041180">
    <w:abstractNumId w:val="6"/>
  </w:num>
  <w:num w:numId="12" w16cid:durableId="962346940">
    <w:abstractNumId w:val="5"/>
  </w:num>
  <w:num w:numId="13" w16cid:durableId="316226895">
    <w:abstractNumId w:val="4"/>
  </w:num>
  <w:num w:numId="14" w16cid:durableId="1153450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B7"/>
    <w:rsid w:val="000033CD"/>
    <w:rsid w:val="00017F94"/>
    <w:rsid w:val="00023287"/>
    <w:rsid w:val="00023842"/>
    <w:rsid w:val="000334F9"/>
    <w:rsid w:val="0007796D"/>
    <w:rsid w:val="000843E2"/>
    <w:rsid w:val="000B7790"/>
    <w:rsid w:val="000C390E"/>
    <w:rsid w:val="000D02B2"/>
    <w:rsid w:val="00103267"/>
    <w:rsid w:val="00111F2F"/>
    <w:rsid w:val="0014365E"/>
    <w:rsid w:val="0014660A"/>
    <w:rsid w:val="00150DB2"/>
    <w:rsid w:val="00170C44"/>
    <w:rsid w:val="00176178"/>
    <w:rsid w:val="001A16E1"/>
    <w:rsid w:val="001F4BBD"/>
    <w:rsid w:val="001F525A"/>
    <w:rsid w:val="001F5617"/>
    <w:rsid w:val="001F69E6"/>
    <w:rsid w:val="002065D1"/>
    <w:rsid w:val="002067D5"/>
    <w:rsid w:val="00217C47"/>
    <w:rsid w:val="00223272"/>
    <w:rsid w:val="002443D7"/>
    <w:rsid w:val="0024779E"/>
    <w:rsid w:val="00250673"/>
    <w:rsid w:val="00277394"/>
    <w:rsid w:val="00291F1D"/>
    <w:rsid w:val="0029407C"/>
    <w:rsid w:val="002B7EF0"/>
    <w:rsid w:val="002B7F96"/>
    <w:rsid w:val="00333A57"/>
    <w:rsid w:val="00350987"/>
    <w:rsid w:val="00353B32"/>
    <w:rsid w:val="00353ED5"/>
    <w:rsid w:val="00380D80"/>
    <w:rsid w:val="00382A1F"/>
    <w:rsid w:val="00390178"/>
    <w:rsid w:val="003D1AD0"/>
    <w:rsid w:val="003F0681"/>
    <w:rsid w:val="003F6EB6"/>
    <w:rsid w:val="004227B8"/>
    <w:rsid w:val="00427785"/>
    <w:rsid w:val="00446FE5"/>
    <w:rsid w:val="00452396"/>
    <w:rsid w:val="00473E3A"/>
    <w:rsid w:val="004752A7"/>
    <w:rsid w:val="00480119"/>
    <w:rsid w:val="004A5D2C"/>
    <w:rsid w:val="004B075C"/>
    <w:rsid w:val="004B5A01"/>
    <w:rsid w:val="004D1CEB"/>
    <w:rsid w:val="005505B7"/>
    <w:rsid w:val="00573BE5"/>
    <w:rsid w:val="00586ED3"/>
    <w:rsid w:val="00596AA9"/>
    <w:rsid w:val="005A2903"/>
    <w:rsid w:val="005E2D53"/>
    <w:rsid w:val="006122C4"/>
    <w:rsid w:val="0069005F"/>
    <w:rsid w:val="00695CF8"/>
    <w:rsid w:val="006E2C9B"/>
    <w:rsid w:val="00710895"/>
    <w:rsid w:val="0071601D"/>
    <w:rsid w:val="0076624F"/>
    <w:rsid w:val="00766CEC"/>
    <w:rsid w:val="00793F29"/>
    <w:rsid w:val="0079527C"/>
    <w:rsid w:val="007A62E6"/>
    <w:rsid w:val="007B4EDF"/>
    <w:rsid w:val="007D0A06"/>
    <w:rsid w:val="008031B0"/>
    <w:rsid w:val="0080684C"/>
    <w:rsid w:val="00815502"/>
    <w:rsid w:val="008334BB"/>
    <w:rsid w:val="00833F2A"/>
    <w:rsid w:val="008713A5"/>
    <w:rsid w:val="00871C75"/>
    <w:rsid w:val="00875E14"/>
    <w:rsid w:val="008776DC"/>
    <w:rsid w:val="008814B7"/>
    <w:rsid w:val="008C6CDF"/>
    <w:rsid w:val="008F2A1D"/>
    <w:rsid w:val="0093050C"/>
    <w:rsid w:val="009359C6"/>
    <w:rsid w:val="009424FC"/>
    <w:rsid w:val="009570E7"/>
    <w:rsid w:val="00957790"/>
    <w:rsid w:val="00960B27"/>
    <w:rsid w:val="009705C8"/>
    <w:rsid w:val="00973529"/>
    <w:rsid w:val="00980DFD"/>
    <w:rsid w:val="00997338"/>
    <w:rsid w:val="009A4C94"/>
    <w:rsid w:val="009E6D68"/>
    <w:rsid w:val="009F47B0"/>
    <w:rsid w:val="00A12AB5"/>
    <w:rsid w:val="00A43413"/>
    <w:rsid w:val="00A86D85"/>
    <w:rsid w:val="00A96D08"/>
    <w:rsid w:val="00AC3823"/>
    <w:rsid w:val="00AD3959"/>
    <w:rsid w:val="00AE323C"/>
    <w:rsid w:val="00AE7D9F"/>
    <w:rsid w:val="00B00181"/>
    <w:rsid w:val="00B07F5D"/>
    <w:rsid w:val="00B10F01"/>
    <w:rsid w:val="00B43C66"/>
    <w:rsid w:val="00B765F7"/>
    <w:rsid w:val="00B91AE1"/>
    <w:rsid w:val="00B9521B"/>
    <w:rsid w:val="00BA0CA9"/>
    <w:rsid w:val="00BB3E59"/>
    <w:rsid w:val="00BC7831"/>
    <w:rsid w:val="00BE1F4C"/>
    <w:rsid w:val="00BE4745"/>
    <w:rsid w:val="00BE489A"/>
    <w:rsid w:val="00BF3C2C"/>
    <w:rsid w:val="00C02897"/>
    <w:rsid w:val="00C249A1"/>
    <w:rsid w:val="00C265E2"/>
    <w:rsid w:val="00C47244"/>
    <w:rsid w:val="00C94FD2"/>
    <w:rsid w:val="00CD38CD"/>
    <w:rsid w:val="00CF3AE1"/>
    <w:rsid w:val="00D177F9"/>
    <w:rsid w:val="00D21E17"/>
    <w:rsid w:val="00D3439C"/>
    <w:rsid w:val="00D40AEB"/>
    <w:rsid w:val="00D53B2E"/>
    <w:rsid w:val="00D57343"/>
    <w:rsid w:val="00D8744D"/>
    <w:rsid w:val="00DA0423"/>
    <w:rsid w:val="00DA0F2E"/>
    <w:rsid w:val="00DA22F4"/>
    <w:rsid w:val="00DB1831"/>
    <w:rsid w:val="00DD3BFD"/>
    <w:rsid w:val="00DF6678"/>
    <w:rsid w:val="00E00A93"/>
    <w:rsid w:val="00E22CF2"/>
    <w:rsid w:val="00E33F14"/>
    <w:rsid w:val="00E52D9F"/>
    <w:rsid w:val="00E5511A"/>
    <w:rsid w:val="00E83D99"/>
    <w:rsid w:val="00ED0477"/>
    <w:rsid w:val="00F0154A"/>
    <w:rsid w:val="00F019D1"/>
    <w:rsid w:val="00F12269"/>
    <w:rsid w:val="00F164B0"/>
    <w:rsid w:val="00F660DF"/>
    <w:rsid w:val="00F757C8"/>
    <w:rsid w:val="00F80094"/>
    <w:rsid w:val="00F82A3B"/>
    <w:rsid w:val="00F95C08"/>
    <w:rsid w:val="00FA01DD"/>
    <w:rsid w:val="00FB0D55"/>
    <w:rsid w:val="00FB257F"/>
    <w:rsid w:val="00FC66A2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CD69"/>
  <w15:docId w15:val="{AE143880-64DF-4F06-AC56-984E814E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  <w:kinsoku/>
      <w:overflowPunct/>
      <w:autoSpaceDE/>
      <w:autoSpaceDN/>
      <w:adjustRightInd/>
      <w:snapToGrid/>
      <w:spacing w:line="240" w:lineRule="auto"/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after="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79527C"/>
    <w:pPr>
      <w:numPr>
        <w:numId w:val="14"/>
      </w:numPr>
      <w:suppressAutoHyphens w:val="0"/>
      <w:kinsoku/>
      <w:overflowPunct/>
      <w:autoSpaceDE/>
      <w:autoSpaceDN/>
      <w:adjustRightInd/>
      <w:snapToGrid/>
    </w:pPr>
    <w:rPr>
      <w:rFonts w:eastAsia="Times New Roman"/>
    </w:rPr>
  </w:style>
  <w:style w:type="character" w:customStyle="1" w:styleId="SingleTxtGChar">
    <w:name w:val="_ Single Txt_G Char"/>
    <w:link w:val="SingleTxtG"/>
    <w:qFormat/>
    <w:rsid w:val="0088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9E1E5-9A7B-47D8-9851-C3F6C2928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83CA17-E55B-4B6D-8F12-61BDC2CD3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AA606-BF88-4D73-BF78-1A8F96C3AF90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acccb6d4-dbe5-46d2-b4d3-5733603d8cc6"/>
    <ds:schemaRef ds:uri="4b4a1c0d-4a69-4996-a84a-fc699b9f49de"/>
    <ds:schemaRef ds:uri="985ec44e-1bab-4c0b-9df0-6ba128686f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B81301-B790-473F-87F9-ECE1E2B99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1820</Characters>
  <Application>Microsoft Office Word</Application>
  <DocSecurity>0</DocSecurity>
  <Lines>36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UNOG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Edoardo Gianotti</dc:creator>
  <cp:lastModifiedBy>Edoardo Gianotti</cp:lastModifiedBy>
  <cp:revision>2</cp:revision>
  <cp:lastPrinted>2014-05-14T10:59:00Z</cp:lastPrinted>
  <dcterms:created xsi:type="dcterms:W3CDTF">2024-09-19T07:53:00Z</dcterms:created>
  <dcterms:modified xsi:type="dcterms:W3CDTF">2024-09-19T07:53:00Z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