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10065" w:type="dxa"/>
        <w:tblBorders>
          <w:bottom w:val="single" w:sz="12" w:space="0" w:color="auto"/>
        </w:tblBorders>
        <w:tblLayout w:type="fixed"/>
        <w:tblCellMar>
          <w:left w:w="0" w:type="dxa"/>
          <w:right w:w="0" w:type="dxa"/>
        </w:tblCellMar>
        <w:tblLook w:val="01E0" w:firstRow="1" w:lastRow="1" w:firstColumn="1" w:lastColumn="1" w:noHBand="0" w:noVBand="0"/>
      </w:tblPr>
      <w:tblGrid>
        <w:gridCol w:w="4395"/>
        <w:gridCol w:w="1275"/>
        <w:gridCol w:w="4395"/>
      </w:tblGrid>
      <w:tr w:rsidR="00E03A64" w:rsidRPr="00CD213C" w14:paraId="3FADE671" w14:textId="77777777" w:rsidTr="00CD213C">
        <w:trPr>
          <w:cantSplit/>
          <w:trHeight w:hRule="exact" w:val="864"/>
        </w:trPr>
        <w:tc>
          <w:tcPr>
            <w:tcW w:w="4395" w:type="dxa"/>
            <w:shd w:val="clear" w:color="auto" w:fill="auto"/>
          </w:tcPr>
          <w:p w14:paraId="4FEC8B78" w14:textId="5FBE58A8" w:rsidR="00E03A64" w:rsidRPr="004301E7" w:rsidRDefault="00706331" w:rsidP="00FB17A0">
            <w:pPr>
              <w:rPr>
                <w:lang w:val="en-US"/>
              </w:rPr>
            </w:pPr>
            <w:r w:rsidRPr="00A102E3">
              <w:rPr>
                <w:lang w:val="en-US"/>
              </w:rPr>
              <w:t>Transmitted by</w:t>
            </w:r>
            <w:r w:rsidR="009A115D">
              <w:rPr>
                <w:lang w:val="en-US"/>
              </w:rPr>
              <w:t xml:space="preserve"> </w:t>
            </w:r>
            <w:r w:rsidR="00FB17A0">
              <w:rPr>
                <w:lang w:val="en-US"/>
              </w:rPr>
              <w:t xml:space="preserve">the </w:t>
            </w:r>
            <w:r w:rsidR="008828AF">
              <w:rPr>
                <w:lang w:val="en-US"/>
              </w:rPr>
              <w:t>chair and secretary</w:t>
            </w:r>
            <w:r w:rsidR="009A115D">
              <w:rPr>
                <w:lang w:val="en-US"/>
              </w:rPr>
              <w:br/>
            </w:r>
            <w:r w:rsidR="00FB17A0">
              <w:rPr>
                <w:lang w:val="en-US"/>
              </w:rPr>
              <w:t xml:space="preserve">of </w:t>
            </w:r>
            <w:r w:rsidR="00FB17A0" w:rsidRPr="00FB17A0">
              <w:rPr>
                <w:lang w:val="en-US"/>
              </w:rPr>
              <w:t xml:space="preserve">the </w:t>
            </w:r>
            <w:r w:rsidR="00CC69B4">
              <w:rPr>
                <w:lang w:val="en-US"/>
              </w:rPr>
              <w:t>former</w:t>
            </w:r>
            <w:r w:rsidR="00A04F31">
              <w:rPr>
                <w:lang w:val="en-US"/>
              </w:rPr>
              <w:t xml:space="preserve"> </w:t>
            </w:r>
            <w:r w:rsidR="00744918">
              <w:rPr>
                <w:lang w:val="en-US"/>
              </w:rPr>
              <w:t xml:space="preserve">IWG </w:t>
            </w:r>
            <w:r w:rsidR="00576137">
              <w:rPr>
                <w:lang w:val="en-US"/>
              </w:rPr>
              <w:t>MU</w:t>
            </w:r>
          </w:p>
        </w:tc>
        <w:tc>
          <w:tcPr>
            <w:tcW w:w="1275" w:type="dxa"/>
            <w:shd w:val="clear" w:color="auto" w:fill="auto"/>
          </w:tcPr>
          <w:p w14:paraId="40AF5B1A" w14:textId="5EE0DB67" w:rsidR="00E03A64" w:rsidRPr="004301E7" w:rsidRDefault="00E03A64" w:rsidP="0041175A">
            <w:pPr>
              <w:spacing w:before="120" w:line="420" w:lineRule="exact"/>
              <w:rPr>
                <w:sz w:val="40"/>
                <w:szCs w:val="40"/>
                <w:lang w:val="en-US"/>
              </w:rPr>
            </w:pPr>
          </w:p>
        </w:tc>
        <w:tc>
          <w:tcPr>
            <w:tcW w:w="4395" w:type="dxa"/>
            <w:shd w:val="clear" w:color="auto" w:fill="auto"/>
          </w:tcPr>
          <w:p w14:paraId="65923530" w14:textId="6208625E" w:rsidR="001A26EA" w:rsidRDefault="001A26EA" w:rsidP="00CD213C">
            <w:pPr>
              <w:tabs>
                <w:tab w:val="left" w:pos="712"/>
              </w:tabs>
              <w:spacing w:line="240" w:lineRule="exact"/>
              <w:rPr>
                <w:lang w:val="en-US"/>
              </w:rPr>
            </w:pPr>
            <w:r>
              <w:rPr>
                <w:lang w:val="en-US"/>
              </w:rPr>
              <w:tab/>
            </w:r>
            <w:r w:rsidR="009A115D">
              <w:rPr>
                <w:lang w:val="en-US"/>
              </w:rPr>
              <w:t>I</w:t>
            </w:r>
            <w:r w:rsidR="009A115D" w:rsidRPr="00A102E3">
              <w:rPr>
                <w:lang w:val="en-US"/>
              </w:rPr>
              <w:t xml:space="preserve">nformal document </w:t>
            </w:r>
            <w:r w:rsidR="009A115D" w:rsidRPr="00744918">
              <w:rPr>
                <w:b/>
                <w:bCs/>
                <w:sz w:val="24"/>
                <w:szCs w:val="24"/>
                <w:lang w:val="en-US"/>
              </w:rPr>
              <w:t>GRBP-80-</w:t>
            </w:r>
            <w:r w:rsidR="00A6629C">
              <w:rPr>
                <w:b/>
                <w:bCs/>
                <w:sz w:val="24"/>
                <w:szCs w:val="24"/>
                <w:lang w:val="en-US"/>
              </w:rPr>
              <w:t>07</w:t>
            </w:r>
            <w:r w:rsidR="00CD213C">
              <w:rPr>
                <w:b/>
                <w:bCs/>
                <w:sz w:val="24"/>
                <w:szCs w:val="24"/>
                <w:lang w:val="en-US"/>
              </w:rPr>
              <w:t>-Rev.1</w:t>
            </w:r>
          </w:p>
          <w:p w14:paraId="75BBC628" w14:textId="50002A2C" w:rsidR="00E03A64" w:rsidRPr="004301E7" w:rsidRDefault="001A26EA" w:rsidP="00CD213C">
            <w:pPr>
              <w:tabs>
                <w:tab w:val="left" w:pos="712"/>
              </w:tabs>
              <w:spacing w:line="240" w:lineRule="exact"/>
              <w:rPr>
                <w:lang w:val="en-US"/>
              </w:rPr>
            </w:pPr>
            <w:r>
              <w:rPr>
                <w:lang w:val="en-US"/>
              </w:rPr>
              <w:tab/>
            </w:r>
            <w:r w:rsidR="009A115D">
              <w:rPr>
                <w:lang w:val="en-US"/>
              </w:rPr>
              <w:t>80</w:t>
            </w:r>
            <w:r w:rsidR="009A115D" w:rsidRPr="000E1CD7">
              <w:rPr>
                <w:vertAlign w:val="superscript"/>
                <w:lang w:val="en-US"/>
              </w:rPr>
              <w:t>th</w:t>
            </w:r>
            <w:r w:rsidR="000E1CD7">
              <w:rPr>
                <w:lang w:val="en-US"/>
              </w:rPr>
              <w:t xml:space="preserve"> </w:t>
            </w:r>
            <w:r w:rsidR="009A115D" w:rsidRPr="00A102E3">
              <w:rPr>
                <w:lang w:val="en-US"/>
              </w:rPr>
              <w:t xml:space="preserve">GRBP, </w:t>
            </w:r>
            <w:r w:rsidR="00D01A31">
              <w:rPr>
                <w:lang w:val="en-US"/>
              </w:rPr>
              <w:t>17-20 Sept</w:t>
            </w:r>
            <w:r w:rsidR="00CD213C">
              <w:rPr>
                <w:lang w:val="en-US"/>
              </w:rPr>
              <w:t>ember</w:t>
            </w:r>
            <w:r w:rsidR="009A115D" w:rsidRPr="00A102E3">
              <w:rPr>
                <w:lang w:val="en-US"/>
              </w:rPr>
              <w:t xml:space="preserve"> 2024</w:t>
            </w:r>
            <w:r w:rsidR="00744918">
              <w:rPr>
                <w:lang w:val="en-US"/>
              </w:rPr>
              <w:br/>
            </w:r>
            <w:r>
              <w:rPr>
                <w:lang w:val="en-US"/>
              </w:rPr>
              <w:tab/>
            </w:r>
            <w:r w:rsidR="009A115D" w:rsidRPr="00A102E3">
              <w:rPr>
                <w:lang w:val="en-US"/>
              </w:rPr>
              <w:t xml:space="preserve">item </w:t>
            </w:r>
            <w:r w:rsidR="00D749EF" w:rsidRPr="00CA0C6D">
              <w:rPr>
                <w:lang w:val="en-US"/>
              </w:rPr>
              <w:t>3</w:t>
            </w:r>
            <w:r w:rsidR="009A115D" w:rsidRPr="00A102E3">
              <w:rPr>
                <w:lang w:val="en-US"/>
              </w:rPr>
              <w:t xml:space="preserve"> of the provisional agenda</w:t>
            </w:r>
          </w:p>
        </w:tc>
      </w:tr>
    </w:tbl>
    <w:p w14:paraId="5DA55A6D" w14:textId="77777777" w:rsidR="009B280E" w:rsidRDefault="009B280E" w:rsidP="00E03A64">
      <w:pPr>
        <w:spacing w:before="120"/>
        <w:rPr>
          <w:b/>
          <w:sz w:val="28"/>
          <w:szCs w:val="28"/>
          <w:lang w:val="en-US"/>
        </w:rPr>
      </w:pPr>
    </w:p>
    <w:p w14:paraId="0BFF9FF4" w14:textId="77777777" w:rsidR="009B280E" w:rsidRDefault="009B280E" w:rsidP="00E03A64">
      <w:pPr>
        <w:spacing w:before="120"/>
        <w:rPr>
          <w:b/>
          <w:sz w:val="28"/>
          <w:szCs w:val="28"/>
          <w:lang w:val="en-US"/>
        </w:rPr>
      </w:pPr>
    </w:p>
    <w:p w14:paraId="55A814E2" w14:textId="1919593D" w:rsidR="002A6C82" w:rsidRDefault="00904E96" w:rsidP="00DD29C0">
      <w:pPr>
        <w:keepNext/>
        <w:keepLines/>
        <w:tabs>
          <w:tab w:val="right" w:pos="851"/>
        </w:tabs>
        <w:spacing w:before="360" w:after="240" w:line="300" w:lineRule="exact"/>
        <w:ind w:left="1134" w:right="1134" w:hanging="1134"/>
        <w:rPr>
          <w:b/>
          <w:sz w:val="28"/>
          <w:lang w:val="en-US"/>
        </w:rPr>
      </w:pPr>
      <w:r w:rsidRPr="004301E7">
        <w:rPr>
          <w:b/>
          <w:sz w:val="28"/>
          <w:lang w:val="en-US"/>
        </w:rPr>
        <w:tab/>
      </w:r>
      <w:r w:rsidRPr="004301E7">
        <w:rPr>
          <w:b/>
          <w:sz w:val="28"/>
          <w:lang w:val="en-US"/>
        </w:rPr>
        <w:tab/>
      </w:r>
      <w:bookmarkStart w:id="0" w:name="_Hlk87371461"/>
      <w:r w:rsidR="00790A7E" w:rsidRPr="004301E7">
        <w:rPr>
          <w:b/>
          <w:sz w:val="28"/>
          <w:lang w:val="en-US"/>
        </w:rPr>
        <w:t xml:space="preserve">Proposal </w:t>
      </w:r>
      <w:r w:rsidR="002A6C82">
        <w:rPr>
          <w:b/>
          <w:sz w:val="28"/>
          <w:lang w:val="en-US"/>
        </w:rPr>
        <w:t>to repla</w:t>
      </w:r>
      <w:r w:rsidR="00400F46">
        <w:rPr>
          <w:b/>
          <w:sz w:val="28"/>
          <w:lang w:val="en-US"/>
        </w:rPr>
        <w:t>ce ECE/TRANS/WP.29/GRBP/202</w:t>
      </w:r>
      <w:r w:rsidR="00DF0EDA">
        <w:rPr>
          <w:b/>
          <w:sz w:val="28"/>
          <w:lang w:val="en-US"/>
        </w:rPr>
        <w:t>4/8</w:t>
      </w:r>
      <w:r w:rsidR="00F911D4" w:rsidRPr="004301E7">
        <w:rPr>
          <w:b/>
          <w:sz w:val="28"/>
          <w:lang w:val="en-US"/>
        </w:rPr>
        <w:t xml:space="preserve"> </w:t>
      </w:r>
    </w:p>
    <w:p w14:paraId="2F3FD084" w14:textId="77777777" w:rsidR="002A6C82" w:rsidRDefault="002A6C82" w:rsidP="00DD29C0">
      <w:pPr>
        <w:keepNext/>
        <w:keepLines/>
        <w:tabs>
          <w:tab w:val="right" w:pos="851"/>
        </w:tabs>
        <w:spacing w:before="360" w:after="240" w:line="300" w:lineRule="exact"/>
        <w:ind w:left="1134" w:right="1134" w:hanging="1134"/>
        <w:rPr>
          <w:b/>
          <w:sz w:val="28"/>
          <w:lang w:val="en-US"/>
        </w:rPr>
      </w:pPr>
    </w:p>
    <w:p w14:paraId="50792E1E" w14:textId="314BA4CD" w:rsidR="00904E96" w:rsidRPr="004301E7" w:rsidRDefault="002A6C82" w:rsidP="00DD29C0">
      <w:pPr>
        <w:keepNext/>
        <w:keepLines/>
        <w:tabs>
          <w:tab w:val="right" w:pos="851"/>
        </w:tabs>
        <w:spacing w:before="360" w:after="240" w:line="300" w:lineRule="exact"/>
        <w:ind w:left="1134" w:right="1134" w:hanging="1134"/>
        <w:rPr>
          <w:b/>
          <w:sz w:val="24"/>
          <w:szCs w:val="24"/>
          <w:lang w:val="en-US"/>
        </w:rPr>
      </w:pPr>
      <w:r>
        <w:rPr>
          <w:b/>
          <w:sz w:val="28"/>
          <w:lang w:val="en-US"/>
        </w:rPr>
        <w:tab/>
      </w:r>
      <w:r>
        <w:rPr>
          <w:b/>
          <w:sz w:val="28"/>
          <w:lang w:val="en-US"/>
        </w:rPr>
        <w:tab/>
      </w:r>
      <w:r w:rsidR="00DB61C6">
        <w:rPr>
          <w:b/>
          <w:sz w:val="28"/>
          <w:lang w:val="en-US"/>
        </w:rPr>
        <w:t>Document for Reference</w:t>
      </w:r>
      <w:r w:rsidR="00E92C36" w:rsidRPr="004301E7">
        <w:rPr>
          <w:b/>
          <w:sz w:val="28"/>
          <w:lang w:val="en-US"/>
        </w:rPr>
        <w:t xml:space="preserve">: </w:t>
      </w:r>
      <w:bookmarkEnd w:id="0"/>
      <w:r w:rsidR="0027135A">
        <w:rPr>
          <w:b/>
          <w:sz w:val="28"/>
          <w:lang w:val="en-US"/>
        </w:rPr>
        <w:t>m</w:t>
      </w:r>
      <w:r w:rsidR="00DD29C0" w:rsidRPr="004301E7">
        <w:rPr>
          <w:b/>
          <w:sz w:val="28"/>
          <w:lang w:val="en-US"/>
        </w:rPr>
        <w:t xml:space="preserve">easurement </w:t>
      </w:r>
      <w:r w:rsidR="0027135A">
        <w:rPr>
          <w:b/>
          <w:sz w:val="28"/>
          <w:lang w:val="en-US"/>
        </w:rPr>
        <w:t>u</w:t>
      </w:r>
      <w:r w:rsidR="00DD29C0" w:rsidRPr="004301E7">
        <w:rPr>
          <w:b/>
          <w:sz w:val="28"/>
          <w:lang w:val="en-US"/>
        </w:rPr>
        <w:t xml:space="preserve">ncertainties when </w:t>
      </w:r>
      <w:r w:rsidR="006E5DE0">
        <w:rPr>
          <w:b/>
          <w:sz w:val="28"/>
          <w:lang w:val="en-US"/>
        </w:rPr>
        <w:t>t</w:t>
      </w:r>
      <w:r w:rsidR="00DD29C0" w:rsidRPr="004301E7">
        <w:rPr>
          <w:b/>
          <w:sz w:val="28"/>
          <w:lang w:val="en-US"/>
        </w:rPr>
        <w:t>esting</w:t>
      </w:r>
      <w:r w:rsidR="006E5DE0">
        <w:rPr>
          <w:b/>
          <w:sz w:val="28"/>
          <w:lang w:val="en-US"/>
        </w:rPr>
        <w:t xml:space="preserve"> </w:t>
      </w:r>
      <w:r w:rsidR="00DD29C0" w:rsidRPr="004301E7">
        <w:rPr>
          <w:b/>
          <w:sz w:val="28"/>
          <w:lang w:val="en-US"/>
        </w:rPr>
        <w:t xml:space="preserve">in </w:t>
      </w:r>
      <w:r w:rsidR="008A7D43">
        <w:rPr>
          <w:b/>
          <w:sz w:val="28"/>
          <w:lang w:val="en-US"/>
        </w:rPr>
        <w:t>UN</w:t>
      </w:r>
      <w:r w:rsidR="00DD29C0" w:rsidRPr="004301E7">
        <w:rPr>
          <w:b/>
          <w:sz w:val="28"/>
          <w:lang w:val="en-US"/>
        </w:rPr>
        <w:t xml:space="preserve"> Regulations</w:t>
      </w:r>
      <w:r w:rsidR="00DE7795">
        <w:rPr>
          <w:b/>
          <w:sz w:val="28"/>
          <w:lang w:val="en-US"/>
        </w:rPr>
        <w:t xml:space="preserve"> under the purview of the </w:t>
      </w:r>
      <w:r w:rsidR="00DE7795" w:rsidRPr="00DE7795">
        <w:rPr>
          <w:b/>
          <w:sz w:val="28"/>
          <w:lang w:val="en-US"/>
        </w:rPr>
        <w:t>Working Party on Noise and Tyres</w:t>
      </w:r>
    </w:p>
    <w:p w14:paraId="53EB104F" w14:textId="6CC7CFFB" w:rsidR="00904E96" w:rsidRPr="004301E7" w:rsidRDefault="00904E96" w:rsidP="00904E96">
      <w:pPr>
        <w:keepNext/>
        <w:keepLines/>
        <w:tabs>
          <w:tab w:val="right" w:pos="851"/>
        </w:tabs>
        <w:spacing w:before="360" w:after="240" w:line="270" w:lineRule="exact"/>
        <w:ind w:left="1134" w:right="1134" w:hanging="1134"/>
        <w:rPr>
          <w:b/>
          <w:sz w:val="24"/>
          <w:lang w:val="en-US"/>
        </w:rPr>
      </w:pPr>
      <w:r w:rsidRPr="004301E7">
        <w:rPr>
          <w:b/>
          <w:sz w:val="24"/>
          <w:lang w:val="en-US"/>
        </w:rPr>
        <w:tab/>
      </w:r>
      <w:r w:rsidRPr="004301E7">
        <w:rPr>
          <w:b/>
          <w:sz w:val="24"/>
          <w:lang w:val="en-US"/>
        </w:rPr>
        <w:tab/>
        <w:t xml:space="preserve">Submitted by the </w:t>
      </w:r>
      <w:r w:rsidR="007F65BF" w:rsidRPr="004301E7">
        <w:rPr>
          <w:b/>
          <w:sz w:val="24"/>
          <w:lang w:val="en-US"/>
        </w:rPr>
        <w:t>Informal Working Group</w:t>
      </w:r>
      <w:r w:rsidR="004F707E" w:rsidRPr="004301E7">
        <w:rPr>
          <w:b/>
          <w:sz w:val="24"/>
          <w:lang w:val="en-US"/>
        </w:rPr>
        <w:t xml:space="preserve"> on</w:t>
      </w:r>
      <w:r w:rsidR="007F65BF" w:rsidRPr="004301E7">
        <w:rPr>
          <w:b/>
          <w:sz w:val="24"/>
          <w:lang w:val="en-US"/>
        </w:rPr>
        <w:t xml:space="preserve"> Measurement Uncertainties</w:t>
      </w:r>
      <w:r w:rsidR="00E8108F" w:rsidRPr="005531D9">
        <w:rPr>
          <w:b/>
          <w:lang w:val="en-GB"/>
        </w:rPr>
        <w:footnoteReference w:customMarkFollows="1" w:id="2"/>
        <w:t>*</w:t>
      </w:r>
      <w:r w:rsidR="00020CA7" w:rsidRPr="004301E7">
        <w:rPr>
          <w:b/>
          <w:sz w:val="24"/>
          <w:lang w:val="en-US"/>
        </w:rPr>
        <w:t xml:space="preserve"> </w:t>
      </w:r>
      <w:r w:rsidRPr="004301E7">
        <w:rPr>
          <w:b/>
          <w:sz w:val="24"/>
          <w:lang w:val="en-US"/>
        </w:rPr>
        <w:t xml:space="preserve"> </w:t>
      </w:r>
    </w:p>
    <w:p w14:paraId="7BDD979D" w14:textId="366E0852" w:rsidR="00904E96" w:rsidRPr="004301E7" w:rsidRDefault="00602BBB" w:rsidP="00602BBB">
      <w:pPr>
        <w:pStyle w:val="SingleTxtG"/>
        <w:spacing w:before="240" w:after="0"/>
        <w:rPr>
          <w:lang w:val="en-US"/>
        </w:rPr>
      </w:pPr>
      <w:r w:rsidRPr="004301E7">
        <w:rPr>
          <w:lang w:val="en-US"/>
        </w:rPr>
        <w:tab/>
      </w:r>
      <w:r w:rsidRPr="004301E7">
        <w:rPr>
          <w:lang w:val="en-US"/>
        </w:rPr>
        <w:tab/>
      </w:r>
      <w:r w:rsidR="003D27DE" w:rsidRPr="004301E7">
        <w:rPr>
          <w:lang w:val="en-US"/>
        </w:rPr>
        <w:t xml:space="preserve">The text below was </w:t>
      </w:r>
      <w:r w:rsidR="00F413C9" w:rsidRPr="004301E7">
        <w:rPr>
          <w:lang w:val="en-US"/>
        </w:rPr>
        <w:t xml:space="preserve">developed </w:t>
      </w:r>
      <w:r w:rsidR="003D27DE" w:rsidRPr="004301E7">
        <w:rPr>
          <w:lang w:val="en-US"/>
        </w:rPr>
        <w:t xml:space="preserve">by the Informal Working Group on Measurement Uncertainties (IWG MU) as a </w:t>
      </w:r>
      <w:r w:rsidR="00DB61C6">
        <w:rPr>
          <w:lang w:val="en-US"/>
        </w:rPr>
        <w:t>Document for Reference</w:t>
      </w:r>
      <w:r w:rsidR="003D27DE" w:rsidRPr="004301E7">
        <w:rPr>
          <w:lang w:val="en-US"/>
        </w:rPr>
        <w:t xml:space="preserve">. </w:t>
      </w:r>
      <w:r w:rsidR="00F413C9" w:rsidRPr="004301E7">
        <w:rPr>
          <w:lang w:val="en-US"/>
        </w:rPr>
        <w:t xml:space="preserve">According to </w:t>
      </w:r>
      <w:r w:rsidR="003D27DE" w:rsidRPr="004301E7">
        <w:rPr>
          <w:lang w:val="en-US"/>
        </w:rPr>
        <w:t xml:space="preserve">the </w:t>
      </w:r>
      <w:r w:rsidR="00175CF0">
        <w:rPr>
          <w:lang w:val="en-US"/>
        </w:rPr>
        <w:t>m</w:t>
      </w:r>
      <w:r w:rsidR="003D27DE" w:rsidRPr="004301E7">
        <w:rPr>
          <w:lang w:val="en-US"/>
        </w:rPr>
        <w:t>andate</w:t>
      </w:r>
      <w:r w:rsidR="00A135B8">
        <w:rPr>
          <w:lang w:val="en-US"/>
        </w:rPr>
        <w:t xml:space="preserve"> given by </w:t>
      </w:r>
      <w:r w:rsidR="003D27DE" w:rsidRPr="004301E7">
        <w:rPr>
          <w:lang w:val="en-US"/>
        </w:rPr>
        <w:t>the Working Party on Noise and Tyres (GRBP) at its seventy-first session (ECE/TRANS/WP.29/GRBP/69)</w:t>
      </w:r>
      <w:r w:rsidR="00722E11" w:rsidRPr="004301E7">
        <w:rPr>
          <w:lang w:val="en-US"/>
        </w:rPr>
        <w:t>,</w:t>
      </w:r>
      <w:r w:rsidR="003D27DE" w:rsidRPr="004301E7">
        <w:rPr>
          <w:lang w:val="en-US"/>
        </w:rPr>
        <w:t xml:space="preserve"> IWG MU was given the</w:t>
      </w:r>
      <w:r w:rsidR="00046C6E" w:rsidRPr="004301E7">
        <w:rPr>
          <w:lang w:val="en-US"/>
        </w:rPr>
        <w:t xml:space="preserve"> first</w:t>
      </w:r>
      <w:r w:rsidR="003D27DE" w:rsidRPr="004301E7">
        <w:rPr>
          <w:lang w:val="en-US"/>
        </w:rPr>
        <w:t xml:space="preserve"> task to amend </w:t>
      </w:r>
      <w:r w:rsidR="00722E11" w:rsidRPr="004301E7">
        <w:rPr>
          <w:lang w:val="en-US"/>
        </w:rPr>
        <w:t xml:space="preserve">UN </w:t>
      </w:r>
      <w:r w:rsidR="003D27DE" w:rsidRPr="004301E7">
        <w:rPr>
          <w:lang w:val="en-US"/>
        </w:rPr>
        <w:t>Regulation</w:t>
      </w:r>
      <w:r w:rsidR="00722E11" w:rsidRPr="004301E7">
        <w:rPr>
          <w:lang w:val="en-US"/>
        </w:rPr>
        <w:t>s</w:t>
      </w:r>
      <w:r w:rsidR="003D27DE" w:rsidRPr="004301E7">
        <w:rPr>
          <w:lang w:val="en-US"/>
        </w:rPr>
        <w:t xml:space="preserve"> No</w:t>
      </w:r>
      <w:r w:rsidR="00722E11" w:rsidRPr="004301E7">
        <w:rPr>
          <w:lang w:val="en-US"/>
        </w:rPr>
        <w:t>s</w:t>
      </w:r>
      <w:r w:rsidR="003D27DE" w:rsidRPr="004301E7">
        <w:rPr>
          <w:lang w:val="en-US"/>
        </w:rPr>
        <w:t>.</w:t>
      </w:r>
      <w:r w:rsidR="00722E11" w:rsidRPr="004301E7">
        <w:rPr>
          <w:lang w:val="en-US"/>
        </w:rPr>
        <w:t xml:space="preserve"> </w:t>
      </w:r>
      <w:r w:rsidR="003D27DE" w:rsidRPr="004301E7">
        <w:rPr>
          <w:lang w:val="en-US"/>
        </w:rPr>
        <w:t xml:space="preserve">51 </w:t>
      </w:r>
      <w:r w:rsidR="00722E11" w:rsidRPr="004301E7">
        <w:rPr>
          <w:lang w:val="en-US"/>
        </w:rPr>
        <w:t xml:space="preserve">and </w:t>
      </w:r>
      <w:r w:rsidR="003D27DE" w:rsidRPr="004301E7">
        <w:rPr>
          <w:lang w:val="en-US"/>
        </w:rPr>
        <w:t xml:space="preserve">117 </w:t>
      </w:r>
      <w:r w:rsidR="00342A46">
        <w:rPr>
          <w:lang w:val="en-US"/>
        </w:rPr>
        <w:t xml:space="preserve">with the aim </w:t>
      </w:r>
      <w:r w:rsidR="003D27DE" w:rsidRPr="004301E7">
        <w:rPr>
          <w:lang w:val="en-US"/>
        </w:rPr>
        <w:t xml:space="preserve">to reduce measurement uncertainties. In addition, </w:t>
      </w:r>
      <w:r w:rsidR="00046C6E" w:rsidRPr="004301E7">
        <w:rPr>
          <w:lang w:val="en-US"/>
        </w:rPr>
        <w:t xml:space="preserve">the Terms of Reference of </w:t>
      </w:r>
      <w:r w:rsidR="00476E5D" w:rsidRPr="004301E7">
        <w:rPr>
          <w:lang w:val="en-US"/>
        </w:rPr>
        <w:t xml:space="preserve">IWG MU </w:t>
      </w:r>
      <w:r w:rsidR="00B0320A" w:rsidRPr="004301E7">
        <w:rPr>
          <w:lang w:val="en-US"/>
        </w:rPr>
        <w:t xml:space="preserve">included </w:t>
      </w:r>
      <w:r w:rsidR="00821838" w:rsidRPr="004301E7">
        <w:rPr>
          <w:lang w:val="en-US"/>
        </w:rPr>
        <w:t>developing a</w:t>
      </w:r>
      <w:r w:rsidR="003D27DE" w:rsidRPr="004301E7">
        <w:rPr>
          <w:lang w:val="en-US"/>
        </w:rPr>
        <w:t xml:space="preserve"> general approach how to handle measurement uncertainties in UN</w:t>
      </w:r>
      <w:r w:rsidR="00821838" w:rsidRPr="004301E7">
        <w:rPr>
          <w:lang w:val="en-US"/>
        </w:rPr>
        <w:t xml:space="preserve"> R</w:t>
      </w:r>
      <w:r w:rsidR="003D27DE" w:rsidRPr="004301E7">
        <w:rPr>
          <w:lang w:val="en-US"/>
        </w:rPr>
        <w:t>egulations.</w:t>
      </w:r>
      <w:r w:rsidR="00D17AAA" w:rsidRPr="004301E7">
        <w:rPr>
          <w:lang w:val="en-US"/>
        </w:rPr>
        <w:t xml:space="preserve"> </w:t>
      </w:r>
    </w:p>
    <w:p w14:paraId="4A17BF86" w14:textId="019CD2AD" w:rsidR="00162760" w:rsidRPr="004301E7" w:rsidRDefault="00162760" w:rsidP="00904E96">
      <w:pPr>
        <w:pStyle w:val="SingleTxtG"/>
        <w:tabs>
          <w:tab w:val="left" w:pos="8505"/>
        </w:tabs>
        <w:spacing w:before="240" w:after="0"/>
        <w:ind w:firstLine="567"/>
        <w:rPr>
          <w:lang w:val="en-US"/>
        </w:rPr>
      </w:pPr>
    </w:p>
    <w:p w14:paraId="7F0E57F8" w14:textId="77777777" w:rsidR="00805445" w:rsidRPr="004301E7" w:rsidRDefault="00805445" w:rsidP="00E03A64">
      <w:pPr>
        <w:rPr>
          <w:bCs/>
          <w:lang w:val="en-US"/>
        </w:rPr>
      </w:pPr>
    </w:p>
    <w:p w14:paraId="6451C1B3" w14:textId="77777777" w:rsidR="00240D36" w:rsidRPr="004301E7" w:rsidRDefault="00240D36" w:rsidP="006A187B">
      <w:pPr>
        <w:keepNext/>
        <w:keepLines/>
        <w:tabs>
          <w:tab w:val="right" w:pos="851"/>
          <w:tab w:val="left" w:pos="8505"/>
        </w:tabs>
        <w:spacing w:before="360" w:after="240" w:line="300" w:lineRule="exact"/>
        <w:ind w:left="1134" w:right="1134" w:firstLine="567"/>
        <w:rPr>
          <w:lang w:val="en-US"/>
        </w:rPr>
        <w:sectPr w:rsidR="00240D36" w:rsidRPr="004301E7" w:rsidSect="00817A5D">
          <w:footerReference w:type="even" r:id="rId11"/>
          <w:headerReference w:type="first" r:id="rId12"/>
          <w:endnotePr>
            <w:numFmt w:val="decimal"/>
          </w:endnotePr>
          <w:pgSz w:w="11907" w:h="16840" w:code="9"/>
          <w:pgMar w:top="1418" w:right="1134" w:bottom="1134" w:left="1134" w:header="851" w:footer="567" w:gutter="0"/>
          <w:cols w:space="720"/>
          <w:titlePg/>
          <w:docGrid w:linePitch="272"/>
        </w:sectPr>
      </w:pPr>
    </w:p>
    <w:p w14:paraId="27B8E706" w14:textId="1D2423EA" w:rsidR="007A1B95" w:rsidRPr="00091A57" w:rsidRDefault="00C46A63" w:rsidP="00091A57">
      <w:pPr>
        <w:keepNext/>
        <w:keepLines/>
        <w:tabs>
          <w:tab w:val="right" w:pos="851"/>
        </w:tabs>
        <w:spacing w:before="360" w:after="240" w:line="270" w:lineRule="exact"/>
        <w:ind w:left="1134" w:right="1134" w:hanging="1134"/>
        <w:rPr>
          <w:b/>
          <w:sz w:val="28"/>
          <w:szCs w:val="28"/>
          <w:lang w:val="en-US"/>
        </w:rPr>
      </w:pPr>
      <w:r w:rsidRPr="00091A57">
        <w:rPr>
          <w:b/>
          <w:sz w:val="28"/>
          <w:szCs w:val="28"/>
          <w:lang w:val="en-US"/>
        </w:rPr>
        <w:tab/>
      </w:r>
      <w:r w:rsidRPr="00091A57">
        <w:rPr>
          <w:b/>
          <w:sz w:val="28"/>
          <w:szCs w:val="28"/>
          <w:lang w:val="en-US"/>
        </w:rPr>
        <w:tab/>
      </w:r>
      <w:r w:rsidR="00D01CC1" w:rsidRPr="00091A57">
        <w:rPr>
          <w:b/>
          <w:sz w:val="28"/>
          <w:szCs w:val="28"/>
          <w:lang w:val="en-US"/>
        </w:rPr>
        <w:t xml:space="preserve">Document for </w:t>
      </w:r>
      <w:r w:rsidR="00DB61C6">
        <w:rPr>
          <w:b/>
          <w:sz w:val="28"/>
          <w:szCs w:val="28"/>
          <w:lang w:val="en-US"/>
        </w:rPr>
        <w:t>R</w:t>
      </w:r>
      <w:r w:rsidR="00D01CC1" w:rsidRPr="00091A57">
        <w:rPr>
          <w:b/>
          <w:sz w:val="28"/>
          <w:szCs w:val="28"/>
          <w:lang w:val="en-US"/>
        </w:rPr>
        <w:t xml:space="preserve">eference: measurement uncertainties when testing in UN Regulations under the purview of the Working Party on Noise and Tyres </w:t>
      </w:r>
    </w:p>
    <w:p w14:paraId="499890A2" w14:textId="768BEBD8" w:rsidR="004E0769" w:rsidRPr="004301E7" w:rsidRDefault="004E0769" w:rsidP="0074404B">
      <w:pPr>
        <w:keepNext/>
        <w:keepLines/>
        <w:tabs>
          <w:tab w:val="right" w:pos="851"/>
        </w:tabs>
        <w:spacing w:before="360" w:after="120" w:line="300" w:lineRule="exact"/>
        <w:ind w:left="1134" w:right="1134" w:hanging="1134"/>
        <w:rPr>
          <w:sz w:val="28"/>
          <w:lang w:val="en-US"/>
        </w:rPr>
      </w:pPr>
      <w:r w:rsidRPr="004301E7">
        <w:rPr>
          <w:sz w:val="28"/>
          <w:lang w:val="en-US"/>
        </w:rPr>
        <w:t>Contents</w:t>
      </w:r>
    </w:p>
    <w:p w14:paraId="70E3BD98" w14:textId="762D3B45" w:rsidR="00B36265" w:rsidRPr="004301E7" w:rsidRDefault="00B36265" w:rsidP="00B36265">
      <w:pPr>
        <w:widowControl w:val="0"/>
        <w:suppressAutoHyphens w:val="0"/>
        <w:spacing w:after="120"/>
        <w:ind w:left="1134" w:right="-1" w:firstLine="567"/>
        <w:jc w:val="right"/>
        <w:rPr>
          <w:i/>
          <w:lang w:val="en-US"/>
        </w:rPr>
      </w:pPr>
      <w:r w:rsidRPr="004301E7">
        <w:rPr>
          <w:i/>
          <w:lang w:val="en-US"/>
        </w:rPr>
        <w:t>Page</w:t>
      </w:r>
    </w:p>
    <w:p w14:paraId="55D84993" w14:textId="0AEEA9C9" w:rsidR="00265550" w:rsidRPr="00454943" w:rsidRDefault="002A0864" w:rsidP="006D6013">
      <w:pPr>
        <w:pStyle w:val="Verzeichnis1"/>
        <w:rPr>
          <w:noProof/>
          <w:sz w:val="20"/>
          <w:szCs w:val="20"/>
          <w:lang w:val="en-US"/>
        </w:rPr>
      </w:pPr>
      <w:r w:rsidRPr="004301E7">
        <w:rPr>
          <w:sz w:val="20"/>
          <w:szCs w:val="20"/>
          <w:lang w:val="en-US"/>
        </w:rPr>
        <w:tab/>
      </w:r>
      <w:r w:rsidR="00265550" w:rsidRPr="00454943">
        <w:rPr>
          <w:noProof/>
          <w:sz w:val="20"/>
          <w:szCs w:val="20"/>
          <w:lang w:val="en-US"/>
        </w:rPr>
        <w:t>1.</w:t>
      </w:r>
      <w:r w:rsidR="00265550" w:rsidRPr="00454943">
        <w:rPr>
          <w:noProof/>
          <w:sz w:val="20"/>
          <w:szCs w:val="20"/>
          <w:lang w:val="en-US"/>
        </w:rPr>
        <w:tab/>
      </w:r>
      <w:r w:rsidR="00E428CD" w:rsidRPr="00E428CD">
        <w:rPr>
          <w:b/>
          <w:bCs/>
          <w:noProof/>
          <w:sz w:val="20"/>
          <w:szCs w:val="20"/>
          <w:lang w:val="en-US"/>
        </w:rPr>
        <w:t>Scope</w:t>
      </w:r>
      <w:r w:rsidR="00E428CD" w:rsidRPr="00E428CD">
        <w:rPr>
          <w:strike/>
          <w:noProof/>
          <w:sz w:val="20"/>
          <w:szCs w:val="20"/>
          <w:lang w:val="en-US"/>
        </w:rPr>
        <w:t>Background</w:t>
      </w:r>
      <w:r w:rsidR="00265550" w:rsidRPr="00454943">
        <w:rPr>
          <w:noProof/>
          <w:webHidden/>
          <w:sz w:val="20"/>
          <w:szCs w:val="20"/>
          <w:lang w:val="en-US"/>
        </w:rPr>
        <w:tab/>
      </w:r>
      <w:r w:rsidR="00083660" w:rsidRPr="00454943">
        <w:rPr>
          <w:noProof/>
          <w:webHidden/>
          <w:sz w:val="20"/>
          <w:szCs w:val="20"/>
          <w:lang w:val="en-US"/>
        </w:rPr>
        <w:t>3</w:t>
      </w:r>
    </w:p>
    <w:p w14:paraId="658B65DD" w14:textId="6679E906" w:rsidR="00265550" w:rsidRPr="00454943" w:rsidRDefault="002A0864" w:rsidP="006D6013">
      <w:pPr>
        <w:pStyle w:val="Verzeichnis1"/>
        <w:rPr>
          <w:noProof/>
          <w:sz w:val="20"/>
          <w:szCs w:val="20"/>
          <w:lang w:val="en-US"/>
        </w:rPr>
      </w:pPr>
      <w:r w:rsidRPr="00454943">
        <w:rPr>
          <w:rStyle w:val="Hyperlink"/>
          <w:noProof/>
          <w:sz w:val="20"/>
          <w:szCs w:val="20"/>
          <w:u w:val="none"/>
          <w:lang w:val="en-US"/>
        </w:rPr>
        <w:tab/>
      </w:r>
      <w:r w:rsidR="00265550" w:rsidRPr="00454943">
        <w:rPr>
          <w:noProof/>
          <w:sz w:val="20"/>
          <w:szCs w:val="20"/>
          <w:lang w:val="en-US"/>
        </w:rPr>
        <w:t>2.</w:t>
      </w:r>
      <w:r w:rsidR="00265550" w:rsidRPr="00454943">
        <w:rPr>
          <w:noProof/>
          <w:sz w:val="20"/>
          <w:szCs w:val="20"/>
          <w:lang w:val="en-US"/>
        </w:rPr>
        <w:tab/>
      </w:r>
      <w:r w:rsidR="00D82B89" w:rsidRPr="00454943">
        <w:rPr>
          <w:noProof/>
          <w:sz w:val="20"/>
          <w:szCs w:val="20"/>
          <w:lang w:val="en-US"/>
        </w:rPr>
        <w:t>Measurement Uncertainties in</w:t>
      </w:r>
      <w:r w:rsidR="007057A1" w:rsidRPr="00454943">
        <w:rPr>
          <w:noProof/>
          <w:sz w:val="20"/>
          <w:szCs w:val="20"/>
          <w:lang w:val="en-US"/>
        </w:rPr>
        <w:t xml:space="preserve"> </w:t>
      </w:r>
      <w:r w:rsidR="00341BEC">
        <w:rPr>
          <w:noProof/>
          <w:sz w:val="20"/>
          <w:szCs w:val="20"/>
          <w:lang w:val="en-US"/>
        </w:rPr>
        <w:t xml:space="preserve">UN </w:t>
      </w:r>
      <w:r w:rsidR="007057A1" w:rsidRPr="00454943">
        <w:rPr>
          <w:noProof/>
          <w:sz w:val="20"/>
          <w:szCs w:val="20"/>
          <w:lang w:val="en-US"/>
        </w:rPr>
        <w:t>Regulations</w:t>
      </w:r>
      <w:r w:rsidR="00265550" w:rsidRPr="00454943">
        <w:rPr>
          <w:noProof/>
          <w:webHidden/>
          <w:sz w:val="20"/>
          <w:szCs w:val="20"/>
          <w:lang w:val="en-US"/>
        </w:rPr>
        <w:tab/>
      </w:r>
      <w:r w:rsidR="00E428CD" w:rsidRPr="00E428CD">
        <w:rPr>
          <w:strike/>
          <w:noProof/>
          <w:webHidden/>
          <w:sz w:val="20"/>
          <w:szCs w:val="20"/>
          <w:lang w:val="en-US"/>
        </w:rPr>
        <w:t>3</w:t>
      </w:r>
      <w:r w:rsidR="00E428CD" w:rsidRPr="00E428CD">
        <w:rPr>
          <w:b/>
          <w:bCs/>
          <w:noProof/>
          <w:webHidden/>
          <w:sz w:val="20"/>
          <w:szCs w:val="20"/>
          <w:lang w:val="en-US"/>
        </w:rPr>
        <w:t>4</w:t>
      </w:r>
    </w:p>
    <w:p w14:paraId="32E18479" w14:textId="3D3011E0" w:rsidR="00265550" w:rsidRPr="00454943" w:rsidRDefault="008D4DE7" w:rsidP="00E26B01">
      <w:pPr>
        <w:pStyle w:val="Verzeichnis1"/>
        <w:rPr>
          <w:noProof/>
          <w:sz w:val="20"/>
          <w:szCs w:val="20"/>
          <w:lang w:val="en-US"/>
        </w:rPr>
      </w:pPr>
      <w:r w:rsidRPr="00454943">
        <w:rPr>
          <w:rStyle w:val="Hyperlink"/>
          <w:noProof/>
          <w:sz w:val="20"/>
          <w:szCs w:val="20"/>
          <w:u w:val="none"/>
          <w:lang w:val="en-US"/>
        </w:rPr>
        <w:tab/>
      </w:r>
      <w:r w:rsidR="00265550" w:rsidRPr="00454943">
        <w:rPr>
          <w:noProof/>
          <w:sz w:val="20"/>
          <w:szCs w:val="20"/>
          <w:lang w:val="en-US"/>
        </w:rPr>
        <w:t>3.</w:t>
      </w:r>
      <w:r w:rsidR="00265550" w:rsidRPr="00454943">
        <w:rPr>
          <w:noProof/>
          <w:sz w:val="20"/>
          <w:szCs w:val="20"/>
          <w:lang w:val="en-US"/>
        </w:rPr>
        <w:tab/>
      </w:r>
      <w:r w:rsidR="00205148" w:rsidRPr="00454943">
        <w:rPr>
          <w:noProof/>
          <w:sz w:val="20"/>
          <w:szCs w:val="20"/>
          <w:lang w:val="en-US"/>
        </w:rPr>
        <w:t>References</w:t>
      </w:r>
      <w:r w:rsidR="00205148" w:rsidRPr="00454943">
        <w:rPr>
          <w:noProof/>
          <w:sz w:val="20"/>
          <w:szCs w:val="20"/>
          <w:lang w:val="en-US"/>
        </w:rPr>
        <w:tab/>
      </w:r>
      <w:r w:rsidR="008B3228" w:rsidRPr="00243DE5">
        <w:rPr>
          <w:strike/>
          <w:noProof/>
          <w:sz w:val="20"/>
          <w:szCs w:val="20"/>
          <w:lang w:val="en-US"/>
        </w:rPr>
        <w:t>7</w:t>
      </w:r>
      <w:r w:rsidR="00243DE5" w:rsidRPr="00243DE5">
        <w:rPr>
          <w:b/>
          <w:bCs/>
          <w:noProof/>
          <w:sz w:val="20"/>
          <w:szCs w:val="20"/>
          <w:lang w:val="en-US"/>
        </w:rPr>
        <w:t>8</w:t>
      </w:r>
    </w:p>
    <w:p w14:paraId="4FAF7A5C" w14:textId="77777777" w:rsidR="00DE02E9" w:rsidRDefault="00E26B01" w:rsidP="00DE02E9">
      <w:pPr>
        <w:pStyle w:val="Verzeichnis1"/>
        <w:ind w:hanging="1134"/>
        <w:rPr>
          <w:noProof/>
          <w:sz w:val="20"/>
          <w:szCs w:val="20"/>
          <w:lang w:val="en-US"/>
        </w:rPr>
      </w:pPr>
      <w:r w:rsidRPr="00454943">
        <w:rPr>
          <w:noProof/>
          <w:sz w:val="20"/>
          <w:szCs w:val="20"/>
          <w:lang w:val="en-US"/>
        </w:rPr>
        <w:t>Annex</w:t>
      </w:r>
    </w:p>
    <w:p w14:paraId="10A3D5E0" w14:textId="02045D49" w:rsidR="00265550" w:rsidRPr="004301E7" w:rsidRDefault="00135807" w:rsidP="00DE02E9">
      <w:pPr>
        <w:pStyle w:val="Verzeichnis1"/>
        <w:ind w:hanging="850"/>
        <w:rPr>
          <w:noProof/>
          <w:sz w:val="20"/>
          <w:szCs w:val="20"/>
          <w:lang w:val="en-US"/>
        </w:rPr>
      </w:pPr>
      <w:r w:rsidRPr="00454943">
        <w:rPr>
          <w:noProof/>
          <w:sz w:val="20"/>
          <w:szCs w:val="20"/>
          <w:lang w:val="en-US"/>
        </w:rPr>
        <w:t xml:space="preserve"> </w:t>
      </w:r>
      <w:r w:rsidR="00DE02E9">
        <w:rPr>
          <w:noProof/>
          <w:sz w:val="20"/>
          <w:szCs w:val="20"/>
          <w:lang w:val="en-US"/>
        </w:rPr>
        <w:tab/>
      </w:r>
      <w:r w:rsidR="00DE02E9">
        <w:rPr>
          <w:noProof/>
          <w:sz w:val="20"/>
          <w:szCs w:val="20"/>
          <w:lang w:val="en-US"/>
        </w:rPr>
        <w:tab/>
      </w:r>
      <w:r w:rsidRPr="00454943">
        <w:rPr>
          <w:noProof/>
          <w:sz w:val="20"/>
          <w:szCs w:val="20"/>
          <w:lang w:val="en-US"/>
        </w:rPr>
        <w:t>Measurement Uncertainty Tables</w:t>
      </w:r>
      <w:r w:rsidR="00E13E59" w:rsidRPr="00454943">
        <w:rPr>
          <w:noProof/>
          <w:webHidden/>
          <w:sz w:val="20"/>
          <w:szCs w:val="20"/>
          <w:lang w:val="en-US"/>
        </w:rPr>
        <w:tab/>
      </w:r>
      <w:r w:rsidR="008B3228">
        <w:rPr>
          <w:noProof/>
          <w:webHidden/>
          <w:sz w:val="20"/>
          <w:szCs w:val="20"/>
          <w:lang w:val="en-US"/>
        </w:rPr>
        <w:t>8</w:t>
      </w:r>
    </w:p>
    <w:p w14:paraId="7850A386" w14:textId="559FA61D" w:rsidR="00265550" w:rsidRPr="004301E7" w:rsidRDefault="002A0864" w:rsidP="006D6013">
      <w:pPr>
        <w:pStyle w:val="Verzeichnis1"/>
        <w:rPr>
          <w:rStyle w:val="Hyperlink"/>
          <w:noProof/>
          <w:sz w:val="20"/>
          <w:szCs w:val="20"/>
          <w:u w:val="none"/>
          <w:lang w:val="en-US"/>
        </w:rPr>
      </w:pPr>
      <w:r w:rsidRPr="004301E7">
        <w:rPr>
          <w:rStyle w:val="Hyperlink"/>
          <w:noProof/>
          <w:sz w:val="20"/>
          <w:szCs w:val="20"/>
          <w:u w:val="none"/>
          <w:lang w:val="en-US"/>
        </w:rPr>
        <w:tab/>
      </w:r>
    </w:p>
    <w:p w14:paraId="56A3463F" w14:textId="7B0C61B9" w:rsidR="00AE28E3" w:rsidRPr="004301E7" w:rsidRDefault="00AE28E3" w:rsidP="00AE28E3">
      <w:pPr>
        <w:pStyle w:val="HChG"/>
        <w:tabs>
          <w:tab w:val="clear" w:pos="851"/>
          <w:tab w:val="right" w:pos="2268"/>
        </w:tabs>
        <w:ind w:firstLine="0"/>
        <w:rPr>
          <w:lang w:val="en-US"/>
        </w:rPr>
      </w:pPr>
    </w:p>
    <w:p w14:paraId="64F98C16" w14:textId="77777777" w:rsidR="009F6BF5" w:rsidRPr="004301E7" w:rsidRDefault="009F6BF5">
      <w:pPr>
        <w:suppressAutoHyphens w:val="0"/>
        <w:spacing w:line="240" w:lineRule="auto"/>
        <w:rPr>
          <w:b/>
          <w:sz w:val="28"/>
          <w:lang w:val="en-US"/>
        </w:rPr>
      </w:pPr>
      <w:bookmarkStart w:id="1" w:name="_Toc87431059"/>
      <w:r w:rsidRPr="004301E7">
        <w:rPr>
          <w:lang w:val="en-US"/>
        </w:rPr>
        <w:br w:type="page"/>
      </w:r>
    </w:p>
    <w:bookmarkEnd w:id="1"/>
    <w:p w14:paraId="2282CC6B" w14:textId="198F8F4B" w:rsidR="00A67E2B" w:rsidRPr="004F1089" w:rsidRDefault="00A67E2B" w:rsidP="004F1089">
      <w:pPr>
        <w:pStyle w:val="H1G"/>
        <w:numPr>
          <w:ilvl w:val="0"/>
          <w:numId w:val="19"/>
        </w:numPr>
        <w:rPr>
          <w:lang w:val="en-US"/>
        </w:rPr>
      </w:pPr>
      <w:r w:rsidRPr="004F1089">
        <w:rPr>
          <w:lang w:val="en-US"/>
        </w:rPr>
        <w:t>Scope</w:t>
      </w:r>
    </w:p>
    <w:p w14:paraId="606DD7EC" w14:textId="4D5B08B9" w:rsidR="00447CDB" w:rsidRPr="00447CDB" w:rsidRDefault="00A67E2B" w:rsidP="00C3516D">
      <w:pPr>
        <w:spacing w:after="120"/>
        <w:ind w:left="2268" w:right="1134"/>
        <w:jc w:val="both"/>
        <w:rPr>
          <w:rFonts w:asciiTheme="majorBidi" w:hAnsiTheme="majorBidi" w:cstheme="majorBidi"/>
          <w:b/>
          <w:bCs/>
          <w:lang w:val="en-US"/>
        </w:rPr>
      </w:pPr>
      <w:r w:rsidRPr="00447CDB">
        <w:rPr>
          <w:rFonts w:asciiTheme="majorBidi" w:hAnsiTheme="majorBidi" w:cstheme="majorBidi"/>
          <w:b/>
          <w:bCs/>
          <w:lang w:val="en-US"/>
        </w:rPr>
        <w:t xml:space="preserve">This </w:t>
      </w:r>
      <w:r w:rsidR="00447CDB" w:rsidRPr="00447CDB">
        <w:rPr>
          <w:rFonts w:asciiTheme="majorBidi" w:hAnsiTheme="majorBidi" w:cstheme="majorBidi"/>
          <w:b/>
          <w:bCs/>
          <w:lang w:val="en-US"/>
        </w:rPr>
        <w:t xml:space="preserve">document </w:t>
      </w:r>
      <w:r w:rsidR="00447CDB">
        <w:rPr>
          <w:rFonts w:asciiTheme="majorBidi" w:hAnsiTheme="majorBidi" w:cstheme="majorBidi"/>
          <w:b/>
          <w:bCs/>
          <w:lang w:val="en-US"/>
        </w:rPr>
        <w:t xml:space="preserve">for </w:t>
      </w:r>
      <w:r w:rsidRPr="00447CDB">
        <w:rPr>
          <w:rFonts w:asciiTheme="majorBidi" w:hAnsiTheme="majorBidi" w:cstheme="majorBidi"/>
          <w:b/>
          <w:bCs/>
          <w:lang w:val="en-US"/>
        </w:rPr>
        <w:t xml:space="preserve">reference </w:t>
      </w:r>
      <w:r w:rsidR="00646081">
        <w:rPr>
          <w:rFonts w:asciiTheme="majorBidi" w:hAnsiTheme="majorBidi" w:cstheme="majorBidi"/>
          <w:b/>
          <w:bCs/>
          <w:lang w:val="en-US"/>
        </w:rPr>
        <w:t>might</w:t>
      </w:r>
      <w:r w:rsidR="0010343E">
        <w:rPr>
          <w:rFonts w:asciiTheme="majorBidi" w:hAnsiTheme="majorBidi" w:cstheme="majorBidi"/>
          <w:b/>
          <w:bCs/>
          <w:lang w:val="en-US"/>
        </w:rPr>
        <w:t xml:space="preserve"> be</w:t>
      </w:r>
      <w:r w:rsidRPr="00447CDB">
        <w:rPr>
          <w:rFonts w:asciiTheme="majorBidi" w:hAnsiTheme="majorBidi" w:cstheme="majorBidi"/>
          <w:b/>
          <w:bCs/>
          <w:lang w:val="en-US"/>
        </w:rPr>
        <w:t xml:space="preserve"> applied to measurement procedures used in UN regulations of the Working Party on Noise and Tyres (GRBP). It supports the definition of limit values during the development of regulations by transparently presenting the measurement uncertainties embodied in the measurement procedures during type approval, conformity of production and other measurement </w:t>
      </w:r>
      <w:r w:rsidR="00447CDB" w:rsidRPr="00447CDB">
        <w:rPr>
          <w:rFonts w:asciiTheme="majorBidi" w:hAnsiTheme="majorBidi" w:cstheme="majorBidi"/>
          <w:b/>
          <w:bCs/>
          <w:lang w:val="en-US"/>
        </w:rPr>
        <w:t>reason</w:t>
      </w:r>
      <w:r w:rsidRPr="00447CDB">
        <w:rPr>
          <w:rFonts w:asciiTheme="majorBidi" w:hAnsiTheme="majorBidi" w:cstheme="majorBidi"/>
          <w:b/>
          <w:bCs/>
          <w:lang w:val="en-US"/>
        </w:rPr>
        <w:t xml:space="preserve">s. </w:t>
      </w:r>
    </w:p>
    <w:p w14:paraId="0EE8E756" w14:textId="6CF290C1" w:rsidR="00A67E2B" w:rsidRDefault="00A67E2B" w:rsidP="00C3516D">
      <w:pPr>
        <w:spacing w:after="120"/>
        <w:ind w:left="2268" w:right="1134"/>
        <w:jc w:val="both"/>
        <w:rPr>
          <w:rFonts w:asciiTheme="majorBidi" w:hAnsiTheme="majorBidi" w:cstheme="majorBidi"/>
          <w:b/>
          <w:bCs/>
          <w:lang w:val="en-US"/>
        </w:rPr>
      </w:pPr>
      <w:r w:rsidRPr="00447CDB">
        <w:rPr>
          <w:rFonts w:asciiTheme="majorBidi" w:hAnsiTheme="majorBidi" w:cstheme="majorBidi"/>
          <w:b/>
          <w:bCs/>
          <w:lang w:val="en-US"/>
        </w:rPr>
        <w:t xml:space="preserve">It is </w:t>
      </w:r>
      <w:r w:rsidR="00447CDB" w:rsidRPr="00447CDB">
        <w:rPr>
          <w:rFonts w:asciiTheme="majorBidi" w:hAnsiTheme="majorBidi" w:cstheme="majorBidi"/>
          <w:b/>
          <w:bCs/>
          <w:lang w:val="en-US"/>
        </w:rPr>
        <w:t>not intended</w:t>
      </w:r>
      <w:r w:rsidRPr="00447CDB">
        <w:rPr>
          <w:rFonts w:asciiTheme="majorBidi" w:hAnsiTheme="majorBidi" w:cstheme="majorBidi"/>
          <w:b/>
          <w:bCs/>
          <w:lang w:val="en-US"/>
        </w:rPr>
        <w:t xml:space="preserve"> to question or </w:t>
      </w:r>
      <w:r w:rsidR="00447CDB" w:rsidRPr="00447CDB">
        <w:rPr>
          <w:rFonts w:asciiTheme="majorBidi" w:hAnsiTheme="majorBidi" w:cstheme="majorBidi"/>
          <w:b/>
          <w:bCs/>
          <w:lang w:val="en-US"/>
        </w:rPr>
        <w:t xml:space="preserve">even </w:t>
      </w:r>
      <w:r w:rsidRPr="00447CDB">
        <w:rPr>
          <w:rFonts w:asciiTheme="majorBidi" w:hAnsiTheme="majorBidi" w:cstheme="majorBidi"/>
          <w:b/>
          <w:bCs/>
          <w:lang w:val="en-US"/>
        </w:rPr>
        <w:t>soften defined limit values for type approval and production conformity</w:t>
      </w:r>
      <w:r w:rsidR="00447CDB" w:rsidRPr="00447CDB">
        <w:rPr>
          <w:rFonts w:asciiTheme="majorBidi" w:hAnsiTheme="majorBidi" w:cstheme="majorBidi"/>
          <w:b/>
          <w:bCs/>
          <w:lang w:val="en-US"/>
        </w:rPr>
        <w:t xml:space="preserve"> in UN-Regulations.</w:t>
      </w:r>
    </w:p>
    <w:p w14:paraId="41E17033" w14:textId="5ACAA3E1" w:rsidR="008B70CE" w:rsidRPr="00FD0163" w:rsidRDefault="007E410A" w:rsidP="008B70CE">
      <w:pPr>
        <w:pStyle w:val="berschrift2"/>
        <w:numPr>
          <w:ilvl w:val="0"/>
          <w:numId w:val="0"/>
        </w:numPr>
        <w:ind w:left="2268"/>
        <w:rPr>
          <w:rFonts w:asciiTheme="majorBidi" w:hAnsiTheme="majorBidi" w:cstheme="majorBidi"/>
          <w:b/>
          <w:bCs/>
          <w:sz w:val="20"/>
          <w:szCs w:val="20"/>
          <w:lang w:val="en-US"/>
        </w:rPr>
      </w:pPr>
      <w:r w:rsidRPr="00CC69B4">
        <w:rPr>
          <w:rFonts w:asciiTheme="majorBidi" w:hAnsiTheme="majorBidi" w:cstheme="majorBidi"/>
          <w:b/>
          <w:bCs/>
          <w:sz w:val="20"/>
          <w:szCs w:val="20"/>
          <w:lang w:val="en-US"/>
        </w:rPr>
        <w:t xml:space="preserve">This document </w:t>
      </w:r>
      <w:r w:rsidR="00097A0F" w:rsidRPr="00CC69B4">
        <w:rPr>
          <w:rFonts w:asciiTheme="majorBidi" w:hAnsiTheme="majorBidi" w:cstheme="majorBidi"/>
          <w:b/>
          <w:bCs/>
          <w:sz w:val="20"/>
          <w:szCs w:val="20"/>
          <w:lang w:val="en-US"/>
        </w:rPr>
        <w:t xml:space="preserve">for reference </w:t>
      </w:r>
      <w:r w:rsidRPr="00CC69B4">
        <w:rPr>
          <w:rFonts w:asciiTheme="majorBidi" w:hAnsiTheme="majorBidi" w:cstheme="majorBidi"/>
          <w:b/>
          <w:bCs/>
          <w:sz w:val="20"/>
          <w:szCs w:val="20"/>
          <w:lang w:val="en-US"/>
        </w:rPr>
        <w:t xml:space="preserve">shall </w:t>
      </w:r>
      <w:r w:rsidR="00097A0F" w:rsidRPr="00CC69B4">
        <w:rPr>
          <w:rFonts w:asciiTheme="majorBidi" w:hAnsiTheme="majorBidi" w:cstheme="majorBidi"/>
          <w:b/>
          <w:bCs/>
          <w:sz w:val="20"/>
          <w:szCs w:val="20"/>
          <w:lang w:val="en-US"/>
        </w:rPr>
        <w:t xml:space="preserve">not </w:t>
      </w:r>
      <w:r w:rsidR="00386C15" w:rsidRPr="00CC69B4">
        <w:rPr>
          <w:rFonts w:asciiTheme="majorBidi" w:hAnsiTheme="majorBidi" w:cstheme="majorBidi"/>
          <w:b/>
          <w:bCs/>
          <w:sz w:val="20"/>
          <w:szCs w:val="20"/>
          <w:lang w:val="en-US"/>
        </w:rPr>
        <w:t xml:space="preserve">be </w:t>
      </w:r>
      <w:r w:rsidR="00097A0F" w:rsidRPr="00CC69B4">
        <w:rPr>
          <w:rFonts w:asciiTheme="majorBidi" w:hAnsiTheme="majorBidi" w:cstheme="majorBidi"/>
          <w:b/>
          <w:bCs/>
          <w:sz w:val="20"/>
          <w:szCs w:val="20"/>
          <w:lang w:val="en-US"/>
        </w:rPr>
        <w:t xml:space="preserve">applied to </w:t>
      </w:r>
      <w:r w:rsidR="00677BA6" w:rsidRPr="00CC69B4">
        <w:rPr>
          <w:rFonts w:asciiTheme="majorBidi" w:hAnsiTheme="majorBidi" w:cstheme="majorBidi"/>
          <w:b/>
          <w:bCs/>
          <w:sz w:val="20"/>
          <w:szCs w:val="20"/>
          <w:lang w:val="en-US"/>
        </w:rPr>
        <w:t xml:space="preserve">measurement procedures </w:t>
      </w:r>
      <w:r w:rsidR="00B009BC" w:rsidRPr="00CC69B4">
        <w:rPr>
          <w:rFonts w:asciiTheme="majorBidi" w:hAnsiTheme="majorBidi" w:cstheme="majorBidi"/>
          <w:b/>
          <w:bCs/>
          <w:sz w:val="20"/>
          <w:szCs w:val="20"/>
          <w:lang w:val="en-US"/>
        </w:rPr>
        <w:t xml:space="preserve">for vehicles in use </w:t>
      </w:r>
      <w:r w:rsidR="006A2741" w:rsidRPr="00CC69B4">
        <w:rPr>
          <w:rFonts w:asciiTheme="majorBidi" w:hAnsiTheme="majorBidi" w:cstheme="majorBidi"/>
          <w:b/>
          <w:bCs/>
          <w:sz w:val="20"/>
          <w:szCs w:val="20"/>
          <w:lang w:val="en-US"/>
        </w:rPr>
        <w:t>dealing with s</w:t>
      </w:r>
      <w:r w:rsidR="00B653CC" w:rsidRPr="00CC69B4">
        <w:rPr>
          <w:rFonts w:asciiTheme="majorBidi" w:hAnsiTheme="majorBidi" w:cstheme="majorBidi"/>
          <w:b/>
          <w:bCs/>
          <w:sz w:val="20"/>
          <w:szCs w:val="20"/>
          <w:lang w:val="en-US"/>
        </w:rPr>
        <w:t>ound emitted by stationary vehicles</w:t>
      </w:r>
      <w:r w:rsidR="00CD213C" w:rsidRPr="00CD213C">
        <w:rPr>
          <w:rFonts w:asciiTheme="majorBidi" w:hAnsiTheme="majorBidi" w:cstheme="majorBidi"/>
          <w:b/>
          <w:bCs/>
          <w:sz w:val="20"/>
          <w:szCs w:val="20"/>
          <w:highlight w:val="yellow"/>
          <w:lang w:val="en-US"/>
        </w:rPr>
        <w:t>.</w:t>
      </w:r>
      <w:r w:rsidR="00C91ACD" w:rsidRPr="00CD213C">
        <w:rPr>
          <w:rFonts w:asciiTheme="majorBidi" w:hAnsiTheme="majorBidi" w:cstheme="majorBidi"/>
          <w:b/>
          <w:bCs/>
          <w:strike/>
          <w:sz w:val="20"/>
          <w:szCs w:val="20"/>
          <w:highlight w:val="yellow"/>
          <w:lang w:val="en-US"/>
        </w:rPr>
        <w:t xml:space="preserve">, </w:t>
      </w:r>
      <w:r w:rsidR="0025438E" w:rsidRPr="00CD213C">
        <w:rPr>
          <w:rFonts w:asciiTheme="majorBidi" w:hAnsiTheme="majorBidi" w:cstheme="majorBidi"/>
          <w:b/>
          <w:bCs/>
          <w:strike/>
          <w:sz w:val="20"/>
          <w:szCs w:val="20"/>
          <w:highlight w:val="yellow"/>
          <w:lang w:val="en-US"/>
        </w:rPr>
        <w:t>as long</w:t>
      </w:r>
      <w:r w:rsidR="0025438E" w:rsidRPr="00CC69B4">
        <w:rPr>
          <w:rFonts w:asciiTheme="majorBidi" w:hAnsiTheme="majorBidi" w:cstheme="majorBidi"/>
          <w:b/>
          <w:bCs/>
          <w:sz w:val="20"/>
          <w:szCs w:val="20"/>
          <w:lang w:val="en-US"/>
        </w:rPr>
        <w:t xml:space="preserve"> </w:t>
      </w:r>
      <w:r w:rsidR="00CD213C" w:rsidRPr="00CD213C">
        <w:rPr>
          <w:rFonts w:asciiTheme="majorBidi" w:hAnsiTheme="majorBidi" w:cstheme="majorBidi"/>
          <w:b/>
          <w:bCs/>
          <w:sz w:val="20"/>
          <w:szCs w:val="20"/>
          <w:highlight w:val="yellow"/>
          <w:lang w:val="en-US"/>
        </w:rPr>
        <w:t>T</w:t>
      </w:r>
      <w:r w:rsidR="009A7827" w:rsidRPr="00CC69B4">
        <w:rPr>
          <w:rFonts w:asciiTheme="majorBidi" w:hAnsiTheme="majorBidi" w:cstheme="majorBidi"/>
          <w:b/>
          <w:bCs/>
          <w:sz w:val="20"/>
          <w:szCs w:val="20"/>
          <w:lang w:val="en-US"/>
        </w:rPr>
        <w:t>he Consolidated Resolution on the Construction of Vehicles (R.E.3)</w:t>
      </w:r>
      <w:r w:rsidR="00C91ACD" w:rsidRPr="00CC69B4">
        <w:rPr>
          <w:rFonts w:asciiTheme="majorBidi" w:hAnsiTheme="majorBidi" w:cstheme="majorBidi"/>
          <w:b/>
          <w:bCs/>
          <w:sz w:val="20"/>
          <w:szCs w:val="20"/>
          <w:lang w:val="en-US"/>
        </w:rPr>
        <w:t xml:space="preserve"> </w:t>
      </w:r>
      <w:r w:rsidR="009A7827" w:rsidRPr="00CC69B4">
        <w:rPr>
          <w:rFonts w:asciiTheme="majorBidi" w:hAnsiTheme="majorBidi" w:cstheme="majorBidi"/>
          <w:b/>
          <w:bCs/>
          <w:sz w:val="20"/>
          <w:szCs w:val="20"/>
          <w:lang w:val="en-US"/>
        </w:rPr>
        <w:t xml:space="preserve">already reflects in </w:t>
      </w:r>
      <w:r w:rsidR="008B70CE" w:rsidRPr="00CC69B4">
        <w:rPr>
          <w:rFonts w:asciiTheme="majorBidi" w:hAnsiTheme="majorBidi" w:cstheme="majorBidi"/>
          <w:b/>
          <w:bCs/>
          <w:sz w:val="20"/>
          <w:szCs w:val="20"/>
          <w:lang w:val="en-US"/>
        </w:rPr>
        <w:t>paragraph 8.8.</w:t>
      </w:r>
      <w:r w:rsidR="005F486F" w:rsidRPr="00CC69B4">
        <w:rPr>
          <w:rFonts w:asciiTheme="majorBidi" w:hAnsiTheme="majorBidi" w:cstheme="majorBidi"/>
          <w:b/>
          <w:bCs/>
          <w:sz w:val="20"/>
          <w:szCs w:val="20"/>
          <w:lang w:val="en-US"/>
        </w:rPr>
        <w:t>2.2.</w:t>
      </w:r>
      <w:r w:rsidR="008B70CE" w:rsidRPr="00CC69B4">
        <w:rPr>
          <w:rFonts w:asciiTheme="majorBidi" w:hAnsiTheme="majorBidi" w:cstheme="majorBidi"/>
          <w:b/>
          <w:bCs/>
          <w:sz w:val="20"/>
          <w:szCs w:val="20"/>
          <w:lang w:val="en-US"/>
        </w:rPr>
        <w:t xml:space="preserve"> </w:t>
      </w:r>
      <w:r w:rsidR="006A2741" w:rsidRPr="00CC69B4">
        <w:rPr>
          <w:rFonts w:asciiTheme="majorBidi" w:hAnsiTheme="majorBidi" w:cstheme="majorBidi"/>
          <w:b/>
          <w:bCs/>
          <w:sz w:val="20"/>
          <w:szCs w:val="20"/>
          <w:lang w:val="en-US"/>
        </w:rPr>
        <w:t xml:space="preserve">the measurement uncertainties of </w:t>
      </w:r>
      <w:r w:rsidR="00B113D2" w:rsidRPr="00CC69B4">
        <w:rPr>
          <w:rFonts w:asciiTheme="majorBidi" w:hAnsiTheme="majorBidi" w:cstheme="majorBidi"/>
          <w:b/>
          <w:bCs/>
          <w:sz w:val="20"/>
          <w:szCs w:val="20"/>
          <w:lang w:val="en-US"/>
        </w:rPr>
        <w:t xml:space="preserve">this </w:t>
      </w:r>
      <w:r w:rsidR="00FD2C8A" w:rsidRPr="00CC69B4">
        <w:rPr>
          <w:rFonts w:asciiTheme="majorBidi" w:hAnsiTheme="majorBidi" w:cstheme="majorBidi"/>
          <w:b/>
          <w:bCs/>
          <w:sz w:val="20"/>
          <w:szCs w:val="20"/>
          <w:lang w:val="en-US"/>
        </w:rPr>
        <w:t>measurement procedures</w:t>
      </w:r>
      <w:r w:rsidR="00CC5881" w:rsidRPr="00CC69B4">
        <w:rPr>
          <w:rFonts w:asciiTheme="majorBidi" w:hAnsiTheme="majorBidi" w:cstheme="majorBidi"/>
          <w:b/>
          <w:bCs/>
          <w:sz w:val="20"/>
          <w:szCs w:val="20"/>
          <w:lang w:val="en-US"/>
        </w:rPr>
        <w:t xml:space="preserve"> for UN-Regulation</w:t>
      </w:r>
      <w:r w:rsidR="00EA773A" w:rsidRPr="00CC69B4">
        <w:rPr>
          <w:rFonts w:asciiTheme="majorBidi" w:hAnsiTheme="majorBidi" w:cstheme="majorBidi"/>
          <w:b/>
          <w:bCs/>
          <w:sz w:val="20"/>
          <w:szCs w:val="20"/>
          <w:lang w:val="en-US"/>
        </w:rPr>
        <w:t>s No</w:t>
      </w:r>
      <w:r w:rsidR="009F3FAD" w:rsidRPr="00CC69B4">
        <w:rPr>
          <w:rFonts w:asciiTheme="majorBidi" w:hAnsiTheme="majorBidi" w:cstheme="majorBidi"/>
          <w:b/>
          <w:bCs/>
          <w:sz w:val="20"/>
          <w:szCs w:val="20"/>
          <w:lang w:val="en-US"/>
        </w:rPr>
        <w:t>s</w:t>
      </w:r>
      <w:r w:rsidR="001E73ED" w:rsidRPr="00CC69B4">
        <w:rPr>
          <w:rFonts w:asciiTheme="majorBidi" w:hAnsiTheme="majorBidi" w:cstheme="majorBidi"/>
          <w:b/>
          <w:bCs/>
          <w:sz w:val="20"/>
          <w:szCs w:val="20"/>
          <w:lang w:val="en-US"/>
        </w:rPr>
        <w:t>.</w:t>
      </w:r>
      <w:r w:rsidR="00EA773A" w:rsidRPr="00CC69B4">
        <w:rPr>
          <w:rFonts w:asciiTheme="majorBidi" w:hAnsiTheme="majorBidi" w:cstheme="majorBidi"/>
          <w:b/>
          <w:bCs/>
          <w:sz w:val="20"/>
          <w:szCs w:val="20"/>
          <w:lang w:val="en-US"/>
        </w:rPr>
        <w:t xml:space="preserve"> </w:t>
      </w:r>
      <w:r w:rsidR="00D8776E" w:rsidRPr="00CC69B4">
        <w:rPr>
          <w:rFonts w:asciiTheme="majorBidi" w:hAnsiTheme="majorBidi" w:cstheme="majorBidi"/>
          <w:b/>
          <w:bCs/>
          <w:sz w:val="20"/>
          <w:szCs w:val="20"/>
          <w:lang w:val="en-US"/>
        </w:rPr>
        <w:t xml:space="preserve">9, 41, </w:t>
      </w:r>
      <w:r w:rsidR="00324943" w:rsidRPr="00CC69B4">
        <w:rPr>
          <w:rFonts w:asciiTheme="majorBidi" w:hAnsiTheme="majorBidi" w:cstheme="majorBidi"/>
          <w:b/>
          <w:bCs/>
          <w:sz w:val="20"/>
          <w:szCs w:val="20"/>
          <w:lang w:val="en-US"/>
        </w:rPr>
        <w:t xml:space="preserve">51, 59, </w:t>
      </w:r>
      <w:r w:rsidR="00D8776E" w:rsidRPr="00CC69B4">
        <w:rPr>
          <w:rFonts w:asciiTheme="majorBidi" w:hAnsiTheme="majorBidi" w:cstheme="majorBidi"/>
          <w:b/>
          <w:bCs/>
          <w:sz w:val="20"/>
          <w:szCs w:val="20"/>
          <w:lang w:val="en-US"/>
        </w:rPr>
        <w:t>63 and 92.</w:t>
      </w:r>
    </w:p>
    <w:p w14:paraId="17FF8624" w14:textId="0144F4A0" w:rsidR="00A67E2B" w:rsidRPr="00447CDB" w:rsidRDefault="00A67E2B" w:rsidP="00447CDB">
      <w:pPr>
        <w:pStyle w:val="berschrift3"/>
        <w:numPr>
          <w:ilvl w:val="1"/>
          <w:numId w:val="25"/>
        </w:numPr>
        <w:spacing w:after="120"/>
        <w:ind w:left="2268" w:right="1134" w:hanging="1134"/>
        <w:jc w:val="both"/>
        <w:rPr>
          <w:rFonts w:asciiTheme="majorBidi" w:hAnsiTheme="majorBidi" w:cstheme="majorBidi"/>
          <w:b/>
          <w:bCs/>
          <w:lang w:val="en-US"/>
        </w:rPr>
      </w:pPr>
      <w:r w:rsidRPr="00447CDB">
        <w:rPr>
          <w:rFonts w:asciiTheme="majorBidi" w:hAnsiTheme="majorBidi" w:cstheme="majorBidi"/>
          <w:b/>
          <w:bCs/>
          <w:lang w:val="en-US"/>
        </w:rPr>
        <w:t>Dealing with this document</w:t>
      </w:r>
      <w:r w:rsidR="004F1089" w:rsidRPr="00447CDB">
        <w:rPr>
          <w:rFonts w:asciiTheme="majorBidi" w:hAnsiTheme="majorBidi" w:cstheme="majorBidi"/>
          <w:b/>
          <w:bCs/>
          <w:lang w:val="en-US"/>
        </w:rPr>
        <w:t xml:space="preserve"> for reference </w:t>
      </w:r>
    </w:p>
    <w:p w14:paraId="40C9D9E3" w14:textId="4DD97917" w:rsidR="00A67E2B" w:rsidRPr="00447CDB" w:rsidRDefault="004F1089" w:rsidP="00447CDB">
      <w:pPr>
        <w:pStyle w:val="berschrift3"/>
        <w:numPr>
          <w:ilvl w:val="2"/>
          <w:numId w:val="25"/>
        </w:numPr>
        <w:spacing w:after="120"/>
        <w:ind w:left="2268" w:right="1134" w:hanging="1134"/>
        <w:jc w:val="both"/>
        <w:rPr>
          <w:rFonts w:asciiTheme="majorBidi" w:hAnsiTheme="majorBidi" w:cstheme="majorBidi"/>
          <w:b/>
          <w:bCs/>
          <w:lang w:val="en-US"/>
        </w:rPr>
      </w:pPr>
      <w:r w:rsidRPr="00447CDB">
        <w:rPr>
          <w:rFonts w:asciiTheme="majorBidi" w:hAnsiTheme="majorBidi" w:cstheme="majorBidi"/>
          <w:b/>
          <w:bCs/>
          <w:lang w:val="en-US"/>
        </w:rPr>
        <w:t>Improvement</w:t>
      </w:r>
      <w:r w:rsidR="00A67E2B" w:rsidRPr="00447CDB">
        <w:rPr>
          <w:rFonts w:asciiTheme="majorBidi" w:hAnsiTheme="majorBidi" w:cstheme="majorBidi"/>
          <w:b/>
          <w:bCs/>
          <w:lang w:val="en-US"/>
        </w:rPr>
        <w:t xml:space="preserve"> of measurement procedures</w:t>
      </w:r>
      <w:r w:rsidRPr="00447CDB">
        <w:rPr>
          <w:rFonts w:asciiTheme="majorBidi" w:hAnsiTheme="majorBidi" w:cstheme="majorBidi"/>
          <w:b/>
          <w:bCs/>
          <w:lang w:val="en-US"/>
        </w:rPr>
        <w:t xml:space="preserve"> used in UN-Regulations</w:t>
      </w:r>
    </w:p>
    <w:p w14:paraId="3600D154" w14:textId="77777777" w:rsidR="00C3516D" w:rsidRPr="00447CDB" w:rsidRDefault="00A67E2B" w:rsidP="00C3516D">
      <w:pPr>
        <w:spacing w:after="120"/>
        <w:ind w:left="2268" w:right="1134"/>
        <w:jc w:val="both"/>
        <w:rPr>
          <w:rFonts w:asciiTheme="majorBidi" w:hAnsiTheme="majorBidi" w:cstheme="majorBidi"/>
          <w:b/>
          <w:bCs/>
          <w:lang w:val="en-US"/>
        </w:rPr>
      </w:pPr>
      <w:r w:rsidRPr="00447CDB">
        <w:rPr>
          <w:rFonts w:asciiTheme="majorBidi" w:hAnsiTheme="majorBidi" w:cstheme="majorBidi"/>
          <w:b/>
          <w:bCs/>
          <w:lang w:val="en-US"/>
        </w:rPr>
        <w:t xml:space="preserve">The reference document provides a transparent and systematic view of quantitative measurement uncertainties </w:t>
      </w:r>
      <w:r w:rsidR="004F1089" w:rsidRPr="00447CDB">
        <w:rPr>
          <w:rFonts w:asciiTheme="majorBidi" w:hAnsiTheme="majorBidi" w:cstheme="majorBidi"/>
          <w:b/>
          <w:bCs/>
          <w:lang w:val="en-US"/>
        </w:rPr>
        <w:t xml:space="preserve">based on experience with the application of the measurement procedure and developments in measurement technology </w:t>
      </w:r>
      <w:r w:rsidRPr="00447CDB">
        <w:rPr>
          <w:rFonts w:asciiTheme="majorBidi" w:hAnsiTheme="majorBidi" w:cstheme="majorBidi"/>
          <w:b/>
          <w:bCs/>
          <w:lang w:val="en-US"/>
        </w:rPr>
        <w:t xml:space="preserve">for the further development of </w:t>
      </w:r>
      <w:r w:rsidR="004F1089" w:rsidRPr="00447CDB">
        <w:rPr>
          <w:rFonts w:asciiTheme="majorBidi" w:hAnsiTheme="majorBidi" w:cstheme="majorBidi"/>
          <w:b/>
          <w:bCs/>
          <w:lang w:val="en-US"/>
        </w:rPr>
        <w:t xml:space="preserve">measurement procedures used in </w:t>
      </w:r>
      <w:r w:rsidRPr="00447CDB">
        <w:rPr>
          <w:rFonts w:asciiTheme="majorBidi" w:hAnsiTheme="majorBidi" w:cstheme="majorBidi"/>
          <w:b/>
          <w:bCs/>
          <w:lang w:val="en-US"/>
        </w:rPr>
        <w:t xml:space="preserve">UN </w:t>
      </w:r>
      <w:r w:rsidR="004F1089" w:rsidRPr="00447CDB">
        <w:rPr>
          <w:rFonts w:asciiTheme="majorBidi" w:hAnsiTheme="majorBidi" w:cstheme="majorBidi"/>
          <w:b/>
          <w:bCs/>
          <w:lang w:val="en-US"/>
        </w:rPr>
        <w:t>R</w:t>
      </w:r>
      <w:r w:rsidRPr="00447CDB">
        <w:rPr>
          <w:rFonts w:asciiTheme="majorBidi" w:hAnsiTheme="majorBidi" w:cstheme="majorBidi"/>
          <w:b/>
          <w:bCs/>
          <w:lang w:val="en-US"/>
        </w:rPr>
        <w:t xml:space="preserve">egulations of the Working Party on Noise and Tyres (GRBP). </w:t>
      </w:r>
    </w:p>
    <w:p w14:paraId="1AB8A5E5" w14:textId="5C39F1DF" w:rsidR="00A67E2B" w:rsidRPr="00447CDB" w:rsidRDefault="00A67E2B" w:rsidP="00C3516D">
      <w:pPr>
        <w:spacing w:after="120"/>
        <w:ind w:left="2268" w:right="1134"/>
        <w:jc w:val="both"/>
        <w:rPr>
          <w:rFonts w:asciiTheme="majorBidi" w:hAnsiTheme="majorBidi" w:cstheme="majorBidi"/>
          <w:b/>
          <w:bCs/>
          <w:lang w:val="en-US"/>
        </w:rPr>
      </w:pPr>
      <w:r w:rsidRPr="00447CDB">
        <w:rPr>
          <w:rFonts w:asciiTheme="majorBidi" w:hAnsiTheme="majorBidi" w:cstheme="majorBidi"/>
          <w:b/>
          <w:bCs/>
          <w:lang w:val="en-US"/>
        </w:rPr>
        <w:t>These can be understood as identified potentials for the future improvement of the corresponding measurement procedure and should at least be taken into account when setting future limit values.</w:t>
      </w:r>
    </w:p>
    <w:p w14:paraId="38C10028" w14:textId="2EFEA66B" w:rsidR="00A67E2B" w:rsidRPr="00447CDB" w:rsidRDefault="00A67E2B" w:rsidP="00447CDB">
      <w:pPr>
        <w:pStyle w:val="berschrift3"/>
        <w:numPr>
          <w:ilvl w:val="2"/>
          <w:numId w:val="25"/>
        </w:numPr>
        <w:spacing w:after="120"/>
        <w:ind w:left="2268" w:right="1134" w:hanging="1134"/>
        <w:jc w:val="both"/>
        <w:rPr>
          <w:rFonts w:asciiTheme="majorBidi" w:hAnsiTheme="majorBidi" w:cstheme="majorBidi"/>
          <w:b/>
          <w:bCs/>
          <w:lang w:val="en-US"/>
        </w:rPr>
      </w:pPr>
      <w:r w:rsidRPr="00447CDB">
        <w:rPr>
          <w:rFonts w:asciiTheme="majorBidi" w:hAnsiTheme="majorBidi" w:cstheme="majorBidi"/>
          <w:b/>
          <w:bCs/>
          <w:lang w:val="en-US"/>
        </w:rPr>
        <w:t>Knowledge management</w:t>
      </w:r>
    </w:p>
    <w:p w14:paraId="54E08293" w14:textId="77777777" w:rsidR="00C3516D" w:rsidRPr="00447CDB" w:rsidRDefault="00A67E2B" w:rsidP="00C3516D">
      <w:pPr>
        <w:spacing w:after="120"/>
        <w:ind w:left="2268" w:right="1134"/>
        <w:jc w:val="both"/>
        <w:rPr>
          <w:rFonts w:asciiTheme="majorBidi" w:hAnsiTheme="majorBidi" w:cstheme="majorBidi"/>
          <w:b/>
          <w:bCs/>
          <w:lang w:val="en-US"/>
        </w:rPr>
      </w:pPr>
      <w:r w:rsidRPr="00447CDB">
        <w:rPr>
          <w:rFonts w:asciiTheme="majorBidi" w:hAnsiTheme="majorBidi" w:cstheme="majorBidi"/>
          <w:b/>
          <w:bCs/>
          <w:lang w:val="en-US"/>
        </w:rPr>
        <w:t>The reference document also serves as a knowledge management tool for measurement procedures, especially for new users who were not involved in the development of measurement procedures. Here, experience with influencing factors and the associated possible effects on the measurement result during the practical implementation of the measurement procedure are presented.</w:t>
      </w:r>
      <w:r w:rsidR="004F1089" w:rsidRPr="00447CDB">
        <w:rPr>
          <w:rFonts w:asciiTheme="majorBidi" w:hAnsiTheme="majorBidi" w:cstheme="majorBidi"/>
          <w:b/>
          <w:bCs/>
          <w:lang w:val="en-US"/>
        </w:rPr>
        <w:t xml:space="preserve"> This allows new users to critically scrutinize the measurement results and improve the measurement quality.</w:t>
      </w:r>
    </w:p>
    <w:p w14:paraId="6B93FEA4" w14:textId="07A4E6E1" w:rsidR="00C3516D" w:rsidRPr="00447CDB" w:rsidRDefault="00C3516D" w:rsidP="00C3516D">
      <w:pPr>
        <w:spacing w:after="120"/>
        <w:ind w:left="2268" w:right="1134"/>
        <w:jc w:val="both"/>
        <w:rPr>
          <w:rFonts w:asciiTheme="majorBidi" w:hAnsiTheme="majorBidi" w:cstheme="majorBidi"/>
          <w:b/>
          <w:bCs/>
          <w:lang w:val="en-US"/>
        </w:rPr>
      </w:pPr>
      <w:r w:rsidRPr="00447CDB">
        <w:rPr>
          <w:rFonts w:asciiTheme="majorBidi" w:hAnsiTheme="majorBidi" w:cstheme="majorBidi"/>
          <w:b/>
          <w:bCs/>
          <w:lang w:val="en-US"/>
        </w:rPr>
        <w:t>This document for reference is therefore intended as a living document for findings on measurement methods and their uncertainties. It can be understood as a kind of knowledge database.</w:t>
      </w:r>
    </w:p>
    <w:p w14:paraId="175554C1" w14:textId="5863111A" w:rsidR="00DC73C4" w:rsidRPr="00447CDB" w:rsidRDefault="00DC73C4" w:rsidP="00447CDB">
      <w:pPr>
        <w:pStyle w:val="berschrift3"/>
        <w:numPr>
          <w:ilvl w:val="1"/>
          <w:numId w:val="25"/>
        </w:numPr>
        <w:spacing w:after="120"/>
        <w:ind w:left="2268" w:right="1134" w:hanging="1134"/>
        <w:jc w:val="both"/>
        <w:rPr>
          <w:rFonts w:asciiTheme="majorBidi" w:hAnsiTheme="majorBidi" w:cstheme="majorBidi"/>
          <w:lang w:val="en-US"/>
        </w:rPr>
      </w:pPr>
      <w:r w:rsidRPr="00447CDB">
        <w:rPr>
          <w:rFonts w:asciiTheme="majorBidi" w:hAnsiTheme="majorBidi" w:cstheme="majorBidi"/>
          <w:lang w:val="en-US"/>
        </w:rPr>
        <w:t>Background</w:t>
      </w:r>
    </w:p>
    <w:p w14:paraId="2B7AB16A" w14:textId="61A1A795" w:rsidR="00BA18CF" w:rsidRPr="00C3516D" w:rsidRDefault="006A73C1" w:rsidP="002C793B">
      <w:pPr>
        <w:spacing w:after="120"/>
        <w:ind w:left="2268" w:right="1134" w:hanging="1134"/>
        <w:jc w:val="both"/>
        <w:rPr>
          <w:lang w:val="en-US"/>
        </w:rPr>
      </w:pPr>
      <w:r w:rsidRPr="00C3516D">
        <w:rPr>
          <w:lang w:val="en-US"/>
        </w:rPr>
        <w:t>1</w:t>
      </w:r>
      <w:r w:rsidRPr="00C3516D">
        <w:rPr>
          <w:b/>
          <w:bCs/>
          <w:lang w:val="en-US"/>
        </w:rPr>
        <w:t>.</w:t>
      </w:r>
      <w:r w:rsidR="00A67E2B" w:rsidRPr="00C3516D">
        <w:rPr>
          <w:b/>
          <w:bCs/>
          <w:lang w:val="en-US"/>
        </w:rPr>
        <w:t>2</w:t>
      </w:r>
      <w:r w:rsidR="00DC73C4" w:rsidRPr="00C3516D">
        <w:rPr>
          <w:lang w:val="en-US"/>
        </w:rPr>
        <w:t>.</w:t>
      </w:r>
      <w:r w:rsidRPr="00C3516D">
        <w:rPr>
          <w:lang w:val="en-US"/>
        </w:rPr>
        <w:t>1.</w:t>
      </w:r>
      <w:r w:rsidR="0027073F" w:rsidRPr="00C3516D">
        <w:rPr>
          <w:lang w:val="en-US"/>
        </w:rPr>
        <w:tab/>
      </w:r>
      <w:r w:rsidR="00BA18CF" w:rsidRPr="00C3516D">
        <w:rPr>
          <w:lang w:val="en-US"/>
        </w:rPr>
        <w:t xml:space="preserve">In all kinds of testing of objects according to standards, there is a certain measurement uncertainty. This is also the case </w:t>
      </w:r>
      <w:r w:rsidR="00F25D37" w:rsidRPr="00C3516D">
        <w:rPr>
          <w:lang w:val="en-US"/>
        </w:rPr>
        <w:t>for</w:t>
      </w:r>
      <w:r w:rsidR="00BA18CF" w:rsidRPr="00C3516D">
        <w:rPr>
          <w:lang w:val="en-US"/>
        </w:rPr>
        <w:t xml:space="preserve"> the measurement of sound levels of vehicles and tyres, for example</w:t>
      </w:r>
      <w:r w:rsidR="00CB2B15" w:rsidRPr="00C3516D">
        <w:rPr>
          <w:lang w:val="en-US"/>
        </w:rPr>
        <w:t>,</w:t>
      </w:r>
      <w:r w:rsidR="00BA18CF" w:rsidRPr="00C3516D">
        <w:rPr>
          <w:lang w:val="en-US"/>
        </w:rPr>
        <w:t xml:space="preserve"> during type approval of these objects. In standards used for such measurements (ISO, ANSI, CEN, etc.)</w:t>
      </w:r>
      <w:r w:rsidR="00CB2B15" w:rsidRPr="00C3516D">
        <w:rPr>
          <w:lang w:val="en-US"/>
        </w:rPr>
        <w:t>,</w:t>
      </w:r>
      <w:r w:rsidR="00BA18CF" w:rsidRPr="00C3516D">
        <w:rPr>
          <w:lang w:val="en-US"/>
        </w:rPr>
        <w:t xml:space="preserve"> a separate chapter on measurement uncertainty is mandatory. However, this is not the case in UN </w:t>
      </w:r>
      <w:r w:rsidR="00090A80" w:rsidRPr="00C3516D">
        <w:rPr>
          <w:lang w:val="en-US"/>
        </w:rPr>
        <w:t>R</w:t>
      </w:r>
      <w:r w:rsidR="00BA18CF" w:rsidRPr="00C3516D">
        <w:rPr>
          <w:lang w:val="en-US"/>
        </w:rPr>
        <w:t xml:space="preserve">egulations within the responsibility of </w:t>
      </w:r>
      <w:r w:rsidR="00CB2B15" w:rsidRPr="00C3516D">
        <w:rPr>
          <w:lang w:val="en-US"/>
        </w:rPr>
        <w:t xml:space="preserve">the </w:t>
      </w:r>
      <w:r w:rsidR="00BA18CF" w:rsidRPr="00C3516D">
        <w:rPr>
          <w:lang w:val="en-US"/>
        </w:rPr>
        <w:t>Working Party on Noise and Tyres</w:t>
      </w:r>
      <w:r w:rsidR="007B157D" w:rsidRPr="00C3516D">
        <w:rPr>
          <w:lang w:val="en-US"/>
        </w:rPr>
        <w:t xml:space="preserve"> (</w:t>
      </w:r>
      <w:r w:rsidR="00BA18CF" w:rsidRPr="00C3516D">
        <w:rPr>
          <w:lang w:val="en-US"/>
        </w:rPr>
        <w:t>GRBP</w:t>
      </w:r>
      <w:r w:rsidR="007B157D" w:rsidRPr="00C3516D">
        <w:rPr>
          <w:lang w:val="en-US"/>
        </w:rPr>
        <w:t>)</w:t>
      </w:r>
      <w:r w:rsidR="00BA18CF" w:rsidRPr="00C3516D">
        <w:rPr>
          <w:lang w:val="en-US"/>
        </w:rPr>
        <w:t xml:space="preserve">. </w:t>
      </w:r>
    </w:p>
    <w:p w14:paraId="7AD42248" w14:textId="4E33D656" w:rsidR="00BA18CF" w:rsidRPr="00C3516D" w:rsidRDefault="006A73C1" w:rsidP="002C793B">
      <w:pPr>
        <w:spacing w:after="120"/>
        <w:ind w:left="2268" w:right="1134" w:hanging="1134"/>
        <w:jc w:val="both"/>
        <w:rPr>
          <w:lang w:val="en-US"/>
        </w:rPr>
      </w:pPr>
      <w:r w:rsidRPr="00C3516D">
        <w:rPr>
          <w:lang w:val="en-US"/>
        </w:rPr>
        <w:t>1</w:t>
      </w:r>
      <w:r w:rsidR="00DC73C4" w:rsidRPr="00C3516D">
        <w:rPr>
          <w:b/>
          <w:bCs/>
          <w:lang w:val="en-US"/>
        </w:rPr>
        <w:t>.</w:t>
      </w:r>
      <w:r w:rsidR="00A67E2B" w:rsidRPr="00C3516D">
        <w:rPr>
          <w:b/>
          <w:bCs/>
          <w:lang w:val="en-US"/>
        </w:rPr>
        <w:t>2</w:t>
      </w:r>
      <w:r w:rsidR="00DC73C4" w:rsidRPr="00C3516D">
        <w:rPr>
          <w:lang w:val="en-US"/>
        </w:rPr>
        <w:t>.</w:t>
      </w:r>
      <w:r w:rsidRPr="00C3516D">
        <w:rPr>
          <w:lang w:val="en-US"/>
        </w:rPr>
        <w:t>2.</w:t>
      </w:r>
      <w:r w:rsidRPr="00C3516D">
        <w:rPr>
          <w:lang w:val="en-US"/>
        </w:rPr>
        <w:tab/>
      </w:r>
      <w:r w:rsidR="00BA18CF" w:rsidRPr="00C3516D">
        <w:rPr>
          <w:lang w:val="en-US"/>
        </w:rPr>
        <w:t xml:space="preserve">The focus on </w:t>
      </w:r>
      <w:r w:rsidR="007F7EE9" w:rsidRPr="00C3516D">
        <w:rPr>
          <w:lang w:val="en-US"/>
        </w:rPr>
        <w:t>i</w:t>
      </w:r>
      <w:r w:rsidR="00BA18CF" w:rsidRPr="00C3516D">
        <w:rPr>
          <w:lang w:val="en-US"/>
        </w:rPr>
        <w:t>n-use compliance checking of vehicles is increasing, as the introduction of Regulation (EU) 2018/858</w:t>
      </w:r>
      <w:r w:rsidR="00BA18CF" w:rsidRPr="00C3516D">
        <w:rPr>
          <w:vertAlign w:val="superscript"/>
          <w:lang w:val="en-US"/>
        </w:rPr>
        <w:t>1</w:t>
      </w:r>
      <w:r w:rsidR="00BA18CF" w:rsidRPr="00C3516D">
        <w:rPr>
          <w:lang w:val="en-US"/>
        </w:rPr>
        <w:t xml:space="preserve"> (Market surveillance) show</w:t>
      </w:r>
      <w:r w:rsidR="007F7EE9" w:rsidRPr="00C3516D">
        <w:rPr>
          <w:lang w:val="en-US"/>
        </w:rPr>
        <w:t>s</w:t>
      </w:r>
      <w:r w:rsidR="00BA18CF" w:rsidRPr="00C3516D">
        <w:rPr>
          <w:lang w:val="en-US"/>
        </w:rPr>
        <w:t>. In the U</w:t>
      </w:r>
      <w:r w:rsidR="00BF122E" w:rsidRPr="00C3516D">
        <w:rPr>
          <w:lang w:val="en-US"/>
        </w:rPr>
        <w:t>nited States of America</w:t>
      </w:r>
      <w:r w:rsidR="00BA18CF" w:rsidRPr="00C3516D">
        <w:rPr>
          <w:lang w:val="en-US"/>
        </w:rPr>
        <w:t>, such testing has been in place for decades for emissions and safety</w:t>
      </w:r>
      <w:r w:rsidR="00BF122E" w:rsidRPr="00C3516D">
        <w:rPr>
          <w:lang w:val="en-US"/>
        </w:rPr>
        <w:t xml:space="preserve">, but </w:t>
      </w:r>
      <w:r w:rsidR="00BA18CF" w:rsidRPr="00C3516D">
        <w:rPr>
          <w:lang w:val="en-US"/>
        </w:rPr>
        <w:t xml:space="preserve">not </w:t>
      </w:r>
      <w:r w:rsidR="00BF122E" w:rsidRPr="00C3516D">
        <w:rPr>
          <w:lang w:val="en-US"/>
        </w:rPr>
        <w:t xml:space="preserve">for </w:t>
      </w:r>
      <w:r w:rsidR="00BA18CF" w:rsidRPr="00C3516D">
        <w:rPr>
          <w:lang w:val="en-US"/>
        </w:rPr>
        <w:t xml:space="preserve">noise. </w:t>
      </w:r>
    </w:p>
    <w:p w14:paraId="67CDDEDF" w14:textId="1AF208C3" w:rsidR="00BA18CF" w:rsidRPr="004301E7" w:rsidRDefault="006A73C1" w:rsidP="002C793B">
      <w:pPr>
        <w:spacing w:after="120"/>
        <w:ind w:left="2268" w:right="1134" w:hanging="1134"/>
        <w:jc w:val="both"/>
        <w:rPr>
          <w:lang w:val="en-US"/>
        </w:rPr>
      </w:pPr>
      <w:r>
        <w:rPr>
          <w:lang w:val="en-US"/>
        </w:rPr>
        <w:t>1</w:t>
      </w:r>
      <w:r w:rsidR="00DC73C4" w:rsidRPr="00DC73C4">
        <w:rPr>
          <w:b/>
          <w:bCs/>
          <w:lang w:val="en-US"/>
        </w:rPr>
        <w:t>.</w:t>
      </w:r>
      <w:r w:rsidR="00A67E2B">
        <w:rPr>
          <w:b/>
          <w:bCs/>
          <w:lang w:val="en-US"/>
        </w:rPr>
        <w:t>2</w:t>
      </w:r>
      <w:r>
        <w:rPr>
          <w:lang w:val="en-US"/>
        </w:rPr>
        <w:t>.3.</w:t>
      </w:r>
      <w:r>
        <w:rPr>
          <w:lang w:val="en-US"/>
        </w:rPr>
        <w:tab/>
      </w:r>
      <w:r w:rsidR="00BA18CF" w:rsidRPr="004301E7">
        <w:rPr>
          <w:lang w:val="en-US"/>
        </w:rPr>
        <w:t xml:space="preserve">These kinds of tests will then be performed by institutions </w:t>
      </w:r>
      <w:r w:rsidR="00E643F2">
        <w:rPr>
          <w:lang w:val="en-US"/>
        </w:rPr>
        <w:t xml:space="preserve">that were </w:t>
      </w:r>
      <w:r w:rsidR="00BA18CF" w:rsidRPr="004301E7">
        <w:rPr>
          <w:lang w:val="en-US"/>
        </w:rPr>
        <w:t>not involved in the original type</w:t>
      </w:r>
      <w:r w:rsidR="002C793B">
        <w:rPr>
          <w:lang w:val="en-US"/>
        </w:rPr>
        <w:t xml:space="preserve"> </w:t>
      </w:r>
      <w:r w:rsidR="00BA18CF" w:rsidRPr="004301E7">
        <w:rPr>
          <w:lang w:val="en-US"/>
        </w:rPr>
        <w:t>approval test ("third party"). Therefore, uncertainties connected to such market surveillance tests will be of uttermost importance, as a failure could</w:t>
      </w:r>
      <w:r w:rsidR="00313361">
        <w:rPr>
          <w:lang w:val="en-US"/>
        </w:rPr>
        <w:t xml:space="preserve"> lead to</w:t>
      </w:r>
      <w:r w:rsidR="00BA18CF" w:rsidRPr="004301E7">
        <w:rPr>
          <w:lang w:val="en-US"/>
        </w:rPr>
        <w:t xml:space="preserve"> withdraw</w:t>
      </w:r>
      <w:r w:rsidR="00313361">
        <w:rPr>
          <w:lang w:val="en-US"/>
        </w:rPr>
        <w:t xml:space="preserve">al of </w:t>
      </w:r>
      <w:r w:rsidR="00BA18CF" w:rsidRPr="004301E7">
        <w:rPr>
          <w:lang w:val="en-US"/>
        </w:rPr>
        <w:t>any previous</w:t>
      </w:r>
      <w:r w:rsidR="00313361">
        <w:rPr>
          <w:lang w:val="en-US"/>
        </w:rPr>
        <w:t xml:space="preserve">ly </w:t>
      </w:r>
      <w:r w:rsidR="00D255CF">
        <w:rPr>
          <w:lang w:val="en-US"/>
        </w:rPr>
        <w:t xml:space="preserve">granted </w:t>
      </w:r>
      <w:r w:rsidR="00BA18CF" w:rsidRPr="004301E7">
        <w:rPr>
          <w:lang w:val="en-US"/>
        </w:rPr>
        <w:t xml:space="preserve"> type</w:t>
      </w:r>
      <w:r w:rsidR="00D255CF">
        <w:rPr>
          <w:lang w:val="en-US"/>
        </w:rPr>
        <w:t xml:space="preserve"> </w:t>
      </w:r>
      <w:r w:rsidR="00BA18CF" w:rsidRPr="004301E7">
        <w:rPr>
          <w:lang w:val="en-US"/>
        </w:rPr>
        <w:t xml:space="preserve">approval </w:t>
      </w:r>
      <w:r w:rsidR="00D255CF">
        <w:rPr>
          <w:lang w:val="en-US"/>
        </w:rPr>
        <w:t>of</w:t>
      </w:r>
      <w:r w:rsidR="00BA18CF" w:rsidRPr="004301E7">
        <w:rPr>
          <w:lang w:val="en-US"/>
        </w:rPr>
        <w:t xml:space="preserve"> the vehicle/object. </w:t>
      </w:r>
    </w:p>
    <w:p w14:paraId="7C43B4D5" w14:textId="02771729" w:rsidR="00BA18CF" w:rsidRPr="004301E7" w:rsidRDefault="006A73C1" w:rsidP="002C793B">
      <w:pPr>
        <w:spacing w:after="120"/>
        <w:ind w:left="2268" w:right="1134" w:hanging="1134"/>
        <w:jc w:val="both"/>
        <w:rPr>
          <w:lang w:val="en-US"/>
        </w:rPr>
      </w:pPr>
      <w:r>
        <w:rPr>
          <w:lang w:val="en-US"/>
        </w:rPr>
        <w:t>1</w:t>
      </w:r>
      <w:r w:rsidR="00DC73C4" w:rsidRPr="00DC73C4">
        <w:rPr>
          <w:b/>
          <w:bCs/>
          <w:lang w:val="en-US"/>
        </w:rPr>
        <w:t>.</w:t>
      </w:r>
      <w:r w:rsidR="00A67E2B">
        <w:rPr>
          <w:b/>
          <w:bCs/>
          <w:lang w:val="en-US"/>
        </w:rPr>
        <w:t>2</w:t>
      </w:r>
      <w:r>
        <w:rPr>
          <w:lang w:val="en-US"/>
        </w:rPr>
        <w:t>.4.</w:t>
      </w:r>
      <w:r>
        <w:rPr>
          <w:lang w:val="en-US"/>
        </w:rPr>
        <w:tab/>
      </w:r>
      <w:r w:rsidR="00BA18CF" w:rsidRPr="004301E7">
        <w:rPr>
          <w:lang w:val="en-US"/>
        </w:rPr>
        <w:t>Such third-party testing is not within the scope of UN</w:t>
      </w:r>
      <w:r w:rsidR="00D255CF">
        <w:rPr>
          <w:lang w:val="en-US"/>
        </w:rPr>
        <w:t xml:space="preserve"> Regulations. H</w:t>
      </w:r>
      <w:r w:rsidR="00BA18CF" w:rsidRPr="004301E7">
        <w:rPr>
          <w:lang w:val="en-US"/>
        </w:rPr>
        <w:t>owever</w:t>
      </w:r>
      <w:r w:rsidR="00D255CF">
        <w:rPr>
          <w:lang w:val="en-US"/>
        </w:rPr>
        <w:t>,</w:t>
      </w:r>
      <w:r w:rsidR="00BA18CF" w:rsidRPr="004301E7">
        <w:rPr>
          <w:lang w:val="en-US"/>
        </w:rPr>
        <w:t xml:space="preserve"> measurement uncertainties </w:t>
      </w:r>
      <w:r w:rsidR="00D255CF">
        <w:rPr>
          <w:lang w:val="en-US"/>
        </w:rPr>
        <w:t xml:space="preserve">play </w:t>
      </w:r>
      <w:r w:rsidR="00BA18CF" w:rsidRPr="004301E7">
        <w:rPr>
          <w:lang w:val="en-US"/>
        </w:rPr>
        <w:t xml:space="preserve">also an important </w:t>
      </w:r>
      <w:r w:rsidR="00794A4F">
        <w:rPr>
          <w:lang w:val="en-US"/>
        </w:rPr>
        <w:t xml:space="preserve">general </w:t>
      </w:r>
      <w:r w:rsidR="00BA18CF" w:rsidRPr="004301E7">
        <w:rPr>
          <w:lang w:val="en-US"/>
        </w:rPr>
        <w:t>role for Conformity of Production (C</w:t>
      </w:r>
      <w:r w:rsidR="000404AB">
        <w:rPr>
          <w:lang w:val="en-US"/>
        </w:rPr>
        <w:t>o</w:t>
      </w:r>
      <w:r w:rsidR="00BA18CF" w:rsidRPr="004301E7">
        <w:rPr>
          <w:lang w:val="en-US"/>
        </w:rPr>
        <w:t xml:space="preserve">P), which is part of UN </w:t>
      </w:r>
      <w:r w:rsidR="00794A4F">
        <w:rPr>
          <w:lang w:val="en-US"/>
        </w:rPr>
        <w:t>R</w:t>
      </w:r>
      <w:r w:rsidR="00BA18CF" w:rsidRPr="004301E7">
        <w:rPr>
          <w:lang w:val="en-US"/>
        </w:rPr>
        <w:t>egulations for vehicles and tyres.</w:t>
      </w:r>
    </w:p>
    <w:p w14:paraId="64DBF139" w14:textId="43AA5C3A" w:rsidR="00BA18CF" w:rsidRPr="004301E7" w:rsidRDefault="006A73C1" w:rsidP="002C793B">
      <w:pPr>
        <w:spacing w:after="120"/>
        <w:ind w:left="2268" w:right="1134" w:hanging="1134"/>
        <w:jc w:val="both"/>
        <w:rPr>
          <w:lang w:val="en-US"/>
        </w:rPr>
      </w:pPr>
      <w:r>
        <w:rPr>
          <w:lang w:val="en-US"/>
        </w:rPr>
        <w:t>1</w:t>
      </w:r>
      <w:r w:rsidR="00DC73C4" w:rsidRPr="00DC73C4">
        <w:rPr>
          <w:b/>
          <w:bCs/>
          <w:lang w:val="en-US"/>
        </w:rPr>
        <w:t>.</w:t>
      </w:r>
      <w:r w:rsidR="00A67E2B">
        <w:rPr>
          <w:b/>
          <w:bCs/>
          <w:lang w:val="en-US"/>
        </w:rPr>
        <w:t>2</w:t>
      </w:r>
      <w:r>
        <w:rPr>
          <w:lang w:val="en-US"/>
        </w:rPr>
        <w:t>.5.</w:t>
      </w:r>
      <w:r>
        <w:rPr>
          <w:lang w:val="en-US"/>
        </w:rPr>
        <w:tab/>
      </w:r>
      <w:r w:rsidR="00BA18CF" w:rsidRPr="004301E7">
        <w:rPr>
          <w:lang w:val="en-US"/>
        </w:rPr>
        <w:t xml:space="preserve">GRBP has therefore been asked to establish an Informal Working Group on Measurement Uncertainties (IWG MU) to work on the following topics: </w:t>
      </w:r>
    </w:p>
    <w:p w14:paraId="0FA49595" w14:textId="5BD13934" w:rsidR="00420A31" w:rsidRPr="004301E7" w:rsidRDefault="00743F08" w:rsidP="002C793B">
      <w:pPr>
        <w:keepLines/>
        <w:spacing w:after="120"/>
        <w:ind w:left="2268" w:right="1134"/>
        <w:jc w:val="both"/>
        <w:rPr>
          <w:bCs/>
          <w:lang w:val="en-US"/>
        </w:rPr>
      </w:pPr>
      <w:r w:rsidRPr="004301E7">
        <w:rPr>
          <w:bCs/>
          <w:lang w:val="en-US"/>
        </w:rPr>
        <w:t>(a)</w:t>
      </w:r>
      <w:r w:rsidRPr="004301E7">
        <w:rPr>
          <w:bCs/>
          <w:lang w:val="en-US"/>
        </w:rPr>
        <w:tab/>
      </w:r>
      <w:r w:rsidR="00420A31" w:rsidRPr="004301E7">
        <w:rPr>
          <w:bCs/>
          <w:lang w:val="en-US"/>
        </w:rPr>
        <w:t>Improvements of test methods</w:t>
      </w:r>
      <w:r w:rsidR="00FB5392">
        <w:rPr>
          <w:bCs/>
          <w:lang w:val="en-US"/>
        </w:rPr>
        <w:t>;</w:t>
      </w:r>
    </w:p>
    <w:p w14:paraId="380B284E" w14:textId="048C72C2" w:rsidR="00420A31" w:rsidRPr="004301E7" w:rsidRDefault="00743F08" w:rsidP="002C793B">
      <w:pPr>
        <w:keepLines/>
        <w:spacing w:after="120"/>
        <w:ind w:left="2268" w:right="1134"/>
        <w:jc w:val="both"/>
        <w:rPr>
          <w:bCs/>
          <w:lang w:val="en-US"/>
        </w:rPr>
      </w:pPr>
      <w:r w:rsidRPr="004301E7">
        <w:rPr>
          <w:bCs/>
          <w:lang w:val="en-US"/>
        </w:rPr>
        <w:t>(b)</w:t>
      </w:r>
      <w:r w:rsidRPr="004301E7">
        <w:rPr>
          <w:bCs/>
          <w:lang w:val="en-US"/>
        </w:rPr>
        <w:tab/>
      </w:r>
      <w:r w:rsidR="00420A31" w:rsidRPr="004301E7">
        <w:rPr>
          <w:bCs/>
          <w:lang w:val="en-US"/>
        </w:rPr>
        <w:t>Compensation, if possible (systematic errors)</w:t>
      </w:r>
      <w:r w:rsidR="00FB5392">
        <w:rPr>
          <w:bCs/>
          <w:lang w:val="en-US"/>
        </w:rPr>
        <w:t>;</w:t>
      </w:r>
    </w:p>
    <w:p w14:paraId="1F161480" w14:textId="1B1B416A" w:rsidR="00420A31" w:rsidRPr="004301E7" w:rsidRDefault="00743F08" w:rsidP="002C793B">
      <w:pPr>
        <w:keepLines/>
        <w:spacing w:after="120"/>
        <w:ind w:left="2268" w:right="1134"/>
        <w:jc w:val="both"/>
        <w:rPr>
          <w:bCs/>
          <w:lang w:val="en-US"/>
        </w:rPr>
      </w:pPr>
      <w:r w:rsidRPr="004301E7">
        <w:rPr>
          <w:bCs/>
          <w:lang w:val="en-US"/>
        </w:rPr>
        <w:t>(c)</w:t>
      </w:r>
      <w:r w:rsidRPr="004301E7">
        <w:rPr>
          <w:bCs/>
          <w:lang w:val="en-US"/>
        </w:rPr>
        <w:tab/>
      </w:r>
      <w:r w:rsidR="00420A31" w:rsidRPr="004301E7">
        <w:rPr>
          <w:bCs/>
          <w:lang w:val="en-US"/>
        </w:rPr>
        <w:t>Remaining uncertainties (random errors)</w:t>
      </w:r>
      <w:r w:rsidR="00FB5392">
        <w:rPr>
          <w:bCs/>
          <w:lang w:val="en-US"/>
        </w:rPr>
        <w:t>.</w:t>
      </w:r>
    </w:p>
    <w:p w14:paraId="29ECBD8A" w14:textId="2E5863E3" w:rsidR="0007584C" w:rsidRPr="004301E7" w:rsidRDefault="006A73C1" w:rsidP="002C793B">
      <w:pPr>
        <w:spacing w:after="120"/>
        <w:ind w:left="2268" w:right="1134" w:hanging="1134"/>
        <w:jc w:val="both"/>
        <w:rPr>
          <w:lang w:val="en-US"/>
        </w:rPr>
      </w:pPr>
      <w:bookmarkStart w:id="2" w:name="_Toc83987015"/>
      <w:bookmarkStart w:id="3" w:name="_Toc87431060"/>
      <w:r>
        <w:rPr>
          <w:lang w:val="en-US"/>
        </w:rPr>
        <w:t>1</w:t>
      </w:r>
      <w:r w:rsidR="00DC73C4" w:rsidRPr="00DC73C4">
        <w:rPr>
          <w:b/>
          <w:bCs/>
          <w:lang w:val="en-US"/>
        </w:rPr>
        <w:t>.</w:t>
      </w:r>
      <w:r w:rsidR="00A67E2B">
        <w:rPr>
          <w:b/>
          <w:bCs/>
          <w:lang w:val="en-US"/>
        </w:rPr>
        <w:t>2</w:t>
      </w:r>
      <w:r>
        <w:rPr>
          <w:lang w:val="en-US"/>
        </w:rPr>
        <w:t>.6.</w:t>
      </w:r>
      <w:r>
        <w:rPr>
          <w:lang w:val="en-US"/>
        </w:rPr>
        <w:tab/>
      </w:r>
      <w:r w:rsidR="0007584C" w:rsidRPr="004301E7">
        <w:rPr>
          <w:lang w:val="en-US"/>
        </w:rPr>
        <w:t xml:space="preserve">As part of this work, IWG MU has developed </w:t>
      </w:r>
      <w:r w:rsidR="00E5392C">
        <w:rPr>
          <w:lang w:val="en-US"/>
        </w:rPr>
        <w:t xml:space="preserve">the </w:t>
      </w:r>
      <w:r w:rsidR="00DB61C6">
        <w:rPr>
          <w:lang w:val="en-US"/>
        </w:rPr>
        <w:t xml:space="preserve">Document for Reference </w:t>
      </w:r>
      <w:r w:rsidR="0007584C" w:rsidRPr="004301E7">
        <w:rPr>
          <w:lang w:val="en-US"/>
        </w:rPr>
        <w:t xml:space="preserve"> “A general approach how to handle measurement uncertainty”</w:t>
      </w:r>
      <w:r w:rsidR="00E854B2" w:rsidRPr="004301E7">
        <w:rPr>
          <w:vertAlign w:val="superscript"/>
          <w:lang w:val="en-US"/>
        </w:rPr>
        <w:t>2</w:t>
      </w:r>
      <w:r w:rsidR="0007584C" w:rsidRPr="004301E7">
        <w:rPr>
          <w:lang w:val="en-US"/>
        </w:rPr>
        <w:t>. Th</w:t>
      </w:r>
      <w:r w:rsidR="00E5392C">
        <w:rPr>
          <w:lang w:val="en-US"/>
        </w:rPr>
        <w:t xml:space="preserve">at </w:t>
      </w:r>
      <w:r w:rsidR="0007584C" w:rsidRPr="004301E7">
        <w:rPr>
          <w:lang w:val="en-US"/>
        </w:rPr>
        <w:t xml:space="preserve">document gives the basic statistical theory, based on the outline given in the </w:t>
      </w:r>
      <w:r w:rsidR="00E5392C">
        <w:rPr>
          <w:lang w:val="en-US"/>
        </w:rPr>
        <w:t xml:space="preserve">International Organization </w:t>
      </w:r>
      <w:r w:rsidR="00CC349C">
        <w:rPr>
          <w:lang w:val="en-US"/>
        </w:rPr>
        <w:t>for Standardization (</w:t>
      </w:r>
      <w:r w:rsidR="0007584C" w:rsidRPr="004301E7">
        <w:rPr>
          <w:lang w:val="en-US"/>
        </w:rPr>
        <w:t>ISO</w:t>
      </w:r>
      <w:r w:rsidR="00CC349C">
        <w:rPr>
          <w:lang w:val="en-US"/>
        </w:rPr>
        <w:t>)</w:t>
      </w:r>
      <w:r w:rsidR="0007584C" w:rsidRPr="004301E7">
        <w:rPr>
          <w:lang w:val="en-US"/>
        </w:rPr>
        <w:t xml:space="preserve"> Guide to the expression on Uncertainty in Measurement (GUM)</w:t>
      </w:r>
      <w:r w:rsidR="004B7A41" w:rsidRPr="004301E7">
        <w:rPr>
          <w:vertAlign w:val="superscript"/>
          <w:lang w:val="en-US"/>
        </w:rPr>
        <w:t>3</w:t>
      </w:r>
      <w:r w:rsidR="0007584C" w:rsidRPr="004301E7">
        <w:rPr>
          <w:lang w:val="en-US"/>
        </w:rPr>
        <w:t>.</w:t>
      </w:r>
    </w:p>
    <w:p w14:paraId="50484E82" w14:textId="7133E725" w:rsidR="00F616B6" w:rsidRPr="004301E7" w:rsidRDefault="006A73C1" w:rsidP="002C793B">
      <w:pPr>
        <w:spacing w:after="120"/>
        <w:ind w:left="2268" w:right="1134" w:hanging="1134"/>
        <w:jc w:val="both"/>
        <w:rPr>
          <w:lang w:val="en-US"/>
        </w:rPr>
      </w:pPr>
      <w:r>
        <w:rPr>
          <w:lang w:val="en-US"/>
        </w:rPr>
        <w:t>1</w:t>
      </w:r>
      <w:r w:rsidR="00DC73C4" w:rsidRPr="00DC73C4">
        <w:rPr>
          <w:b/>
          <w:bCs/>
          <w:lang w:val="en-US"/>
        </w:rPr>
        <w:t>.</w:t>
      </w:r>
      <w:r w:rsidR="00A67E2B">
        <w:rPr>
          <w:b/>
          <w:bCs/>
          <w:lang w:val="en-US"/>
        </w:rPr>
        <w:t>2</w:t>
      </w:r>
      <w:r>
        <w:rPr>
          <w:lang w:val="en-US"/>
        </w:rPr>
        <w:t>.7.</w:t>
      </w:r>
      <w:r>
        <w:rPr>
          <w:lang w:val="en-US"/>
        </w:rPr>
        <w:tab/>
      </w:r>
      <w:r w:rsidR="00F616B6" w:rsidRPr="004301E7">
        <w:rPr>
          <w:lang w:val="en-US"/>
        </w:rPr>
        <w:t xml:space="preserve">This </w:t>
      </w:r>
      <w:r w:rsidR="00DB61C6">
        <w:rPr>
          <w:lang w:val="en-US"/>
        </w:rPr>
        <w:t xml:space="preserve">Document for Reference </w:t>
      </w:r>
      <w:r w:rsidR="00F616B6" w:rsidRPr="004301E7">
        <w:rPr>
          <w:lang w:val="en-US"/>
        </w:rPr>
        <w:t>is a supplement to the above-mentioned document and outlines the status of measurement uncertainties related to testing according to</w:t>
      </w:r>
      <w:r w:rsidR="00950720" w:rsidRPr="004301E7">
        <w:rPr>
          <w:lang w:val="en-US"/>
        </w:rPr>
        <w:t xml:space="preserve"> </w:t>
      </w:r>
      <w:r w:rsidR="00002B90">
        <w:rPr>
          <w:lang w:val="en-US"/>
        </w:rPr>
        <w:t>UN R</w:t>
      </w:r>
      <w:r w:rsidR="00950720" w:rsidRPr="004301E7">
        <w:rPr>
          <w:lang w:val="en-US"/>
        </w:rPr>
        <w:t xml:space="preserve">egulations </w:t>
      </w:r>
      <w:r w:rsidR="00002B90">
        <w:rPr>
          <w:lang w:val="en-US"/>
        </w:rPr>
        <w:t xml:space="preserve">under the purview </w:t>
      </w:r>
      <w:r w:rsidR="00950720" w:rsidRPr="004301E7">
        <w:rPr>
          <w:lang w:val="en-US"/>
        </w:rPr>
        <w:t>of GRBP</w:t>
      </w:r>
      <w:r w:rsidR="00A80F82">
        <w:rPr>
          <w:lang w:val="en-US"/>
        </w:rPr>
        <w:t>,</w:t>
      </w:r>
      <w:r w:rsidR="00950720" w:rsidRPr="004301E7">
        <w:rPr>
          <w:lang w:val="en-US"/>
        </w:rPr>
        <w:t xml:space="preserve"> </w:t>
      </w:r>
      <w:r w:rsidR="005F4C6B" w:rsidRPr="004301E7">
        <w:rPr>
          <w:lang w:val="en-US"/>
        </w:rPr>
        <w:t>e.g.</w:t>
      </w:r>
      <w:r w:rsidR="00F616B6" w:rsidRPr="004301E7">
        <w:rPr>
          <w:lang w:val="en-US"/>
        </w:rPr>
        <w:t xml:space="preserve"> </w:t>
      </w:r>
      <w:r w:rsidR="00A80F82">
        <w:rPr>
          <w:lang w:val="en-US"/>
        </w:rPr>
        <w:t xml:space="preserve">Nos. </w:t>
      </w:r>
      <w:r w:rsidR="00F616B6" w:rsidRPr="004301E7">
        <w:rPr>
          <w:lang w:val="en-US"/>
        </w:rPr>
        <w:t>51 and 117</w:t>
      </w:r>
      <w:r w:rsidR="005F4C6B" w:rsidRPr="004301E7">
        <w:rPr>
          <w:lang w:val="en-US"/>
        </w:rPr>
        <w:t>.</w:t>
      </w:r>
    </w:p>
    <w:p w14:paraId="00F8C00D" w14:textId="3A824FB6" w:rsidR="00F616B6" w:rsidRPr="004301E7" w:rsidRDefault="006A73C1" w:rsidP="002C793B">
      <w:pPr>
        <w:spacing w:after="120"/>
        <w:ind w:left="2268" w:right="1134" w:hanging="1134"/>
        <w:jc w:val="both"/>
        <w:rPr>
          <w:lang w:val="en-US"/>
        </w:rPr>
      </w:pPr>
      <w:r>
        <w:rPr>
          <w:lang w:val="en-US"/>
        </w:rPr>
        <w:t>1</w:t>
      </w:r>
      <w:r w:rsidR="00DC73C4" w:rsidRPr="00DC73C4">
        <w:rPr>
          <w:b/>
          <w:bCs/>
          <w:lang w:val="en-US"/>
        </w:rPr>
        <w:t>.</w:t>
      </w:r>
      <w:r w:rsidR="00A67E2B">
        <w:rPr>
          <w:b/>
          <w:bCs/>
          <w:lang w:val="en-US"/>
        </w:rPr>
        <w:t>2</w:t>
      </w:r>
      <w:r>
        <w:rPr>
          <w:lang w:val="en-US"/>
        </w:rPr>
        <w:t>.8.</w:t>
      </w:r>
      <w:r>
        <w:rPr>
          <w:lang w:val="en-US"/>
        </w:rPr>
        <w:tab/>
      </w:r>
      <w:r w:rsidR="00F616B6" w:rsidRPr="004301E7">
        <w:rPr>
          <w:lang w:val="en-US"/>
        </w:rPr>
        <w:t xml:space="preserve">The evaluation is based on the current knowledge of the impact of different measurement quantities to the overall uncertainty. </w:t>
      </w:r>
    </w:p>
    <w:p w14:paraId="44823D66" w14:textId="0197A2FA" w:rsidR="00F616B6" w:rsidRPr="004301E7" w:rsidRDefault="006A73C1" w:rsidP="002C793B">
      <w:pPr>
        <w:spacing w:after="120"/>
        <w:ind w:left="2268" w:right="1134" w:hanging="1134"/>
        <w:jc w:val="both"/>
        <w:rPr>
          <w:lang w:val="en-US"/>
        </w:rPr>
      </w:pPr>
      <w:r>
        <w:rPr>
          <w:lang w:val="en-US"/>
        </w:rPr>
        <w:t>1</w:t>
      </w:r>
      <w:r w:rsidR="00DC73C4" w:rsidRPr="00DC73C4">
        <w:rPr>
          <w:b/>
          <w:bCs/>
          <w:lang w:val="en-US"/>
        </w:rPr>
        <w:t>.</w:t>
      </w:r>
      <w:r w:rsidR="00A67E2B">
        <w:rPr>
          <w:b/>
          <w:bCs/>
          <w:lang w:val="en-US"/>
        </w:rPr>
        <w:t>2</w:t>
      </w:r>
      <w:r>
        <w:rPr>
          <w:lang w:val="en-US"/>
        </w:rPr>
        <w:t>.9.</w:t>
      </w:r>
      <w:r>
        <w:rPr>
          <w:lang w:val="en-US"/>
        </w:rPr>
        <w:tab/>
      </w:r>
      <w:r w:rsidR="00F616B6" w:rsidRPr="004301E7">
        <w:rPr>
          <w:lang w:val="en-US"/>
        </w:rPr>
        <w:t xml:space="preserve">In </w:t>
      </w:r>
      <w:r w:rsidR="00482F5D">
        <w:rPr>
          <w:lang w:val="en-US"/>
        </w:rPr>
        <w:t xml:space="preserve">the </w:t>
      </w:r>
      <w:r w:rsidR="00C06CEE" w:rsidRPr="004301E7">
        <w:rPr>
          <w:lang w:val="en-US"/>
        </w:rPr>
        <w:t>investigated</w:t>
      </w:r>
      <w:r w:rsidR="00F616B6" w:rsidRPr="004301E7">
        <w:rPr>
          <w:lang w:val="en-US"/>
        </w:rPr>
        <w:t xml:space="preserve"> </w:t>
      </w:r>
      <w:r w:rsidR="00482F5D">
        <w:rPr>
          <w:lang w:val="en-US"/>
        </w:rPr>
        <w:t>UN R</w:t>
      </w:r>
      <w:r w:rsidR="00F616B6" w:rsidRPr="004301E7">
        <w:rPr>
          <w:lang w:val="en-US"/>
        </w:rPr>
        <w:t>egulations, it is expected that a continuous development of the measurement procedures and limitations of boundary test conditions may influence the overall estimated uncertainties, as determined in th</w:t>
      </w:r>
      <w:r w:rsidR="00331659">
        <w:rPr>
          <w:lang w:val="en-US"/>
        </w:rPr>
        <w:t xml:space="preserve">e </w:t>
      </w:r>
      <w:r w:rsidR="00F616B6" w:rsidRPr="004301E7">
        <w:rPr>
          <w:lang w:val="en-US"/>
        </w:rPr>
        <w:t xml:space="preserve">document. In these cases, this </w:t>
      </w:r>
      <w:r w:rsidR="00DB61C6">
        <w:rPr>
          <w:lang w:val="en-US"/>
        </w:rPr>
        <w:t xml:space="preserve">Document for Reference </w:t>
      </w:r>
      <w:r w:rsidR="00F616B6" w:rsidRPr="004301E7">
        <w:rPr>
          <w:lang w:val="en-US"/>
        </w:rPr>
        <w:t xml:space="preserve">should then be updated, to comprise these changes and revise the uncertainty tables given  </w:t>
      </w:r>
      <w:r w:rsidR="003F789F">
        <w:rPr>
          <w:lang w:val="en-US"/>
        </w:rPr>
        <w:t>below</w:t>
      </w:r>
      <w:r w:rsidR="00F616B6" w:rsidRPr="004301E7">
        <w:rPr>
          <w:lang w:val="en-US"/>
        </w:rPr>
        <w:t>.</w:t>
      </w:r>
    </w:p>
    <w:p w14:paraId="1A1FFABF" w14:textId="26354ABF" w:rsidR="00CF7B91" w:rsidRPr="00A2435C" w:rsidRDefault="001305C5" w:rsidP="00A2435C">
      <w:pPr>
        <w:pStyle w:val="H1G"/>
        <w:rPr>
          <w:lang w:val="en-US"/>
        </w:rPr>
      </w:pPr>
      <w:r w:rsidRPr="00A2435C">
        <w:rPr>
          <w:lang w:val="en-US"/>
        </w:rPr>
        <w:tab/>
      </w:r>
      <w:r w:rsidR="00773093">
        <w:rPr>
          <w:lang w:val="en-US"/>
        </w:rPr>
        <w:tab/>
      </w:r>
      <w:r w:rsidR="00A2435C">
        <w:rPr>
          <w:lang w:val="en-US"/>
        </w:rPr>
        <w:t>2.</w:t>
      </w:r>
      <w:r w:rsidR="00A2435C">
        <w:rPr>
          <w:lang w:val="en-US"/>
        </w:rPr>
        <w:tab/>
      </w:r>
      <w:r w:rsidR="00E74EC8">
        <w:rPr>
          <w:lang w:val="en-US"/>
        </w:rPr>
        <w:tab/>
      </w:r>
      <w:r w:rsidR="0067128F" w:rsidRPr="00A2435C">
        <w:rPr>
          <w:lang w:val="en-US"/>
        </w:rPr>
        <w:t>Me</w:t>
      </w:r>
      <w:r w:rsidR="00492E85" w:rsidRPr="00A2435C">
        <w:rPr>
          <w:lang w:val="en-US"/>
        </w:rPr>
        <w:t>as</w:t>
      </w:r>
      <w:r w:rsidR="0067128F" w:rsidRPr="00A2435C">
        <w:rPr>
          <w:lang w:val="en-US"/>
        </w:rPr>
        <w:t xml:space="preserve">urement Uncertainties in </w:t>
      </w:r>
      <w:r w:rsidR="00E74EC8">
        <w:rPr>
          <w:lang w:val="en-US"/>
        </w:rPr>
        <w:t xml:space="preserve">UN </w:t>
      </w:r>
      <w:r w:rsidRPr="00A2435C">
        <w:rPr>
          <w:lang w:val="en-US"/>
        </w:rPr>
        <w:t xml:space="preserve">Regulations </w:t>
      </w:r>
      <w:bookmarkEnd w:id="2"/>
      <w:bookmarkEnd w:id="3"/>
    </w:p>
    <w:p w14:paraId="3C50A78C" w14:textId="26E8EA3D" w:rsidR="00F20CAB" w:rsidRPr="00A24D1F" w:rsidRDefault="00A24D1F" w:rsidP="0093401C">
      <w:pPr>
        <w:pStyle w:val="berschrift2"/>
        <w:numPr>
          <w:ilvl w:val="0"/>
          <w:numId w:val="0"/>
        </w:numPr>
        <w:ind w:left="2268" w:hanging="1134"/>
        <w:rPr>
          <w:sz w:val="20"/>
          <w:szCs w:val="20"/>
        </w:rPr>
      </w:pPr>
      <w:r w:rsidRPr="00A24D1F">
        <w:rPr>
          <w:sz w:val="20"/>
          <w:szCs w:val="20"/>
        </w:rPr>
        <w:t>2.1</w:t>
      </w:r>
      <w:r w:rsidR="005A038E">
        <w:rPr>
          <w:sz w:val="20"/>
          <w:szCs w:val="20"/>
        </w:rPr>
        <w:t>.</w:t>
      </w:r>
      <w:r w:rsidRPr="00A24D1F">
        <w:rPr>
          <w:sz w:val="20"/>
          <w:szCs w:val="20"/>
        </w:rPr>
        <w:tab/>
      </w:r>
      <w:r w:rsidR="00F20CAB" w:rsidRPr="00A24D1F">
        <w:rPr>
          <w:sz w:val="20"/>
          <w:szCs w:val="20"/>
        </w:rPr>
        <w:t>UN Regulation No. 9</w:t>
      </w:r>
    </w:p>
    <w:p w14:paraId="63707519" w14:textId="5015BCA4" w:rsidR="009B229F" w:rsidRDefault="00A24D1F" w:rsidP="0093401C">
      <w:pPr>
        <w:spacing w:after="120"/>
        <w:ind w:left="2268" w:right="1134"/>
        <w:jc w:val="both"/>
        <w:rPr>
          <w:rFonts w:asciiTheme="majorBidi" w:hAnsiTheme="majorBidi" w:cstheme="majorBidi"/>
          <w:lang w:val="en-US"/>
        </w:rPr>
      </w:pPr>
      <w:r>
        <w:rPr>
          <w:rFonts w:asciiTheme="majorBidi" w:hAnsiTheme="majorBidi" w:cstheme="majorBidi"/>
          <w:lang w:val="en-US"/>
        </w:rPr>
        <w:t>(</w:t>
      </w:r>
      <w:r w:rsidR="009B229F" w:rsidRPr="00A24D1F">
        <w:rPr>
          <w:rFonts w:asciiTheme="majorBidi" w:hAnsiTheme="majorBidi" w:cstheme="majorBidi"/>
          <w:lang w:val="en-US"/>
        </w:rPr>
        <w:t>reserved</w:t>
      </w:r>
      <w:r>
        <w:rPr>
          <w:rFonts w:asciiTheme="majorBidi" w:hAnsiTheme="majorBidi" w:cstheme="majorBidi"/>
          <w:lang w:val="en-US"/>
        </w:rPr>
        <w:t>)</w:t>
      </w:r>
    </w:p>
    <w:p w14:paraId="7D3881CB" w14:textId="506EE925" w:rsidR="00F20CAB" w:rsidRPr="00A24D1F" w:rsidRDefault="00A24D1F" w:rsidP="0093401C">
      <w:pPr>
        <w:pStyle w:val="berschrift2"/>
        <w:numPr>
          <w:ilvl w:val="0"/>
          <w:numId w:val="0"/>
        </w:numPr>
        <w:ind w:left="2268" w:hanging="1134"/>
        <w:rPr>
          <w:sz w:val="20"/>
          <w:szCs w:val="20"/>
        </w:rPr>
      </w:pPr>
      <w:r w:rsidRPr="00A24D1F">
        <w:rPr>
          <w:sz w:val="20"/>
          <w:szCs w:val="20"/>
        </w:rPr>
        <w:t>2.2</w:t>
      </w:r>
      <w:r w:rsidR="005A038E">
        <w:rPr>
          <w:sz w:val="20"/>
          <w:szCs w:val="20"/>
        </w:rPr>
        <w:t>.</w:t>
      </w:r>
      <w:r w:rsidRPr="00A24D1F">
        <w:rPr>
          <w:sz w:val="20"/>
          <w:szCs w:val="20"/>
        </w:rPr>
        <w:tab/>
      </w:r>
      <w:r w:rsidR="00F20CAB" w:rsidRPr="00A24D1F">
        <w:rPr>
          <w:sz w:val="20"/>
          <w:szCs w:val="20"/>
        </w:rPr>
        <w:t>UN Regulation No. 28</w:t>
      </w:r>
    </w:p>
    <w:p w14:paraId="649C1738" w14:textId="34F1445E" w:rsidR="009B229F" w:rsidRPr="00A24D1F" w:rsidRDefault="00A24D1F" w:rsidP="0093401C">
      <w:pPr>
        <w:spacing w:after="120"/>
        <w:ind w:left="2268" w:right="1134"/>
        <w:jc w:val="both"/>
        <w:rPr>
          <w:rFonts w:asciiTheme="majorBidi" w:hAnsiTheme="majorBidi" w:cstheme="majorBidi"/>
          <w:lang w:val="en-US"/>
        </w:rPr>
      </w:pPr>
      <w:r>
        <w:rPr>
          <w:rFonts w:asciiTheme="majorBidi" w:hAnsiTheme="majorBidi" w:cstheme="majorBidi"/>
          <w:lang w:val="en-US"/>
        </w:rPr>
        <w:t>(</w:t>
      </w:r>
      <w:r w:rsidR="009B229F" w:rsidRPr="00A24D1F">
        <w:rPr>
          <w:rFonts w:asciiTheme="majorBidi" w:hAnsiTheme="majorBidi" w:cstheme="majorBidi"/>
          <w:lang w:val="en-US"/>
        </w:rPr>
        <w:t>reserved</w:t>
      </w:r>
      <w:r>
        <w:rPr>
          <w:rFonts w:asciiTheme="majorBidi" w:hAnsiTheme="majorBidi" w:cstheme="majorBidi"/>
          <w:lang w:val="en-US"/>
        </w:rPr>
        <w:t>)</w:t>
      </w:r>
    </w:p>
    <w:p w14:paraId="7BD84413" w14:textId="49F3191E" w:rsidR="00F20CAB" w:rsidRPr="00A24D1F" w:rsidRDefault="00A24D1F" w:rsidP="0093401C">
      <w:pPr>
        <w:pStyle w:val="berschrift2"/>
        <w:numPr>
          <w:ilvl w:val="0"/>
          <w:numId w:val="0"/>
        </w:numPr>
        <w:ind w:left="2268" w:hanging="1134"/>
        <w:rPr>
          <w:sz w:val="20"/>
          <w:szCs w:val="20"/>
        </w:rPr>
      </w:pPr>
      <w:r w:rsidRPr="00A24D1F">
        <w:rPr>
          <w:sz w:val="20"/>
          <w:szCs w:val="20"/>
        </w:rPr>
        <w:t>2.3</w:t>
      </w:r>
      <w:r w:rsidR="005A038E">
        <w:rPr>
          <w:sz w:val="20"/>
          <w:szCs w:val="20"/>
        </w:rPr>
        <w:t>.</w:t>
      </w:r>
      <w:r w:rsidRPr="00A24D1F">
        <w:rPr>
          <w:sz w:val="20"/>
          <w:szCs w:val="20"/>
        </w:rPr>
        <w:tab/>
      </w:r>
      <w:r w:rsidR="00F20CAB" w:rsidRPr="00A24D1F">
        <w:rPr>
          <w:sz w:val="20"/>
          <w:szCs w:val="20"/>
        </w:rPr>
        <w:t>UN Regulation No. 30</w:t>
      </w:r>
    </w:p>
    <w:p w14:paraId="60035686" w14:textId="5BFBE1EA" w:rsidR="009B229F" w:rsidRPr="00A24D1F" w:rsidRDefault="00A24D1F" w:rsidP="0093401C">
      <w:pPr>
        <w:spacing w:after="120"/>
        <w:ind w:left="2268" w:right="1134"/>
        <w:jc w:val="both"/>
        <w:rPr>
          <w:rFonts w:asciiTheme="majorBidi" w:hAnsiTheme="majorBidi" w:cstheme="majorBidi"/>
          <w:lang w:val="en-US"/>
        </w:rPr>
      </w:pPr>
      <w:r>
        <w:rPr>
          <w:rFonts w:asciiTheme="majorBidi" w:hAnsiTheme="majorBidi" w:cstheme="majorBidi"/>
          <w:lang w:val="en-US"/>
        </w:rPr>
        <w:t>(</w:t>
      </w:r>
      <w:r w:rsidR="009B229F" w:rsidRPr="00A24D1F">
        <w:rPr>
          <w:rFonts w:asciiTheme="majorBidi" w:hAnsiTheme="majorBidi" w:cstheme="majorBidi"/>
          <w:lang w:val="en-US"/>
        </w:rPr>
        <w:t>reserved</w:t>
      </w:r>
      <w:r>
        <w:rPr>
          <w:rFonts w:asciiTheme="majorBidi" w:hAnsiTheme="majorBidi" w:cstheme="majorBidi"/>
          <w:lang w:val="en-US"/>
        </w:rPr>
        <w:t>)</w:t>
      </w:r>
    </w:p>
    <w:p w14:paraId="32B88C82" w14:textId="0E17643A" w:rsidR="00F20CAB" w:rsidRPr="00A24D1F" w:rsidRDefault="00A24D1F" w:rsidP="0093401C">
      <w:pPr>
        <w:pStyle w:val="berschrift2"/>
        <w:numPr>
          <w:ilvl w:val="0"/>
          <w:numId w:val="0"/>
        </w:numPr>
        <w:ind w:left="2268" w:hanging="1134"/>
        <w:rPr>
          <w:sz w:val="20"/>
          <w:szCs w:val="20"/>
        </w:rPr>
      </w:pPr>
      <w:r w:rsidRPr="00A24D1F">
        <w:rPr>
          <w:sz w:val="20"/>
          <w:szCs w:val="20"/>
        </w:rPr>
        <w:t>2.4</w:t>
      </w:r>
      <w:r w:rsidR="005A038E">
        <w:rPr>
          <w:sz w:val="20"/>
          <w:szCs w:val="20"/>
        </w:rPr>
        <w:t>.</w:t>
      </w:r>
      <w:r w:rsidRPr="00A24D1F">
        <w:rPr>
          <w:sz w:val="20"/>
          <w:szCs w:val="20"/>
        </w:rPr>
        <w:tab/>
      </w:r>
      <w:r w:rsidR="00F20CAB" w:rsidRPr="00A24D1F">
        <w:rPr>
          <w:sz w:val="20"/>
          <w:szCs w:val="20"/>
        </w:rPr>
        <w:t>UN Regulation No. 41</w:t>
      </w:r>
    </w:p>
    <w:p w14:paraId="235FF637" w14:textId="26F26D55" w:rsidR="009B229F" w:rsidRDefault="00A24D1F" w:rsidP="0093401C">
      <w:pPr>
        <w:spacing w:after="120"/>
        <w:ind w:left="2268" w:right="1134"/>
        <w:jc w:val="both"/>
        <w:rPr>
          <w:rFonts w:asciiTheme="majorBidi" w:hAnsiTheme="majorBidi" w:cstheme="majorBidi"/>
          <w:lang w:val="en-US"/>
        </w:rPr>
      </w:pPr>
      <w:r>
        <w:rPr>
          <w:rFonts w:asciiTheme="majorBidi" w:hAnsiTheme="majorBidi" w:cstheme="majorBidi"/>
          <w:lang w:val="en-US"/>
        </w:rPr>
        <w:t>(</w:t>
      </w:r>
      <w:r w:rsidR="009B229F" w:rsidRPr="00A24D1F">
        <w:rPr>
          <w:rFonts w:asciiTheme="majorBidi" w:hAnsiTheme="majorBidi" w:cstheme="majorBidi"/>
          <w:lang w:val="en-US"/>
        </w:rPr>
        <w:t>reserved</w:t>
      </w:r>
      <w:r>
        <w:rPr>
          <w:rFonts w:asciiTheme="majorBidi" w:hAnsiTheme="majorBidi" w:cstheme="majorBidi"/>
          <w:lang w:val="en-US"/>
        </w:rPr>
        <w:t>)</w:t>
      </w:r>
    </w:p>
    <w:p w14:paraId="4FB54352" w14:textId="46B4D354" w:rsidR="006F6C7A" w:rsidRPr="00C37519" w:rsidRDefault="00A24D1F" w:rsidP="00DF7F90">
      <w:pPr>
        <w:pStyle w:val="berschrift2"/>
        <w:numPr>
          <w:ilvl w:val="0"/>
          <w:numId w:val="0"/>
        </w:numPr>
        <w:ind w:left="2268" w:hanging="1134"/>
        <w:rPr>
          <w:rFonts w:asciiTheme="majorBidi" w:hAnsiTheme="majorBidi" w:cstheme="majorBidi"/>
          <w:b/>
          <w:bCs/>
          <w:sz w:val="20"/>
          <w:szCs w:val="20"/>
          <w:lang w:val="en-US"/>
        </w:rPr>
      </w:pPr>
      <w:r w:rsidRPr="00A24D1F">
        <w:rPr>
          <w:sz w:val="20"/>
          <w:szCs w:val="20"/>
        </w:rPr>
        <w:t>2.5</w:t>
      </w:r>
      <w:r w:rsidR="005A038E">
        <w:rPr>
          <w:sz w:val="20"/>
          <w:szCs w:val="20"/>
        </w:rPr>
        <w:t>.</w:t>
      </w:r>
      <w:r w:rsidRPr="00A24D1F">
        <w:rPr>
          <w:sz w:val="20"/>
          <w:szCs w:val="20"/>
        </w:rPr>
        <w:tab/>
      </w:r>
      <w:r w:rsidR="00F20CAB" w:rsidRPr="00A24D1F">
        <w:rPr>
          <w:sz w:val="20"/>
          <w:szCs w:val="20"/>
        </w:rPr>
        <w:t>UN Regulation No. 51</w:t>
      </w:r>
      <w:r w:rsidR="006F6C7A" w:rsidRPr="00A24D1F">
        <w:rPr>
          <w:rFonts w:asciiTheme="majorBidi" w:hAnsiTheme="majorBidi" w:cstheme="majorBidi"/>
          <w:sz w:val="20"/>
          <w:szCs w:val="20"/>
          <w:lang w:val="en-US"/>
        </w:rPr>
        <w:t xml:space="preserve"> </w:t>
      </w:r>
      <w:r w:rsidR="00083AE6">
        <w:rPr>
          <w:rFonts w:asciiTheme="majorBidi" w:hAnsiTheme="majorBidi" w:cstheme="majorBidi"/>
          <w:sz w:val="20"/>
          <w:szCs w:val="20"/>
          <w:lang w:val="en-US"/>
        </w:rPr>
        <w:tab/>
      </w:r>
    </w:p>
    <w:p w14:paraId="44DCD6D2" w14:textId="0DA61481" w:rsidR="00F20CAB" w:rsidRPr="007B6126" w:rsidRDefault="001D2453" w:rsidP="00F108B4">
      <w:pPr>
        <w:pStyle w:val="berschrift3"/>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2.5.1.</w:t>
      </w:r>
      <w:r>
        <w:rPr>
          <w:rFonts w:asciiTheme="majorBidi" w:hAnsiTheme="majorBidi" w:cstheme="majorBidi"/>
          <w:lang w:val="en-US"/>
        </w:rPr>
        <w:tab/>
      </w:r>
      <w:r w:rsidR="00152864" w:rsidRPr="007B6126">
        <w:rPr>
          <w:rFonts w:asciiTheme="majorBidi" w:hAnsiTheme="majorBidi" w:cstheme="majorBidi"/>
          <w:lang w:val="en-US"/>
        </w:rPr>
        <w:t>Estimation of the calculation of the expanded measurement uncertainties for sound</w:t>
      </w:r>
      <w:r w:rsidR="00DA7B70" w:rsidRPr="007B6126">
        <w:rPr>
          <w:rFonts w:asciiTheme="majorBidi" w:hAnsiTheme="majorBidi" w:cstheme="majorBidi"/>
          <w:lang w:val="en-US"/>
        </w:rPr>
        <w:t xml:space="preserve"> m</w:t>
      </w:r>
      <w:r w:rsidR="00152864" w:rsidRPr="007B6126">
        <w:rPr>
          <w:rFonts w:asciiTheme="majorBidi" w:hAnsiTheme="majorBidi" w:cstheme="majorBidi"/>
          <w:lang w:val="en-US"/>
        </w:rPr>
        <w:t>easurements of Annex 3 for vehicles of category M and N</w:t>
      </w:r>
    </w:p>
    <w:p w14:paraId="47C2F977" w14:textId="1C58D0C2" w:rsidR="00A508D9" w:rsidRPr="007B6126" w:rsidRDefault="00670ED2" w:rsidP="00F108B4">
      <w:pPr>
        <w:spacing w:after="120"/>
        <w:ind w:left="2268" w:right="1134"/>
        <w:jc w:val="both"/>
        <w:rPr>
          <w:rFonts w:asciiTheme="majorBidi" w:hAnsiTheme="majorBidi" w:cstheme="majorBidi"/>
          <w:lang w:val="en-US"/>
        </w:rPr>
      </w:pPr>
      <w:r w:rsidRPr="007B6126">
        <w:rPr>
          <w:rFonts w:asciiTheme="majorBidi" w:hAnsiTheme="majorBidi" w:cstheme="majorBidi"/>
          <w:lang w:val="en-US"/>
        </w:rPr>
        <w:t>The method for M</w:t>
      </w:r>
      <w:r w:rsidRPr="00F108B4">
        <w:rPr>
          <w:rFonts w:asciiTheme="majorBidi" w:hAnsiTheme="majorBidi" w:cstheme="majorBidi"/>
          <w:vertAlign w:val="subscript"/>
          <w:lang w:val="en-US"/>
        </w:rPr>
        <w:t>1</w:t>
      </w:r>
      <w:r w:rsidRPr="007B6126">
        <w:rPr>
          <w:rFonts w:asciiTheme="majorBidi" w:hAnsiTheme="majorBidi" w:cstheme="majorBidi"/>
          <w:lang w:val="en-US"/>
        </w:rPr>
        <w:t>, N</w:t>
      </w:r>
      <w:r w:rsidRPr="00F108B4">
        <w:rPr>
          <w:rFonts w:asciiTheme="majorBidi" w:hAnsiTheme="majorBidi" w:cstheme="majorBidi"/>
          <w:vertAlign w:val="subscript"/>
          <w:lang w:val="en-US"/>
        </w:rPr>
        <w:t>1</w:t>
      </w:r>
      <w:r w:rsidRPr="007B6126">
        <w:rPr>
          <w:rFonts w:asciiTheme="majorBidi" w:hAnsiTheme="majorBidi" w:cstheme="majorBidi"/>
          <w:lang w:val="en-US"/>
        </w:rPr>
        <w:t xml:space="preserve"> and M</w:t>
      </w:r>
      <w:r w:rsidRPr="00F108B4">
        <w:rPr>
          <w:rFonts w:asciiTheme="majorBidi" w:hAnsiTheme="majorBidi" w:cstheme="majorBidi"/>
          <w:vertAlign w:val="subscript"/>
          <w:lang w:val="en-US"/>
        </w:rPr>
        <w:t>2</w:t>
      </w:r>
      <w:r w:rsidRPr="007B6126">
        <w:rPr>
          <w:rFonts w:asciiTheme="majorBidi" w:hAnsiTheme="majorBidi" w:cstheme="majorBidi"/>
          <w:lang w:val="en-US"/>
        </w:rPr>
        <w:t xml:space="preserve"> &lt; 3</w:t>
      </w:r>
      <w:r w:rsidR="00F108B4">
        <w:rPr>
          <w:rFonts w:asciiTheme="majorBidi" w:hAnsiTheme="majorBidi" w:cstheme="majorBidi"/>
          <w:lang w:val="en-US"/>
        </w:rPr>
        <w:t>,</w:t>
      </w:r>
      <w:r w:rsidRPr="007B6126">
        <w:rPr>
          <w:rFonts w:asciiTheme="majorBidi" w:hAnsiTheme="majorBidi" w:cstheme="majorBidi"/>
          <w:lang w:val="en-US"/>
        </w:rPr>
        <w:t>500 kg classes of vehicles (Annex 3) is based on two driving conditions; a constant speed test, L</w:t>
      </w:r>
      <w:r w:rsidRPr="003F789F">
        <w:rPr>
          <w:rFonts w:asciiTheme="majorBidi" w:hAnsiTheme="majorBidi" w:cstheme="majorBidi"/>
          <w:vertAlign w:val="subscript"/>
          <w:lang w:val="en-US"/>
        </w:rPr>
        <w:t>crs</w:t>
      </w:r>
      <w:r w:rsidRPr="007B6126">
        <w:rPr>
          <w:rFonts w:asciiTheme="majorBidi" w:hAnsiTheme="majorBidi" w:cstheme="majorBidi"/>
          <w:lang w:val="en-US"/>
        </w:rPr>
        <w:t>, and a wide-open throttle acceleration test, L</w:t>
      </w:r>
      <w:r w:rsidRPr="003F789F">
        <w:rPr>
          <w:rFonts w:asciiTheme="majorBidi" w:hAnsiTheme="majorBidi" w:cstheme="majorBidi"/>
          <w:vertAlign w:val="subscript"/>
          <w:lang w:val="en-US"/>
        </w:rPr>
        <w:t>wot</w:t>
      </w:r>
      <w:r w:rsidRPr="007B6126">
        <w:rPr>
          <w:rFonts w:asciiTheme="majorBidi" w:hAnsiTheme="majorBidi" w:cstheme="majorBidi"/>
          <w:lang w:val="en-US"/>
        </w:rPr>
        <w:t>, to determine the final type-approval level, L</w:t>
      </w:r>
      <w:r w:rsidRPr="003F789F">
        <w:rPr>
          <w:rFonts w:asciiTheme="majorBidi" w:hAnsiTheme="majorBidi" w:cstheme="majorBidi"/>
          <w:vertAlign w:val="subscript"/>
          <w:lang w:val="en-US"/>
        </w:rPr>
        <w:t>urban</w:t>
      </w:r>
      <w:r w:rsidRPr="007B6126">
        <w:rPr>
          <w:rFonts w:asciiTheme="majorBidi" w:hAnsiTheme="majorBidi" w:cstheme="majorBidi"/>
          <w:lang w:val="en-US"/>
        </w:rPr>
        <w:t xml:space="preserve">. The uncertainty table in paragraph 2.4 is valid for these categories of vehicles. The uncertainty table in paragraph 2.5 is valid for vehicle </w:t>
      </w:r>
      <w:r w:rsidR="00740F70">
        <w:rPr>
          <w:rFonts w:asciiTheme="majorBidi" w:hAnsiTheme="majorBidi" w:cstheme="majorBidi"/>
          <w:lang w:val="en-US"/>
        </w:rPr>
        <w:t xml:space="preserve">categories </w:t>
      </w:r>
      <w:r w:rsidRPr="007B6126">
        <w:rPr>
          <w:rFonts w:asciiTheme="majorBidi" w:hAnsiTheme="majorBidi" w:cstheme="majorBidi"/>
          <w:lang w:val="en-US"/>
        </w:rPr>
        <w:t>N</w:t>
      </w:r>
      <w:r w:rsidRPr="00F108B4">
        <w:rPr>
          <w:rFonts w:asciiTheme="majorBidi" w:hAnsiTheme="majorBidi" w:cstheme="majorBidi"/>
          <w:vertAlign w:val="subscript"/>
          <w:lang w:val="en-US"/>
        </w:rPr>
        <w:t>2</w:t>
      </w:r>
      <w:r w:rsidRPr="007B6126">
        <w:rPr>
          <w:rFonts w:asciiTheme="majorBidi" w:hAnsiTheme="majorBidi" w:cstheme="majorBidi"/>
          <w:lang w:val="en-US"/>
        </w:rPr>
        <w:t>, N</w:t>
      </w:r>
      <w:r w:rsidRPr="00F108B4">
        <w:rPr>
          <w:rFonts w:asciiTheme="majorBidi" w:hAnsiTheme="majorBidi" w:cstheme="majorBidi"/>
          <w:vertAlign w:val="subscript"/>
          <w:lang w:val="en-US"/>
        </w:rPr>
        <w:t>3</w:t>
      </w:r>
      <w:r w:rsidRPr="007B6126">
        <w:rPr>
          <w:rFonts w:asciiTheme="majorBidi" w:hAnsiTheme="majorBidi" w:cstheme="majorBidi"/>
          <w:lang w:val="en-US"/>
        </w:rPr>
        <w:t>, M</w:t>
      </w:r>
      <w:r w:rsidRPr="00F108B4">
        <w:rPr>
          <w:rFonts w:asciiTheme="majorBidi" w:hAnsiTheme="majorBidi" w:cstheme="majorBidi"/>
          <w:vertAlign w:val="subscript"/>
          <w:lang w:val="en-US"/>
        </w:rPr>
        <w:t>2</w:t>
      </w:r>
      <w:r w:rsidRPr="007B6126">
        <w:rPr>
          <w:rFonts w:asciiTheme="majorBidi" w:hAnsiTheme="majorBidi" w:cstheme="majorBidi"/>
          <w:lang w:val="en-US"/>
        </w:rPr>
        <w:t xml:space="preserve"> &gt;</w:t>
      </w:r>
      <w:r w:rsidR="00F108B4">
        <w:rPr>
          <w:rFonts w:asciiTheme="majorBidi" w:hAnsiTheme="majorBidi" w:cstheme="majorBidi"/>
          <w:lang w:val="en-US"/>
        </w:rPr>
        <w:t xml:space="preserve"> </w:t>
      </w:r>
      <w:r w:rsidRPr="007B6126">
        <w:rPr>
          <w:rFonts w:asciiTheme="majorBidi" w:hAnsiTheme="majorBidi" w:cstheme="majorBidi"/>
          <w:lang w:val="en-US"/>
        </w:rPr>
        <w:t>3</w:t>
      </w:r>
      <w:r w:rsidR="00F108B4">
        <w:rPr>
          <w:rFonts w:asciiTheme="majorBidi" w:hAnsiTheme="majorBidi" w:cstheme="majorBidi"/>
          <w:lang w:val="en-US"/>
        </w:rPr>
        <w:t>,</w:t>
      </w:r>
      <w:r w:rsidRPr="007B6126">
        <w:rPr>
          <w:rFonts w:asciiTheme="majorBidi" w:hAnsiTheme="majorBidi" w:cstheme="majorBidi"/>
          <w:lang w:val="en-US"/>
        </w:rPr>
        <w:t>500 kg and M</w:t>
      </w:r>
      <w:r w:rsidRPr="00F108B4">
        <w:rPr>
          <w:rFonts w:asciiTheme="majorBidi" w:hAnsiTheme="majorBidi" w:cstheme="majorBidi"/>
          <w:vertAlign w:val="subscript"/>
          <w:lang w:val="en-US"/>
        </w:rPr>
        <w:t>3</w:t>
      </w:r>
      <w:r w:rsidRPr="007B6126">
        <w:rPr>
          <w:rFonts w:asciiTheme="majorBidi" w:hAnsiTheme="majorBidi" w:cstheme="majorBidi"/>
          <w:lang w:val="en-US"/>
        </w:rPr>
        <w:t xml:space="preserve">. Vehicles in these </w:t>
      </w:r>
      <w:r w:rsidR="00740F70">
        <w:rPr>
          <w:rFonts w:asciiTheme="majorBidi" w:hAnsiTheme="majorBidi" w:cstheme="majorBidi"/>
          <w:lang w:val="en-US"/>
        </w:rPr>
        <w:t xml:space="preserve">categories </w:t>
      </w:r>
      <w:r w:rsidRPr="007B6126">
        <w:rPr>
          <w:rFonts w:asciiTheme="majorBidi" w:hAnsiTheme="majorBidi" w:cstheme="majorBidi"/>
          <w:lang w:val="en-US"/>
        </w:rPr>
        <w:t>are only measured according to the wide-open throttle acceleration test.</w:t>
      </w:r>
    </w:p>
    <w:p w14:paraId="3261074D" w14:textId="164D61A5" w:rsidR="00E5414A" w:rsidRPr="007B6126" w:rsidRDefault="00CA7DEB" w:rsidP="00CA7DEB">
      <w:pPr>
        <w:pStyle w:val="berschrift3"/>
        <w:numPr>
          <w:ilvl w:val="0"/>
          <w:numId w:val="0"/>
        </w:numPr>
        <w:spacing w:after="120"/>
        <w:ind w:left="1134" w:right="1134"/>
        <w:jc w:val="both"/>
        <w:rPr>
          <w:rFonts w:asciiTheme="majorBidi" w:hAnsiTheme="majorBidi" w:cstheme="majorBidi"/>
          <w:lang w:val="en-US"/>
        </w:rPr>
      </w:pPr>
      <w:r>
        <w:rPr>
          <w:rFonts w:asciiTheme="majorBidi" w:hAnsiTheme="majorBidi" w:cstheme="majorBidi"/>
          <w:lang w:val="en-US"/>
        </w:rPr>
        <w:t>2.5.2.</w:t>
      </w:r>
      <w:r>
        <w:rPr>
          <w:rFonts w:asciiTheme="majorBidi" w:hAnsiTheme="majorBidi" w:cstheme="majorBidi"/>
          <w:lang w:val="en-US"/>
        </w:rPr>
        <w:tab/>
      </w:r>
      <w:r w:rsidR="00740F70">
        <w:rPr>
          <w:rFonts w:asciiTheme="majorBidi" w:hAnsiTheme="majorBidi" w:cstheme="majorBidi"/>
          <w:lang w:val="en-US"/>
        </w:rPr>
        <w:tab/>
      </w:r>
      <w:r w:rsidR="00E5414A" w:rsidRPr="007B6126">
        <w:rPr>
          <w:rFonts w:asciiTheme="majorBidi" w:hAnsiTheme="majorBidi" w:cstheme="majorBidi"/>
          <w:lang w:val="en-US"/>
        </w:rPr>
        <w:t>ISO approach</w:t>
      </w:r>
    </w:p>
    <w:p w14:paraId="4F61E7FE" w14:textId="7D8387FA" w:rsidR="00E5414A" w:rsidRPr="007B6126" w:rsidRDefault="00E5414A" w:rsidP="00740F70">
      <w:pPr>
        <w:spacing w:after="120"/>
        <w:ind w:left="2268" w:right="1134"/>
        <w:jc w:val="both"/>
        <w:rPr>
          <w:rFonts w:asciiTheme="majorBidi" w:hAnsiTheme="majorBidi" w:cstheme="majorBidi"/>
          <w:lang w:val="en-US"/>
        </w:rPr>
      </w:pPr>
      <w:r w:rsidRPr="007B6126">
        <w:rPr>
          <w:rFonts w:asciiTheme="majorBidi" w:hAnsiTheme="majorBidi" w:cstheme="majorBidi"/>
          <w:lang w:val="en-US"/>
        </w:rPr>
        <w:t>Based on the probability distribution, variance and standard deviation, the combined standard uncertainty is calculated. For each of the quantities, their contribution to the overall uncertainty (in %) has been calculated and makes it easy to understand the influence of the quantity on the total uncertainty. The percentage is based on the total expanded uncertainty for all for test situations. Some of these quantities can be compensated for, like the influence of temperature and test track variations, while others are of random types, like instrumentation accuracy and cannot be compensated.</w:t>
      </w:r>
    </w:p>
    <w:p w14:paraId="7A0DDF00" w14:textId="570EC41F" w:rsidR="00E5414A" w:rsidRPr="007B6126" w:rsidRDefault="00E5414A" w:rsidP="00740F70">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The uncertainty is grouped into </w:t>
      </w:r>
      <w:r w:rsidR="000404AB">
        <w:rPr>
          <w:rFonts w:asciiTheme="majorBidi" w:hAnsiTheme="majorBidi" w:cstheme="majorBidi"/>
          <w:lang w:val="en-US"/>
        </w:rPr>
        <w:t xml:space="preserve">four </w:t>
      </w:r>
      <w:r w:rsidRPr="007B6126">
        <w:rPr>
          <w:rFonts w:asciiTheme="majorBidi" w:hAnsiTheme="majorBidi" w:cstheme="majorBidi"/>
          <w:lang w:val="en-US"/>
        </w:rPr>
        <w:t>different categories</w:t>
      </w:r>
      <w:r w:rsidR="008C6148">
        <w:rPr>
          <w:rFonts w:asciiTheme="majorBidi" w:hAnsiTheme="majorBidi" w:cstheme="majorBidi"/>
          <w:lang w:val="en-US"/>
        </w:rPr>
        <w:t>: r</w:t>
      </w:r>
      <w:r w:rsidRPr="007B6126">
        <w:rPr>
          <w:rFonts w:asciiTheme="majorBidi" w:hAnsiTheme="majorBidi" w:cstheme="majorBidi"/>
          <w:lang w:val="en-US"/>
        </w:rPr>
        <w:t>un-to-run, day-to-day, site-to-site and vehicle-to-vehicle. For each of these categories, the uncertainty budget is calculated separately for type</w:t>
      </w:r>
      <w:r w:rsidR="000B19C4">
        <w:rPr>
          <w:rFonts w:asciiTheme="majorBidi" w:hAnsiTheme="majorBidi" w:cstheme="majorBidi"/>
          <w:lang w:val="en-US"/>
        </w:rPr>
        <w:t xml:space="preserve"> </w:t>
      </w:r>
      <w:r w:rsidRPr="007B6126">
        <w:rPr>
          <w:rFonts w:asciiTheme="majorBidi" w:hAnsiTheme="majorBidi" w:cstheme="majorBidi"/>
          <w:lang w:val="en-US"/>
        </w:rPr>
        <w:t>approval, CoP and field testing. For type</w:t>
      </w:r>
      <w:r w:rsidR="000B19C4">
        <w:rPr>
          <w:rFonts w:asciiTheme="majorBidi" w:hAnsiTheme="majorBidi" w:cstheme="majorBidi"/>
          <w:lang w:val="en-US"/>
        </w:rPr>
        <w:t xml:space="preserve"> </w:t>
      </w:r>
      <w:r w:rsidRPr="007B6126">
        <w:rPr>
          <w:rFonts w:asciiTheme="majorBidi" w:hAnsiTheme="majorBidi" w:cstheme="majorBidi"/>
          <w:lang w:val="en-US"/>
        </w:rPr>
        <w:t xml:space="preserve">approval, the relevant uncertainty is only related to run-to-run variations, while CoP includes vehicle-to-vehicle variations as well. </w:t>
      </w:r>
    </w:p>
    <w:p w14:paraId="6FD3F8DA" w14:textId="35D45C42" w:rsidR="002047CC" w:rsidRPr="007B6126" w:rsidRDefault="009A1570" w:rsidP="009A1570">
      <w:pPr>
        <w:pStyle w:val="berschrift3"/>
        <w:numPr>
          <w:ilvl w:val="0"/>
          <w:numId w:val="0"/>
        </w:numPr>
        <w:spacing w:after="120"/>
        <w:ind w:left="1134" w:right="1134"/>
        <w:jc w:val="both"/>
        <w:rPr>
          <w:rFonts w:asciiTheme="majorBidi" w:hAnsiTheme="majorBidi" w:cstheme="majorBidi"/>
          <w:lang w:val="en-US"/>
        </w:rPr>
      </w:pPr>
      <w:r>
        <w:rPr>
          <w:rFonts w:asciiTheme="majorBidi" w:hAnsiTheme="majorBidi" w:cstheme="majorBidi"/>
          <w:lang w:val="en-US"/>
        </w:rPr>
        <w:t>2.5.3.</w:t>
      </w:r>
      <w:r>
        <w:rPr>
          <w:rFonts w:asciiTheme="majorBidi" w:hAnsiTheme="majorBidi" w:cstheme="majorBidi"/>
          <w:lang w:val="en-US"/>
        </w:rPr>
        <w:tab/>
      </w:r>
      <w:r w:rsidR="004B19ED">
        <w:rPr>
          <w:rFonts w:asciiTheme="majorBidi" w:hAnsiTheme="majorBidi" w:cstheme="majorBidi"/>
          <w:lang w:val="en-US"/>
        </w:rPr>
        <w:tab/>
      </w:r>
      <w:r w:rsidR="002047CC" w:rsidRPr="007B6126">
        <w:rPr>
          <w:rFonts w:asciiTheme="majorBidi" w:hAnsiTheme="majorBidi" w:cstheme="majorBidi"/>
          <w:lang w:val="en-US"/>
        </w:rPr>
        <w:t xml:space="preserve">Application </w:t>
      </w:r>
    </w:p>
    <w:p w14:paraId="7C3C71BB" w14:textId="367B74A0" w:rsidR="002047CC" w:rsidRPr="007B6126" w:rsidRDefault="002047CC" w:rsidP="004B19ED">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This </w:t>
      </w:r>
      <w:r w:rsidR="004B19ED">
        <w:rPr>
          <w:rFonts w:asciiTheme="majorBidi" w:hAnsiTheme="majorBidi" w:cstheme="majorBidi"/>
          <w:lang w:val="en-US"/>
        </w:rPr>
        <w:t xml:space="preserve">UN </w:t>
      </w:r>
      <w:r w:rsidR="000B19C4">
        <w:rPr>
          <w:rFonts w:asciiTheme="majorBidi" w:hAnsiTheme="majorBidi" w:cstheme="majorBidi"/>
          <w:lang w:val="en-US"/>
        </w:rPr>
        <w:t>R</w:t>
      </w:r>
      <w:r w:rsidRPr="007B6126">
        <w:rPr>
          <w:rFonts w:asciiTheme="majorBidi" w:hAnsiTheme="majorBidi" w:cstheme="majorBidi"/>
          <w:lang w:val="en-US"/>
        </w:rPr>
        <w:t xml:space="preserve">egulation is only related to type-approval and CoP testing. However, due to the introduction of market surveillance and other types of in-use testing, based on this </w:t>
      </w:r>
      <w:r w:rsidR="00E931AE">
        <w:rPr>
          <w:rFonts w:asciiTheme="majorBidi" w:hAnsiTheme="majorBidi" w:cstheme="majorBidi"/>
          <w:lang w:val="en-US"/>
        </w:rPr>
        <w:t>R</w:t>
      </w:r>
      <w:r w:rsidRPr="007B6126">
        <w:rPr>
          <w:rFonts w:asciiTheme="majorBidi" w:hAnsiTheme="majorBidi" w:cstheme="majorBidi"/>
          <w:lang w:val="en-US"/>
        </w:rPr>
        <w:t>egulation, it is important to include the uncertainty contribution relating to vehicle-to-vehicle variations.</w:t>
      </w:r>
    </w:p>
    <w:p w14:paraId="3A102341" w14:textId="5127B929" w:rsidR="00476532" w:rsidRPr="007B6126" w:rsidRDefault="009A1570" w:rsidP="009A1570">
      <w:pPr>
        <w:pStyle w:val="berschrift3"/>
        <w:numPr>
          <w:ilvl w:val="0"/>
          <w:numId w:val="0"/>
        </w:numPr>
        <w:spacing w:after="120"/>
        <w:ind w:left="1134" w:right="1134"/>
        <w:jc w:val="both"/>
        <w:rPr>
          <w:rFonts w:asciiTheme="majorBidi" w:hAnsiTheme="majorBidi" w:cstheme="majorBidi"/>
          <w:lang w:val="en-US"/>
        </w:rPr>
      </w:pPr>
      <w:r>
        <w:rPr>
          <w:rFonts w:asciiTheme="majorBidi" w:hAnsiTheme="majorBidi" w:cstheme="majorBidi"/>
          <w:lang w:val="en-US"/>
        </w:rPr>
        <w:t>2.5.4.</w:t>
      </w:r>
      <w:r>
        <w:rPr>
          <w:rFonts w:asciiTheme="majorBidi" w:hAnsiTheme="majorBidi" w:cstheme="majorBidi"/>
          <w:lang w:val="en-US"/>
        </w:rPr>
        <w:tab/>
      </w:r>
      <w:r w:rsidR="004B19ED">
        <w:rPr>
          <w:rFonts w:asciiTheme="majorBidi" w:hAnsiTheme="majorBidi" w:cstheme="majorBidi"/>
          <w:lang w:val="en-US"/>
        </w:rPr>
        <w:tab/>
      </w:r>
      <w:r w:rsidR="00476532" w:rsidRPr="007B6126">
        <w:rPr>
          <w:rFonts w:asciiTheme="majorBidi" w:hAnsiTheme="majorBidi" w:cstheme="majorBidi"/>
          <w:lang w:val="en-US"/>
        </w:rPr>
        <w:t xml:space="preserve">Uncertainty estimation – </w:t>
      </w:r>
      <w:r w:rsidR="0041447C">
        <w:rPr>
          <w:rFonts w:asciiTheme="majorBidi" w:hAnsiTheme="majorBidi" w:cstheme="majorBidi"/>
          <w:lang w:val="en-US"/>
        </w:rPr>
        <w:t xml:space="preserve">vehicle categories </w:t>
      </w:r>
      <w:r w:rsidR="00476532" w:rsidRPr="007B6126">
        <w:rPr>
          <w:rFonts w:asciiTheme="majorBidi" w:hAnsiTheme="majorBidi" w:cstheme="majorBidi"/>
          <w:lang w:val="en-US"/>
        </w:rPr>
        <w:t>M</w:t>
      </w:r>
      <w:r w:rsidR="00476532" w:rsidRPr="0041447C">
        <w:rPr>
          <w:rFonts w:asciiTheme="majorBidi" w:hAnsiTheme="majorBidi" w:cstheme="majorBidi"/>
          <w:vertAlign w:val="subscript"/>
          <w:lang w:val="en-US"/>
        </w:rPr>
        <w:t>1</w:t>
      </w:r>
      <w:r w:rsidR="00476532" w:rsidRPr="007B6126">
        <w:rPr>
          <w:rFonts w:asciiTheme="majorBidi" w:hAnsiTheme="majorBidi" w:cstheme="majorBidi"/>
          <w:lang w:val="en-US"/>
        </w:rPr>
        <w:t>, N</w:t>
      </w:r>
      <w:r w:rsidR="00476532" w:rsidRPr="0041447C">
        <w:rPr>
          <w:rFonts w:asciiTheme="majorBidi" w:hAnsiTheme="majorBidi" w:cstheme="majorBidi"/>
          <w:vertAlign w:val="subscript"/>
          <w:lang w:val="en-US"/>
        </w:rPr>
        <w:t>1</w:t>
      </w:r>
      <w:r w:rsidR="00476532" w:rsidRPr="007B6126">
        <w:rPr>
          <w:rFonts w:asciiTheme="majorBidi" w:hAnsiTheme="majorBidi" w:cstheme="majorBidi"/>
          <w:lang w:val="en-US"/>
        </w:rPr>
        <w:t xml:space="preserve"> and M</w:t>
      </w:r>
      <w:r w:rsidR="00476532" w:rsidRPr="0041447C">
        <w:rPr>
          <w:rFonts w:asciiTheme="majorBidi" w:hAnsiTheme="majorBidi" w:cstheme="majorBidi"/>
          <w:vertAlign w:val="subscript"/>
          <w:lang w:val="en-US"/>
        </w:rPr>
        <w:t>2</w:t>
      </w:r>
      <w:r w:rsidR="00476532" w:rsidRPr="007B6126">
        <w:rPr>
          <w:rFonts w:asciiTheme="majorBidi" w:hAnsiTheme="majorBidi" w:cstheme="majorBidi"/>
          <w:lang w:val="en-US"/>
        </w:rPr>
        <w:t xml:space="preserve"> </w:t>
      </w:r>
      <w:r w:rsidR="00454943" w:rsidRPr="007B6126">
        <w:rPr>
          <w:rFonts w:asciiTheme="majorBidi" w:hAnsiTheme="majorBidi" w:cstheme="majorBidi"/>
          <w:lang w:val="en-US"/>
        </w:rPr>
        <w:t>≤</w:t>
      </w:r>
      <w:r w:rsidR="00476532" w:rsidRPr="007B6126">
        <w:rPr>
          <w:rFonts w:asciiTheme="majorBidi" w:hAnsiTheme="majorBidi" w:cstheme="majorBidi"/>
          <w:lang w:val="en-US"/>
        </w:rPr>
        <w:t xml:space="preserve"> 3</w:t>
      </w:r>
      <w:r w:rsidR="00C131F3">
        <w:rPr>
          <w:rFonts w:asciiTheme="majorBidi" w:hAnsiTheme="majorBidi" w:cstheme="majorBidi"/>
          <w:lang w:val="en-US"/>
        </w:rPr>
        <w:t>,</w:t>
      </w:r>
      <w:r w:rsidR="00476532" w:rsidRPr="007B6126">
        <w:rPr>
          <w:rFonts w:asciiTheme="majorBidi" w:hAnsiTheme="majorBidi" w:cstheme="majorBidi"/>
          <w:lang w:val="en-US"/>
        </w:rPr>
        <w:t>500 kg</w:t>
      </w:r>
    </w:p>
    <w:p w14:paraId="66B8F26B" w14:textId="2AEB89C8" w:rsidR="00476532" w:rsidRPr="007B6126" w:rsidRDefault="00476532" w:rsidP="004B19ED">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Table </w:t>
      </w:r>
      <w:r w:rsidR="00A1791D" w:rsidRPr="007B6126">
        <w:rPr>
          <w:rFonts w:asciiTheme="majorBidi" w:hAnsiTheme="majorBidi" w:cstheme="majorBidi"/>
          <w:lang w:val="en-US"/>
        </w:rPr>
        <w:t>5.1</w:t>
      </w:r>
      <w:r w:rsidR="00131EFD" w:rsidRPr="007B6126">
        <w:rPr>
          <w:rFonts w:asciiTheme="majorBidi" w:hAnsiTheme="majorBidi" w:cstheme="majorBidi"/>
          <w:lang w:val="en-US"/>
        </w:rPr>
        <w:t>.</w:t>
      </w:r>
      <w:r w:rsidRPr="007B6126">
        <w:rPr>
          <w:rFonts w:asciiTheme="majorBidi" w:hAnsiTheme="majorBidi" w:cstheme="majorBidi"/>
          <w:lang w:val="en-US"/>
        </w:rPr>
        <w:t xml:space="preserve"> </w:t>
      </w:r>
      <w:r w:rsidR="003E637F" w:rsidRPr="007B6126">
        <w:rPr>
          <w:rFonts w:asciiTheme="majorBidi" w:hAnsiTheme="majorBidi" w:cstheme="majorBidi"/>
          <w:lang w:val="en-US"/>
        </w:rPr>
        <w:t xml:space="preserve">in the Annex </w:t>
      </w:r>
      <w:r w:rsidRPr="007B6126">
        <w:rPr>
          <w:rFonts w:asciiTheme="majorBidi" w:hAnsiTheme="majorBidi" w:cstheme="majorBidi"/>
          <w:lang w:val="en-US"/>
        </w:rPr>
        <w:t xml:space="preserve">is based on this </w:t>
      </w:r>
      <w:r w:rsidR="00B57160">
        <w:rPr>
          <w:rFonts w:asciiTheme="majorBidi" w:hAnsiTheme="majorBidi" w:cstheme="majorBidi"/>
          <w:lang w:val="en-US"/>
        </w:rPr>
        <w:t>UN R</w:t>
      </w:r>
      <w:r w:rsidRPr="007B6126">
        <w:rPr>
          <w:rFonts w:asciiTheme="majorBidi" w:hAnsiTheme="majorBidi" w:cstheme="majorBidi"/>
          <w:lang w:val="en-US"/>
        </w:rPr>
        <w:t xml:space="preserve">egulation up to Supplement 6. If </w:t>
      </w:r>
      <w:r w:rsidR="00E931AE">
        <w:rPr>
          <w:rFonts w:asciiTheme="majorBidi" w:hAnsiTheme="majorBidi" w:cstheme="majorBidi"/>
          <w:lang w:val="en-US"/>
        </w:rPr>
        <w:t xml:space="preserve">UN </w:t>
      </w:r>
      <w:r w:rsidR="00B57160">
        <w:rPr>
          <w:rFonts w:asciiTheme="majorBidi" w:hAnsiTheme="majorBidi" w:cstheme="majorBidi"/>
          <w:lang w:val="en-US"/>
        </w:rPr>
        <w:t>R</w:t>
      </w:r>
      <w:r w:rsidRPr="007B6126">
        <w:rPr>
          <w:rFonts w:asciiTheme="majorBidi" w:hAnsiTheme="majorBidi" w:cstheme="majorBidi"/>
          <w:lang w:val="en-US"/>
        </w:rPr>
        <w:t>egulation</w:t>
      </w:r>
      <w:r w:rsidR="00E931AE">
        <w:rPr>
          <w:rFonts w:asciiTheme="majorBidi" w:hAnsiTheme="majorBidi" w:cstheme="majorBidi"/>
          <w:lang w:val="en-US"/>
        </w:rPr>
        <w:t xml:space="preserve"> No. 51</w:t>
      </w:r>
      <w:r w:rsidRPr="007B6126">
        <w:rPr>
          <w:rFonts w:asciiTheme="majorBidi" w:hAnsiTheme="majorBidi" w:cstheme="majorBidi"/>
          <w:lang w:val="en-US"/>
        </w:rPr>
        <w:t xml:space="preserve"> is amended, any implication for the measurement uncertainties shall be evaluated and if necessary, the tables in this </w:t>
      </w:r>
      <w:r w:rsidR="00DB61C6">
        <w:rPr>
          <w:rFonts w:asciiTheme="majorBidi" w:hAnsiTheme="majorBidi" w:cstheme="majorBidi"/>
          <w:lang w:val="en-US"/>
        </w:rPr>
        <w:t xml:space="preserve">Document for Reference </w:t>
      </w:r>
      <w:r w:rsidRPr="007B6126">
        <w:rPr>
          <w:rFonts w:asciiTheme="majorBidi" w:hAnsiTheme="majorBidi" w:cstheme="majorBidi"/>
          <w:lang w:val="en-US"/>
        </w:rPr>
        <w:t xml:space="preserve"> shall be updated.</w:t>
      </w:r>
    </w:p>
    <w:p w14:paraId="3E5E8970" w14:textId="75F2EB25" w:rsidR="00361BE3" w:rsidRPr="007B6126" w:rsidRDefault="00A70C26" w:rsidP="00A70C26">
      <w:pPr>
        <w:pStyle w:val="berschrift3"/>
        <w:numPr>
          <w:ilvl w:val="0"/>
          <w:numId w:val="0"/>
        </w:numPr>
        <w:spacing w:after="120"/>
        <w:ind w:left="1134" w:right="1134"/>
        <w:jc w:val="both"/>
        <w:rPr>
          <w:rFonts w:asciiTheme="majorBidi" w:hAnsiTheme="majorBidi" w:cstheme="majorBidi"/>
          <w:lang w:val="en-US"/>
        </w:rPr>
      </w:pPr>
      <w:r>
        <w:rPr>
          <w:rFonts w:asciiTheme="majorBidi" w:hAnsiTheme="majorBidi" w:cstheme="majorBidi"/>
          <w:lang w:val="en-US"/>
        </w:rPr>
        <w:t>2.5.5.</w:t>
      </w:r>
      <w:r>
        <w:rPr>
          <w:rFonts w:asciiTheme="majorBidi" w:hAnsiTheme="majorBidi" w:cstheme="majorBidi"/>
          <w:lang w:val="en-US"/>
        </w:rPr>
        <w:tab/>
      </w:r>
      <w:r w:rsidR="00B57160">
        <w:rPr>
          <w:rFonts w:asciiTheme="majorBidi" w:hAnsiTheme="majorBidi" w:cstheme="majorBidi"/>
          <w:lang w:val="en-US"/>
        </w:rPr>
        <w:tab/>
      </w:r>
      <w:r w:rsidR="00361BE3" w:rsidRPr="007B6126">
        <w:rPr>
          <w:rFonts w:asciiTheme="majorBidi" w:hAnsiTheme="majorBidi" w:cstheme="majorBidi"/>
          <w:lang w:val="en-US"/>
        </w:rPr>
        <w:t xml:space="preserve">Uncertainty estimation – </w:t>
      </w:r>
      <w:r w:rsidR="0041447C">
        <w:rPr>
          <w:rFonts w:asciiTheme="majorBidi" w:hAnsiTheme="majorBidi" w:cstheme="majorBidi"/>
          <w:lang w:val="en-US"/>
        </w:rPr>
        <w:t xml:space="preserve">vehicle categories </w:t>
      </w:r>
      <w:r w:rsidR="00361BE3" w:rsidRPr="007B6126">
        <w:rPr>
          <w:rFonts w:asciiTheme="majorBidi" w:hAnsiTheme="majorBidi" w:cstheme="majorBidi"/>
          <w:lang w:val="en-US"/>
        </w:rPr>
        <w:t>N</w:t>
      </w:r>
      <w:r w:rsidR="00361BE3" w:rsidRPr="0041447C">
        <w:rPr>
          <w:rFonts w:asciiTheme="majorBidi" w:hAnsiTheme="majorBidi" w:cstheme="majorBidi"/>
          <w:vertAlign w:val="subscript"/>
          <w:lang w:val="en-US"/>
        </w:rPr>
        <w:t>2</w:t>
      </w:r>
      <w:r w:rsidR="00361BE3" w:rsidRPr="007B6126">
        <w:rPr>
          <w:rFonts w:asciiTheme="majorBidi" w:hAnsiTheme="majorBidi" w:cstheme="majorBidi"/>
          <w:lang w:val="en-US"/>
        </w:rPr>
        <w:t>, N</w:t>
      </w:r>
      <w:r w:rsidR="00361BE3" w:rsidRPr="0041447C">
        <w:rPr>
          <w:rFonts w:asciiTheme="majorBidi" w:hAnsiTheme="majorBidi" w:cstheme="majorBidi"/>
          <w:vertAlign w:val="subscript"/>
          <w:lang w:val="en-US"/>
        </w:rPr>
        <w:t>3</w:t>
      </w:r>
      <w:r w:rsidR="00361BE3" w:rsidRPr="007B6126">
        <w:rPr>
          <w:rFonts w:asciiTheme="majorBidi" w:hAnsiTheme="majorBidi" w:cstheme="majorBidi"/>
          <w:lang w:val="en-US"/>
        </w:rPr>
        <w:t>, M</w:t>
      </w:r>
      <w:r w:rsidR="00361BE3" w:rsidRPr="0041447C">
        <w:rPr>
          <w:rFonts w:asciiTheme="majorBidi" w:hAnsiTheme="majorBidi" w:cstheme="majorBidi"/>
          <w:vertAlign w:val="subscript"/>
          <w:lang w:val="en-US"/>
        </w:rPr>
        <w:t>2</w:t>
      </w:r>
      <w:r w:rsidR="00361BE3" w:rsidRPr="007B6126">
        <w:rPr>
          <w:rFonts w:asciiTheme="majorBidi" w:hAnsiTheme="majorBidi" w:cstheme="majorBidi"/>
          <w:lang w:val="en-US"/>
        </w:rPr>
        <w:t xml:space="preserve"> &gt; 3</w:t>
      </w:r>
      <w:r w:rsidR="00C131F3">
        <w:rPr>
          <w:rFonts w:asciiTheme="majorBidi" w:hAnsiTheme="majorBidi" w:cstheme="majorBidi"/>
          <w:lang w:val="en-US"/>
        </w:rPr>
        <w:t>,</w:t>
      </w:r>
      <w:r w:rsidR="00361BE3" w:rsidRPr="007B6126">
        <w:rPr>
          <w:rFonts w:asciiTheme="majorBidi" w:hAnsiTheme="majorBidi" w:cstheme="majorBidi"/>
          <w:lang w:val="en-US"/>
        </w:rPr>
        <w:t>500 kg and M</w:t>
      </w:r>
      <w:r w:rsidR="00361BE3" w:rsidRPr="00B57160">
        <w:rPr>
          <w:rFonts w:asciiTheme="majorBidi" w:hAnsiTheme="majorBidi" w:cstheme="majorBidi"/>
          <w:vertAlign w:val="subscript"/>
          <w:lang w:val="en-US"/>
        </w:rPr>
        <w:t>3</w:t>
      </w:r>
    </w:p>
    <w:p w14:paraId="56EBC87D" w14:textId="22BCD702" w:rsidR="00E5414A" w:rsidRPr="007B6126" w:rsidRDefault="00361BE3" w:rsidP="006442D6">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Table </w:t>
      </w:r>
      <w:r w:rsidR="00FE23B8" w:rsidRPr="007B6126">
        <w:rPr>
          <w:rFonts w:asciiTheme="majorBidi" w:hAnsiTheme="majorBidi" w:cstheme="majorBidi"/>
          <w:lang w:val="en-US"/>
        </w:rPr>
        <w:t>5</w:t>
      </w:r>
      <w:r w:rsidRPr="007B6126">
        <w:rPr>
          <w:rFonts w:asciiTheme="majorBidi" w:hAnsiTheme="majorBidi" w:cstheme="majorBidi"/>
          <w:lang w:val="en-US"/>
        </w:rPr>
        <w:t>.2</w:t>
      </w:r>
      <w:r w:rsidR="00FE23B8" w:rsidRPr="007B6126">
        <w:rPr>
          <w:rFonts w:asciiTheme="majorBidi" w:hAnsiTheme="majorBidi" w:cstheme="majorBidi"/>
          <w:lang w:val="en-US"/>
        </w:rPr>
        <w:t>.</w:t>
      </w:r>
      <w:r w:rsidRPr="007B6126">
        <w:rPr>
          <w:rFonts w:asciiTheme="majorBidi" w:hAnsiTheme="majorBidi" w:cstheme="majorBidi"/>
          <w:lang w:val="en-US"/>
        </w:rPr>
        <w:t xml:space="preserve"> </w:t>
      </w:r>
      <w:r w:rsidR="00FE23B8" w:rsidRPr="007B6126">
        <w:rPr>
          <w:rFonts w:asciiTheme="majorBidi" w:hAnsiTheme="majorBidi" w:cstheme="majorBidi"/>
          <w:lang w:val="en-US"/>
        </w:rPr>
        <w:t xml:space="preserve">in the Annex </w:t>
      </w:r>
      <w:r w:rsidRPr="007B6126">
        <w:rPr>
          <w:rFonts w:asciiTheme="majorBidi" w:hAnsiTheme="majorBidi" w:cstheme="majorBidi"/>
          <w:lang w:val="en-US"/>
        </w:rPr>
        <w:t xml:space="preserve">is based on this </w:t>
      </w:r>
      <w:r w:rsidR="006442D6">
        <w:rPr>
          <w:rFonts w:asciiTheme="majorBidi" w:hAnsiTheme="majorBidi" w:cstheme="majorBidi"/>
          <w:lang w:val="en-US"/>
        </w:rPr>
        <w:t>R</w:t>
      </w:r>
      <w:r w:rsidRPr="007B6126">
        <w:rPr>
          <w:rFonts w:asciiTheme="majorBidi" w:hAnsiTheme="majorBidi" w:cstheme="majorBidi"/>
          <w:lang w:val="en-US"/>
        </w:rPr>
        <w:t xml:space="preserve">egulation up to Supplement 6. If the regulation is amended, any implication for the measurement uncertainties shall be evaluated and if necessary, the tables in this </w:t>
      </w:r>
      <w:r w:rsidR="00DB61C6">
        <w:rPr>
          <w:rFonts w:asciiTheme="majorBidi" w:hAnsiTheme="majorBidi" w:cstheme="majorBidi"/>
          <w:lang w:val="en-US"/>
        </w:rPr>
        <w:t xml:space="preserve">Document for Reference </w:t>
      </w:r>
      <w:r w:rsidRPr="007B6126">
        <w:rPr>
          <w:rFonts w:asciiTheme="majorBidi" w:hAnsiTheme="majorBidi" w:cstheme="majorBidi"/>
          <w:lang w:val="en-US"/>
        </w:rPr>
        <w:t xml:space="preserve"> shall be updated.</w:t>
      </w:r>
    </w:p>
    <w:p w14:paraId="0E9391E3" w14:textId="53299E31" w:rsidR="00454943" w:rsidRPr="007B6126" w:rsidRDefault="00A70C26" w:rsidP="00A70C26">
      <w:pPr>
        <w:pStyle w:val="berschrift3"/>
        <w:numPr>
          <w:ilvl w:val="0"/>
          <w:numId w:val="0"/>
        </w:numPr>
        <w:spacing w:after="120"/>
        <w:ind w:left="1134" w:right="1134"/>
        <w:jc w:val="both"/>
        <w:rPr>
          <w:rFonts w:asciiTheme="majorBidi" w:hAnsiTheme="majorBidi" w:cstheme="majorBidi"/>
          <w:lang w:val="en-US"/>
        </w:rPr>
      </w:pPr>
      <w:r>
        <w:rPr>
          <w:rFonts w:asciiTheme="majorBidi" w:hAnsiTheme="majorBidi" w:cstheme="majorBidi"/>
          <w:lang w:val="en-US"/>
        </w:rPr>
        <w:t>2.5.6.</w:t>
      </w:r>
      <w:r>
        <w:rPr>
          <w:rFonts w:asciiTheme="majorBidi" w:hAnsiTheme="majorBidi" w:cstheme="majorBidi"/>
          <w:lang w:val="en-US"/>
        </w:rPr>
        <w:tab/>
      </w:r>
      <w:r w:rsidR="006442D6">
        <w:rPr>
          <w:rFonts w:asciiTheme="majorBidi" w:hAnsiTheme="majorBidi" w:cstheme="majorBidi"/>
          <w:lang w:val="en-US"/>
        </w:rPr>
        <w:tab/>
      </w:r>
      <w:r w:rsidR="00735AD9" w:rsidRPr="007B6126">
        <w:rPr>
          <w:rFonts w:asciiTheme="majorBidi" w:hAnsiTheme="majorBidi" w:cstheme="majorBidi"/>
          <w:lang w:val="en-US"/>
        </w:rPr>
        <w:t xml:space="preserve">Special case: </w:t>
      </w:r>
      <w:r w:rsidR="00454943" w:rsidRPr="007B6126">
        <w:rPr>
          <w:rFonts w:asciiTheme="majorBidi" w:hAnsiTheme="majorBidi" w:cstheme="majorBidi"/>
          <w:lang w:val="en-US"/>
        </w:rPr>
        <w:t>Compliance assessment of in-use vehicles of categories M and N</w:t>
      </w:r>
    </w:p>
    <w:p w14:paraId="7E2338E0" w14:textId="48F4F96D" w:rsidR="00454943" w:rsidRPr="007B6126" w:rsidRDefault="00454943" w:rsidP="006442D6">
      <w:pPr>
        <w:spacing w:after="120"/>
        <w:ind w:left="2268" w:right="1134"/>
        <w:jc w:val="both"/>
        <w:rPr>
          <w:rFonts w:asciiTheme="majorBidi" w:hAnsiTheme="majorBidi" w:cstheme="majorBidi"/>
          <w:lang w:val="en-US"/>
        </w:rPr>
      </w:pPr>
      <w:r w:rsidRPr="007B6126">
        <w:rPr>
          <w:rFonts w:asciiTheme="majorBidi" w:hAnsiTheme="majorBidi" w:cstheme="majorBidi"/>
          <w:lang w:val="en-US"/>
        </w:rPr>
        <w:tab/>
        <w:t>This paragraph provides specifications according to the sound-level measuring method, described in UN Regulation No. 51, when in-use products are selected to verify their compliance to the exterior sound emission.</w:t>
      </w:r>
    </w:p>
    <w:p w14:paraId="2849D25A" w14:textId="62F8DF2C" w:rsidR="00454943" w:rsidRPr="007B6126" w:rsidRDefault="00454943" w:rsidP="006442D6">
      <w:pPr>
        <w:spacing w:after="120"/>
        <w:ind w:left="2268" w:right="1134"/>
        <w:jc w:val="both"/>
        <w:rPr>
          <w:rFonts w:asciiTheme="majorBidi" w:hAnsiTheme="majorBidi" w:cstheme="majorBidi"/>
          <w:lang w:val="en-US"/>
        </w:rPr>
      </w:pPr>
      <w:r w:rsidRPr="007B6126">
        <w:rPr>
          <w:rFonts w:asciiTheme="majorBidi" w:hAnsiTheme="majorBidi" w:cstheme="majorBidi"/>
          <w:lang w:val="en-US"/>
        </w:rPr>
        <w:t>If the provided specifications in this paragraph need clarification, the requirements described in Annex</w:t>
      </w:r>
      <w:r w:rsidR="00E931AE">
        <w:rPr>
          <w:rFonts w:asciiTheme="majorBidi" w:hAnsiTheme="majorBidi" w:cstheme="majorBidi"/>
          <w:lang w:val="en-US"/>
        </w:rPr>
        <w:t>es</w:t>
      </w:r>
      <w:r w:rsidRPr="007B6126">
        <w:rPr>
          <w:rFonts w:asciiTheme="majorBidi" w:hAnsiTheme="majorBidi" w:cstheme="majorBidi"/>
          <w:lang w:val="en-US"/>
        </w:rPr>
        <w:t xml:space="preserve"> 3 and 7 of the 03 series of amendments </w:t>
      </w:r>
      <w:r w:rsidR="00025688">
        <w:rPr>
          <w:rFonts w:asciiTheme="majorBidi" w:hAnsiTheme="majorBidi" w:cstheme="majorBidi"/>
          <w:lang w:val="en-US"/>
        </w:rPr>
        <w:t>to</w:t>
      </w:r>
      <w:r w:rsidRPr="007B6126">
        <w:rPr>
          <w:rFonts w:asciiTheme="majorBidi" w:hAnsiTheme="majorBidi" w:cstheme="majorBidi"/>
          <w:lang w:val="en-US"/>
        </w:rPr>
        <w:t xml:space="preserve"> UN Regulation No. 51 shall be used.</w:t>
      </w:r>
    </w:p>
    <w:p w14:paraId="73D6A851" w14:textId="74D90258" w:rsidR="00454943" w:rsidRPr="007B6126" w:rsidRDefault="00E74EC8" w:rsidP="00A70C26">
      <w:pPr>
        <w:pStyle w:val="berschrift4"/>
        <w:numPr>
          <w:ilvl w:val="0"/>
          <w:numId w:val="0"/>
        </w:numPr>
        <w:spacing w:after="120"/>
        <w:ind w:left="864" w:right="1134" w:firstLine="270"/>
        <w:jc w:val="both"/>
        <w:rPr>
          <w:rFonts w:asciiTheme="majorBidi" w:hAnsiTheme="majorBidi" w:cstheme="majorBidi"/>
          <w:lang w:val="en-US"/>
        </w:rPr>
      </w:pPr>
      <w:r>
        <w:rPr>
          <w:rFonts w:asciiTheme="majorBidi" w:hAnsiTheme="majorBidi" w:cstheme="majorBidi"/>
          <w:lang w:val="en-US"/>
        </w:rPr>
        <w:t>2.5.6.1.</w:t>
      </w:r>
      <w:r>
        <w:rPr>
          <w:rFonts w:asciiTheme="majorBidi" w:hAnsiTheme="majorBidi" w:cstheme="majorBidi"/>
          <w:lang w:val="en-US"/>
        </w:rPr>
        <w:tab/>
      </w:r>
      <w:r w:rsidR="00454943" w:rsidRPr="007B6126">
        <w:rPr>
          <w:rFonts w:asciiTheme="majorBidi" w:hAnsiTheme="majorBidi" w:cstheme="majorBidi"/>
          <w:lang w:val="en-US"/>
        </w:rPr>
        <w:t>Vehicle Selection</w:t>
      </w:r>
    </w:p>
    <w:p w14:paraId="0D041E98" w14:textId="668D8F5E" w:rsidR="00454943" w:rsidRPr="007B6126" w:rsidRDefault="00E931AE" w:rsidP="007B6126">
      <w:pPr>
        <w:spacing w:after="120"/>
        <w:ind w:left="1134" w:right="1134"/>
        <w:jc w:val="both"/>
        <w:rPr>
          <w:rFonts w:asciiTheme="majorBidi" w:hAnsiTheme="majorBidi" w:cstheme="majorBidi"/>
          <w:lang w:val="en-US"/>
        </w:rPr>
      </w:pPr>
      <w:r>
        <w:rPr>
          <w:rFonts w:asciiTheme="majorBidi" w:hAnsiTheme="majorBidi" w:cstheme="majorBidi"/>
          <w:lang w:val="en-US"/>
        </w:rPr>
        <w:tab/>
      </w:r>
      <w:r>
        <w:rPr>
          <w:rFonts w:asciiTheme="majorBidi" w:hAnsiTheme="majorBidi" w:cstheme="majorBidi"/>
          <w:lang w:val="en-US"/>
        </w:rPr>
        <w:tab/>
      </w:r>
      <w:r w:rsidR="00454943" w:rsidRPr="007B6126">
        <w:rPr>
          <w:rFonts w:asciiTheme="majorBidi" w:hAnsiTheme="majorBidi" w:cstheme="majorBidi"/>
          <w:lang w:val="en-US"/>
        </w:rPr>
        <w:tab/>
        <w:t>Vehicle sh</w:t>
      </w:r>
      <w:r w:rsidR="00230620" w:rsidRPr="007B6126">
        <w:rPr>
          <w:rFonts w:asciiTheme="majorBidi" w:hAnsiTheme="majorBidi" w:cstheme="majorBidi"/>
          <w:lang w:val="en-US"/>
        </w:rPr>
        <w:t>ould</w:t>
      </w:r>
      <w:r w:rsidR="00454943" w:rsidRPr="007B6126">
        <w:rPr>
          <w:rFonts w:asciiTheme="majorBidi" w:hAnsiTheme="majorBidi" w:cstheme="majorBidi"/>
          <w:lang w:val="en-US"/>
        </w:rPr>
        <w:t xml:space="preserve"> be selected so the following criteria are met:</w:t>
      </w:r>
    </w:p>
    <w:p w14:paraId="721667BC" w14:textId="53E4C790"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Free of accidents</w:t>
      </w:r>
      <w:r w:rsidR="00E26679">
        <w:rPr>
          <w:rFonts w:asciiTheme="majorBidi" w:hAnsiTheme="majorBidi" w:cstheme="majorBidi"/>
          <w:lang w:val="en-US"/>
        </w:rPr>
        <w:t>.</w:t>
      </w:r>
    </w:p>
    <w:p w14:paraId="6096922D" w14:textId="2651187B"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 xml:space="preserve">The vehicle age </w:t>
      </w:r>
      <w:r w:rsidR="008B4F17" w:rsidRPr="007B6126">
        <w:rPr>
          <w:rFonts w:asciiTheme="majorBidi" w:hAnsiTheme="majorBidi" w:cstheme="majorBidi"/>
          <w:lang w:val="en-US"/>
        </w:rPr>
        <w:t>is</w:t>
      </w:r>
      <w:r w:rsidRPr="007B6126">
        <w:rPr>
          <w:rFonts w:asciiTheme="majorBidi" w:hAnsiTheme="majorBidi" w:cstheme="majorBidi"/>
          <w:lang w:val="en-US"/>
        </w:rPr>
        <w:t xml:space="preserve"> less than 5 years or </w:t>
      </w:r>
      <w:r w:rsidR="008B4F17" w:rsidRPr="007B6126">
        <w:rPr>
          <w:rFonts w:asciiTheme="majorBidi" w:hAnsiTheme="majorBidi" w:cstheme="majorBidi"/>
          <w:lang w:val="en-US"/>
        </w:rPr>
        <w:t xml:space="preserve">the vehicle </w:t>
      </w:r>
      <w:r w:rsidRPr="007B6126">
        <w:rPr>
          <w:rFonts w:asciiTheme="majorBidi" w:hAnsiTheme="majorBidi" w:cstheme="majorBidi"/>
          <w:lang w:val="en-US"/>
        </w:rPr>
        <w:t>ha</w:t>
      </w:r>
      <w:r w:rsidR="00B65508" w:rsidRPr="007B6126">
        <w:rPr>
          <w:rFonts w:asciiTheme="majorBidi" w:hAnsiTheme="majorBidi" w:cstheme="majorBidi"/>
          <w:lang w:val="en-US"/>
        </w:rPr>
        <w:t>s</w:t>
      </w:r>
      <w:r w:rsidRPr="007B6126">
        <w:rPr>
          <w:rFonts w:asciiTheme="majorBidi" w:hAnsiTheme="majorBidi" w:cstheme="majorBidi"/>
          <w:lang w:val="en-US"/>
        </w:rPr>
        <w:t xml:space="preserve"> a mileage of less than 120.000</w:t>
      </w:r>
      <w:r w:rsidR="004042AD">
        <w:rPr>
          <w:rFonts w:asciiTheme="majorBidi" w:hAnsiTheme="majorBidi" w:cstheme="majorBidi"/>
          <w:lang w:val="en-US"/>
        </w:rPr>
        <w:t xml:space="preserve"> </w:t>
      </w:r>
      <w:r w:rsidRPr="007B6126">
        <w:rPr>
          <w:rFonts w:asciiTheme="majorBidi" w:hAnsiTheme="majorBidi" w:cstheme="majorBidi"/>
          <w:lang w:val="en-US"/>
        </w:rPr>
        <w:t>km, whatever comes first</w:t>
      </w:r>
      <w:r w:rsidR="00E26679">
        <w:rPr>
          <w:rFonts w:asciiTheme="majorBidi" w:hAnsiTheme="majorBidi" w:cstheme="majorBidi"/>
          <w:lang w:val="en-US"/>
        </w:rPr>
        <w:t>.</w:t>
      </w:r>
    </w:p>
    <w:p w14:paraId="0B72C45C" w14:textId="5B087C23"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All vehicle manufacturer defined inspection intervals are met and the vehicle is maintained accordingly</w:t>
      </w:r>
      <w:r w:rsidR="00DC21E7">
        <w:rPr>
          <w:rFonts w:asciiTheme="majorBidi" w:hAnsiTheme="majorBidi" w:cstheme="majorBidi"/>
          <w:lang w:val="en-US"/>
        </w:rPr>
        <w:t>;</w:t>
      </w:r>
    </w:p>
    <w:p w14:paraId="4CE3A223" w14:textId="5827C1B0"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 xml:space="preserve">If spare parts are mounted, they </w:t>
      </w:r>
      <w:r w:rsidR="00B65508" w:rsidRPr="007B6126">
        <w:rPr>
          <w:rFonts w:asciiTheme="majorBidi" w:hAnsiTheme="majorBidi" w:cstheme="majorBidi"/>
          <w:lang w:val="en-US"/>
        </w:rPr>
        <w:t>are</w:t>
      </w:r>
      <w:r w:rsidRPr="007B6126">
        <w:rPr>
          <w:rFonts w:asciiTheme="majorBidi" w:hAnsiTheme="majorBidi" w:cstheme="majorBidi"/>
          <w:lang w:val="en-US"/>
        </w:rPr>
        <w:t xml:space="preserve"> Genuine Original Equipment Parts, especially for sound emission relevant components (according to vehicle type approval documentation).</w:t>
      </w:r>
    </w:p>
    <w:p w14:paraId="53CFF2B4" w14:textId="29F28F19"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 xml:space="preserve">The vehicle </w:t>
      </w:r>
      <w:r w:rsidR="00B65508" w:rsidRPr="007B6126">
        <w:rPr>
          <w:rFonts w:asciiTheme="majorBidi" w:hAnsiTheme="majorBidi" w:cstheme="majorBidi"/>
          <w:lang w:val="en-US"/>
        </w:rPr>
        <w:t xml:space="preserve">has </w:t>
      </w:r>
      <w:r w:rsidRPr="007B6126">
        <w:rPr>
          <w:rFonts w:asciiTheme="majorBidi" w:hAnsiTheme="majorBidi" w:cstheme="majorBidi"/>
          <w:lang w:val="en-US"/>
        </w:rPr>
        <w:t xml:space="preserve">a use history representative for normal use. A vehicle </w:t>
      </w:r>
      <w:r w:rsidR="007464B7">
        <w:rPr>
          <w:rFonts w:asciiTheme="majorBidi" w:hAnsiTheme="majorBidi" w:cstheme="majorBidi"/>
          <w:lang w:val="en-US"/>
        </w:rPr>
        <w:t>should not be selected</w:t>
      </w:r>
      <w:r w:rsidRPr="007B6126">
        <w:rPr>
          <w:rFonts w:asciiTheme="majorBidi" w:hAnsiTheme="majorBidi" w:cstheme="majorBidi"/>
          <w:lang w:val="en-US"/>
        </w:rPr>
        <w:t xml:space="preserve">, if </w:t>
      </w:r>
      <w:r w:rsidR="00DA2422" w:rsidRPr="007B6126">
        <w:rPr>
          <w:rFonts w:asciiTheme="majorBidi" w:hAnsiTheme="majorBidi" w:cstheme="majorBidi"/>
          <w:lang w:val="en-US"/>
        </w:rPr>
        <w:t xml:space="preserve">it </w:t>
      </w:r>
      <w:r w:rsidRPr="007B6126">
        <w:rPr>
          <w:rFonts w:asciiTheme="majorBidi" w:hAnsiTheme="majorBidi" w:cstheme="majorBidi"/>
          <w:lang w:val="en-US"/>
        </w:rPr>
        <w:t>has been subject to abusive driving. This includes, but not limited to, any club or street racing.</w:t>
      </w:r>
    </w:p>
    <w:p w14:paraId="6B9EC2FF" w14:textId="67A5F0D4"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 xml:space="preserve">Tyres </w:t>
      </w:r>
      <w:r w:rsidR="008C7962" w:rsidRPr="007B6126">
        <w:rPr>
          <w:rFonts w:asciiTheme="majorBidi" w:hAnsiTheme="majorBidi" w:cstheme="majorBidi"/>
          <w:lang w:val="en-US"/>
        </w:rPr>
        <w:t>are</w:t>
      </w:r>
      <w:r w:rsidRPr="007B6126">
        <w:rPr>
          <w:rFonts w:asciiTheme="majorBidi" w:hAnsiTheme="majorBidi" w:cstheme="majorBidi"/>
          <w:lang w:val="en-US"/>
        </w:rPr>
        <w:t xml:space="preserve"> in an appropriate condition with regard to even wear, no obvious damage, not older than 2 years and a </w:t>
      </w:r>
      <w:r w:rsidR="00C3748E">
        <w:rPr>
          <w:rFonts w:asciiTheme="majorBidi" w:hAnsiTheme="majorBidi" w:cstheme="majorBidi"/>
          <w:lang w:val="en-US"/>
        </w:rPr>
        <w:t xml:space="preserve">with </w:t>
      </w:r>
      <w:r w:rsidRPr="007B6126">
        <w:rPr>
          <w:rFonts w:asciiTheme="majorBidi" w:hAnsiTheme="majorBidi" w:cstheme="majorBidi"/>
          <w:lang w:val="en-US"/>
        </w:rPr>
        <w:t>milage of less than 10</w:t>
      </w:r>
      <w:r w:rsidR="00E26679">
        <w:rPr>
          <w:rFonts w:asciiTheme="majorBidi" w:hAnsiTheme="majorBidi" w:cstheme="majorBidi"/>
          <w:lang w:val="en-US"/>
        </w:rPr>
        <w:t>,</w:t>
      </w:r>
      <w:r w:rsidRPr="007B6126">
        <w:rPr>
          <w:rFonts w:asciiTheme="majorBidi" w:hAnsiTheme="majorBidi" w:cstheme="majorBidi"/>
          <w:lang w:val="en-US"/>
        </w:rPr>
        <w:t>000 km.</w:t>
      </w:r>
    </w:p>
    <w:p w14:paraId="44ABA826" w14:textId="5F641334"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 xml:space="preserve">Vehicle </w:t>
      </w:r>
      <w:r w:rsidR="00F056EC" w:rsidRPr="007B6126">
        <w:rPr>
          <w:rFonts w:asciiTheme="majorBidi" w:hAnsiTheme="majorBidi" w:cstheme="majorBidi"/>
          <w:lang w:val="en-US"/>
        </w:rPr>
        <w:t>has</w:t>
      </w:r>
      <w:r w:rsidRPr="007B6126">
        <w:rPr>
          <w:rFonts w:asciiTheme="majorBidi" w:hAnsiTheme="majorBidi" w:cstheme="majorBidi"/>
          <w:lang w:val="en-US"/>
        </w:rPr>
        <w:t xml:space="preserve"> </w:t>
      </w:r>
      <w:r w:rsidR="004D2434">
        <w:rPr>
          <w:rFonts w:asciiTheme="majorBidi" w:hAnsiTheme="majorBidi" w:cstheme="majorBidi"/>
          <w:lang w:val="en-US"/>
        </w:rPr>
        <w:t xml:space="preserve">the </w:t>
      </w:r>
      <w:r w:rsidRPr="007B6126">
        <w:rPr>
          <w:rFonts w:asciiTheme="majorBidi" w:hAnsiTheme="majorBidi" w:cstheme="majorBidi"/>
          <w:lang w:val="en-US"/>
        </w:rPr>
        <w:t xml:space="preserve">original hard- and software for </w:t>
      </w:r>
      <w:r w:rsidR="004D2434">
        <w:rPr>
          <w:rFonts w:asciiTheme="majorBidi" w:hAnsiTheme="majorBidi" w:cstheme="majorBidi"/>
          <w:lang w:val="en-US"/>
        </w:rPr>
        <w:t xml:space="preserve">the </w:t>
      </w:r>
      <w:r w:rsidRPr="007B6126">
        <w:rPr>
          <w:rFonts w:asciiTheme="majorBidi" w:hAnsiTheme="majorBidi" w:cstheme="majorBidi"/>
          <w:lang w:val="en-US"/>
        </w:rPr>
        <w:t>engine, drive train and any component with influence on the sound emission of the vehicle, such as active exhausts systems, sound enhancement systems, etc.</w:t>
      </w:r>
    </w:p>
    <w:p w14:paraId="085E88DC" w14:textId="77777777" w:rsidR="00454943" w:rsidRPr="007B6126" w:rsidRDefault="00454943" w:rsidP="00DC21E7">
      <w:pPr>
        <w:pStyle w:val="Listenabsatz"/>
        <w:numPr>
          <w:ilvl w:val="2"/>
          <w:numId w:val="18"/>
        </w:numPr>
        <w:spacing w:after="120"/>
        <w:ind w:left="2835" w:right="1134" w:hanging="567"/>
        <w:contextualSpacing w:val="0"/>
        <w:jc w:val="both"/>
        <w:rPr>
          <w:rFonts w:asciiTheme="majorBidi" w:hAnsiTheme="majorBidi" w:cstheme="majorBidi"/>
          <w:lang w:val="en-US"/>
        </w:rPr>
      </w:pPr>
      <w:r w:rsidRPr="007B6126">
        <w:rPr>
          <w:rFonts w:asciiTheme="majorBidi" w:hAnsiTheme="majorBidi" w:cstheme="majorBidi"/>
          <w:lang w:val="en-US"/>
        </w:rPr>
        <w:t>No optional equipment mounted such as, but not limited to, roof racks or bicycle racks, which could influence the sound emission of the vehicle.</w:t>
      </w:r>
    </w:p>
    <w:p w14:paraId="2DB5053D" w14:textId="33555422" w:rsidR="00454943" w:rsidRPr="007B6126" w:rsidRDefault="002C793B" w:rsidP="00E26679">
      <w:pPr>
        <w:pStyle w:val="berschrift4"/>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2.5.6.2.</w:t>
      </w:r>
      <w:r>
        <w:rPr>
          <w:rFonts w:asciiTheme="majorBidi" w:hAnsiTheme="majorBidi" w:cstheme="majorBidi"/>
          <w:lang w:val="en-US"/>
        </w:rPr>
        <w:tab/>
      </w:r>
      <w:r w:rsidR="00454943" w:rsidRPr="007B6126">
        <w:rPr>
          <w:rFonts w:asciiTheme="majorBidi" w:hAnsiTheme="majorBidi" w:cstheme="majorBidi"/>
          <w:lang w:val="en-US"/>
        </w:rPr>
        <w:t xml:space="preserve">Preparation for </w:t>
      </w:r>
      <w:r w:rsidR="004D2434">
        <w:rPr>
          <w:rFonts w:asciiTheme="majorBidi" w:hAnsiTheme="majorBidi" w:cstheme="majorBidi"/>
          <w:lang w:val="en-US"/>
        </w:rPr>
        <w:t>t</w:t>
      </w:r>
      <w:r w:rsidR="00454943" w:rsidRPr="007B6126">
        <w:rPr>
          <w:rFonts w:asciiTheme="majorBidi" w:hAnsiTheme="majorBidi" w:cstheme="majorBidi"/>
          <w:lang w:val="en-US"/>
        </w:rPr>
        <w:t>esting</w:t>
      </w:r>
      <w:r w:rsidR="00454943" w:rsidRPr="007B6126">
        <w:rPr>
          <w:rFonts w:asciiTheme="majorBidi" w:hAnsiTheme="majorBidi" w:cstheme="majorBidi"/>
          <w:lang w:val="en-US"/>
        </w:rPr>
        <w:tab/>
      </w:r>
    </w:p>
    <w:p w14:paraId="1496BA2C" w14:textId="5EE98ADF" w:rsidR="00454943" w:rsidRPr="007B6126" w:rsidRDefault="00454943" w:rsidP="00E26679">
      <w:pPr>
        <w:spacing w:after="120"/>
        <w:ind w:left="2268" w:right="1134"/>
        <w:jc w:val="both"/>
        <w:rPr>
          <w:rFonts w:asciiTheme="majorBidi" w:hAnsiTheme="majorBidi" w:cstheme="majorBidi"/>
          <w:lang w:val="en-US"/>
        </w:rPr>
      </w:pPr>
      <w:r w:rsidRPr="007B6126">
        <w:rPr>
          <w:rFonts w:asciiTheme="majorBidi" w:hAnsiTheme="majorBidi" w:cstheme="majorBidi"/>
          <w:lang w:val="en-US"/>
        </w:rPr>
        <w:t>Before tests on a selected vehicle are carried out, the vehicle engine, cooling system exhaust system and tyres sh</w:t>
      </w:r>
      <w:r w:rsidR="00F056EC" w:rsidRPr="007B6126">
        <w:rPr>
          <w:rFonts w:asciiTheme="majorBidi" w:hAnsiTheme="majorBidi" w:cstheme="majorBidi"/>
          <w:lang w:val="en-US"/>
        </w:rPr>
        <w:t>ould</w:t>
      </w:r>
      <w:r w:rsidRPr="007B6126">
        <w:rPr>
          <w:rFonts w:asciiTheme="majorBidi" w:hAnsiTheme="majorBidi" w:cstheme="majorBidi"/>
          <w:lang w:val="en-US"/>
        </w:rPr>
        <w:t xml:space="preserve"> be warmed up according to the specifications in UN Regulation No. 51.</w:t>
      </w:r>
    </w:p>
    <w:p w14:paraId="7570E89F" w14:textId="7DD3BD29" w:rsidR="00454943" w:rsidRPr="007B6126" w:rsidRDefault="00454943" w:rsidP="00E26679">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If so equipped, propulsion batteries sh</w:t>
      </w:r>
      <w:r w:rsidR="00392BE8" w:rsidRPr="007B6126">
        <w:rPr>
          <w:rFonts w:asciiTheme="majorBidi" w:hAnsiTheme="majorBidi" w:cstheme="majorBidi"/>
          <w:lang w:val="en-US"/>
        </w:rPr>
        <w:t>ould</w:t>
      </w:r>
      <w:r w:rsidRPr="007B6126">
        <w:rPr>
          <w:rFonts w:asciiTheme="majorBidi" w:hAnsiTheme="majorBidi" w:cstheme="majorBidi"/>
          <w:lang w:val="en-US"/>
        </w:rPr>
        <w:t xml:space="preserve"> have a state-of-charge sufficiently high to enable all key functionalities according to the specifications of the vehicle manufacturer. Propulsion batteries sh</w:t>
      </w:r>
      <w:r w:rsidR="00392BE8" w:rsidRPr="007B6126">
        <w:rPr>
          <w:rFonts w:asciiTheme="majorBidi" w:hAnsiTheme="majorBidi" w:cstheme="majorBidi"/>
          <w:lang w:val="en-US"/>
        </w:rPr>
        <w:t>ould</w:t>
      </w:r>
      <w:r w:rsidRPr="007B6126">
        <w:rPr>
          <w:rFonts w:asciiTheme="majorBidi" w:hAnsiTheme="majorBidi" w:cstheme="majorBidi"/>
          <w:lang w:val="en-US"/>
        </w:rPr>
        <w:t xml:space="preserve"> be within their component temperature window to enable all key functionalities. Any other type of rechargeable energy storage system sh</w:t>
      </w:r>
      <w:r w:rsidR="00392BE8" w:rsidRPr="007B6126">
        <w:rPr>
          <w:rFonts w:asciiTheme="majorBidi" w:hAnsiTheme="majorBidi" w:cstheme="majorBidi"/>
          <w:lang w:val="en-US"/>
        </w:rPr>
        <w:t>ould</w:t>
      </w:r>
      <w:r w:rsidRPr="007B6126">
        <w:rPr>
          <w:rFonts w:asciiTheme="majorBidi" w:hAnsiTheme="majorBidi" w:cstheme="majorBidi"/>
          <w:lang w:val="en-US"/>
        </w:rPr>
        <w:t xml:space="preserve"> be ready to operate during the test.</w:t>
      </w:r>
    </w:p>
    <w:p w14:paraId="07991646" w14:textId="5178483F" w:rsidR="00454943" w:rsidRPr="007B6126" w:rsidRDefault="00454943" w:rsidP="00E26679">
      <w:pPr>
        <w:spacing w:after="120"/>
        <w:ind w:left="2268" w:right="1134"/>
        <w:jc w:val="both"/>
        <w:rPr>
          <w:rFonts w:asciiTheme="majorBidi" w:hAnsiTheme="majorBidi" w:cstheme="majorBidi"/>
          <w:lang w:val="en-US"/>
        </w:rPr>
      </w:pPr>
      <w:r w:rsidRPr="007B6126">
        <w:rPr>
          <w:rFonts w:asciiTheme="majorBidi" w:hAnsiTheme="majorBidi" w:cstheme="majorBidi"/>
          <w:lang w:val="en-US"/>
        </w:rPr>
        <w:t>A tyre inflation pressure as specified by the manufacturer is mandatory. The wheels of the vehicles sh</w:t>
      </w:r>
      <w:r w:rsidR="00392BE8" w:rsidRPr="007B6126">
        <w:rPr>
          <w:rFonts w:asciiTheme="majorBidi" w:hAnsiTheme="majorBidi" w:cstheme="majorBidi"/>
          <w:lang w:val="en-US"/>
        </w:rPr>
        <w:t>ould</w:t>
      </w:r>
      <w:r w:rsidRPr="007B6126">
        <w:rPr>
          <w:rFonts w:asciiTheme="majorBidi" w:hAnsiTheme="majorBidi" w:cstheme="majorBidi"/>
          <w:lang w:val="en-US"/>
        </w:rPr>
        <w:t xml:space="preserve"> be statically and dynamically balanced.</w:t>
      </w:r>
    </w:p>
    <w:p w14:paraId="16F82E4F" w14:textId="1B92EE77" w:rsidR="00454943" w:rsidRPr="007B6126" w:rsidRDefault="00454943" w:rsidP="00E26679">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The fuel quality sh</w:t>
      </w:r>
      <w:r w:rsidR="00392BE8" w:rsidRPr="007B6126">
        <w:rPr>
          <w:rFonts w:asciiTheme="majorBidi" w:hAnsiTheme="majorBidi" w:cstheme="majorBidi"/>
          <w:lang w:val="en-US"/>
        </w:rPr>
        <w:t>ould</w:t>
      </w:r>
      <w:r w:rsidRPr="007B6126">
        <w:rPr>
          <w:rFonts w:asciiTheme="majorBidi" w:hAnsiTheme="majorBidi" w:cstheme="majorBidi"/>
          <w:lang w:val="en-US"/>
        </w:rPr>
        <w:t xml:space="preserve"> be in line with the manufacturer’s specification for the nominal power of the engine.</w:t>
      </w:r>
    </w:p>
    <w:p w14:paraId="4A154CFD" w14:textId="7E58231B" w:rsidR="00454943" w:rsidRPr="007B6126" w:rsidRDefault="002C793B" w:rsidP="009B0AE7">
      <w:pPr>
        <w:pStyle w:val="berschrift4"/>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2.5.6.3.</w:t>
      </w:r>
      <w:r>
        <w:rPr>
          <w:rFonts w:asciiTheme="majorBidi" w:hAnsiTheme="majorBidi" w:cstheme="majorBidi"/>
          <w:lang w:val="en-US"/>
        </w:rPr>
        <w:tab/>
      </w:r>
      <w:r w:rsidR="00454943" w:rsidRPr="007B6126">
        <w:rPr>
          <w:rFonts w:asciiTheme="majorBidi" w:hAnsiTheme="majorBidi" w:cstheme="majorBidi"/>
          <w:lang w:val="en-US"/>
        </w:rPr>
        <w:t>During Testing</w:t>
      </w:r>
    </w:p>
    <w:p w14:paraId="2E3759E8" w14:textId="7E74C0A5" w:rsidR="00454943" w:rsidRPr="007B6126" w:rsidRDefault="00454943" w:rsidP="009B0AE7">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 xml:space="preserve">Tests on vehicles </w:t>
      </w:r>
      <w:r w:rsidR="0083248E" w:rsidRPr="007B6126">
        <w:rPr>
          <w:rFonts w:asciiTheme="majorBidi" w:hAnsiTheme="majorBidi" w:cstheme="majorBidi"/>
          <w:lang w:val="en-US"/>
        </w:rPr>
        <w:t>are</w:t>
      </w:r>
      <w:r w:rsidRPr="007B6126">
        <w:rPr>
          <w:rFonts w:asciiTheme="majorBidi" w:hAnsiTheme="majorBidi" w:cstheme="majorBidi"/>
          <w:lang w:val="en-US"/>
        </w:rPr>
        <w:t xml:space="preserve"> carried out in accordance with the procedures that have been used for approval of this type of vehicle. For testing, the same pre-acceleration </w:t>
      </w:r>
      <w:r w:rsidR="0083248E" w:rsidRPr="007B6126">
        <w:rPr>
          <w:rFonts w:asciiTheme="majorBidi" w:hAnsiTheme="majorBidi" w:cstheme="majorBidi"/>
          <w:lang w:val="en-US"/>
        </w:rPr>
        <w:t>is</w:t>
      </w:r>
      <w:r w:rsidRPr="007B6126">
        <w:rPr>
          <w:rFonts w:asciiTheme="majorBidi" w:hAnsiTheme="majorBidi" w:cstheme="majorBidi"/>
          <w:lang w:val="en-US"/>
        </w:rPr>
        <w:t xml:space="preserve"> used as documented in the type approval test report.</w:t>
      </w:r>
    </w:p>
    <w:p w14:paraId="1C80E483" w14:textId="77777777" w:rsidR="00454943" w:rsidRPr="007B6126" w:rsidRDefault="00454943" w:rsidP="009B0AE7">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The variation of results between runs may be reduced if there is a 1-minute wait, at idle in neutral, between runs. </w:t>
      </w:r>
    </w:p>
    <w:p w14:paraId="17CB3728" w14:textId="77777777" w:rsidR="00454943" w:rsidRPr="007B6126" w:rsidRDefault="00454943" w:rsidP="009B0AE7">
      <w:pPr>
        <w:spacing w:after="120"/>
        <w:ind w:left="2268" w:right="1134"/>
        <w:jc w:val="both"/>
        <w:rPr>
          <w:rFonts w:asciiTheme="majorBidi" w:hAnsiTheme="majorBidi" w:cstheme="majorBidi"/>
          <w:lang w:val="en-US"/>
        </w:rPr>
      </w:pPr>
      <w:r w:rsidRPr="007B6126">
        <w:rPr>
          <w:rFonts w:asciiTheme="majorBidi" w:hAnsiTheme="majorBidi" w:cstheme="majorBidi"/>
          <w:lang w:val="en-US"/>
        </w:rPr>
        <w:t>The documentation of the compliance assessment should at least meet the documentation level of the corresponding test report of type approval measurements e.g., air temperature, air pressure and humidity.</w:t>
      </w:r>
    </w:p>
    <w:p w14:paraId="6A0FAA88" w14:textId="091F2DBB" w:rsidR="00454943" w:rsidRPr="007B6126" w:rsidRDefault="00454943" w:rsidP="009B0AE7">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 xml:space="preserve">No regeneration of any exhaust emission equipment, such as but not limited to particle filter or NOx filter shall occur during testing. In this case the measurement </w:t>
      </w:r>
      <w:r w:rsidR="009342AD" w:rsidRPr="007B6126">
        <w:rPr>
          <w:rFonts w:asciiTheme="majorBidi" w:hAnsiTheme="majorBidi" w:cstheme="majorBidi"/>
          <w:lang w:val="en-US"/>
        </w:rPr>
        <w:t xml:space="preserve">has to </w:t>
      </w:r>
      <w:r w:rsidRPr="007B6126">
        <w:rPr>
          <w:rFonts w:asciiTheme="majorBidi" w:hAnsiTheme="majorBidi" w:cstheme="majorBidi"/>
          <w:lang w:val="en-US"/>
        </w:rPr>
        <w:t>be discarded.</w:t>
      </w:r>
    </w:p>
    <w:p w14:paraId="3A837DC7" w14:textId="4CDA6EE7" w:rsidR="00960691" w:rsidRPr="007B6126" w:rsidRDefault="002C793B" w:rsidP="009B0AE7">
      <w:pPr>
        <w:pStyle w:val="berschrift4"/>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2.5.6.4.</w:t>
      </w:r>
      <w:r>
        <w:rPr>
          <w:rFonts w:asciiTheme="majorBidi" w:hAnsiTheme="majorBidi" w:cstheme="majorBidi"/>
          <w:lang w:val="en-US"/>
        </w:rPr>
        <w:tab/>
      </w:r>
      <w:r w:rsidR="00960691" w:rsidRPr="007B6126">
        <w:rPr>
          <w:rFonts w:asciiTheme="majorBidi" w:hAnsiTheme="majorBidi" w:cstheme="majorBidi"/>
          <w:lang w:val="en-US"/>
        </w:rPr>
        <w:t>Considerations on measurement uncertainties of in-use vehicles testing</w:t>
      </w:r>
    </w:p>
    <w:p w14:paraId="617CFBE1" w14:textId="26E86553" w:rsidR="00960691" w:rsidRPr="007B6126" w:rsidRDefault="00960691" w:rsidP="009B0AE7">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 xml:space="preserve">After the measurement, additional tyre rolling sound measurements should be carried out in accordance </w:t>
      </w:r>
      <w:r w:rsidR="00267CBA">
        <w:rPr>
          <w:rFonts w:asciiTheme="majorBidi" w:hAnsiTheme="majorBidi" w:cstheme="majorBidi"/>
          <w:lang w:val="en-US"/>
        </w:rPr>
        <w:t xml:space="preserve">with </w:t>
      </w:r>
      <w:r w:rsidRPr="007B6126">
        <w:rPr>
          <w:rFonts w:asciiTheme="majorBidi" w:hAnsiTheme="majorBidi" w:cstheme="majorBidi"/>
          <w:lang w:val="en-US"/>
        </w:rPr>
        <w:t>Supplement 7 to the 03 series of amendments to UN Regulation No. 51 or later versions.</w:t>
      </w:r>
    </w:p>
    <w:p w14:paraId="12D7D69C" w14:textId="7157FD35" w:rsidR="00960691" w:rsidRPr="007B6126" w:rsidRDefault="00960691" w:rsidP="009B0AE7">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 xml:space="preserve">If reference data for tyre rolling sound are available according to CASE 2 of Supplement 7 to the 03 series of amendments to UN Regulation No. 51 or later versions, the tyre rolling sound should be normalized accordingly. </w:t>
      </w:r>
    </w:p>
    <w:p w14:paraId="7D50D96A" w14:textId="32A9C372" w:rsidR="00960691" w:rsidRPr="007B6126" w:rsidRDefault="00960691" w:rsidP="009B0AE7">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If no reference data are available, the tyre rolling sound should be corrected to the reference temperature according to CASE 1 of Supplement 7 to the 03 series of amendments to UN Regulation No. 51 or later versions.</w:t>
      </w:r>
    </w:p>
    <w:p w14:paraId="257181F6" w14:textId="7B7C15A1" w:rsidR="00454943" w:rsidRPr="007B6126" w:rsidRDefault="00960691" w:rsidP="009B0AE7">
      <w:pPr>
        <w:spacing w:after="120"/>
        <w:ind w:left="2268" w:right="1134" w:hanging="1134"/>
        <w:jc w:val="both"/>
        <w:rPr>
          <w:rFonts w:asciiTheme="majorBidi" w:hAnsiTheme="majorBidi" w:cstheme="majorBidi"/>
          <w:lang w:val="en-US"/>
        </w:rPr>
      </w:pPr>
      <w:r w:rsidRPr="007B6126">
        <w:rPr>
          <w:rFonts w:asciiTheme="majorBidi" w:hAnsiTheme="majorBidi" w:cstheme="majorBidi"/>
          <w:lang w:val="en-US"/>
        </w:rPr>
        <w:tab/>
        <w:t>In view of the tolerances according to different measurement conditions, it will be necessary to allow for a margin in comparison with the corresponding value recorded at the time of the type approval, that is based on the measurement uncertainties table</w:t>
      </w:r>
      <w:r w:rsidR="00420C58" w:rsidRPr="007B6126">
        <w:rPr>
          <w:rFonts w:asciiTheme="majorBidi" w:hAnsiTheme="majorBidi" w:cstheme="majorBidi"/>
          <w:lang w:val="en-US"/>
        </w:rPr>
        <w:t xml:space="preserve"> (“Expanded Uncertainty (95%)” of “Field Test”)</w:t>
      </w:r>
      <w:r w:rsidRPr="007B6126">
        <w:rPr>
          <w:rFonts w:asciiTheme="majorBidi" w:hAnsiTheme="majorBidi" w:cstheme="majorBidi"/>
          <w:lang w:val="en-US"/>
        </w:rPr>
        <w:t xml:space="preserve"> described in Annex 5 of this </w:t>
      </w:r>
      <w:r w:rsidR="00DB61C6">
        <w:rPr>
          <w:rFonts w:asciiTheme="majorBidi" w:hAnsiTheme="majorBidi" w:cstheme="majorBidi"/>
          <w:lang w:val="en-US"/>
        </w:rPr>
        <w:t xml:space="preserve">Document for Reference </w:t>
      </w:r>
      <w:r w:rsidRPr="007B6126">
        <w:rPr>
          <w:rFonts w:asciiTheme="majorBidi" w:hAnsiTheme="majorBidi" w:cstheme="majorBidi"/>
          <w:lang w:val="en-US"/>
        </w:rPr>
        <w:t xml:space="preserve">. </w:t>
      </w:r>
      <w:r w:rsidRPr="007B6126">
        <w:rPr>
          <w:rFonts w:asciiTheme="majorBidi" w:hAnsiTheme="majorBidi" w:cstheme="majorBidi"/>
          <w:lang w:val="en-US"/>
        </w:rPr>
        <w:tab/>
      </w:r>
    </w:p>
    <w:p w14:paraId="6729FD8B" w14:textId="264A76A9" w:rsidR="00F20CAB" w:rsidRPr="000B234B" w:rsidRDefault="000B234B" w:rsidP="004D60AF">
      <w:pPr>
        <w:pStyle w:val="berschrift2"/>
        <w:numPr>
          <w:ilvl w:val="0"/>
          <w:numId w:val="0"/>
        </w:numPr>
        <w:ind w:left="1134"/>
        <w:rPr>
          <w:sz w:val="20"/>
          <w:szCs w:val="20"/>
        </w:rPr>
      </w:pPr>
      <w:r>
        <w:rPr>
          <w:sz w:val="20"/>
          <w:szCs w:val="20"/>
        </w:rPr>
        <w:t xml:space="preserve">2.6. </w:t>
      </w:r>
      <w:r w:rsidR="004D60AF">
        <w:rPr>
          <w:sz w:val="20"/>
          <w:szCs w:val="20"/>
        </w:rPr>
        <w:tab/>
      </w:r>
      <w:r w:rsidR="004D60AF">
        <w:rPr>
          <w:sz w:val="20"/>
          <w:szCs w:val="20"/>
        </w:rPr>
        <w:tab/>
      </w:r>
      <w:r w:rsidR="00F20CAB" w:rsidRPr="000B234B">
        <w:rPr>
          <w:sz w:val="20"/>
          <w:szCs w:val="20"/>
        </w:rPr>
        <w:t>UN Regulation No. 54</w:t>
      </w:r>
    </w:p>
    <w:p w14:paraId="20571767" w14:textId="35BE13E7" w:rsidR="009B229F" w:rsidRPr="007B6126" w:rsidRDefault="004D60AF"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9B229F" w:rsidRPr="007B6126">
        <w:rPr>
          <w:rFonts w:asciiTheme="majorBidi" w:hAnsiTheme="majorBidi" w:cstheme="majorBidi"/>
          <w:lang w:val="en-US"/>
        </w:rPr>
        <w:t>reserved</w:t>
      </w:r>
      <w:r>
        <w:rPr>
          <w:rFonts w:asciiTheme="majorBidi" w:hAnsiTheme="majorBidi" w:cstheme="majorBidi"/>
          <w:lang w:val="en-US"/>
        </w:rPr>
        <w:t>)</w:t>
      </w:r>
    </w:p>
    <w:p w14:paraId="50F0B3BB" w14:textId="580E4B93" w:rsidR="00F20CAB" w:rsidRPr="000B234B" w:rsidRDefault="00513D7E" w:rsidP="004D60AF">
      <w:pPr>
        <w:pStyle w:val="berschrift2"/>
        <w:numPr>
          <w:ilvl w:val="0"/>
          <w:numId w:val="0"/>
        </w:numPr>
        <w:ind w:left="1134"/>
        <w:rPr>
          <w:sz w:val="20"/>
          <w:szCs w:val="20"/>
        </w:rPr>
      </w:pPr>
      <w:r>
        <w:rPr>
          <w:sz w:val="20"/>
          <w:szCs w:val="20"/>
        </w:rPr>
        <w:t xml:space="preserve">2.7. </w:t>
      </w:r>
      <w:r w:rsidR="00E478D0">
        <w:rPr>
          <w:sz w:val="20"/>
          <w:szCs w:val="20"/>
        </w:rPr>
        <w:tab/>
      </w:r>
      <w:r w:rsidR="004D60AF">
        <w:rPr>
          <w:sz w:val="20"/>
          <w:szCs w:val="20"/>
        </w:rPr>
        <w:tab/>
      </w:r>
      <w:r w:rsidR="00F20CAB" w:rsidRPr="000B234B">
        <w:rPr>
          <w:sz w:val="20"/>
          <w:szCs w:val="20"/>
        </w:rPr>
        <w:t>UN Regulation No. 59</w:t>
      </w:r>
    </w:p>
    <w:p w14:paraId="74A45FEA" w14:textId="05F1E593" w:rsidR="009B229F"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9B229F" w:rsidRPr="000B234B">
        <w:rPr>
          <w:rFonts w:asciiTheme="majorBidi" w:hAnsiTheme="majorBidi" w:cstheme="majorBidi"/>
          <w:lang w:val="en-US"/>
        </w:rPr>
        <w:t>reserved</w:t>
      </w:r>
      <w:r>
        <w:rPr>
          <w:rFonts w:asciiTheme="majorBidi" w:hAnsiTheme="majorBidi" w:cstheme="majorBidi"/>
          <w:lang w:val="en-US"/>
        </w:rPr>
        <w:t>)</w:t>
      </w:r>
    </w:p>
    <w:p w14:paraId="3D2BFEE6" w14:textId="37762B42" w:rsidR="00F20CAB" w:rsidRPr="000B234B" w:rsidRDefault="00513D7E" w:rsidP="004D60AF">
      <w:pPr>
        <w:pStyle w:val="berschrift2"/>
        <w:numPr>
          <w:ilvl w:val="0"/>
          <w:numId w:val="0"/>
        </w:numPr>
        <w:ind w:left="1134"/>
        <w:rPr>
          <w:sz w:val="20"/>
          <w:szCs w:val="20"/>
        </w:rPr>
      </w:pPr>
      <w:r>
        <w:rPr>
          <w:sz w:val="20"/>
          <w:szCs w:val="20"/>
        </w:rPr>
        <w:t xml:space="preserve">2.8. </w:t>
      </w:r>
      <w:r w:rsidR="00E478D0">
        <w:rPr>
          <w:sz w:val="20"/>
          <w:szCs w:val="20"/>
        </w:rPr>
        <w:tab/>
      </w:r>
      <w:r w:rsidR="004D60AF">
        <w:rPr>
          <w:sz w:val="20"/>
          <w:szCs w:val="20"/>
        </w:rPr>
        <w:tab/>
      </w:r>
      <w:r w:rsidR="00F20CAB" w:rsidRPr="000B234B">
        <w:rPr>
          <w:sz w:val="20"/>
          <w:szCs w:val="20"/>
        </w:rPr>
        <w:t>UN Regulation No. 63</w:t>
      </w:r>
    </w:p>
    <w:p w14:paraId="1FCA1C68" w14:textId="38DEFA00" w:rsidR="004F3108"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5BDEA1F5" w14:textId="4B66492F" w:rsidR="00F20CAB" w:rsidRPr="000B234B" w:rsidRDefault="00513D7E" w:rsidP="004D60AF">
      <w:pPr>
        <w:pStyle w:val="berschrift2"/>
        <w:numPr>
          <w:ilvl w:val="0"/>
          <w:numId w:val="0"/>
        </w:numPr>
        <w:ind w:left="1134"/>
        <w:rPr>
          <w:sz w:val="20"/>
          <w:szCs w:val="20"/>
        </w:rPr>
      </w:pPr>
      <w:r>
        <w:rPr>
          <w:sz w:val="20"/>
          <w:szCs w:val="20"/>
        </w:rPr>
        <w:t xml:space="preserve">2.9. </w:t>
      </w:r>
      <w:r w:rsidR="00E478D0">
        <w:rPr>
          <w:sz w:val="20"/>
          <w:szCs w:val="20"/>
        </w:rPr>
        <w:tab/>
      </w:r>
      <w:r w:rsidR="004D60AF">
        <w:rPr>
          <w:sz w:val="20"/>
          <w:szCs w:val="20"/>
        </w:rPr>
        <w:tab/>
      </w:r>
      <w:r w:rsidR="00F20CAB" w:rsidRPr="000B234B">
        <w:rPr>
          <w:sz w:val="20"/>
          <w:szCs w:val="20"/>
        </w:rPr>
        <w:t>UN Regulation No.64</w:t>
      </w:r>
    </w:p>
    <w:p w14:paraId="06A15D3C" w14:textId="2062036C" w:rsidR="004F3108"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06F81D22" w14:textId="2E12717B" w:rsidR="00F20CAB" w:rsidRPr="000B234B" w:rsidRDefault="00513D7E" w:rsidP="004D60AF">
      <w:pPr>
        <w:pStyle w:val="berschrift2"/>
        <w:numPr>
          <w:ilvl w:val="0"/>
          <w:numId w:val="0"/>
        </w:numPr>
        <w:ind w:left="1134"/>
        <w:rPr>
          <w:sz w:val="20"/>
          <w:szCs w:val="20"/>
        </w:rPr>
      </w:pPr>
      <w:r>
        <w:rPr>
          <w:sz w:val="20"/>
          <w:szCs w:val="20"/>
        </w:rPr>
        <w:t xml:space="preserve">2.10. </w:t>
      </w:r>
      <w:r w:rsidR="00E478D0">
        <w:rPr>
          <w:sz w:val="20"/>
          <w:szCs w:val="20"/>
        </w:rPr>
        <w:tab/>
      </w:r>
      <w:r w:rsidR="004D60AF">
        <w:rPr>
          <w:sz w:val="20"/>
          <w:szCs w:val="20"/>
        </w:rPr>
        <w:tab/>
      </w:r>
      <w:r w:rsidR="00F20CAB" w:rsidRPr="000B234B">
        <w:rPr>
          <w:sz w:val="20"/>
          <w:szCs w:val="20"/>
        </w:rPr>
        <w:t>UN Regulation No. 75</w:t>
      </w:r>
    </w:p>
    <w:p w14:paraId="1C22F7FB" w14:textId="450A0508" w:rsidR="004F3108"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77824EC1" w14:textId="14985A9F" w:rsidR="00F20CAB" w:rsidRPr="000B234B" w:rsidRDefault="00513D7E" w:rsidP="004D60AF">
      <w:pPr>
        <w:pStyle w:val="berschrift2"/>
        <w:numPr>
          <w:ilvl w:val="0"/>
          <w:numId w:val="0"/>
        </w:numPr>
        <w:ind w:left="1134"/>
        <w:rPr>
          <w:sz w:val="20"/>
          <w:szCs w:val="20"/>
        </w:rPr>
      </w:pPr>
      <w:r>
        <w:rPr>
          <w:sz w:val="20"/>
          <w:szCs w:val="20"/>
        </w:rPr>
        <w:t xml:space="preserve">2.11. </w:t>
      </w:r>
      <w:r w:rsidR="00E478D0">
        <w:rPr>
          <w:sz w:val="20"/>
          <w:szCs w:val="20"/>
        </w:rPr>
        <w:tab/>
      </w:r>
      <w:r w:rsidR="004D60AF">
        <w:rPr>
          <w:sz w:val="20"/>
          <w:szCs w:val="20"/>
        </w:rPr>
        <w:tab/>
      </w:r>
      <w:r w:rsidR="00F20CAB" w:rsidRPr="000B234B">
        <w:rPr>
          <w:sz w:val="20"/>
          <w:szCs w:val="20"/>
        </w:rPr>
        <w:t>UN Regulation No. 92</w:t>
      </w:r>
    </w:p>
    <w:p w14:paraId="0AE35428" w14:textId="57FFD810" w:rsidR="004F3108"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5D144529" w14:textId="33D93E8F" w:rsidR="00F20CAB" w:rsidRPr="000B234B" w:rsidRDefault="00513D7E" w:rsidP="004D60AF">
      <w:pPr>
        <w:pStyle w:val="berschrift2"/>
        <w:numPr>
          <w:ilvl w:val="0"/>
          <w:numId w:val="0"/>
        </w:numPr>
        <w:ind w:left="1134"/>
        <w:rPr>
          <w:sz w:val="20"/>
          <w:szCs w:val="20"/>
        </w:rPr>
      </w:pPr>
      <w:r>
        <w:rPr>
          <w:sz w:val="20"/>
          <w:szCs w:val="20"/>
        </w:rPr>
        <w:t xml:space="preserve">2.12. </w:t>
      </w:r>
      <w:r w:rsidR="00E478D0">
        <w:rPr>
          <w:sz w:val="20"/>
          <w:szCs w:val="20"/>
        </w:rPr>
        <w:tab/>
      </w:r>
      <w:r w:rsidR="004D60AF">
        <w:rPr>
          <w:sz w:val="20"/>
          <w:szCs w:val="20"/>
        </w:rPr>
        <w:tab/>
      </w:r>
      <w:r w:rsidR="00F20CAB" w:rsidRPr="000B234B">
        <w:rPr>
          <w:sz w:val="20"/>
          <w:szCs w:val="20"/>
        </w:rPr>
        <w:t>UN Regulation No. 106</w:t>
      </w:r>
    </w:p>
    <w:p w14:paraId="42B6B944" w14:textId="54DE194A" w:rsidR="004F3108"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6DAE2A41" w14:textId="3041C1A7" w:rsidR="00F20CAB" w:rsidRPr="000B234B" w:rsidRDefault="00513D7E" w:rsidP="004D60AF">
      <w:pPr>
        <w:pStyle w:val="berschrift2"/>
        <w:numPr>
          <w:ilvl w:val="0"/>
          <w:numId w:val="0"/>
        </w:numPr>
        <w:ind w:left="1134"/>
        <w:rPr>
          <w:sz w:val="20"/>
          <w:szCs w:val="20"/>
        </w:rPr>
      </w:pPr>
      <w:r>
        <w:rPr>
          <w:sz w:val="20"/>
          <w:szCs w:val="20"/>
        </w:rPr>
        <w:t xml:space="preserve">2.13. </w:t>
      </w:r>
      <w:r w:rsidR="00E478D0">
        <w:rPr>
          <w:sz w:val="20"/>
          <w:szCs w:val="20"/>
        </w:rPr>
        <w:tab/>
      </w:r>
      <w:r w:rsidR="004D60AF">
        <w:rPr>
          <w:sz w:val="20"/>
          <w:szCs w:val="20"/>
        </w:rPr>
        <w:tab/>
      </w:r>
      <w:r w:rsidR="00F20CAB" w:rsidRPr="000B234B">
        <w:rPr>
          <w:sz w:val="20"/>
          <w:szCs w:val="20"/>
        </w:rPr>
        <w:t>UN Regulation No. 108</w:t>
      </w:r>
    </w:p>
    <w:p w14:paraId="67346966" w14:textId="41E9E089" w:rsidR="004F3108"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4D980330" w14:textId="65AEE501" w:rsidR="00F20CAB" w:rsidRPr="000B234B" w:rsidRDefault="00513D7E" w:rsidP="004D60AF">
      <w:pPr>
        <w:pStyle w:val="berschrift2"/>
        <w:numPr>
          <w:ilvl w:val="0"/>
          <w:numId w:val="0"/>
        </w:numPr>
        <w:ind w:left="1134"/>
        <w:rPr>
          <w:sz w:val="20"/>
          <w:szCs w:val="20"/>
        </w:rPr>
      </w:pPr>
      <w:r>
        <w:rPr>
          <w:sz w:val="20"/>
          <w:szCs w:val="20"/>
        </w:rPr>
        <w:t xml:space="preserve">2.14. </w:t>
      </w:r>
      <w:r w:rsidR="00E478D0">
        <w:rPr>
          <w:sz w:val="20"/>
          <w:szCs w:val="20"/>
        </w:rPr>
        <w:tab/>
      </w:r>
      <w:r w:rsidR="004D60AF">
        <w:rPr>
          <w:sz w:val="20"/>
          <w:szCs w:val="20"/>
        </w:rPr>
        <w:tab/>
      </w:r>
      <w:r w:rsidR="00F20CAB" w:rsidRPr="000B234B">
        <w:rPr>
          <w:sz w:val="20"/>
          <w:szCs w:val="20"/>
        </w:rPr>
        <w:t>UN Regulation No. 109</w:t>
      </w:r>
    </w:p>
    <w:p w14:paraId="37C4E203" w14:textId="74D698E9" w:rsidR="004F3108" w:rsidRPr="000B234B" w:rsidRDefault="00E478D0" w:rsidP="004D60AF">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4F3108" w:rsidRPr="000B234B">
        <w:rPr>
          <w:rFonts w:asciiTheme="majorBidi" w:hAnsiTheme="majorBidi" w:cstheme="majorBidi"/>
          <w:lang w:val="en-US"/>
        </w:rPr>
        <w:t>reserved</w:t>
      </w:r>
      <w:r>
        <w:rPr>
          <w:rFonts w:asciiTheme="majorBidi" w:hAnsiTheme="majorBidi" w:cstheme="majorBidi"/>
          <w:lang w:val="en-US"/>
        </w:rPr>
        <w:t>)</w:t>
      </w:r>
    </w:p>
    <w:p w14:paraId="5BBF20C7" w14:textId="01944031" w:rsidR="00F20CAB" w:rsidRPr="000B234B" w:rsidRDefault="00513D7E" w:rsidP="004D60AF">
      <w:pPr>
        <w:pStyle w:val="berschrift2"/>
        <w:numPr>
          <w:ilvl w:val="0"/>
          <w:numId w:val="0"/>
        </w:numPr>
        <w:ind w:left="1134"/>
        <w:rPr>
          <w:sz w:val="20"/>
          <w:szCs w:val="20"/>
        </w:rPr>
      </w:pPr>
      <w:r>
        <w:rPr>
          <w:sz w:val="20"/>
          <w:szCs w:val="20"/>
        </w:rPr>
        <w:t xml:space="preserve">2.15. </w:t>
      </w:r>
      <w:r w:rsidR="00E478D0">
        <w:rPr>
          <w:sz w:val="20"/>
          <w:szCs w:val="20"/>
        </w:rPr>
        <w:tab/>
      </w:r>
      <w:r w:rsidR="004D60AF">
        <w:rPr>
          <w:sz w:val="20"/>
          <w:szCs w:val="20"/>
        </w:rPr>
        <w:tab/>
      </w:r>
      <w:r w:rsidR="00F20CAB" w:rsidRPr="000B234B">
        <w:rPr>
          <w:sz w:val="20"/>
          <w:szCs w:val="20"/>
        </w:rPr>
        <w:t>UN Regulation No. 117</w:t>
      </w:r>
    </w:p>
    <w:p w14:paraId="11B00C68" w14:textId="671344EA" w:rsidR="00093957" w:rsidRPr="007B6126" w:rsidRDefault="00513D7E" w:rsidP="00B74F76">
      <w:pPr>
        <w:pStyle w:val="berschrift3"/>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 xml:space="preserve">2.15.1. </w:t>
      </w:r>
      <w:r w:rsidR="00B74F76">
        <w:rPr>
          <w:rFonts w:asciiTheme="majorBidi" w:hAnsiTheme="majorBidi" w:cstheme="majorBidi"/>
          <w:lang w:val="en-US"/>
        </w:rPr>
        <w:tab/>
      </w:r>
      <w:r w:rsidR="00093957" w:rsidRPr="007B6126">
        <w:rPr>
          <w:rFonts w:asciiTheme="majorBidi" w:hAnsiTheme="majorBidi" w:cstheme="majorBidi"/>
          <w:lang w:val="en-US"/>
        </w:rPr>
        <w:t>Estimation of the calculation of the expanded uncertainty for measurements of the sound of tyres of Annex 3 for tyres of categor</w:t>
      </w:r>
      <w:r w:rsidR="00D85A6E">
        <w:rPr>
          <w:rFonts w:asciiTheme="majorBidi" w:hAnsiTheme="majorBidi" w:cstheme="majorBidi"/>
          <w:lang w:val="en-US"/>
        </w:rPr>
        <w:t xml:space="preserve">ies </w:t>
      </w:r>
      <w:r w:rsidR="00093957" w:rsidRPr="007B6126">
        <w:rPr>
          <w:rFonts w:asciiTheme="majorBidi" w:hAnsiTheme="majorBidi" w:cstheme="majorBidi"/>
          <w:lang w:val="en-US"/>
        </w:rPr>
        <w:t>C1, C2 and C3.</w:t>
      </w:r>
    </w:p>
    <w:p w14:paraId="07CF0D7F" w14:textId="13E6F120" w:rsidR="00093957" w:rsidRPr="007B6126" w:rsidRDefault="00093957" w:rsidP="00B74F76">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Table </w:t>
      </w:r>
      <w:r w:rsidR="00D65E0F" w:rsidRPr="007B6126">
        <w:rPr>
          <w:rFonts w:asciiTheme="majorBidi" w:hAnsiTheme="majorBidi" w:cstheme="majorBidi"/>
          <w:lang w:val="en-US"/>
        </w:rPr>
        <w:t>15</w:t>
      </w:r>
      <w:r w:rsidRPr="007B6126">
        <w:rPr>
          <w:rFonts w:asciiTheme="majorBidi" w:hAnsiTheme="majorBidi" w:cstheme="majorBidi"/>
          <w:lang w:val="en-US"/>
        </w:rPr>
        <w:t>.1</w:t>
      </w:r>
      <w:r w:rsidR="005D0441" w:rsidRPr="007B6126">
        <w:rPr>
          <w:rFonts w:asciiTheme="majorBidi" w:hAnsiTheme="majorBidi" w:cstheme="majorBidi"/>
          <w:lang w:val="en-US"/>
        </w:rPr>
        <w:t>. in the Annex</w:t>
      </w:r>
      <w:r w:rsidRPr="007B6126">
        <w:rPr>
          <w:rFonts w:asciiTheme="majorBidi" w:hAnsiTheme="majorBidi" w:cstheme="majorBidi"/>
          <w:lang w:val="en-US"/>
        </w:rPr>
        <w:t xml:space="preserve"> is based on </w:t>
      </w:r>
      <w:r w:rsidR="00D85A6E">
        <w:rPr>
          <w:rFonts w:asciiTheme="majorBidi" w:hAnsiTheme="majorBidi" w:cstheme="majorBidi"/>
          <w:lang w:val="en-US"/>
        </w:rPr>
        <w:t>UN R</w:t>
      </w:r>
      <w:r w:rsidRPr="007B6126">
        <w:rPr>
          <w:rFonts w:asciiTheme="majorBidi" w:hAnsiTheme="majorBidi" w:cstheme="majorBidi"/>
          <w:lang w:val="en-US"/>
        </w:rPr>
        <w:t>egulation</w:t>
      </w:r>
      <w:r w:rsidR="00D85A6E">
        <w:rPr>
          <w:rFonts w:asciiTheme="majorBidi" w:hAnsiTheme="majorBidi" w:cstheme="majorBidi"/>
          <w:lang w:val="en-US"/>
        </w:rPr>
        <w:t xml:space="preserve"> No. 117</w:t>
      </w:r>
      <w:r w:rsidRPr="007B6126">
        <w:rPr>
          <w:rFonts w:asciiTheme="majorBidi" w:hAnsiTheme="majorBidi" w:cstheme="majorBidi"/>
          <w:lang w:val="en-US"/>
        </w:rPr>
        <w:t xml:space="preserve"> in its 04 series of amendments up to Supplement 1</w:t>
      </w:r>
      <w:r w:rsidR="006032BD" w:rsidRPr="007B6126">
        <w:rPr>
          <w:rFonts w:asciiTheme="majorBidi" w:hAnsiTheme="majorBidi" w:cstheme="majorBidi"/>
          <w:lang w:val="en-US"/>
        </w:rPr>
        <w:t xml:space="preserve">, but </w:t>
      </w:r>
      <w:r w:rsidRPr="007B6126">
        <w:rPr>
          <w:rFonts w:asciiTheme="majorBidi" w:hAnsiTheme="majorBidi" w:cstheme="majorBidi"/>
          <w:lang w:val="en-US"/>
        </w:rPr>
        <w:t>i</w:t>
      </w:r>
      <w:r w:rsidR="00457F70" w:rsidRPr="007B6126">
        <w:rPr>
          <w:rFonts w:asciiTheme="majorBidi" w:hAnsiTheme="majorBidi" w:cstheme="majorBidi"/>
          <w:lang w:val="en-US"/>
        </w:rPr>
        <w:t>s</w:t>
      </w:r>
      <w:r w:rsidRPr="007B6126">
        <w:rPr>
          <w:rFonts w:asciiTheme="majorBidi" w:hAnsiTheme="majorBidi" w:cstheme="majorBidi"/>
          <w:lang w:val="en-US"/>
        </w:rPr>
        <w:t xml:space="preserve"> also valid </w:t>
      </w:r>
      <w:r w:rsidR="00D85A6E">
        <w:rPr>
          <w:rFonts w:asciiTheme="majorBidi" w:hAnsiTheme="majorBidi" w:cstheme="majorBidi"/>
          <w:lang w:val="en-US"/>
        </w:rPr>
        <w:t xml:space="preserve">for the </w:t>
      </w:r>
      <w:r w:rsidRPr="007B6126">
        <w:rPr>
          <w:rFonts w:asciiTheme="majorBidi" w:hAnsiTheme="majorBidi" w:cstheme="majorBidi"/>
          <w:lang w:val="en-US"/>
        </w:rPr>
        <w:t>02 and 03 series of amendments</w:t>
      </w:r>
      <w:r w:rsidR="00885B85" w:rsidRPr="007B6126">
        <w:rPr>
          <w:rFonts w:asciiTheme="majorBidi" w:hAnsiTheme="majorBidi" w:cstheme="majorBidi"/>
          <w:lang w:val="en-US"/>
        </w:rPr>
        <w:t>.</w:t>
      </w:r>
    </w:p>
    <w:p w14:paraId="5F0FE041" w14:textId="77777777" w:rsidR="00093957" w:rsidRPr="007B6126" w:rsidRDefault="00093957" w:rsidP="00B74F76">
      <w:pPr>
        <w:spacing w:after="120"/>
        <w:ind w:left="2268" w:right="1134"/>
        <w:jc w:val="both"/>
        <w:rPr>
          <w:rFonts w:asciiTheme="majorBidi" w:hAnsiTheme="majorBidi" w:cstheme="majorBidi"/>
          <w:lang w:val="en-US"/>
        </w:rPr>
      </w:pPr>
      <w:r w:rsidRPr="007B6126">
        <w:rPr>
          <w:rFonts w:asciiTheme="majorBidi" w:hAnsiTheme="majorBidi" w:cstheme="majorBidi"/>
          <w:lang w:val="en-US"/>
        </w:rPr>
        <w:t>The test condition described in Annex 3 requires four tyres to be fitted on a test vehicle. The pass-by noise is measured during coast-by measurements at the following speed intervals:</w:t>
      </w:r>
    </w:p>
    <w:p w14:paraId="4A9F1746" w14:textId="026D7B89" w:rsidR="00093957" w:rsidRPr="00083AE6" w:rsidRDefault="00093957" w:rsidP="00B74F76">
      <w:pPr>
        <w:keepLines/>
        <w:spacing w:after="120"/>
        <w:ind w:left="2268" w:right="1134" w:hanging="1134"/>
        <w:jc w:val="both"/>
        <w:rPr>
          <w:rFonts w:asciiTheme="majorBidi" w:hAnsiTheme="majorBidi" w:cstheme="majorBidi"/>
          <w:lang w:val="en-US"/>
        </w:rPr>
      </w:pPr>
      <w:r w:rsidRPr="00083AE6">
        <w:rPr>
          <w:rFonts w:asciiTheme="majorBidi" w:hAnsiTheme="majorBidi" w:cstheme="majorBidi"/>
          <w:lang w:val="en-US"/>
        </w:rPr>
        <w:t>-</w:t>
      </w:r>
      <w:r w:rsidRPr="00083AE6">
        <w:rPr>
          <w:rFonts w:asciiTheme="majorBidi" w:hAnsiTheme="majorBidi" w:cstheme="majorBidi"/>
          <w:lang w:val="en-US"/>
        </w:rPr>
        <w:tab/>
        <w:t>C1/C2</w:t>
      </w:r>
      <w:r w:rsidR="00D85A6E" w:rsidRPr="00083AE6">
        <w:rPr>
          <w:rFonts w:asciiTheme="majorBidi" w:hAnsiTheme="majorBidi" w:cstheme="majorBidi"/>
          <w:lang w:val="en-US"/>
        </w:rPr>
        <w:t xml:space="preserve"> tyres</w:t>
      </w:r>
      <w:r w:rsidRPr="00083AE6">
        <w:rPr>
          <w:rFonts w:asciiTheme="majorBidi" w:hAnsiTheme="majorBidi" w:cstheme="majorBidi"/>
          <w:lang w:val="en-US"/>
        </w:rPr>
        <w:t>: 70-90 km/h, reference speed: 80 km/h</w:t>
      </w:r>
    </w:p>
    <w:p w14:paraId="544CC30D" w14:textId="38B5AFC2" w:rsidR="00093957" w:rsidRPr="00083AE6" w:rsidRDefault="00093957" w:rsidP="00B74F76">
      <w:pPr>
        <w:keepLines/>
        <w:spacing w:after="120"/>
        <w:ind w:left="2268" w:right="1134" w:hanging="1134"/>
        <w:jc w:val="both"/>
        <w:rPr>
          <w:rFonts w:asciiTheme="majorBidi" w:hAnsiTheme="majorBidi" w:cstheme="majorBidi"/>
          <w:lang w:val="en-US"/>
        </w:rPr>
      </w:pPr>
      <w:r w:rsidRPr="00083AE6">
        <w:rPr>
          <w:rFonts w:asciiTheme="majorBidi" w:hAnsiTheme="majorBidi" w:cstheme="majorBidi"/>
          <w:lang w:val="en-US"/>
        </w:rPr>
        <w:t>-</w:t>
      </w:r>
      <w:r w:rsidRPr="00083AE6">
        <w:rPr>
          <w:rFonts w:asciiTheme="majorBidi" w:hAnsiTheme="majorBidi" w:cstheme="majorBidi"/>
          <w:lang w:val="en-US"/>
        </w:rPr>
        <w:tab/>
        <w:t>C3</w:t>
      </w:r>
      <w:r w:rsidR="00D85A6E" w:rsidRPr="00083AE6">
        <w:rPr>
          <w:rFonts w:asciiTheme="majorBidi" w:hAnsiTheme="majorBidi" w:cstheme="majorBidi"/>
          <w:lang w:val="en-US"/>
        </w:rPr>
        <w:t xml:space="preserve"> tyres</w:t>
      </w:r>
      <w:r w:rsidRPr="00083AE6">
        <w:rPr>
          <w:rFonts w:asciiTheme="majorBidi" w:hAnsiTheme="majorBidi" w:cstheme="majorBidi"/>
          <w:lang w:val="en-US"/>
        </w:rPr>
        <w:t>:  60-80 km/h, reference speed: 70 km/h</w:t>
      </w:r>
    </w:p>
    <w:p w14:paraId="5B6B548E" w14:textId="0C31A1A5" w:rsidR="00EB1531" w:rsidRPr="007B6126" w:rsidRDefault="00093957" w:rsidP="00B74F76">
      <w:pPr>
        <w:spacing w:after="120"/>
        <w:ind w:left="2268" w:right="1134"/>
        <w:jc w:val="both"/>
        <w:rPr>
          <w:rFonts w:asciiTheme="majorBidi" w:hAnsiTheme="majorBidi" w:cstheme="majorBidi"/>
          <w:lang w:val="en-US"/>
        </w:rPr>
      </w:pPr>
      <w:r w:rsidRPr="007B6126">
        <w:rPr>
          <w:rFonts w:asciiTheme="majorBidi" w:hAnsiTheme="majorBidi" w:cstheme="majorBidi"/>
          <w:lang w:val="en-US"/>
        </w:rPr>
        <w:t>The evaluation of uncertainty is based on the ISO approach.</w:t>
      </w:r>
      <w:r w:rsidR="00F20CAB" w:rsidRPr="007B6126">
        <w:rPr>
          <w:rFonts w:asciiTheme="majorBidi" w:hAnsiTheme="majorBidi" w:cstheme="majorBidi"/>
          <w:lang w:val="en-US"/>
        </w:rPr>
        <w:t xml:space="preserve"> </w:t>
      </w:r>
    </w:p>
    <w:p w14:paraId="3C76B060" w14:textId="0D01DCCE" w:rsidR="00524335" w:rsidRPr="007B6126" w:rsidRDefault="00513D7E" w:rsidP="00B74F76">
      <w:pPr>
        <w:pStyle w:val="berschrift3"/>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 xml:space="preserve">2.15.2. </w:t>
      </w:r>
      <w:r w:rsidR="00B74F76">
        <w:rPr>
          <w:rFonts w:asciiTheme="majorBidi" w:hAnsiTheme="majorBidi" w:cstheme="majorBidi"/>
          <w:lang w:val="en-US"/>
        </w:rPr>
        <w:tab/>
      </w:r>
      <w:r w:rsidR="00524335" w:rsidRPr="007B6126">
        <w:rPr>
          <w:rFonts w:asciiTheme="majorBidi" w:hAnsiTheme="majorBidi" w:cstheme="majorBidi"/>
          <w:lang w:val="en-US"/>
        </w:rPr>
        <w:t xml:space="preserve">Application </w:t>
      </w:r>
    </w:p>
    <w:p w14:paraId="667763C7" w14:textId="77777777" w:rsidR="00524335" w:rsidRPr="007B6126" w:rsidRDefault="00524335" w:rsidP="00B74F76">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The uncertainty calculation below is only related to type-approval of a single tyre. Thus, the influence of tyre variations (for example for noise labelling purposes) are not relevant for estimation of the overall 95% expanded uncertainty </w:t>
      </w:r>
    </w:p>
    <w:p w14:paraId="4532F269" w14:textId="6C29989D" w:rsidR="00524335" w:rsidRPr="007B6126" w:rsidRDefault="00C63C61" w:rsidP="00B74F76">
      <w:pPr>
        <w:pStyle w:val="berschrift3"/>
        <w:numPr>
          <w:ilvl w:val="0"/>
          <w:numId w:val="0"/>
        </w:numPr>
        <w:spacing w:after="120"/>
        <w:ind w:left="2268" w:right="1134" w:hanging="1134"/>
        <w:jc w:val="both"/>
        <w:rPr>
          <w:rFonts w:asciiTheme="majorBidi" w:hAnsiTheme="majorBidi" w:cstheme="majorBidi"/>
          <w:lang w:val="en-US"/>
        </w:rPr>
      </w:pPr>
      <w:r>
        <w:rPr>
          <w:rFonts w:asciiTheme="majorBidi" w:hAnsiTheme="majorBidi" w:cstheme="majorBidi"/>
          <w:lang w:val="en-US"/>
        </w:rPr>
        <w:t xml:space="preserve">2.15.3. </w:t>
      </w:r>
      <w:r w:rsidR="00B74F76">
        <w:rPr>
          <w:rFonts w:asciiTheme="majorBidi" w:hAnsiTheme="majorBidi" w:cstheme="majorBidi"/>
          <w:lang w:val="en-US"/>
        </w:rPr>
        <w:tab/>
      </w:r>
      <w:r w:rsidR="00B74F76">
        <w:rPr>
          <w:rFonts w:asciiTheme="majorBidi" w:hAnsiTheme="majorBidi" w:cstheme="majorBidi"/>
          <w:lang w:val="en-US"/>
        </w:rPr>
        <w:tab/>
      </w:r>
      <w:r w:rsidR="00524335" w:rsidRPr="007B6126">
        <w:rPr>
          <w:rFonts w:asciiTheme="majorBidi" w:hAnsiTheme="majorBidi" w:cstheme="majorBidi"/>
          <w:lang w:val="en-US"/>
        </w:rPr>
        <w:t xml:space="preserve">Uncertainty estimation for </w:t>
      </w:r>
      <w:r w:rsidR="00D85A6E">
        <w:rPr>
          <w:rFonts w:asciiTheme="majorBidi" w:hAnsiTheme="majorBidi" w:cstheme="majorBidi"/>
          <w:lang w:val="en-US"/>
        </w:rPr>
        <w:t>t</w:t>
      </w:r>
      <w:r w:rsidR="00524335" w:rsidRPr="007B6126">
        <w:rPr>
          <w:rFonts w:asciiTheme="majorBidi" w:hAnsiTheme="majorBidi" w:cstheme="majorBidi"/>
          <w:lang w:val="en-US"/>
        </w:rPr>
        <w:t>yres</w:t>
      </w:r>
    </w:p>
    <w:p w14:paraId="317F622E" w14:textId="42EB5D5C" w:rsidR="00524335" w:rsidRPr="007B6126" w:rsidRDefault="00524335" w:rsidP="00B74F76">
      <w:pPr>
        <w:spacing w:after="120"/>
        <w:ind w:left="2268" w:right="1134"/>
        <w:jc w:val="both"/>
        <w:rPr>
          <w:rFonts w:asciiTheme="majorBidi" w:hAnsiTheme="majorBidi" w:cstheme="majorBidi"/>
          <w:lang w:val="en-US"/>
        </w:rPr>
      </w:pPr>
      <w:r w:rsidRPr="007B6126">
        <w:rPr>
          <w:rFonts w:asciiTheme="majorBidi" w:hAnsiTheme="majorBidi" w:cstheme="majorBidi"/>
          <w:lang w:val="en-US"/>
        </w:rPr>
        <w:t xml:space="preserve">Table </w:t>
      </w:r>
      <w:r w:rsidR="005D0441" w:rsidRPr="007B6126">
        <w:rPr>
          <w:rFonts w:asciiTheme="majorBidi" w:hAnsiTheme="majorBidi" w:cstheme="majorBidi"/>
          <w:lang w:val="en-US"/>
        </w:rPr>
        <w:t>15</w:t>
      </w:r>
      <w:r w:rsidRPr="007B6126">
        <w:rPr>
          <w:rFonts w:asciiTheme="majorBidi" w:hAnsiTheme="majorBidi" w:cstheme="majorBidi"/>
          <w:lang w:val="en-US"/>
        </w:rPr>
        <w:t>.1</w:t>
      </w:r>
      <w:r w:rsidR="005D0441" w:rsidRPr="007B6126">
        <w:rPr>
          <w:rFonts w:asciiTheme="majorBidi" w:hAnsiTheme="majorBidi" w:cstheme="majorBidi"/>
          <w:lang w:val="en-US"/>
        </w:rPr>
        <w:t>. in the Annex</w:t>
      </w:r>
      <w:r w:rsidRPr="007B6126">
        <w:rPr>
          <w:rFonts w:asciiTheme="majorBidi" w:hAnsiTheme="majorBidi" w:cstheme="majorBidi"/>
          <w:lang w:val="en-US"/>
        </w:rPr>
        <w:t xml:space="preserve"> is based on </w:t>
      </w:r>
      <w:r w:rsidR="00D85A6E">
        <w:rPr>
          <w:rFonts w:asciiTheme="majorBidi" w:hAnsiTheme="majorBidi" w:cstheme="majorBidi"/>
          <w:lang w:val="en-US"/>
        </w:rPr>
        <w:t>UN R</w:t>
      </w:r>
      <w:r w:rsidRPr="007B6126">
        <w:rPr>
          <w:rFonts w:asciiTheme="majorBidi" w:hAnsiTheme="majorBidi" w:cstheme="majorBidi"/>
          <w:lang w:val="en-US"/>
        </w:rPr>
        <w:t>egulation</w:t>
      </w:r>
      <w:r w:rsidR="00D85A6E">
        <w:rPr>
          <w:rFonts w:asciiTheme="majorBidi" w:hAnsiTheme="majorBidi" w:cstheme="majorBidi"/>
          <w:lang w:val="en-US"/>
        </w:rPr>
        <w:t xml:space="preserve"> No. 117</w:t>
      </w:r>
      <w:r w:rsidRPr="007B6126">
        <w:rPr>
          <w:rFonts w:asciiTheme="majorBidi" w:hAnsiTheme="majorBidi" w:cstheme="majorBidi"/>
          <w:lang w:val="en-US"/>
        </w:rPr>
        <w:t xml:space="preserve"> up to </w:t>
      </w:r>
      <w:r w:rsidR="00D85A6E">
        <w:rPr>
          <w:rFonts w:asciiTheme="majorBidi" w:hAnsiTheme="majorBidi" w:cstheme="majorBidi"/>
          <w:lang w:val="en-US"/>
        </w:rPr>
        <w:t>S</w:t>
      </w:r>
      <w:r w:rsidRPr="007B6126">
        <w:rPr>
          <w:rFonts w:asciiTheme="majorBidi" w:hAnsiTheme="majorBidi" w:cstheme="majorBidi"/>
          <w:lang w:val="en-US"/>
        </w:rPr>
        <w:t>upplement 1 of the 04 series of amendments</w:t>
      </w:r>
      <w:r w:rsidR="00CD4058">
        <w:rPr>
          <w:rFonts w:asciiTheme="majorBidi" w:hAnsiTheme="majorBidi" w:cstheme="majorBidi"/>
          <w:lang w:val="en-US"/>
        </w:rPr>
        <w:t xml:space="preserve">. If </w:t>
      </w:r>
      <w:r w:rsidRPr="007B6126">
        <w:rPr>
          <w:rFonts w:asciiTheme="majorBidi" w:hAnsiTheme="majorBidi" w:cstheme="majorBidi"/>
          <w:lang w:val="en-US"/>
        </w:rPr>
        <w:t xml:space="preserve">the </w:t>
      </w:r>
      <w:r w:rsidR="00CD4058">
        <w:rPr>
          <w:rFonts w:asciiTheme="majorBidi" w:hAnsiTheme="majorBidi" w:cstheme="majorBidi"/>
          <w:lang w:val="en-US"/>
        </w:rPr>
        <w:t>R</w:t>
      </w:r>
      <w:r w:rsidRPr="007B6126">
        <w:rPr>
          <w:rFonts w:asciiTheme="majorBidi" w:hAnsiTheme="majorBidi" w:cstheme="majorBidi"/>
          <w:lang w:val="en-US"/>
        </w:rPr>
        <w:t xml:space="preserve">egulation is amended, any implication for the measurement uncertainties </w:t>
      </w:r>
      <w:r w:rsidR="00411FA2">
        <w:rPr>
          <w:rFonts w:asciiTheme="majorBidi" w:hAnsiTheme="majorBidi" w:cstheme="majorBidi"/>
          <w:lang w:val="en-US"/>
        </w:rPr>
        <w:t xml:space="preserve">shall </w:t>
      </w:r>
      <w:r w:rsidRPr="007B6126">
        <w:rPr>
          <w:rFonts w:asciiTheme="majorBidi" w:hAnsiTheme="majorBidi" w:cstheme="majorBidi"/>
          <w:lang w:val="en-US"/>
        </w:rPr>
        <w:t xml:space="preserve">be evaluated and if necessary, the table in this Document for Reference </w:t>
      </w:r>
      <w:r w:rsidR="00411FA2">
        <w:rPr>
          <w:rFonts w:asciiTheme="majorBidi" w:hAnsiTheme="majorBidi" w:cstheme="majorBidi"/>
          <w:lang w:val="en-US"/>
        </w:rPr>
        <w:t xml:space="preserve">shall </w:t>
      </w:r>
      <w:r w:rsidRPr="007B6126">
        <w:rPr>
          <w:rFonts w:asciiTheme="majorBidi" w:hAnsiTheme="majorBidi" w:cstheme="majorBidi"/>
          <w:lang w:val="en-US"/>
        </w:rPr>
        <w:t>be updated.</w:t>
      </w:r>
    </w:p>
    <w:p w14:paraId="4E59520D" w14:textId="589B43D8" w:rsidR="00F20CAB" w:rsidRPr="00C63C61" w:rsidRDefault="00C63C61" w:rsidP="0064017A">
      <w:pPr>
        <w:pStyle w:val="berschrift2"/>
        <w:numPr>
          <w:ilvl w:val="0"/>
          <w:numId w:val="0"/>
        </w:numPr>
        <w:ind w:left="1134"/>
        <w:rPr>
          <w:sz w:val="20"/>
          <w:szCs w:val="20"/>
        </w:rPr>
      </w:pPr>
      <w:r w:rsidRPr="00C63C61">
        <w:rPr>
          <w:sz w:val="20"/>
          <w:szCs w:val="20"/>
        </w:rPr>
        <w:t xml:space="preserve">2.16. </w:t>
      </w:r>
      <w:r w:rsidR="004D60AF">
        <w:rPr>
          <w:sz w:val="20"/>
          <w:szCs w:val="20"/>
        </w:rPr>
        <w:tab/>
      </w:r>
      <w:r w:rsidR="0064017A">
        <w:rPr>
          <w:sz w:val="20"/>
          <w:szCs w:val="20"/>
        </w:rPr>
        <w:tab/>
      </w:r>
      <w:r w:rsidR="00524335" w:rsidRPr="00C63C61">
        <w:rPr>
          <w:sz w:val="20"/>
          <w:szCs w:val="20"/>
        </w:rPr>
        <w:t xml:space="preserve">UN </w:t>
      </w:r>
      <w:r w:rsidR="00F20CAB" w:rsidRPr="00C63C61">
        <w:rPr>
          <w:sz w:val="20"/>
          <w:szCs w:val="20"/>
        </w:rPr>
        <w:t>Regulation No. 124</w:t>
      </w:r>
    </w:p>
    <w:p w14:paraId="728E0236" w14:textId="11A9881C" w:rsidR="00C36EC2" w:rsidRPr="00C63C61" w:rsidRDefault="005942C3" w:rsidP="0064017A">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C36EC2" w:rsidRPr="00C63C61">
        <w:rPr>
          <w:rFonts w:asciiTheme="majorBidi" w:hAnsiTheme="majorBidi" w:cstheme="majorBidi"/>
          <w:lang w:val="en-US"/>
        </w:rPr>
        <w:t>reserved</w:t>
      </w:r>
      <w:r>
        <w:rPr>
          <w:rFonts w:asciiTheme="majorBidi" w:hAnsiTheme="majorBidi" w:cstheme="majorBidi"/>
          <w:lang w:val="en-US"/>
        </w:rPr>
        <w:t>)</w:t>
      </w:r>
    </w:p>
    <w:p w14:paraId="53AD9BCE" w14:textId="63D35ACB" w:rsidR="00F20CAB" w:rsidRPr="00C63C61" w:rsidRDefault="00C63C61" w:rsidP="0064017A">
      <w:pPr>
        <w:pStyle w:val="berschrift2"/>
        <w:numPr>
          <w:ilvl w:val="0"/>
          <w:numId w:val="0"/>
        </w:numPr>
        <w:ind w:left="1134"/>
        <w:rPr>
          <w:sz w:val="20"/>
          <w:szCs w:val="20"/>
        </w:rPr>
      </w:pPr>
      <w:r w:rsidRPr="00C63C61">
        <w:rPr>
          <w:sz w:val="20"/>
          <w:szCs w:val="20"/>
          <w:lang w:val="en-US"/>
        </w:rPr>
        <w:t xml:space="preserve">2.17. </w:t>
      </w:r>
      <w:r w:rsidR="004D60AF">
        <w:rPr>
          <w:sz w:val="20"/>
          <w:szCs w:val="20"/>
          <w:lang w:val="en-US"/>
        </w:rPr>
        <w:tab/>
      </w:r>
      <w:r w:rsidR="005942C3">
        <w:rPr>
          <w:sz w:val="20"/>
          <w:szCs w:val="20"/>
          <w:lang w:val="en-US"/>
        </w:rPr>
        <w:tab/>
      </w:r>
      <w:r w:rsidR="00F20CAB" w:rsidRPr="00C63C61">
        <w:rPr>
          <w:sz w:val="20"/>
          <w:szCs w:val="20"/>
        </w:rPr>
        <w:t>UN Regulation No. 138</w:t>
      </w:r>
    </w:p>
    <w:p w14:paraId="06867382" w14:textId="744E8E01" w:rsidR="00C36EC2" w:rsidRPr="00C63C61" w:rsidRDefault="005942C3" w:rsidP="005942C3">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C36EC2" w:rsidRPr="00C63C61">
        <w:rPr>
          <w:rFonts w:asciiTheme="majorBidi" w:hAnsiTheme="majorBidi" w:cstheme="majorBidi"/>
          <w:lang w:val="en-US"/>
        </w:rPr>
        <w:t>reserved</w:t>
      </w:r>
      <w:r>
        <w:rPr>
          <w:rFonts w:asciiTheme="majorBidi" w:hAnsiTheme="majorBidi" w:cstheme="majorBidi"/>
          <w:lang w:val="en-US"/>
        </w:rPr>
        <w:t>)</w:t>
      </w:r>
    </w:p>
    <w:p w14:paraId="463F1AEE" w14:textId="792C0841" w:rsidR="00F20CAB" w:rsidRPr="00C63C61" w:rsidRDefault="00C63C61" w:rsidP="0064017A">
      <w:pPr>
        <w:pStyle w:val="berschrift2"/>
        <w:numPr>
          <w:ilvl w:val="0"/>
          <w:numId w:val="0"/>
        </w:numPr>
        <w:ind w:left="1134"/>
        <w:rPr>
          <w:sz w:val="20"/>
          <w:szCs w:val="20"/>
        </w:rPr>
      </w:pPr>
      <w:r w:rsidRPr="00C63C61">
        <w:rPr>
          <w:sz w:val="20"/>
          <w:szCs w:val="20"/>
        </w:rPr>
        <w:t xml:space="preserve">2.18. </w:t>
      </w:r>
      <w:r w:rsidR="005942C3">
        <w:rPr>
          <w:sz w:val="20"/>
          <w:szCs w:val="20"/>
        </w:rPr>
        <w:tab/>
      </w:r>
      <w:r w:rsidR="005942C3">
        <w:rPr>
          <w:sz w:val="20"/>
          <w:szCs w:val="20"/>
        </w:rPr>
        <w:tab/>
      </w:r>
      <w:r w:rsidR="00F20CAB" w:rsidRPr="00C63C61">
        <w:rPr>
          <w:sz w:val="20"/>
          <w:szCs w:val="20"/>
        </w:rPr>
        <w:t>UN Regulation No. 141</w:t>
      </w:r>
    </w:p>
    <w:p w14:paraId="06EA0795" w14:textId="24A39D57" w:rsidR="00C36EC2" w:rsidRPr="00C63C61" w:rsidRDefault="005942C3" w:rsidP="005942C3">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C36EC2" w:rsidRPr="00C63C61">
        <w:rPr>
          <w:rFonts w:asciiTheme="majorBidi" w:hAnsiTheme="majorBidi" w:cstheme="majorBidi"/>
          <w:lang w:val="en-US"/>
        </w:rPr>
        <w:t>reserved</w:t>
      </w:r>
      <w:r>
        <w:rPr>
          <w:rFonts w:asciiTheme="majorBidi" w:hAnsiTheme="majorBidi" w:cstheme="majorBidi"/>
          <w:lang w:val="en-US"/>
        </w:rPr>
        <w:t>)</w:t>
      </w:r>
    </w:p>
    <w:p w14:paraId="7DF90847" w14:textId="6C0621FD" w:rsidR="00F20CAB" w:rsidRPr="00C63C61" w:rsidRDefault="00C63C61" w:rsidP="0064017A">
      <w:pPr>
        <w:pStyle w:val="berschrift2"/>
        <w:numPr>
          <w:ilvl w:val="0"/>
          <w:numId w:val="0"/>
        </w:numPr>
        <w:ind w:left="1134"/>
        <w:rPr>
          <w:sz w:val="20"/>
          <w:szCs w:val="20"/>
        </w:rPr>
      </w:pPr>
      <w:r w:rsidRPr="00C63C61">
        <w:rPr>
          <w:sz w:val="20"/>
          <w:szCs w:val="20"/>
        </w:rPr>
        <w:t xml:space="preserve">2.19. </w:t>
      </w:r>
      <w:r w:rsidR="005942C3">
        <w:rPr>
          <w:sz w:val="20"/>
          <w:szCs w:val="20"/>
        </w:rPr>
        <w:tab/>
      </w:r>
      <w:r w:rsidR="005942C3">
        <w:rPr>
          <w:sz w:val="20"/>
          <w:szCs w:val="20"/>
        </w:rPr>
        <w:tab/>
      </w:r>
      <w:r w:rsidR="00F20CAB" w:rsidRPr="00C63C61">
        <w:rPr>
          <w:sz w:val="20"/>
          <w:szCs w:val="20"/>
        </w:rPr>
        <w:t>UN Regulation No. 142</w:t>
      </w:r>
    </w:p>
    <w:p w14:paraId="36D63A91" w14:textId="7949B49D" w:rsidR="00C36EC2" w:rsidRPr="00C63C61" w:rsidRDefault="005942C3" w:rsidP="005942C3">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C36EC2" w:rsidRPr="00C63C61">
        <w:rPr>
          <w:rFonts w:asciiTheme="majorBidi" w:hAnsiTheme="majorBidi" w:cstheme="majorBidi"/>
          <w:lang w:val="en-US"/>
        </w:rPr>
        <w:t>reserved</w:t>
      </w:r>
      <w:r>
        <w:rPr>
          <w:rFonts w:asciiTheme="majorBidi" w:hAnsiTheme="majorBidi" w:cstheme="majorBidi"/>
          <w:lang w:val="en-US"/>
        </w:rPr>
        <w:t>)</w:t>
      </w:r>
    </w:p>
    <w:p w14:paraId="55BF9A9B" w14:textId="7FB5C9A8" w:rsidR="00F20CAB" w:rsidRPr="00C63C61" w:rsidRDefault="00C63C61" w:rsidP="0064017A">
      <w:pPr>
        <w:pStyle w:val="berschrift2"/>
        <w:numPr>
          <w:ilvl w:val="0"/>
          <w:numId w:val="0"/>
        </w:numPr>
        <w:ind w:left="1134"/>
        <w:rPr>
          <w:sz w:val="20"/>
          <w:szCs w:val="20"/>
        </w:rPr>
      </w:pPr>
      <w:r w:rsidRPr="00C63C61">
        <w:rPr>
          <w:sz w:val="20"/>
          <w:szCs w:val="20"/>
        </w:rPr>
        <w:t xml:space="preserve">2.20. </w:t>
      </w:r>
      <w:r w:rsidR="005942C3">
        <w:rPr>
          <w:sz w:val="20"/>
          <w:szCs w:val="20"/>
        </w:rPr>
        <w:tab/>
      </w:r>
      <w:r w:rsidR="005942C3">
        <w:rPr>
          <w:sz w:val="20"/>
          <w:szCs w:val="20"/>
        </w:rPr>
        <w:tab/>
      </w:r>
      <w:r w:rsidR="00F20CAB" w:rsidRPr="00C63C61">
        <w:rPr>
          <w:sz w:val="20"/>
          <w:szCs w:val="20"/>
        </w:rPr>
        <w:t>UN Regulation No. 164</w:t>
      </w:r>
    </w:p>
    <w:p w14:paraId="3F4FDB1E" w14:textId="54E7EC51" w:rsidR="00C36EC2" w:rsidRPr="00C63C61" w:rsidRDefault="005942C3" w:rsidP="005942C3">
      <w:pPr>
        <w:spacing w:after="120"/>
        <w:ind w:left="1701" w:right="1134" w:firstLine="567"/>
        <w:jc w:val="both"/>
        <w:rPr>
          <w:rFonts w:asciiTheme="majorBidi" w:hAnsiTheme="majorBidi" w:cstheme="majorBidi"/>
          <w:lang w:val="en-US"/>
        </w:rPr>
      </w:pPr>
      <w:r>
        <w:rPr>
          <w:rFonts w:asciiTheme="majorBidi" w:hAnsiTheme="majorBidi" w:cstheme="majorBidi"/>
          <w:lang w:val="en-US"/>
        </w:rPr>
        <w:t>(</w:t>
      </w:r>
      <w:r w:rsidR="00C36EC2" w:rsidRPr="00C63C61">
        <w:rPr>
          <w:rFonts w:asciiTheme="majorBidi" w:hAnsiTheme="majorBidi" w:cstheme="majorBidi"/>
          <w:lang w:val="en-US"/>
        </w:rPr>
        <w:t>reserved</w:t>
      </w:r>
      <w:r>
        <w:rPr>
          <w:rFonts w:asciiTheme="majorBidi" w:hAnsiTheme="majorBidi" w:cstheme="majorBidi"/>
          <w:lang w:val="en-US"/>
        </w:rPr>
        <w:t>)</w:t>
      </w:r>
    </w:p>
    <w:p w14:paraId="4770CA9F" w14:textId="16010B44" w:rsidR="00F426E2" w:rsidRPr="00C63C61" w:rsidRDefault="00C63C61" w:rsidP="0064017A">
      <w:pPr>
        <w:pStyle w:val="berschrift2"/>
        <w:numPr>
          <w:ilvl w:val="0"/>
          <w:numId w:val="0"/>
        </w:numPr>
        <w:ind w:left="1134"/>
        <w:rPr>
          <w:sz w:val="20"/>
          <w:szCs w:val="20"/>
        </w:rPr>
      </w:pPr>
      <w:r w:rsidRPr="00C63C61">
        <w:rPr>
          <w:sz w:val="20"/>
          <w:szCs w:val="20"/>
        </w:rPr>
        <w:t xml:space="preserve">2.21. </w:t>
      </w:r>
      <w:r w:rsidR="005942C3">
        <w:rPr>
          <w:sz w:val="20"/>
          <w:szCs w:val="20"/>
        </w:rPr>
        <w:tab/>
      </w:r>
      <w:r w:rsidR="005942C3">
        <w:rPr>
          <w:sz w:val="20"/>
          <w:szCs w:val="20"/>
        </w:rPr>
        <w:tab/>
      </w:r>
      <w:r w:rsidR="00F20CAB" w:rsidRPr="00C63C61">
        <w:rPr>
          <w:sz w:val="20"/>
          <w:szCs w:val="20"/>
        </w:rPr>
        <w:t>UN Regulation No. 165</w:t>
      </w:r>
    </w:p>
    <w:p w14:paraId="21D554BB" w14:textId="76838CB0" w:rsidR="0023478E" w:rsidRPr="007B6126" w:rsidRDefault="005942C3" w:rsidP="005942C3">
      <w:pPr>
        <w:spacing w:after="120"/>
        <w:ind w:left="1701" w:right="1134" w:firstLine="567"/>
        <w:jc w:val="both"/>
        <w:rPr>
          <w:rFonts w:asciiTheme="majorBidi" w:hAnsiTheme="majorBidi" w:cstheme="majorBidi"/>
          <w:lang w:val="en-US"/>
        </w:rPr>
      </w:pPr>
      <w:r>
        <w:rPr>
          <w:rFonts w:asciiTheme="majorBidi" w:hAnsiTheme="majorBidi" w:cstheme="majorBidi"/>
          <w:lang w:val="en-US"/>
        </w:rPr>
        <w:t>(r</w:t>
      </w:r>
      <w:r w:rsidR="00C36EC2" w:rsidRPr="00C63C61">
        <w:rPr>
          <w:rFonts w:asciiTheme="majorBidi" w:hAnsiTheme="majorBidi" w:cstheme="majorBidi"/>
          <w:lang w:val="en-US"/>
        </w:rPr>
        <w:t>eserved</w:t>
      </w:r>
      <w:r>
        <w:rPr>
          <w:rFonts w:asciiTheme="majorBidi" w:hAnsiTheme="majorBidi" w:cstheme="majorBidi"/>
          <w:lang w:val="en-US"/>
        </w:rPr>
        <w:t>)</w:t>
      </w:r>
    </w:p>
    <w:p w14:paraId="0F8BF2DB" w14:textId="66529E5C" w:rsidR="006F6B43" w:rsidRPr="00A2435C" w:rsidRDefault="007576FA" w:rsidP="00A2435C">
      <w:pPr>
        <w:pStyle w:val="H1G"/>
        <w:rPr>
          <w:lang w:val="en-US"/>
        </w:rPr>
      </w:pPr>
      <w:r>
        <w:rPr>
          <w:lang w:val="en-US"/>
        </w:rPr>
        <w:tab/>
      </w:r>
      <w:r w:rsidR="00A2435C">
        <w:rPr>
          <w:lang w:val="en-US"/>
        </w:rPr>
        <w:t>3.</w:t>
      </w:r>
      <w:r w:rsidR="00A2435C">
        <w:rPr>
          <w:lang w:val="en-US"/>
        </w:rPr>
        <w:tab/>
      </w:r>
      <w:r>
        <w:rPr>
          <w:lang w:val="en-US"/>
        </w:rPr>
        <w:tab/>
      </w:r>
      <w:r w:rsidR="006F6B43" w:rsidRPr="00A2435C">
        <w:rPr>
          <w:lang w:val="en-US"/>
        </w:rPr>
        <w:t>References</w:t>
      </w:r>
    </w:p>
    <w:p w14:paraId="3FE85F93" w14:textId="45D51ADF" w:rsidR="008353D3" w:rsidRPr="00B74F76" w:rsidRDefault="008353D3" w:rsidP="00B74F76">
      <w:pPr>
        <w:spacing w:after="120"/>
        <w:ind w:left="1701" w:hanging="567"/>
        <w:rPr>
          <w:lang w:val="en-US"/>
        </w:rPr>
      </w:pPr>
      <w:r w:rsidRPr="004301E7">
        <w:rPr>
          <w:sz w:val="22"/>
          <w:szCs w:val="22"/>
          <w:lang w:val="en-US"/>
        </w:rPr>
        <w:t xml:space="preserve">[1] </w:t>
      </w:r>
      <w:r w:rsidR="006F6B43" w:rsidRPr="004301E7">
        <w:rPr>
          <w:sz w:val="22"/>
          <w:szCs w:val="22"/>
          <w:lang w:val="en-US"/>
        </w:rPr>
        <w:tab/>
      </w:r>
      <w:r w:rsidRPr="004301E7">
        <w:rPr>
          <w:sz w:val="22"/>
          <w:szCs w:val="22"/>
          <w:lang w:val="en-US"/>
        </w:rPr>
        <w:t xml:space="preserve">Regulation (EU) 2018/858 </w:t>
      </w:r>
      <w:r w:rsidRPr="00B74F76">
        <w:rPr>
          <w:lang w:val="en-US"/>
        </w:rPr>
        <w:t>on the approval and market surveillance of motor vehicles and their trailers, and of systems, components and separate technical units intended for such vehicles.</w:t>
      </w:r>
    </w:p>
    <w:p w14:paraId="50A76BF5" w14:textId="2673FC71" w:rsidR="008353D3" w:rsidRPr="00B74F76" w:rsidRDefault="008353D3" w:rsidP="00B74F76">
      <w:pPr>
        <w:spacing w:after="120"/>
        <w:ind w:left="1701" w:hanging="567"/>
        <w:rPr>
          <w:lang w:val="en-US"/>
        </w:rPr>
      </w:pPr>
      <w:r w:rsidRPr="00B74F76">
        <w:rPr>
          <w:lang w:val="en-US"/>
        </w:rPr>
        <w:t xml:space="preserve">[2] </w:t>
      </w:r>
      <w:r w:rsidR="006F6B43" w:rsidRPr="00B74F76">
        <w:rPr>
          <w:lang w:val="en-US"/>
        </w:rPr>
        <w:tab/>
      </w:r>
      <w:r w:rsidRPr="00B74F76">
        <w:rPr>
          <w:lang w:val="en-US"/>
        </w:rPr>
        <w:t>ECE/TRANS/WP.29/GRBP/2022/9</w:t>
      </w:r>
      <w:r w:rsidR="00B74F76">
        <w:rPr>
          <w:lang w:val="en-US"/>
        </w:rPr>
        <w:t>/</w:t>
      </w:r>
      <w:r w:rsidRPr="00B74F76">
        <w:rPr>
          <w:lang w:val="en-US"/>
        </w:rPr>
        <w:t>Rev.1. A general approach how to handle measurement uncertainty</w:t>
      </w:r>
    </w:p>
    <w:p w14:paraId="1CDAA24B" w14:textId="458D803A" w:rsidR="008353D3" w:rsidRPr="00B74F76" w:rsidRDefault="008353D3" w:rsidP="00B74F76">
      <w:pPr>
        <w:spacing w:after="120"/>
        <w:ind w:left="1701" w:hanging="567"/>
        <w:rPr>
          <w:lang w:val="en-US"/>
        </w:rPr>
      </w:pPr>
      <w:r w:rsidRPr="00B74F76">
        <w:rPr>
          <w:lang w:val="en-US"/>
        </w:rPr>
        <w:t xml:space="preserve">[3] </w:t>
      </w:r>
      <w:r w:rsidR="006F6B43" w:rsidRPr="00B74F76">
        <w:rPr>
          <w:lang w:val="en-US"/>
        </w:rPr>
        <w:tab/>
      </w:r>
      <w:r w:rsidRPr="00B74F76">
        <w:rPr>
          <w:lang w:val="en-US"/>
        </w:rPr>
        <w:t>ISO/IEC Guide 98-3:2008. Uncertainty of measurements. Part 3 – Guide to the expression of uncertainty in measurements (GUM:1995).</w:t>
      </w:r>
    </w:p>
    <w:p w14:paraId="6C887DFB" w14:textId="07DFF88C" w:rsidR="008353D3" w:rsidRPr="004301E7" w:rsidRDefault="008353D3" w:rsidP="006F6B43">
      <w:pPr>
        <w:suppressAutoHyphens w:val="0"/>
        <w:spacing w:line="240" w:lineRule="auto"/>
        <w:ind w:left="1701" w:hanging="567"/>
        <w:rPr>
          <w:bCs/>
          <w:sz w:val="24"/>
          <w:szCs w:val="18"/>
          <w:lang w:val="en-US"/>
        </w:rPr>
        <w:sectPr w:rsidR="008353D3" w:rsidRPr="004301E7" w:rsidSect="00817A5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pPr>
    </w:p>
    <w:p w14:paraId="05539BDE" w14:textId="77777777" w:rsidR="00DE02E9" w:rsidRDefault="00F426E2" w:rsidP="00DE02E9">
      <w:pPr>
        <w:pStyle w:val="HChG"/>
        <w:tabs>
          <w:tab w:val="clear" w:pos="851"/>
        </w:tabs>
        <w:ind w:right="0"/>
        <w:rPr>
          <w:lang w:val="en-US"/>
        </w:rPr>
      </w:pPr>
      <w:r w:rsidRPr="004301E7">
        <w:rPr>
          <w:lang w:val="en-US"/>
        </w:rPr>
        <w:t xml:space="preserve">Annex </w:t>
      </w:r>
      <w:bookmarkStart w:id="4" w:name="_Hlk140232993"/>
    </w:p>
    <w:p w14:paraId="582CDB43" w14:textId="400E72B7" w:rsidR="00F20CAB" w:rsidRPr="004301E7" w:rsidRDefault="00F426E2" w:rsidP="00DE02E9">
      <w:pPr>
        <w:pStyle w:val="HChG"/>
        <w:tabs>
          <w:tab w:val="clear" w:pos="851"/>
        </w:tabs>
        <w:ind w:right="0" w:firstLine="0"/>
        <w:rPr>
          <w:lang w:val="en-US"/>
        </w:rPr>
      </w:pPr>
      <w:r w:rsidRPr="004301E7">
        <w:rPr>
          <w:lang w:val="en-US"/>
        </w:rPr>
        <w:t>Measurement Uncertainty Tables</w:t>
      </w:r>
      <w:r w:rsidR="008A28A9" w:rsidRPr="004301E7">
        <w:rPr>
          <w:lang w:val="en-US"/>
        </w:rPr>
        <w:t xml:space="preserve"> </w:t>
      </w:r>
      <w:bookmarkEnd w:id="4"/>
    </w:p>
    <w:p w14:paraId="4618DFB1" w14:textId="77777777" w:rsidR="00F426E2" w:rsidRPr="004301E7" w:rsidRDefault="00F426E2"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9</w:t>
      </w:r>
    </w:p>
    <w:p w14:paraId="41310ABB" w14:textId="77777777" w:rsidR="001177F9" w:rsidRPr="004301E7" w:rsidRDefault="001177F9" w:rsidP="00163C23">
      <w:pPr>
        <w:spacing w:after="120"/>
        <w:ind w:left="1134"/>
        <w:jc w:val="both"/>
        <w:rPr>
          <w:lang w:val="en-US"/>
        </w:rPr>
      </w:pPr>
      <w:r w:rsidRPr="004301E7">
        <w:rPr>
          <w:lang w:val="en-US"/>
        </w:rPr>
        <w:t>reserved</w:t>
      </w:r>
    </w:p>
    <w:p w14:paraId="434A6D41" w14:textId="77777777" w:rsidR="00F426E2" w:rsidRPr="004301E7" w:rsidRDefault="00F426E2"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28</w:t>
      </w:r>
    </w:p>
    <w:p w14:paraId="1BE134FC" w14:textId="77777777" w:rsidR="001177F9" w:rsidRPr="004301E7" w:rsidRDefault="001177F9" w:rsidP="001177F9">
      <w:pPr>
        <w:spacing w:after="120"/>
        <w:ind w:left="1134"/>
        <w:jc w:val="both"/>
        <w:rPr>
          <w:lang w:val="en-US"/>
        </w:rPr>
      </w:pPr>
      <w:r w:rsidRPr="004301E7">
        <w:rPr>
          <w:lang w:val="en-US"/>
        </w:rPr>
        <w:t>reserved</w:t>
      </w:r>
    </w:p>
    <w:p w14:paraId="194E3C4B" w14:textId="77777777" w:rsidR="00F426E2" w:rsidRPr="004301E7" w:rsidRDefault="00F426E2"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30</w:t>
      </w:r>
    </w:p>
    <w:p w14:paraId="597FB187" w14:textId="77777777" w:rsidR="001177F9" w:rsidRPr="004301E7" w:rsidRDefault="001177F9" w:rsidP="001177F9">
      <w:pPr>
        <w:spacing w:after="120"/>
        <w:ind w:left="1134"/>
        <w:jc w:val="both"/>
        <w:rPr>
          <w:lang w:val="en-US"/>
        </w:rPr>
      </w:pPr>
      <w:r w:rsidRPr="004301E7">
        <w:rPr>
          <w:lang w:val="en-US"/>
        </w:rPr>
        <w:t>reserved</w:t>
      </w:r>
    </w:p>
    <w:p w14:paraId="696BCF60" w14:textId="77777777" w:rsidR="00F426E2" w:rsidRPr="004301E7" w:rsidRDefault="00F426E2"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41</w:t>
      </w:r>
    </w:p>
    <w:p w14:paraId="23BC47B4" w14:textId="77777777" w:rsidR="001177F9" w:rsidRPr="004301E7" w:rsidRDefault="001177F9" w:rsidP="001177F9">
      <w:pPr>
        <w:spacing w:after="120"/>
        <w:ind w:left="1134"/>
        <w:jc w:val="both"/>
        <w:rPr>
          <w:lang w:val="en-US"/>
        </w:rPr>
      </w:pPr>
      <w:r w:rsidRPr="004301E7">
        <w:rPr>
          <w:lang w:val="en-US"/>
        </w:rPr>
        <w:t>reserved</w:t>
      </w:r>
    </w:p>
    <w:p w14:paraId="60C9CADC" w14:textId="77777777" w:rsidR="007B3083" w:rsidRDefault="007B3083">
      <w:pPr>
        <w:suppressAutoHyphens w:val="0"/>
        <w:spacing w:line="240" w:lineRule="auto"/>
        <w:rPr>
          <w:b/>
          <w:bCs/>
          <w:sz w:val="24"/>
          <w:szCs w:val="24"/>
          <w:lang w:val="en-US"/>
        </w:rPr>
      </w:pPr>
      <w:r>
        <w:rPr>
          <w:b/>
          <w:bCs/>
          <w:sz w:val="24"/>
          <w:szCs w:val="24"/>
          <w:lang w:val="en-US"/>
        </w:rPr>
        <w:br w:type="page"/>
      </w:r>
    </w:p>
    <w:p w14:paraId="67FF96AD" w14:textId="04E1AD80" w:rsidR="00F426E2" w:rsidRPr="004301E7" w:rsidRDefault="00F426E2"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51</w:t>
      </w:r>
    </w:p>
    <w:p w14:paraId="60C070DA" w14:textId="77777777" w:rsidR="00280DE1" w:rsidRDefault="001E3E9E" w:rsidP="00DE02E9">
      <w:pPr>
        <w:ind w:left="2268" w:hanging="1134"/>
        <w:rPr>
          <w:lang w:val="en-US"/>
        </w:rPr>
      </w:pPr>
      <w:bookmarkStart w:id="5" w:name="_Hlk140144441"/>
      <w:r w:rsidRPr="004301E7">
        <w:rPr>
          <w:lang w:val="en-US"/>
        </w:rPr>
        <w:t>Table 5.1</w:t>
      </w:r>
      <w:r w:rsidR="005B1133" w:rsidRPr="004301E7">
        <w:rPr>
          <w:lang w:val="en-US"/>
        </w:rPr>
        <w:t>.</w:t>
      </w:r>
    </w:p>
    <w:p w14:paraId="47989289" w14:textId="7DFA61F3" w:rsidR="001E3E9E" w:rsidRPr="004301E7" w:rsidRDefault="001F29D7" w:rsidP="00280DE1">
      <w:pPr>
        <w:spacing w:after="120"/>
        <w:ind w:left="1134" w:right="1134"/>
        <w:rPr>
          <w:lang w:val="en-US"/>
        </w:rPr>
      </w:pPr>
      <w:r>
        <w:rPr>
          <w:lang w:val="en-US"/>
        </w:rPr>
        <w:tab/>
      </w:r>
      <w:r w:rsidR="001E3E9E" w:rsidRPr="004301E7">
        <w:rPr>
          <w:lang w:val="en-US"/>
        </w:rPr>
        <w:t>Estimation of uncertainty per situation for M</w:t>
      </w:r>
      <w:r w:rsidR="001E3E9E" w:rsidRPr="00793CD2">
        <w:rPr>
          <w:vertAlign w:val="subscript"/>
          <w:lang w:val="en-US"/>
        </w:rPr>
        <w:t>1</w:t>
      </w:r>
      <w:r w:rsidR="001E3E9E" w:rsidRPr="004301E7">
        <w:rPr>
          <w:lang w:val="en-US"/>
        </w:rPr>
        <w:t>, N</w:t>
      </w:r>
      <w:r w:rsidR="001E3E9E" w:rsidRPr="00793CD2">
        <w:rPr>
          <w:vertAlign w:val="subscript"/>
          <w:lang w:val="en-US"/>
        </w:rPr>
        <w:t>1</w:t>
      </w:r>
      <w:r w:rsidR="001E3E9E" w:rsidRPr="004301E7">
        <w:rPr>
          <w:lang w:val="en-US"/>
        </w:rPr>
        <w:t xml:space="preserve"> and M</w:t>
      </w:r>
      <w:r w:rsidR="001E3E9E" w:rsidRPr="00793CD2">
        <w:rPr>
          <w:vertAlign w:val="subscript"/>
          <w:lang w:val="en-US"/>
        </w:rPr>
        <w:t>2</w:t>
      </w:r>
      <w:r w:rsidR="001E3E9E" w:rsidRPr="004301E7">
        <w:rPr>
          <w:lang w:val="en-US"/>
        </w:rPr>
        <w:t xml:space="preserve"> </w:t>
      </w:r>
      <w:r w:rsidR="00735AD9" w:rsidRPr="00735AD9">
        <w:rPr>
          <w:b/>
          <w:bCs/>
          <w:lang w:val="en-US"/>
        </w:rPr>
        <w:t xml:space="preserve">≤ </w:t>
      </w:r>
      <w:r w:rsidR="001E3E9E" w:rsidRPr="004301E7">
        <w:rPr>
          <w:lang w:val="en-US"/>
        </w:rPr>
        <w:t>3</w:t>
      </w:r>
      <w:r w:rsidR="00793CD2">
        <w:rPr>
          <w:lang w:val="en-US"/>
        </w:rPr>
        <w:t>,</w:t>
      </w:r>
      <w:r w:rsidR="001E3E9E" w:rsidRPr="004301E7">
        <w:rPr>
          <w:lang w:val="en-US"/>
        </w:rPr>
        <w:t>500 kg</w:t>
      </w:r>
      <w:r>
        <w:rPr>
          <w:lang w:val="en-US"/>
        </w:rPr>
        <w:t>,</w:t>
      </w:r>
      <w:r w:rsidR="00280DE1">
        <w:rPr>
          <w:lang w:val="en-US"/>
        </w:rPr>
        <w:t xml:space="preserve"> </w:t>
      </w:r>
      <w:r w:rsidRPr="004301E7">
        <w:rPr>
          <w:lang w:val="en-US"/>
        </w:rPr>
        <w:t xml:space="preserve">based on this </w:t>
      </w:r>
      <w:r w:rsidR="00280DE1">
        <w:rPr>
          <w:lang w:val="en-US"/>
        </w:rPr>
        <w:t>R</w:t>
      </w:r>
      <w:r w:rsidRPr="004301E7">
        <w:rPr>
          <w:lang w:val="en-US"/>
        </w:rPr>
        <w:t>egulation up to Supplement 6</w:t>
      </w:r>
    </w:p>
    <w:tbl>
      <w:tblPr>
        <w:tblW w:w="10207" w:type="dxa"/>
        <w:tblInd w:w="-289" w:type="dxa"/>
        <w:tblLayout w:type="fixed"/>
        <w:tblCellMar>
          <w:left w:w="70" w:type="dxa"/>
          <w:right w:w="70" w:type="dxa"/>
        </w:tblCellMar>
        <w:tblLook w:val="04A0" w:firstRow="1" w:lastRow="0" w:firstColumn="1" w:lastColumn="0" w:noHBand="0" w:noVBand="1"/>
      </w:tblPr>
      <w:tblGrid>
        <w:gridCol w:w="426"/>
        <w:gridCol w:w="2693"/>
        <w:gridCol w:w="567"/>
        <w:gridCol w:w="426"/>
        <w:gridCol w:w="425"/>
        <w:gridCol w:w="992"/>
        <w:gridCol w:w="567"/>
        <w:gridCol w:w="567"/>
        <w:gridCol w:w="709"/>
        <w:gridCol w:w="567"/>
        <w:gridCol w:w="567"/>
        <w:gridCol w:w="567"/>
        <w:gridCol w:w="567"/>
        <w:gridCol w:w="567"/>
      </w:tblGrid>
      <w:tr w:rsidR="001E3E9E" w:rsidRPr="004301E7" w14:paraId="5E67E873" w14:textId="77777777" w:rsidTr="00FC4AE3">
        <w:trPr>
          <w:cantSplit/>
          <w:trHeight w:val="1144"/>
        </w:trPr>
        <w:tc>
          <w:tcPr>
            <w:tcW w:w="426" w:type="dxa"/>
            <w:vMerge w:val="restart"/>
            <w:tcBorders>
              <w:top w:val="single" w:sz="4" w:space="0" w:color="auto"/>
              <w:left w:val="single" w:sz="4" w:space="0" w:color="auto"/>
              <w:bottom w:val="single" w:sz="12" w:space="0" w:color="auto"/>
              <w:right w:val="nil"/>
            </w:tcBorders>
            <w:shd w:val="clear" w:color="auto" w:fill="auto"/>
            <w:textDirection w:val="btLr"/>
            <w:vAlign w:val="center"/>
            <w:hideMark/>
          </w:tcPr>
          <w:p w14:paraId="433A7666"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Situation</w:t>
            </w:r>
          </w:p>
        </w:tc>
        <w:tc>
          <w:tcPr>
            <w:tcW w:w="2693"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34DCFEB9" w14:textId="77777777" w:rsidR="001E3E9E" w:rsidRPr="004301E7" w:rsidRDefault="001E3E9E" w:rsidP="00FC4AE3">
            <w:pPr>
              <w:jc w:val="center"/>
              <w:rPr>
                <w:b/>
                <w:bCs/>
                <w:i/>
                <w:iCs/>
                <w:sz w:val="16"/>
                <w:szCs w:val="16"/>
                <w:lang w:val="en-US" w:eastAsia="de-DE"/>
              </w:rPr>
            </w:pPr>
            <w:r w:rsidRPr="004301E7">
              <w:rPr>
                <w:b/>
                <w:bCs/>
                <w:i/>
                <w:iCs/>
                <w:sz w:val="16"/>
                <w:szCs w:val="16"/>
                <w:lang w:val="en-US" w:eastAsia="de-DE"/>
              </w:rPr>
              <w:t>Input Quantity</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1D24C69E"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Estimated deviations of the meas. result (peak-peak)</w:t>
            </w:r>
          </w:p>
        </w:tc>
        <w:tc>
          <w:tcPr>
            <w:tcW w:w="425" w:type="dxa"/>
            <w:vMerge w:val="restart"/>
            <w:tcBorders>
              <w:top w:val="single" w:sz="4" w:space="0" w:color="auto"/>
              <w:left w:val="nil"/>
              <w:bottom w:val="single" w:sz="12" w:space="0" w:color="auto"/>
              <w:right w:val="nil"/>
            </w:tcBorders>
            <w:shd w:val="clear" w:color="auto" w:fill="auto"/>
            <w:textDirection w:val="btLr"/>
            <w:vAlign w:val="center"/>
            <w:hideMark/>
          </w:tcPr>
          <w:p w14:paraId="26E452D9"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Impact on Lurb</w:t>
            </w:r>
          </w:p>
        </w:tc>
        <w:tc>
          <w:tcPr>
            <w:tcW w:w="992"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textDirection w:val="btLr"/>
            <w:vAlign w:val="center"/>
            <w:hideMark/>
          </w:tcPr>
          <w:p w14:paraId="204B1232"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 xml:space="preserve">Probability </w:t>
            </w:r>
            <w:r w:rsidRPr="004301E7">
              <w:rPr>
                <w:b/>
                <w:bCs/>
                <w:i/>
                <w:iCs/>
                <w:sz w:val="16"/>
                <w:szCs w:val="16"/>
                <w:lang w:val="en-US" w:eastAsia="de-DE"/>
              </w:rPr>
              <w:br/>
              <w:t>Distribution</w:t>
            </w:r>
          </w:p>
        </w:tc>
        <w:tc>
          <w:tcPr>
            <w:tcW w:w="567" w:type="dxa"/>
            <w:vMerge w:val="restart"/>
            <w:tcBorders>
              <w:top w:val="single" w:sz="4" w:space="0" w:color="auto"/>
              <w:left w:val="nil"/>
              <w:bottom w:val="single" w:sz="12" w:space="0" w:color="auto"/>
              <w:right w:val="single" w:sz="4" w:space="0" w:color="auto"/>
            </w:tcBorders>
            <w:shd w:val="clear" w:color="auto" w:fill="auto"/>
            <w:textDirection w:val="btLr"/>
            <w:vAlign w:val="center"/>
            <w:hideMark/>
          </w:tcPr>
          <w:p w14:paraId="7B05C6F3"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Variance</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27AE60B9"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Standard uncertainty</w:t>
            </w:r>
          </w:p>
        </w:tc>
        <w:tc>
          <w:tcPr>
            <w:tcW w:w="709"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textDirection w:val="btLr"/>
            <w:vAlign w:val="center"/>
            <w:hideMark/>
          </w:tcPr>
          <w:p w14:paraId="67C16A34"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Share</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0214344C" w14:textId="77777777" w:rsidR="001E3E9E" w:rsidRPr="004301E7" w:rsidRDefault="001E3E9E" w:rsidP="00FC4AE3">
            <w:pPr>
              <w:ind w:left="-67" w:right="-72"/>
              <w:jc w:val="center"/>
              <w:rPr>
                <w:b/>
                <w:bCs/>
                <w:i/>
                <w:iCs/>
                <w:sz w:val="16"/>
                <w:szCs w:val="16"/>
                <w:lang w:val="en-US" w:eastAsia="de-DE"/>
              </w:rPr>
            </w:pPr>
            <w:r w:rsidRPr="004301E7">
              <w:rPr>
                <w:b/>
                <w:bCs/>
                <w:i/>
                <w:iCs/>
                <w:sz w:val="16"/>
                <w:szCs w:val="16"/>
                <w:lang w:val="en-US" w:eastAsia="de-DE"/>
              </w:rPr>
              <w:t>Comb. stand. uncertainty</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26EE32"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Uncertainty Budgets</w:t>
            </w:r>
          </w:p>
        </w:tc>
        <w:tc>
          <w:tcPr>
            <w:tcW w:w="567" w:type="dxa"/>
            <w:vMerge w:val="restart"/>
            <w:tcBorders>
              <w:top w:val="single" w:sz="4" w:space="0" w:color="auto"/>
              <w:left w:val="single" w:sz="4" w:space="0" w:color="auto"/>
              <w:right w:val="single" w:sz="4" w:space="0" w:color="auto"/>
            </w:tcBorders>
            <w:shd w:val="clear" w:color="auto" w:fill="E7E6E6" w:themeFill="background2"/>
            <w:textDirection w:val="btLr"/>
            <w:vAlign w:val="center"/>
          </w:tcPr>
          <w:p w14:paraId="5C8CE2E9"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 xml:space="preserve"> expanded uncertainty</w:t>
            </w:r>
          </w:p>
          <w:p w14:paraId="23E9E0F5"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95%</w:t>
            </w:r>
          </w:p>
        </w:tc>
      </w:tr>
      <w:tr w:rsidR="001E3E9E" w:rsidRPr="004301E7" w14:paraId="256B0DA0" w14:textId="77777777" w:rsidTr="00FC4AE3">
        <w:trPr>
          <w:cantSplit/>
          <w:trHeight w:val="686"/>
        </w:trPr>
        <w:tc>
          <w:tcPr>
            <w:tcW w:w="426" w:type="dxa"/>
            <w:vMerge/>
            <w:tcBorders>
              <w:top w:val="single" w:sz="4" w:space="0" w:color="auto"/>
              <w:left w:val="single" w:sz="4" w:space="0" w:color="auto"/>
              <w:bottom w:val="single" w:sz="12" w:space="0" w:color="auto"/>
              <w:right w:val="nil"/>
            </w:tcBorders>
            <w:vAlign w:val="center"/>
            <w:hideMark/>
          </w:tcPr>
          <w:p w14:paraId="534D6EA0" w14:textId="77777777" w:rsidR="001E3E9E" w:rsidRPr="004301E7" w:rsidRDefault="001E3E9E" w:rsidP="00FC4AE3">
            <w:pPr>
              <w:rPr>
                <w:b/>
                <w:bCs/>
                <w:sz w:val="16"/>
                <w:szCs w:val="16"/>
                <w:lang w:val="en-US" w:eastAsia="de-DE"/>
              </w:rPr>
            </w:pPr>
          </w:p>
        </w:tc>
        <w:tc>
          <w:tcPr>
            <w:tcW w:w="2693"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5C99CAB6" w14:textId="77777777" w:rsidR="001E3E9E" w:rsidRPr="004301E7" w:rsidRDefault="001E3E9E" w:rsidP="00FC4AE3">
            <w:pPr>
              <w:rPr>
                <w:b/>
                <w:bCs/>
                <w:sz w:val="16"/>
                <w:szCs w:val="16"/>
                <w:lang w:val="en-US" w:eastAsia="de-DE"/>
              </w:rPr>
            </w:pPr>
          </w:p>
        </w:tc>
        <w:tc>
          <w:tcPr>
            <w:tcW w:w="567" w:type="dxa"/>
            <w:tcBorders>
              <w:top w:val="single" w:sz="4" w:space="0" w:color="auto"/>
              <w:left w:val="nil"/>
              <w:bottom w:val="single" w:sz="12" w:space="0" w:color="auto"/>
              <w:right w:val="single" w:sz="4" w:space="0" w:color="auto"/>
            </w:tcBorders>
            <w:shd w:val="clear" w:color="auto" w:fill="FFFFFF" w:themeFill="background1"/>
            <w:textDirection w:val="btLr"/>
            <w:vAlign w:val="center"/>
            <w:hideMark/>
          </w:tcPr>
          <w:p w14:paraId="1302991D"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Lwot</w:t>
            </w:r>
          </w:p>
        </w:tc>
        <w:tc>
          <w:tcPr>
            <w:tcW w:w="426" w:type="dxa"/>
            <w:tcBorders>
              <w:top w:val="single" w:sz="4" w:space="0" w:color="auto"/>
              <w:left w:val="nil"/>
              <w:bottom w:val="single" w:sz="12" w:space="0" w:color="auto"/>
              <w:right w:val="single" w:sz="4" w:space="0" w:color="auto"/>
            </w:tcBorders>
            <w:shd w:val="clear" w:color="auto" w:fill="FFFFFF" w:themeFill="background1"/>
            <w:textDirection w:val="btLr"/>
            <w:vAlign w:val="center"/>
            <w:hideMark/>
          </w:tcPr>
          <w:p w14:paraId="65B89DB6" w14:textId="77777777" w:rsidR="001E3E9E" w:rsidRPr="004301E7" w:rsidRDefault="001E3E9E" w:rsidP="00FC4AE3">
            <w:pPr>
              <w:ind w:left="113" w:right="113"/>
              <w:jc w:val="center"/>
              <w:rPr>
                <w:b/>
                <w:bCs/>
                <w:i/>
                <w:iCs/>
                <w:sz w:val="16"/>
                <w:szCs w:val="16"/>
                <w:lang w:val="en-US" w:eastAsia="de-DE"/>
              </w:rPr>
            </w:pPr>
            <w:r w:rsidRPr="004301E7">
              <w:rPr>
                <w:b/>
                <w:bCs/>
                <w:i/>
                <w:iCs/>
                <w:sz w:val="16"/>
                <w:szCs w:val="16"/>
                <w:lang w:val="en-US" w:eastAsia="de-DE"/>
              </w:rPr>
              <w:t>Lcrs</w:t>
            </w:r>
          </w:p>
        </w:tc>
        <w:tc>
          <w:tcPr>
            <w:tcW w:w="425" w:type="dxa"/>
            <w:vMerge/>
            <w:tcBorders>
              <w:top w:val="single" w:sz="4" w:space="0" w:color="auto"/>
              <w:left w:val="nil"/>
              <w:bottom w:val="single" w:sz="12" w:space="0" w:color="auto"/>
              <w:right w:val="nil"/>
            </w:tcBorders>
            <w:vAlign w:val="center"/>
            <w:hideMark/>
          </w:tcPr>
          <w:p w14:paraId="76874773" w14:textId="77777777" w:rsidR="001E3E9E" w:rsidRPr="004301E7" w:rsidRDefault="001E3E9E" w:rsidP="00FC4AE3">
            <w:pPr>
              <w:rPr>
                <w:b/>
                <w:bCs/>
                <w:sz w:val="16"/>
                <w:szCs w:val="16"/>
                <w:lang w:val="en-US" w:eastAsia="de-DE"/>
              </w:rPr>
            </w:pPr>
          </w:p>
        </w:tc>
        <w:tc>
          <w:tcPr>
            <w:tcW w:w="992"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3ECCFC0A" w14:textId="77777777" w:rsidR="001E3E9E" w:rsidRPr="004301E7" w:rsidRDefault="001E3E9E" w:rsidP="00FC4AE3">
            <w:pPr>
              <w:rPr>
                <w:b/>
                <w:bCs/>
                <w:sz w:val="16"/>
                <w:szCs w:val="16"/>
                <w:lang w:val="en-US" w:eastAsia="de-DE"/>
              </w:rPr>
            </w:pPr>
          </w:p>
        </w:tc>
        <w:tc>
          <w:tcPr>
            <w:tcW w:w="567" w:type="dxa"/>
            <w:vMerge/>
            <w:tcBorders>
              <w:top w:val="single" w:sz="4" w:space="0" w:color="auto"/>
              <w:left w:val="nil"/>
              <w:bottom w:val="single" w:sz="12" w:space="0" w:color="auto"/>
              <w:right w:val="single" w:sz="4" w:space="0" w:color="auto"/>
            </w:tcBorders>
            <w:vAlign w:val="center"/>
            <w:hideMark/>
          </w:tcPr>
          <w:p w14:paraId="58EDEFD0" w14:textId="77777777" w:rsidR="001E3E9E" w:rsidRPr="004301E7" w:rsidRDefault="001E3E9E" w:rsidP="00FC4AE3">
            <w:pPr>
              <w:rPr>
                <w:b/>
                <w:bCs/>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B15D2C8" w14:textId="77777777" w:rsidR="001E3E9E" w:rsidRPr="004301E7" w:rsidRDefault="001E3E9E" w:rsidP="00FC4AE3">
            <w:pPr>
              <w:rPr>
                <w:b/>
                <w:bCs/>
                <w:sz w:val="16"/>
                <w:szCs w:val="16"/>
                <w:lang w:val="en-US" w:eastAsia="de-DE"/>
              </w:rPr>
            </w:pPr>
          </w:p>
        </w:tc>
        <w:tc>
          <w:tcPr>
            <w:tcW w:w="709"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4F4422CA" w14:textId="77777777" w:rsidR="001E3E9E" w:rsidRPr="004301E7" w:rsidRDefault="001E3E9E" w:rsidP="00FC4AE3">
            <w:pPr>
              <w:rPr>
                <w:b/>
                <w:bCs/>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3F77AF3" w14:textId="77777777" w:rsidR="001E3E9E" w:rsidRPr="004301E7" w:rsidRDefault="001E3E9E" w:rsidP="00FC4AE3">
            <w:pPr>
              <w:rPr>
                <w:b/>
                <w:bCs/>
                <w:sz w:val="16"/>
                <w:szCs w:val="16"/>
                <w:lang w:val="en-US" w:eastAsia="de-DE"/>
              </w:rPr>
            </w:pPr>
          </w:p>
        </w:tc>
        <w:tc>
          <w:tcPr>
            <w:tcW w:w="567"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48346E67" w14:textId="7E00654F" w:rsidR="001E3E9E" w:rsidRPr="004301E7" w:rsidRDefault="001E3E9E" w:rsidP="00FC4AE3">
            <w:pPr>
              <w:jc w:val="center"/>
              <w:rPr>
                <w:b/>
                <w:bCs/>
                <w:i/>
                <w:iCs/>
                <w:sz w:val="16"/>
                <w:szCs w:val="16"/>
                <w:lang w:val="en-US" w:eastAsia="de-DE"/>
              </w:rPr>
            </w:pPr>
            <w:r w:rsidRPr="004301E7">
              <w:rPr>
                <w:b/>
                <w:bCs/>
                <w:i/>
                <w:iCs/>
                <w:sz w:val="16"/>
                <w:szCs w:val="16"/>
                <w:lang w:val="en-US" w:eastAsia="de-DE"/>
              </w:rPr>
              <w:t xml:space="preserve">Type </w:t>
            </w:r>
            <w:r w:rsidRPr="004301E7">
              <w:rPr>
                <w:b/>
                <w:bCs/>
                <w:i/>
                <w:iCs/>
                <w:sz w:val="16"/>
                <w:szCs w:val="16"/>
                <w:lang w:val="en-US" w:eastAsia="de-DE"/>
              </w:rPr>
              <w:br/>
            </w:r>
            <w:r w:rsidR="00DD221C" w:rsidRPr="004301E7">
              <w:rPr>
                <w:b/>
                <w:bCs/>
                <w:i/>
                <w:iCs/>
                <w:sz w:val="16"/>
                <w:szCs w:val="16"/>
                <w:lang w:val="en-US" w:eastAsia="de-DE"/>
              </w:rPr>
              <w:t>Approval</w:t>
            </w:r>
          </w:p>
        </w:tc>
        <w:tc>
          <w:tcPr>
            <w:tcW w:w="567" w:type="dxa"/>
            <w:tcBorders>
              <w:top w:val="single" w:sz="4" w:space="0" w:color="auto"/>
              <w:left w:val="nil"/>
              <w:bottom w:val="single" w:sz="12" w:space="0" w:color="auto"/>
              <w:right w:val="single" w:sz="4" w:space="0" w:color="auto"/>
            </w:tcBorders>
            <w:shd w:val="clear" w:color="000000" w:fill="FFFFFF"/>
            <w:vAlign w:val="center"/>
            <w:hideMark/>
          </w:tcPr>
          <w:p w14:paraId="1E7C531E" w14:textId="77777777" w:rsidR="001E3E9E" w:rsidRPr="004301E7" w:rsidRDefault="001E3E9E" w:rsidP="00FC4AE3">
            <w:pPr>
              <w:jc w:val="center"/>
              <w:rPr>
                <w:b/>
                <w:bCs/>
                <w:i/>
                <w:iCs/>
                <w:sz w:val="16"/>
                <w:szCs w:val="16"/>
                <w:lang w:val="en-US" w:eastAsia="de-DE"/>
              </w:rPr>
            </w:pPr>
            <w:r w:rsidRPr="004301E7">
              <w:rPr>
                <w:b/>
                <w:bCs/>
                <w:i/>
                <w:iCs/>
                <w:sz w:val="16"/>
                <w:szCs w:val="16"/>
                <w:lang w:val="en-US" w:eastAsia="de-DE"/>
              </w:rPr>
              <w:t>CoP</w:t>
            </w:r>
          </w:p>
        </w:tc>
        <w:tc>
          <w:tcPr>
            <w:tcW w:w="567" w:type="dxa"/>
            <w:tcBorders>
              <w:top w:val="single" w:sz="4" w:space="0" w:color="auto"/>
              <w:left w:val="nil"/>
              <w:bottom w:val="single" w:sz="12" w:space="0" w:color="auto"/>
              <w:right w:val="single" w:sz="4" w:space="0" w:color="auto"/>
            </w:tcBorders>
            <w:shd w:val="clear" w:color="000000" w:fill="FFFFFF"/>
            <w:vAlign w:val="center"/>
            <w:hideMark/>
          </w:tcPr>
          <w:p w14:paraId="228D5661" w14:textId="77777777" w:rsidR="001E3E9E" w:rsidRPr="004301E7" w:rsidRDefault="001E3E9E" w:rsidP="00FC4AE3">
            <w:pPr>
              <w:jc w:val="center"/>
              <w:rPr>
                <w:b/>
                <w:bCs/>
                <w:i/>
                <w:iCs/>
                <w:sz w:val="16"/>
                <w:szCs w:val="16"/>
                <w:lang w:val="en-US" w:eastAsia="de-DE"/>
              </w:rPr>
            </w:pPr>
            <w:r w:rsidRPr="004301E7">
              <w:rPr>
                <w:b/>
                <w:bCs/>
                <w:i/>
                <w:iCs/>
                <w:sz w:val="16"/>
                <w:szCs w:val="16"/>
                <w:lang w:val="en-US" w:eastAsia="de-DE"/>
              </w:rPr>
              <w:t xml:space="preserve">Field </w:t>
            </w:r>
            <w:r w:rsidRPr="004301E7">
              <w:rPr>
                <w:b/>
                <w:bCs/>
                <w:i/>
                <w:iCs/>
                <w:sz w:val="16"/>
                <w:szCs w:val="16"/>
                <w:lang w:val="en-US" w:eastAsia="de-DE"/>
              </w:rPr>
              <w:br/>
              <w:t>Tests</w:t>
            </w:r>
          </w:p>
        </w:tc>
        <w:tc>
          <w:tcPr>
            <w:tcW w:w="567" w:type="dxa"/>
            <w:vMerge/>
            <w:tcBorders>
              <w:left w:val="single" w:sz="4" w:space="0" w:color="auto"/>
              <w:bottom w:val="single" w:sz="12" w:space="0" w:color="auto"/>
              <w:right w:val="single" w:sz="4" w:space="0" w:color="auto"/>
            </w:tcBorders>
            <w:shd w:val="clear" w:color="auto" w:fill="E7E6E6" w:themeFill="background2"/>
          </w:tcPr>
          <w:p w14:paraId="23378EB9" w14:textId="77777777" w:rsidR="001E3E9E" w:rsidRPr="004301E7" w:rsidRDefault="001E3E9E" w:rsidP="00FC4AE3">
            <w:pPr>
              <w:jc w:val="center"/>
              <w:rPr>
                <w:b/>
                <w:bCs/>
                <w:i/>
                <w:iCs/>
                <w:sz w:val="16"/>
                <w:szCs w:val="16"/>
                <w:lang w:val="en-US" w:eastAsia="de-DE"/>
              </w:rPr>
            </w:pPr>
          </w:p>
        </w:tc>
      </w:tr>
      <w:tr w:rsidR="001E3E9E" w:rsidRPr="004301E7" w14:paraId="4777EB0D" w14:textId="77777777" w:rsidTr="00FC4AE3">
        <w:trPr>
          <w:trHeight w:val="162"/>
        </w:trPr>
        <w:tc>
          <w:tcPr>
            <w:tcW w:w="42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14:paraId="16F6725E" w14:textId="77777777" w:rsidR="001E3E9E" w:rsidRPr="004301E7" w:rsidRDefault="001E3E9E" w:rsidP="00FC4AE3">
            <w:pPr>
              <w:ind w:left="113" w:right="113"/>
              <w:jc w:val="center"/>
              <w:rPr>
                <w:b/>
                <w:bCs/>
                <w:sz w:val="16"/>
                <w:szCs w:val="16"/>
                <w:lang w:val="en-US" w:eastAsia="de-DE"/>
              </w:rPr>
            </w:pPr>
            <w:r w:rsidRPr="004301E7">
              <w:rPr>
                <w:b/>
                <w:bCs/>
                <w:sz w:val="16"/>
                <w:szCs w:val="16"/>
                <w:lang w:val="en-US" w:eastAsia="de-DE"/>
              </w:rPr>
              <w:t>Run to Run</w:t>
            </w:r>
          </w:p>
        </w:tc>
        <w:tc>
          <w:tcPr>
            <w:tcW w:w="2693" w:type="dxa"/>
            <w:tcBorders>
              <w:top w:val="single" w:sz="12" w:space="0" w:color="auto"/>
              <w:left w:val="nil"/>
              <w:bottom w:val="single" w:sz="4" w:space="0" w:color="auto"/>
              <w:right w:val="single" w:sz="4" w:space="0" w:color="auto"/>
            </w:tcBorders>
            <w:shd w:val="clear" w:color="auto" w:fill="FFFFFF" w:themeFill="background1"/>
            <w:vAlign w:val="center"/>
            <w:hideMark/>
          </w:tcPr>
          <w:p w14:paraId="078E3F51" w14:textId="77777777" w:rsidR="001E3E9E" w:rsidRPr="004301E7" w:rsidRDefault="001E3E9E" w:rsidP="001E3E9E">
            <w:pPr>
              <w:spacing w:line="240" w:lineRule="auto"/>
              <w:rPr>
                <w:sz w:val="16"/>
                <w:szCs w:val="16"/>
                <w:lang w:val="en-US" w:eastAsia="de-DE"/>
              </w:rPr>
            </w:pPr>
            <w:r w:rsidRPr="004301E7">
              <w:rPr>
                <w:sz w:val="16"/>
                <w:szCs w:val="16"/>
                <w:lang w:val="en-US" w:eastAsia="de-DE"/>
              </w:rPr>
              <w:t>Microclimate wind effect</w:t>
            </w:r>
          </w:p>
        </w:tc>
        <w:tc>
          <w:tcPr>
            <w:tcW w:w="567" w:type="dxa"/>
            <w:tcBorders>
              <w:top w:val="single" w:sz="12" w:space="0" w:color="auto"/>
              <w:left w:val="nil"/>
              <w:bottom w:val="single" w:sz="4" w:space="0" w:color="auto"/>
              <w:right w:val="single" w:sz="4" w:space="0" w:color="auto"/>
            </w:tcBorders>
            <w:shd w:val="clear" w:color="auto" w:fill="FFFFFF" w:themeFill="background1"/>
            <w:vAlign w:val="center"/>
            <w:hideMark/>
          </w:tcPr>
          <w:p w14:paraId="771FBE9E" w14:textId="77777777" w:rsidR="001E3E9E" w:rsidRPr="004301E7" w:rsidRDefault="001E3E9E" w:rsidP="00FC4AE3">
            <w:pPr>
              <w:jc w:val="center"/>
              <w:rPr>
                <w:sz w:val="16"/>
                <w:szCs w:val="16"/>
                <w:lang w:val="en-US" w:eastAsia="de-DE"/>
              </w:rPr>
            </w:pPr>
            <w:r w:rsidRPr="004301E7">
              <w:rPr>
                <w:sz w:val="16"/>
                <w:szCs w:val="16"/>
                <w:lang w:val="en-US" w:eastAsia="de-DE"/>
              </w:rPr>
              <w:t>1,60</w:t>
            </w:r>
          </w:p>
        </w:tc>
        <w:tc>
          <w:tcPr>
            <w:tcW w:w="426" w:type="dxa"/>
            <w:tcBorders>
              <w:top w:val="single" w:sz="12" w:space="0" w:color="auto"/>
              <w:left w:val="nil"/>
              <w:bottom w:val="single" w:sz="4" w:space="0" w:color="auto"/>
              <w:right w:val="single" w:sz="4" w:space="0" w:color="auto"/>
            </w:tcBorders>
            <w:shd w:val="clear" w:color="auto" w:fill="FFFFFF" w:themeFill="background1"/>
            <w:vAlign w:val="center"/>
            <w:hideMark/>
          </w:tcPr>
          <w:p w14:paraId="17E0BC72" w14:textId="77777777" w:rsidR="001E3E9E" w:rsidRPr="004301E7" w:rsidRDefault="001E3E9E" w:rsidP="00FC4AE3">
            <w:pPr>
              <w:jc w:val="center"/>
              <w:rPr>
                <w:sz w:val="16"/>
                <w:szCs w:val="16"/>
                <w:lang w:val="en-US" w:eastAsia="de-DE"/>
              </w:rPr>
            </w:pPr>
            <w:r w:rsidRPr="004301E7">
              <w:rPr>
                <w:sz w:val="16"/>
                <w:szCs w:val="16"/>
                <w:lang w:val="en-US" w:eastAsia="de-DE"/>
              </w:rPr>
              <w:t>1,50</w:t>
            </w:r>
          </w:p>
        </w:tc>
        <w:tc>
          <w:tcPr>
            <w:tcW w:w="425" w:type="dxa"/>
            <w:tcBorders>
              <w:top w:val="single" w:sz="12" w:space="0" w:color="auto"/>
              <w:left w:val="nil"/>
              <w:bottom w:val="single" w:sz="4" w:space="0" w:color="auto"/>
              <w:right w:val="single" w:sz="4" w:space="0" w:color="auto"/>
            </w:tcBorders>
            <w:shd w:val="clear" w:color="auto" w:fill="auto"/>
            <w:noWrap/>
            <w:vAlign w:val="center"/>
            <w:hideMark/>
          </w:tcPr>
          <w:p w14:paraId="23AA1D6F"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1,57 </w:t>
            </w:r>
          </w:p>
        </w:tc>
        <w:tc>
          <w:tcPr>
            <w:tcW w:w="992" w:type="dxa"/>
            <w:tcBorders>
              <w:top w:val="single" w:sz="12" w:space="0" w:color="auto"/>
              <w:left w:val="nil"/>
              <w:bottom w:val="single" w:sz="4" w:space="0" w:color="auto"/>
              <w:right w:val="single" w:sz="4" w:space="0" w:color="auto"/>
            </w:tcBorders>
            <w:shd w:val="clear" w:color="auto" w:fill="FFFFFF" w:themeFill="background1"/>
            <w:vAlign w:val="center"/>
            <w:hideMark/>
          </w:tcPr>
          <w:p w14:paraId="5037F1C2"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single" w:sz="12" w:space="0" w:color="auto"/>
              <w:left w:val="nil"/>
              <w:bottom w:val="single" w:sz="4" w:space="0" w:color="auto"/>
              <w:right w:val="single" w:sz="4" w:space="0" w:color="auto"/>
            </w:tcBorders>
            <w:shd w:val="clear" w:color="auto" w:fill="auto"/>
            <w:vAlign w:val="center"/>
            <w:hideMark/>
          </w:tcPr>
          <w:p w14:paraId="0D426F6E"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0,15 </w:t>
            </w:r>
          </w:p>
        </w:tc>
        <w:tc>
          <w:tcPr>
            <w:tcW w:w="567" w:type="dxa"/>
            <w:tcBorders>
              <w:top w:val="single" w:sz="12" w:space="0" w:color="auto"/>
              <w:left w:val="nil"/>
              <w:bottom w:val="single" w:sz="4" w:space="0" w:color="auto"/>
              <w:right w:val="single" w:sz="4" w:space="0" w:color="auto"/>
            </w:tcBorders>
            <w:shd w:val="clear" w:color="auto" w:fill="auto"/>
            <w:vAlign w:val="center"/>
            <w:hideMark/>
          </w:tcPr>
          <w:p w14:paraId="48B97B2B" w14:textId="77777777" w:rsidR="001E3E9E" w:rsidRPr="004301E7" w:rsidRDefault="001E3E9E" w:rsidP="00FC4AE3">
            <w:pPr>
              <w:jc w:val="center"/>
              <w:rPr>
                <w:sz w:val="16"/>
                <w:szCs w:val="16"/>
                <w:lang w:val="en-US" w:eastAsia="de-DE"/>
              </w:rPr>
            </w:pPr>
            <w:r w:rsidRPr="004301E7">
              <w:rPr>
                <w:sz w:val="16"/>
                <w:szCs w:val="16"/>
                <w:lang w:val="en-US" w:eastAsia="de-DE"/>
              </w:rPr>
              <w:t xml:space="preserve">0,392 </w:t>
            </w: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14:paraId="0EB700E8" w14:textId="0CECE8A9" w:rsidR="001E3E9E" w:rsidRPr="004301E7" w:rsidRDefault="007A4F14" w:rsidP="00FC4AE3">
            <w:pPr>
              <w:jc w:val="center"/>
              <w:rPr>
                <w:color w:val="000000"/>
                <w:sz w:val="16"/>
                <w:szCs w:val="16"/>
                <w:lang w:val="en-US" w:eastAsia="de-DE"/>
              </w:rPr>
            </w:pPr>
            <w:r>
              <w:rPr>
                <w:color w:val="000000"/>
                <w:sz w:val="16"/>
                <w:szCs w:val="16"/>
                <w:lang w:val="en-US" w:eastAsia="de-DE"/>
              </w:rPr>
              <w:t>5,6</w:t>
            </w:r>
            <w:r w:rsidR="001E3E9E" w:rsidRPr="004301E7">
              <w:rPr>
                <w:color w:val="000000"/>
                <w:sz w:val="16"/>
                <w:szCs w:val="16"/>
                <w:lang w:val="en-US" w:eastAsia="de-DE"/>
              </w:rPr>
              <w:t>%</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DAA876B" w14:textId="77777777" w:rsidR="001E3E9E" w:rsidRPr="004301E7" w:rsidRDefault="001E3E9E" w:rsidP="00FC4AE3">
            <w:pPr>
              <w:jc w:val="center"/>
              <w:rPr>
                <w:sz w:val="16"/>
                <w:szCs w:val="16"/>
                <w:lang w:val="en-US" w:eastAsia="de-DE"/>
              </w:rPr>
            </w:pPr>
            <w:r w:rsidRPr="004301E7">
              <w:rPr>
                <w:sz w:val="16"/>
                <w:szCs w:val="16"/>
                <w:lang w:val="en-US" w:eastAsia="de-DE"/>
              </w:rPr>
              <w:t xml:space="preserve">0,53 </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219E41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0,53 </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6514158" w14:textId="77777777" w:rsidR="001E3E9E" w:rsidRPr="004301E7" w:rsidRDefault="001E3E9E" w:rsidP="00FC4AE3">
            <w:pPr>
              <w:jc w:val="center"/>
              <w:rPr>
                <w:sz w:val="16"/>
                <w:szCs w:val="16"/>
                <w:lang w:val="en-US" w:eastAsia="de-DE"/>
              </w:rPr>
            </w:pPr>
            <w:r w:rsidRPr="004301E7">
              <w:rPr>
                <w:sz w:val="16"/>
                <w:szCs w:val="16"/>
                <w:lang w:val="en-US" w:eastAsia="de-DE"/>
              </w:rPr>
              <w:t xml:space="preserve">0,53 </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6449CC5" w14:textId="77777777" w:rsidR="001E3E9E" w:rsidRPr="004301E7" w:rsidRDefault="001E3E9E" w:rsidP="00FC4AE3">
            <w:pPr>
              <w:jc w:val="center"/>
              <w:rPr>
                <w:sz w:val="16"/>
                <w:szCs w:val="16"/>
                <w:lang w:val="en-US" w:eastAsia="de-DE"/>
              </w:rPr>
            </w:pPr>
            <w:r w:rsidRPr="004301E7">
              <w:rPr>
                <w:sz w:val="16"/>
                <w:szCs w:val="16"/>
                <w:lang w:val="en-US" w:eastAsia="de-DE"/>
              </w:rPr>
              <w:t xml:space="preserve">0,53 </w:t>
            </w:r>
          </w:p>
        </w:tc>
        <w:tc>
          <w:tcPr>
            <w:tcW w:w="567" w:type="dxa"/>
            <w:vMerge w:val="restart"/>
            <w:tcBorders>
              <w:top w:val="single" w:sz="12" w:space="0" w:color="auto"/>
              <w:left w:val="single" w:sz="4" w:space="0" w:color="auto"/>
              <w:right w:val="single" w:sz="4" w:space="0" w:color="auto"/>
            </w:tcBorders>
            <w:shd w:val="clear" w:color="auto" w:fill="E7E6E6" w:themeFill="background2"/>
            <w:vAlign w:val="center"/>
          </w:tcPr>
          <w:p w14:paraId="613EF633" w14:textId="77777777" w:rsidR="001E3E9E" w:rsidRPr="004301E7" w:rsidRDefault="001E3E9E" w:rsidP="00FC4AE3">
            <w:pPr>
              <w:jc w:val="center"/>
              <w:rPr>
                <w:sz w:val="16"/>
                <w:szCs w:val="16"/>
                <w:lang w:val="en-US" w:eastAsia="de-DE"/>
              </w:rPr>
            </w:pPr>
            <w:r w:rsidRPr="004301E7">
              <w:rPr>
                <w:sz w:val="16"/>
                <w:szCs w:val="16"/>
                <w:lang w:val="en-US" w:eastAsia="de-DE"/>
              </w:rPr>
              <w:t>1,1</w:t>
            </w:r>
          </w:p>
        </w:tc>
      </w:tr>
      <w:tr w:rsidR="001E3E9E" w:rsidRPr="004301E7" w14:paraId="62DFBC5B"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E813A79"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AD0B40"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Driver #1: </w:t>
            </w:r>
            <w:r w:rsidRPr="004301E7">
              <w:rPr>
                <w:sz w:val="16"/>
                <w:szCs w:val="16"/>
                <w:lang w:val="en-US" w:eastAsia="de-DE"/>
              </w:rPr>
              <w:br/>
              <w:t>Deviation from centred driving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95612D"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BDEDC3"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15739C5"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4FEB92"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70D11E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75EC1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F0231F"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804F80"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76C946"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147239"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86ECED9"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6E022203" w14:textId="77777777" w:rsidR="001E3E9E" w:rsidRPr="004301E7" w:rsidRDefault="001E3E9E" w:rsidP="00FC4AE3">
            <w:pPr>
              <w:jc w:val="center"/>
              <w:rPr>
                <w:sz w:val="16"/>
                <w:szCs w:val="16"/>
                <w:lang w:val="en-US" w:eastAsia="de-DE"/>
              </w:rPr>
            </w:pPr>
          </w:p>
        </w:tc>
      </w:tr>
      <w:tr w:rsidR="001E3E9E" w:rsidRPr="004301E7" w14:paraId="209E32FC"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C49E539"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EB8057" w14:textId="77777777" w:rsidR="001E3E9E" w:rsidRPr="004301E7" w:rsidRDefault="001E3E9E" w:rsidP="001E3E9E">
            <w:pPr>
              <w:spacing w:line="240" w:lineRule="auto"/>
              <w:rPr>
                <w:sz w:val="16"/>
                <w:szCs w:val="16"/>
                <w:lang w:val="en-US" w:eastAsia="de-DE"/>
              </w:rPr>
            </w:pPr>
            <w:r w:rsidRPr="004301E7">
              <w:rPr>
                <w:sz w:val="16"/>
                <w:szCs w:val="16"/>
                <w:lang w:val="en-US" w:eastAsia="de-DE"/>
              </w:rPr>
              <w:t>Driver #2: Start of acceleration</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A77221" w14:textId="77777777" w:rsidR="001E3E9E" w:rsidRPr="004301E7" w:rsidRDefault="001E3E9E" w:rsidP="00FC4AE3">
            <w:pPr>
              <w:jc w:val="center"/>
              <w:rPr>
                <w:sz w:val="16"/>
                <w:szCs w:val="16"/>
                <w:lang w:val="en-US" w:eastAsia="de-DE"/>
              </w:rPr>
            </w:pPr>
            <w:r w:rsidRPr="004301E7">
              <w:rPr>
                <w:sz w:val="16"/>
                <w:szCs w:val="16"/>
                <w:lang w:val="en-US" w:eastAsia="de-DE"/>
              </w:rPr>
              <w:t>0,60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D244D0"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1A6BDD2"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CD0E76"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B0915E"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5C5AE72"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BC22972"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2BCF90B"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AAF3F1"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5D08F7"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2DD035"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33997159" w14:textId="77777777" w:rsidR="001E3E9E" w:rsidRPr="004301E7" w:rsidRDefault="001E3E9E" w:rsidP="00FC4AE3">
            <w:pPr>
              <w:jc w:val="center"/>
              <w:rPr>
                <w:sz w:val="16"/>
                <w:szCs w:val="16"/>
                <w:lang w:val="en-US" w:eastAsia="de-DE"/>
              </w:rPr>
            </w:pPr>
          </w:p>
        </w:tc>
      </w:tr>
      <w:tr w:rsidR="001E3E9E" w:rsidRPr="004301E7" w14:paraId="0299647E"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016A43E"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A7CF4B"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Driver #3: </w:t>
            </w:r>
            <w:r w:rsidRPr="004301E7">
              <w:rPr>
                <w:sz w:val="16"/>
                <w:szCs w:val="16"/>
                <w:lang w:val="en-US" w:eastAsia="de-DE"/>
              </w:rPr>
              <w:br/>
              <w:t>Speed variations of +/- 1km/h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C831F5" w14:textId="77777777" w:rsidR="001E3E9E" w:rsidRPr="004301E7" w:rsidRDefault="001E3E9E" w:rsidP="00FC4AE3">
            <w:pPr>
              <w:jc w:val="center"/>
              <w:rPr>
                <w:sz w:val="16"/>
                <w:szCs w:val="16"/>
                <w:lang w:val="en-US" w:eastAsia="de-DE"/>
              </w:rPr>
            </w:pPr>
            <w:r w:rsidRPr="004301E7">
              <w:rPr>
                <w:sz w:val="16"/>
                <w:szCs w:val="16"/>
                <w:lang w:val="en-US" w:eastAsia="de-DE"/>
              </w:rPr>
              <w:t>0,30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31694F"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CA1C55A"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1CFCBD"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18BFFE"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8A4B3D"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8754671"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1C2A61"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1929018"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EAEE627"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C01C58"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030C1BF6" w14:textId="77777777" w:rsidR="001E3E9E" w:rsidRPr="004301E7" w:rsidRDefault="001E3E9E" w:rsidP="00FC4AE3">
            <w:pPr>
              <w:jc w:val="center"/>
              <w:rPr>
                <w:sz w:val="16"/>
                <w:szCs w:val="16"/>
                <w:lang w:val="en-US" w:eastAsia="de-DE"/>
              </w:rPr>
            </w:pPr>
          </w:p>
        </w:tc>
      </w:tr>
      <w:tr w:rsidR="001E3E9E" w:rsidRPr="004301E7" w14:paraId="22ADA075"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B0EB20"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3901B1"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Driver #4: </w:t>
            </w:r>
            <w:r w:rsidRPr="004301E7">
              <w:rPr>
                <w:sz w:val="16"/>
                <w:szCs w:val="16"/>
                <w:lang w:val="en-US" w:eastAsia="de-DE"/>
              </w:rPr>
              <w:br/>
              <w:t>Load variations during cruising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0291AF"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9BAAC2" w14:textId="77777777" w:rsidR="001E3E9E" w:rsidRPr="004301E7" w:rsidRDefault="001E3E9E" w:rsidP="00FC4AE3">
            <w:pPr>
              <w:jc w:val="center"/>
              <w:rPr>
                <w:sz w:val="16"/>
                <w:szCs w:val="16"/>
                <w:lang w:val="en-US" w:eastAsia="de-DE"/>
              </w:rPr>
            </w:pPr>
            <w:r w:rsidRPr="004301E7">
              <w:rPr>
                <w:sz w:val="16"/>
                <w:szCs w:val="16"/>
                <w:lang w:val="en-US" w:eastAsia="de-DE"/>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4F2B98E"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0,34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C557C6"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C522F2"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CDA537D"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0,085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EC1B762"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8A4DD55"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CBB83B"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D678BAC"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8660FF7"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6E7F3F55" w14:textId="77777777" w:rsidR="001E3E9E" w:rsidRPr="004301E7" w:rsidRDefault="001E3E9E" w:rsidP="00FC4AE3">
            <w:pPr>
              <w:jc w:val="center"/>
              <w:rPr>
                <w:sz w:val="16"/>
                <w:szCs w:val="16"/>
                <w:lang w:val="en-US" w:eastAsia="de-DE"/>
              </w:rPr>
            </w:pPr>
          </w:p>
        </w:tc>
      </w:tr>
      <w:tr w:rsidR="001E3E9E" w:rsidRPr="004301E7" w14:paraId="5B0ACF27"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9F176A7"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61CFD1" w14:textId="77777777" w:rsidR="001E3E9E" w:rsidRPr="004301E7" w:rsidRDefault="001E3E9E" w:rsidP="001E3E9E">
            <w:pPr>
              <w:spacing w:line="240" w:lineRule="auto"/>
              <w:rPr>
                <w:sz w:val="16"/>
                <w:szCs w:val="16"/>
                <w:lang w:val="en-US" w:eastAsia="de-DE"/>
              </w:rPr>
            </w:pPr>
            <w:r w:rsidRPr="004301E7">
              <w:rPr>
                <w:sz w:val="16"/>
                <w:szCs w:val="16"/>
                <w:lang w:val="en-US" w:eastAsia="de-DE"/>
              </w:rPr>
              <w:t>Varying background noise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E552D"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C6676D"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7AB6C2"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C21B8C"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A7B95B"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7E9652"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0,115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59C5D1"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06D0B2"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811A8E"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0E45D8D"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E5CB41"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01B36A8A" w14:textId="77777777" w:rsidR="001E3E9E" w:rsidRPr="004301E7" w:rsidRDefault="001E3E9E" w:rsidP="00FC4AE3">
            <w:pPr>
              <w:jc w:val="center"/>
              <w:rPr>
                <w:sz w:val="16"/>
                <w:szCs w:val="16"/>
                <w:lang w:val="en-US" w:eastAsia="de-DE"/>
              </w:rPr>
            </w:pPr>
          </w:p>
        </w:tc>
      </w:tr>
      <w:tr w:rsidR="001E3E9E" w:rsidRPr="004301E7" w14:paraId="12A062C2"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8B9ECA7"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B89936" w14:textId="77777777" w:rsidR="001E3E9E" w:rsidRPr="004301E7" w:rsidRDefault="001E3E9E" w:rsidP="001E3E9E">
            <w:pPr>
              <w:spacing w:line="240" w:lineRule="auto"/>
              <w:rPr>
                <w:sz w:val="16"/>
                <w:szCs w:val="16"/>
                <w:lang w:val="en-US" w:eastAsia="de-DE"/>
              </w:rPr>
            </w:pPr>
            <w:r w:rsidRPr="004301E7">
              <w:rPr>
                <w:sz w:val="16"/>
                <w:szCs w:val="16"/>
                <w:lang w:val="en-US" w:eastAsia="de-DE"/>
              </w:rPr>
              <w:t>Variation on operating temperature of engine (WOT) and tyres (WOT&amp;CRS) =&gt; See ISO 362-1 note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DA7E98" w14:textId="77777777" w:rsidR="001E3E9E" w:rsidRPr="004301E7" w:rsidRDefault="001E3E9E" w:rsidP="00FC4AE3">
            <w:pPr>
              <w:jc w:val="center"/>
              <w:rPr>
                <w:sz w:val="16"/>
                <w:szCs w:val="16"/>
                <w:lang w:val="en-US" w:eastAsia="de-DE"/>
              </w:rPr>
            </w:pPr>
            <w:r w:rsidRPr="004301E7">
              <w:rPr>
                <w:sz w:val="16"/>
                <w:szCs w:val="16"/>
                <w:lang w:val="en-US" w:eastAsia="de-DE"/>
              </w:rPr>
              <w:t>0,80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3735C1" w14:textId="77777777" w:rsidR="001E3E9E" w:rsidRPr="004301E7" w:rsidRDefault="001E3E9E" w:rsidP="00FC4AE3">
            <w:pPr>
              <w:jc w:val="center"/>
              <w:rPr>
                <w:sz w:val="16"/>
                <w:szCs w:val="16"/>
                <w:lang w:val="en-US" w:eastAsia="de-DE"/>
              </w:rPr>
            </w:pPr>
            <w:r w:rsidRPr="004301E7">
              <w:rPr>
                <w:sz w:val="16"/>
                <w:szCs w:val="16"/>
                <w:lang w:val="en-US" w:eastAsia="de-DE"/>
              </w:rPr>
              <w:t>0,80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5161138"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0,80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9F5E99"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FCD179"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0,05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FCEA26" w14:textId="77777777" w:rsidR="001E3E9E" w:rsidRPr="004301E7" w:rsidRDefault="001E3E9E" w:rsidP="00FC4AE3">
            <w:pPr>
              <w:jc w:val="center"/>
              <w:rPr>
                <w:sz w:val="16"/>
                <w:szCs w:val="16"/>
                <w:lang w:val="en-US" w:eastAsia="de-DE"/>
              </w:rPr>
            </w:pPr>
            <w:r w:rsidRPr="004301E7">
              <w:rPr>
                <w:sz w:val="16"/>
                <w:szCs w:val="16"/>
                <w:lang w:val="en-US" w:eastAsia="de-DE"/>
              </w:rPr>
              <w:t xml:space="preserve">0,231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AF6975"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2,0%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C6D6315"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B7ECB3C"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4795E3"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4DFE2E" w14:textId="77777777" w:rsidR="001E3E9E" w:rsidRPr="004301E7" w:rsidRDefault="001E3E9E" w:rsidP="00FC4AE3">
            <w:pPr>
              <w:rPr>
                <w:sz w:val="16"/>
                <w:szCs w:val="16"/>
                <w:lang w:val="en-US" w:eastAsia="de-DE"/>
              </w:rPr>
            </w:pPr>
          </w:p>
        </w:tc>
        <w:tc>
          <w:tcPr>
            <w:tcW w:w="567" w:type="dxa"/>
            <w:vMerge/>
            <w:tcBorders>
              <w:left w:val="single" w:sz="4" w:space="0" w:color="auto"/>
              <w:bottom w:val="single" w:sz="4" w:space="0" w:color="auto"/>
              <w:right w:val="single" w:sz="4" w:space="0" w:color="auto"/>
            </w:tcBorders>
            <w:shd w:val="clear" w:color="auto" w:fill="E7E6E6" w:themeFill="background2"/>
            <w:vAlign w:val="center"/>
          </w:tcPr>
          <w:p w14:paraId="361D06F3" w14:textId="77777777" w:rsidR="001E3E9E" w:rsidRPr="004301E7" w:rsidRDefault="001E3E9E" w:rsidP="00FC4AE3">
            <w:pPr>
              <w:jc w:val="center"/>
              <w:rPr>
                <w:sz w:val="16"/>
                <w:szCs w:val="16"/>
                <w:lang w:val="en-US" w:eastAsia="de-DE"/>
              </w:rPr>
            </w:pPr>
          </w:p>
        </w:tc>
      </w:tr>
      <w:tr w:rsidR="001E3E9E" w:rsidRPr="004301E7" w14:paraId="3258A6C0" w14:textId="77777777" w:rsidTr="00FC4AE3">
        <w:trPr>
          <w:trHeight w:val="16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F97515" w14:textId="77777777" w:rsidR="001E3E9E" w:rsidRPr="004301E7" w:rsidRDefault="001E3E9E" w:rsidP="00FC4AE3">
            <w:pPr>
              <w:ind w:left="113" w:right="113"/>
              <w:jc w:val="center"/>
              <w:rPr>
                <w:b/>
                <w:bCs/>
                <w:sz w:val="16"/>
                <w:szCs w:val="16"/>
                <w:lang w:val="en-US" w:eastAsia="de-DE"/>
              </w:rPr>
            </w:pPr>
            <w:r w:rsidRPr="004301E7">
              <w:rPr>
                <w:b/>
                <w:bCs/>
                <w:sz w:val="16"/>
                <w:szCs w:val="16"/>
                <w:lang w:val="en-US" w:eastAsia="de-DE"/>
              </w:rPr>
              <w:t>Day to Day</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0D80D7"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Barometric pressure </w:t>
            </w:r>
            <w:r w:rsidRPr="004301E7">
              <w:rPr>
                <w:sz w:val="16"/>
                <w:szCs w:val="16"/>
                <w:lang w:val="en-US" w:eastAsia="de-DE"/>
              </w:rPr>
              <w:br/>
              <w:t>(Weather +/- 30 hPa)</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14AC9E"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2F148C"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4340EF6"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2EAD82"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C352A2"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45D4D0"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0,100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F01FFBB"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ABCB6C7" w14:textId="77777777" w:rsidR="001E3E9E" w:rsidRPr="004301E7" w:rsidRDefault="001E3E9E" w:rsidP="00FC4AE3">
            <w:pPr>
              <w:jc w:val="center"/>
              <w:rPr>
                <w:sz w:val="16"/>
                <w:szCs w:val="16"/>
                <w:lang w:val="en-US" w:eastAsia="de-DE"/>
              </w:rPr>
            </w:pPr>
            <w:r w:rsidRPr="004301E7">
              <w:rPr>
                <w:sz w:val="16"/>
                <w:szCs w:val="16"/>
                <w:lang w:val="en-US" w:eastAsia="de-DE"/>
              </w:rPr>
              <w:t>0,92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BC9DEE" w14:textId="77777777" w:rsidR="001E3E9E" w:rsidRPr="004301E7" w:rsidRDefault="001E3E9E" w:rsidP="00FC4AE3">
            <w:pPr>
              <w:jc w:val="center"/>
              <w:rPr>
                <w:sz w:val="16"/>
                <w:szCs w:val="16"/>
                <w:lang w:val="en-US" w:eastAsia="de-DE"/>
              </w:rPr>
            </w:pPr>
            <w:r w:rsidRPr="004301E7">
              <w:rPr>
                <w:sz w:val="16"/>
                <w:szCs w:val="16"/>
                <w:lang w:val="en-US" w:eastAsia="de-DE"/>
              </w:rPr>
              <w:t>0,92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035853" w14:textId="77777777" w:rsidR="001E3E9E" w:rsidRPr="004301E7" w:rsidRDefault="001E3E9E" w:rsidP="00FC4AE3">
            <w:pPr>
              <w:jc w:val="center"/>
              <w:rPr>
                <w:sz w:val="16"/>
                <w:szCs w:val="16"/>
                <w:lang w:val="en-US" w:eastAsia="de-DE"/>
              </w:rPr>
            </w:pPr>
            <w:r w:rsidRPr="004301E7">
              <w:rPr>
                <w:sz w:val="16"/>
                <w:szCs w:val="16"/>
                <w:lang w:val="en-US" w:eastAsia="de-DE"/>
              </w:rPr>
              <w:t>0,92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605014" w14:textId="77777777" w:rsidR="001E3E9E" w:rsidRPr="004301E7" w:rsidRDefault="001E3E9E" w:rsidP="00FC4AE3">
            <w:pPr>
              <w:jc w:val="center"/>
              <w:rPr>
                <w:sz w:val="16"/>
                <w:szCs w:val="16"/>
                <w:lang w:val="en-US" w:eastAsia="de-DE"/>
              </w:rPr>
            </w:pPr>
            <w:r w:rsidRPr="004301E7">
              <w:rPr>
                <w:sz w:val="16"/>
                <w:szCs w:val="16"/>
                <w:lang w:val="en-US" w:eastAsia="de-DE"/>
              </w:rPr>
              <w:t>0,92</w:t>
            </w:r>
          </w:p>
        </w:tc>
        <w:tc>
          <w:tcPr>
            <w:tcW w:w="567" w:type="dxa"/>
            <w:vMerge w:val="restart"/>
            <w:tcBorders>
              <w:top w:val="single" w:sz="4" w:space="0" w:color="auto"/>
              <w:left w:val="single" w:sz="4" w:space="0" w:color="auto"/>
              <w:right w:val="single" w:sz="4" w:space="0" w:color="auto"/>
            </w:tcBorders>
            <w:shd w:val="clear" w:color="auto" w:fill="E7E6E6" w:themeFill="background2"/>
            <w:vAlign w:val="center"/>
          </w:tcPr>
          <w:p w14:paraId="03ECE6A3" w14:textId="77777777" w:rsidR="001E3E9E" w:rsidRPr="004301E7" w:rsidRDefault="001E3E9E" w:rsidP="00FC4AE3">
            <w:pPr>
              <w:jc w:val="center"/>
              <w:rPr>
                <w:sz w:val="16"/>
                <w:szCs w:val="16"/>
                <w:lang w:val="en-US" w:eastAsia="de-DE"/>
              </w:rPr>
            </w:pPr>
            <w:r w:rsidRPr="004301E7">
              <w:rPr>
                <w:sz w:val="16"/>
                <w:szCs w:val="16"/>
                <w:lang w:val="en-US" w:eastAsia="de-DE"/>
              </w:rPr>
              <w:t>1,8</w:t>
            </w:r>
          </w:p>
        </w:tc>
      </w:tr>
      <w:tr w:rsidR="001E3E9E" w:rsidRPr="004301E7" w14:paraId="6FF7DF85"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E01DBAF"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558A6F"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Air temperature effect on tyre noise </w:t>
            </w:r>
            <w:r w:rsidRPr="004301E7">
              <w:rPr>
                <w:sz w:val="16"/>
                <w:szCs w:val="16"/>
                <w:lang w:val="en-US" w:eastAsia="de-DE"/>
              </w:rPr>
              <w:br/>
              <w:t>(5-10°C)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ACB791"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0AF73C"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BBB687"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562B17"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BFE738"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1655B0" w14:textId="77777777" w:rsidR="001E3E9E" w:rsidRPr="004301E7" w:rsidRDefault="001E3E9E" w:rsidP="00FC4AE3">
            <w:pPr>
              <w:jc w:val="center"/>
              <w:rPr>
                <w:sz w:val="16"/>
                <w:szCs w:val="16"/>
                <w:lang w:val="en-US" w:eastAsia="de-DE"/>
              </w:rPr>
            </w:pPr>
            <w:r w:rsidRPr="004301E7">
              <w:rPr>
                <w:sz w:val="16"/>
                <w:szCs w:val="16"/>
                <w:lang w:val="en-US" w:eastAsia="de-DE"/>
              </w:rPr>
              <w:t>0,000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8E23501" w14:textId="63540C0A"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0,0%</w:t>
            </w:r>
          </w:p>
        </w:tc>
        <w:tc>
          <w:tcPr>
            <w:tcW w:w="567" w:type="dxa"/>
            <w:vMerge/>
            <w:tcBorders>
              <w:top w:val="single" w:sz="4" w:space="0" w:color="auto"/>
              <w:left w:val="single" w:sz="4" w:space="0" w:color="auto"/>
              <w:bottom w:val="single" w:sz="4" w:space="0" w:color="auto"/>
              <w:right w:val="single" w:sz="4" w:space="0" w:color="auto"/>
            </w:tcBorders>
            <w:vAlign w:val="center"/>
          </w:tcPr>
          <w:p w14:paraId="391828B4"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EDE43D9"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FDDE074"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DF8AF76" w14:textId="77777777" w:rsidR="001E3E9E" w:rsidRPr="004301E7" w:rsidRDefault="001E3E9E" w:rsidP="00FC4AE3">
            <w:pPr>
              <w:rPr>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28701C3C" w14:textId="77777777" w:rsidR="001E3E9E" w:rsidRPr="004301E7" w:rsidRDefault="001E3E9E" w:rsidP="00FC4AE3">
            <w:pPr>
              <w:jc w:val="center"/>
              <w:rPr>
                <w:color w:val="C00000"/>
                <w:sz w:val="16"/>
                <w:szCs w:val="16"/>
                <w:lang w:val="en-US" w:eastAsia="de-DE"/>
              </w:rPr>
            </w:pPr>
          </w:p>
        </w:tc>
      </w:tr>
      <w:tr w:rsidR="001E3E9E" w:rsidRPr="004301E7" w14:paraId="40B1467E"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46D43A"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485F8F" w14:textId="77777777" w:rsidR="001E3E9E" w:rsidRPr="004301E7" w:rsidRDefault="001E3E9E" w:rsidP="001E3E9E">
            <w:pPr>
              <w:spacing w:line="240" w:lineRule="auto"/>
              <w:rPr>
                <w:sz w:val="16"/>
                <w:szCs w:val="16"/>
                <w:lang w:val="en-US" w:eastAsia="de-DE"/>
              </w:rPr>
            </w:pPr>
            <w:r w:rsidRPr="004301E7">
              <w:rPr>
                <w:sz w:val="16"/>
                <w:szCs w:val="16"/>
                <w:lang w:val="en-US" w:eastAsia="de-DE"/>
              </w:rPr>
              <w:t>Air temperature effect on tyre noise (10-40°C)</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86A40D" w14:textId="77777777" w:rsidR="001E3E9E" w:rsidRPr="004301E7" w:rsidRDefault="001E3E9E" w:rsidP="00FC4AE3">
            <w:pPr>
              <w:jc w:val="center"/>
              <w:rPr>
                <w:sz w:val="16"/>
                <w:szCs w:val="16"/>
                <w:lang w:val="en-US" w:eastAsia="de-DE"/>
              </w:rPr>
            </w:pPr>
            <w:r w:rsidRPr="004301E7">
              <w:rPr>
                <w:sz w:val="16"/>
                <w:szCs w:val="16"/>
                <w:lang w:val="en-US" w:eastAsia="de-DE"/>
              </w:rPr>
              <w:t>2,20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505BEA" w14:textId="77777777" w:rsidR="001E3E9E" w:rsidRPr="004301E7" w:rsidRDefault="001E3E9E" w:rsidP="00FC4AE3">
            <w:pPr>
              <w:jc w:val="center"/>
              <w:rPr>
                <w:sz w:val="16"/>
                <w:szCs w:val="16"/>
                <w:lang w:val="en-US" w:eastAsia="de-DE"/>
              </w:rPr>
            </w:pPr>
            <w:r w:rsidRPr="004301E7">
              <w:rPr>
                <w:sz w:val="16"/>
                <w:szCs w:val="16"/>
                <w:lang w:val="en-US" w:eastAsia="de-DE"/>
              </w:rPr>
              <w:t>3,60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3E30E01"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2,67</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9D08B8"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6431D8" w14:textId="77777777" w:rsidR="001E3E9E" w:rsidRPr="004301E7" w:rsidRDefault="001E3E9E" w:rsidP="00FC4AE3">
            <w:pPr>
              <w:jc w:val="center"/>
              <w:rPr>
                <w:sz w:val="16"/>
                <w:szCs w:val="16"/>
                <w:lang w:val="en-US" w:eastAsia="de-DE"/>
              </w:rPr>
            </w:pPr>
            <w:r w:rsidRPr="004301E7">
              <w:rPr>
                <w:sz w:val="16"/>
                <w:szCs w:val="16"/>
                <w:lang w:val="en-US" w:eastAsia="de-DE"/>
              </w:rPr>
              <w:t xml:space="preserve">0,60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D8EB62" w14:textId="77777777" w:rsidR="001E3E9E" w:rsidRPr="004301E7" w:rsidRDefault="001E3E9E" w:rsidP="00FC4AE3">
            <w:pPr>
              <w:jc w:val="center"/>
              <w:rPr>
                <w:sz w:val="16"/>
                <w:szCs w:val="16"/>
                <w:lang w:val="en-US" w:eastAsia="de-DE"/>
              </w:rPr>
            </w:pPr>
            <w:r w:rsidRPr="004301E7">
              <w:rPr>
                <w:sz w:val="16"/>
                <w:szCs w:val="16"/>
                <w:lang w:val="en-US" w:eastAsia="de-DE"/>
              </w:rPr>
              <w:t xml:space="preserve">0,772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5CAE61E"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21,9%</w:t>
            </w:r>
          </w:p>
        </w:tc>
        <w:tc>
          <w:tcPr>
            <w:tcW w:w="567" w:type="dxa"/>
            <w:vMerge/>
            <w:tcBorders>
              <w:top w:val="single" w:sz="4" w:space="0" w:color="auto"/>
              <w:left w:val="single" w:sz="4" w:space="0" w:color="auto"/>
              <w:bottom w:val="single" w:sz="4" w:space="0" w:color="auto"/>
              <w:right w:val="single" w:sz="4" w:space="0" w:color="auto"/>
            </w:tcBorders>
            <w:vAlign w:val="center"/>
          </w:tcPr>
          <w:p w14:paraId="13EAECBC"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688A7FD"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3A15786"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FA77583" w14:textId="77777777" w:rsidR="001E3E9E" w:rsidRPr="004301E7" w:rsidRDefault="001E3E9E" w:rsidP="00FC4AE3">
            <w:pPr>
              <w:rPr>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66540784" w14:textId="77777777" w:rsidR="001E3E9E" w:rsidRPr="004301E7" w:rsidRDefault="001E3E9E" w:rsidP="00FC4AE3">
            <w:pPr>
              <w:jc w:val="center"/>
              <w:rPr>
                <w:color w:val="C00000"/>
                <w:sz w:val="16"/>
                <w:szCs w:val="16"/>
                <w:lang w:val="en-US" w:eastAsia="de-DE"/>
              </w:rPr>
            </w:pPr>
          </w:p>
        </w:tc>
      </w:tr>
      <w:tr w:rsidR="001E3E9E" w:rsidRPr="004301E7" w14:paraId="4D4DE705"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BEA2D0F"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CF77C3" w14:textId="77777777" w:rsidR="001E3E9E" w:rsidRPr="004301E7" w:rsidRDefault="001E3E9E" w:rsidP="001E3E9E">
            <w:pPr>
              <w:spacing w:line="240" w:lineRule="auto"/>
              <w:rPr>
                <w:sz w:val="16"/>
                <w:szCs w:val="16"/>
                <w:lang w:val="en-US" w:eastAsia="de-DE"/>
              </w:rPr>
            </w:pPr>
            <w:r w:rsidRPr="004301E7">
              <w:rPr>
                <w:sz w:val="16"/>
                <w:szCs w:val="16"/>
                <w:lang w:val="en-US" w:eastAsia="de-DE"/>
              </w:rPr>
              <w:t>Varying background noise during measurement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32291D"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01CFF"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4525D9"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C9CD0C" w14:textId="77777777" w:rsidR="001E3E9E" w:rsidRPr="004301E7" w:rsidRDefault="001E3E9E" w:rsidP="00FC4AE3">
            <w:pPr>
              <w:jc w:val="center"/>
              <w:rPr>
                <w:sz w:val="16"/>
                <w:szCs w:val="16"/>
                <w:lang w:val="en-US" w:eastAsia="de-DE"/>
              </w:rPr>
            </w:pPr>
            <w:r w:rsidRPr="004301E7">
              <w:rPr>
                <w:sz w:val="16"/>
                <w:szCs w:val="16"/>
                <w:lang w:val="en-US" w:eastAsia="de-DE"/>
              </w:rPr>
              <w:t xml:space="preserve">rectangular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FCC2FA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4E1CB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0,000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B1B2DD"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0,0%</w:t>
            </w:r>
          </w:p>
        </w:tc>
        <w:tc>
          <w:tcPr>
            <w:tcW w:w="567" w:type="dxa"/>
            <w:vMerge/>
            <w:tcBorders>
              <w:top w:val="single" w:sz="4" w:space="0" w:color="auto"/>
              <w:left w:val="single" w:sz="4" w:space="0" w:color="auto"/>
              <w:bottom w:val="single" w:sz="4" w:space="0" w:color="auto"/>
              <w:right w:val="single" w:sz="4" w:space="0" w:color="auto"/>
            </w:tcBorders>
            <w:vAlign w:val="center"/>
          </w:tcPr>
          <w:p w14:paraId="4E279C34"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0A06183"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3C9CAA4"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F6FA634" w14:textId="77777777" w:rsidR="001E3E9E" w:rsidRPr="004301E7" w:rsidRDefault="001E3E9E" w:rsidP="00FC4AE3">
            <w:pPr>
              <w:rPr>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294814AD" w14:textId="77777777" w:rsidR="001E3E9E" w:rsidRPr="004301E7" w:rsidRDefault="001E3E9E" w:rsidP="00FC4AE3">
            <w:pPr>
              <w:jc w:val="center"/>
              <w:rPr>
                <w:color w:val="C00000"/>
                <w:sz w:val="16"/>
                <w:szCs w:val="16"/>
                <w:lang w:val="en-US" w:eastAsia="de-DE"/>
              </w:rPr>
            </w:pPr>
          </w:p>
        </w:tc>
      </w:tr>
      <w:tr w:rsidR="001E3E9E" w:rsidRPr="004301E7" w14:paraId="11605F89" w14:textId="77777777" w:rsidTr="00FC4AE3">
        <w:trPr>
          <w:trHeight w:val="10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0A4912B"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61FD1C" w14:textId="77777777" w:rsidR="001E3E9E" w:rsidRPr="004301E7" w:rsidRDefault="001E3E9E" w:rsidP="001E3E9E">
            <w:pPr>
              <w:spacing w:line="240" w:lineRule="auto"/>
              <w:rPr>
                <w:sz w:val="16"/>
                <w:szCs w:val="16"/>
                <w:lang w:val="en-US" w:eastAsia="de-DE"/>
              </w:rPr>
            </w:pPr>
            <w:r w:rsidRPr="004301E7">
              <w:rPr>
                <w:sz w:val="16"/>
                <w:szCs w:val="16"/>
                <w:lang w:val="en-US" w:eastAsia="de-DE"/>
              </w:rPr>
              <w:t>Air intake temperature variation</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7D085" w14:textId="77777777" w:rsidR="001E3E9E" w:rsidRPr="004301E7" w:rsidRDefault="001E3E9E" w:rsidP="00FC4AE3">
            <w:pPr>
              <w:jc w:val="center"/>
              <w:rPr>
                <w:sz w:val="16"/>
                <w:szCs w:val="16"/>
                <w:lang w:val="en-US" w:eastAsia="de-DE"/>
              </w:rPr>
            </w:pPr>
            <w:r w:rsidRPr="004301E7">
              <w:rPr>
                <w:sz w:val="16"/>
                <w:szCs w:val="16"/>
                <w:lang w:val="en-US" w:eastAsia="de-DE"/>
              </w:rPr>
              <w:t>1,60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4764BD"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3F0B27B"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1,06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BCA10" w14:textId="77777777" w:rsidR="001E3E9E" w:rsidRPr="004301E7" w:rsidRDefault="001E3E9E" w:rsidP="00FC4AE3">
            <w:pPr>
              <w:jc w:val="center"/>
              <w:rPr>
                <w:sz w:val="16"/>
                <w:szCs w:val="16"/>
                <w:lang w:val="en-US" w:eastAsia="de-DE"/>
              </w:rPr>
            </w:pPr>
            <w:r w:rsidRPr="004301E7">
              <w:rPr>
                <w:sz w:val="16"/>
                <w:szCs w:val="16"/>
                <w:lang w:val="en-US" w:eastAsia="de-DE"/>
              </w:rPr>
              <w:t xml:space="preserve">rectangular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839630"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0,09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258920" w14:textId="77777777" w:rsidR="001E3E9E" w:rsidRPr="004301E7" w:rsidRDefault="001E3E9E" w:rsidP="00FC4AE3">
            <w:pPr>
              <w:jc w:val="center"/>
              <w:rPr>
                <w:sz w:val="16"/>
                <w:szCs w:val="16"/>
                <w:lang w:val="en-US" w:eastAsia="de-DE"/>
              </w:rPr>
            </w:pPr>
            <w:r w:rsidRPr="004301E7">
              <w:rPr>
                <w:sz w:val="16"/>
                <w:szCs w:val="16"/>
                <w:lang w:val="en-US" w:eastAsia="de-DE"/>
              </w:rPr>
              <w:t xml:space="preserve">0,305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70A7AB9"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3,4%</w:t>
            </w:r>
          </w:p>
        </w:tc>
        <w:tc>
          <w:tcPr>
            <w:tcW w:w="567" w:type="dxa"/>
            <w:vMerge/>
            <w:tcBorders>
              <w:top w:val="single" w:sz="4" w:space="0" w:color="auto"/>
              <w:left w:val="single" w:sz="4" w:space="0" w:color="auto"/>
              <w:bottom w:val="single" w:sz="4" w:space="0" w:color="auto"/>
              <w:right w:val="single" w:sz="4" w:space="0" w:color="auto"/>
            </w:tcBorders>
            <w:vAlign w:val="center"/>
          </w:tcPr>
          <w:p w14:paraId="7812ECD6"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914C196"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C534412"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16769AA" w14:textId="77777777" w:rsidR="001E3E9E" w:rsidRPr="004301E7" w:rsidRDefault="001E3E9E" w:rsidP="00FC4AE3">
            <w:pPr>
              <w:rPr>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174D73CE" w14:textId="77777777" w:rsidR="001E3E9E" w:rsidRPr="004301E7" w:rsidRDefault="001E3E9E" w:rsidP="00FC4AE3">
            <w:pPr>
              <w:jc w:val="center"/>
              <w:rPr>
                <w:color w:val="C00000"/>
                <w:sz w:val="16"/>
                <w:szCs w:val="16"/>
                <w:lang w:val="en-US" w:eastAsia="de-DE"/>
              </w:rPr>
            </w:pPr>
          </w:p>
        </w:tc>
      </w:tr>
      <w:tr w:rsidR="001E3E9E" w:rsidRPr="004301E7" w14:paraId="590DB3A3" w14:textId="77777777" w:rsidTr="00FC4AE3">
        <w:trPr>
          <w:trHeight w:val="23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3DB900"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EF119D" w14:textId="77777777" w:rsidR="001E3E9E" w:rsidRPr="004301E7" w:rsidRDefault="001E3E9E" w:rsidP="001E3E9E">
            <w:pPr>
              <w:spacing w:line="240" w:lineRule="auto"/>
              <w:rPr>
                <w:sz w:val="16"/>
                <w:szCs w:val="16"/>
                <w:lang w:val="en-US" w:eastAsia="de-DE"/>
              </w:rPr>
            </w:pPr>
            <w:r w:rsidRPr="004301E7">
              <w:rPr>
                <w:sz w:val="16"/>
                <w:szCs w:val="16"/>
                <w:lang w:val="en-US" w:eastAsia="de-DE"/>
              </w:rPr>
              <w:t>Residual humidity on test track surface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837AFE" w14:textId="77777777" w:rsidR="001E3E9E" w:rsidRPr="004301E7" w:rsidRDefault="001E3E9E" w:rsidP="00FC4AE3">
            <w:pPr>
              <w:jc w:val="center"/>
              <w:rPr>
                <w:sz w:val="16"/>
                <w:szCs w:val="16"/>
                <w:lang w:val="en-US" w:eastAsia="de-DE"/>
              </w:rPr>
            </w:pPr>
            <w:r w:rsidRPr="004301E7">
              <w:rPr>
                <w:sz w:val="16"/>
                <w:szCs w:val="16"/>
                <w:lang w:val="en-US" w:eastAsia="de-DE"/>
              </w:rPr>
              <w:t>0,90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123CA4" w14:textId="77777777" w:rsidR="001E3E9E" w:rsidRPr="004301E7" w:rsidRDefault="001E3E9E" w:rsidP="00FC4AE3">
            <w:pPr>
              <w:jc w:val="center"/>
              <w:rPr>
                <w:sz w:val="16"/>
                <w:szCs w:val="16"/>
                <w:lang w:val="en-US" w:eastAsia="de-DE"/>
              </w:rPr>
            </w:pPr>
            <w:r w:rsidRPr="004301E7">
              <w:rPr>
                <w:sz w:val="16"/>
                <w:szCs w:val="16"/>
                <w:lang w:val="en-US" w:eastAsia="de-DE"/>
              </w:rPr>
              <w:t>2,10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2AD154E"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1,31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170DE1"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7C4196"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ECF0F5" w14:textId="77777777" w:rsidR="001E3E9E" w:rsidRPr="004301E7" w:rsidRDefault="001E3E9E" w:rsidP="00FC4AE3">
            <w:pPr>
              <w:jc w:val="center"/>
              <w:rPr>
                <w:sz w:val="16"/>
                <w:szCs w:val="16"/>
                <w:lang w:val="en-US" w:eastAsia="de-DE"/>
              </w:rPr>
            </w:pPr>
            <w:r w:rsidRPr="004301E7">
              <w:rPr>
                <w:sz w:val="16"/>
                <w:szCs w:val="16"/>
                <w:lang w:val="en-US" w:eastAsia="de-DE"/>
              </w:rPr>
              <w:t xml:space="preserve">0,377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1E4BC33"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5,2%</w:t>
            </w:r>
          </w:p>
        </w:tc>
        <w:tc>
          <w:tcPr>
            <w:tcW w:w="567" w:type="dxa"/>
            <w:vMerge/>
            <w:tcBorders>
              <w:top w:val="single" w:sz="4" w:space="0" w:color="auto"/>
              <w:left w:val="single" w:sz="4" w:space="0" w:color="auto"/>
              <w:bottom w:val="single" w:sz="4" w:space="0" w:color="auto"/>
              <w:right w:val="single" w:sz="4" w:space="0" w:color="auto"/>
            </w:tcBorders>
            <w:vAlign w:val="center"/>
          </w:tcPr>
          <w:p w14:paraId="5F14B828"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8E9C93F"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BDA533E"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1B87E2B" w14:textId="77777777" w:rsidR="001E3E9E" w:rsidRPr="004301E7" w:rsidRDefault="001E3E9E" w:rsidP="00FC4AE3">
            <w:pPr>
              <w:rPr>
                <w:color w:val="C00000"/>
                <w:sz w:val="16"/>
                <w:szCs w:val="16"/>
                <w:lang w:val="en-US" w:eastAsia="de-DE"/>
              </w:rPr>
            </w:pPr>
          </w:p>
        </w:tc>
        <w:tc>
          <w:tcPr>
            <w:tcW w:w="567" w:type="dxa"/>
            <w:vMerge/>
            <w:tcBorders>
              <w:left w:val="single" w:sz="4" w:space="0" w:color="auto"/>
              <w:bottom w:val="single" w:sz="4" w:space="0" w:color="auto"/>
              <w:right w:val="single" w:sz="4" w:space="0" w:color="auto"/>
            </w:tcBorders>
            <w:shd w:val="clear" w:color="auto" w:fill="E7E6E6" w:themeFill="background2"/>
            <w:vAlign w:val="center"/>
          </w:tcPr>
          <w:p w14:paraId="1DCCE8DA" w14:textId="77777777" w:rsidR="001E3E9E" w:rsidRPr="004301E7" w:rsidRDefault="001E3E9E" w:rsidP="00FC4AE3">
            <w:pPr>
              <w:jc w:val="center"/>
              <w:rPr>
                <w:color w:val="C00000"/>
                <w:sz w:val="16"/>
                <w:szCs w:val="16"/>
                <w:lang w:val="en-US" w:eastAsia="de-DE"/>
              </w:rPr>
            </w:pPr>
          </w:p>
        </w:tc>
      </w:tr>
      <w:tr w:rsidR="001E3E9E" w:rsidRPr="004301E7" w14:paraId="720A5B19" w14:textId="77777777" w:rsidTr="00FC4AE3">
        <w:trPr>
          <w:trHeight w:val="16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B146C8" w14:textId="77777777" w:rsidR="001E3E9E" w:rsidRPr="004301E7" w:rsidRDefault="001E3E9E" w:rsidP="00FC4AE3">
            <w:pPr>
              <w:ind w:left="113" w:right="113"/>
              <w:jc w:val="center"/>
              <w:rPr>
                <w:b/>
                <w:bCs/>
                <w:sz w:val="16"/>
                <w:szCs w:val="16"/>
                <w:lang w:val="en-US" w:eastAsia="de-DE"/>
              </w:rPr>
            </w:pPr>
            <w:r w:rsidRPr="004301E7">
              <w:rPr>
                <w:b/>
                <w:bCs/>
                <w:sz w:val="16"/>
                <w:szCs w:val="16"/>
                <w:lang w:val="en-US" w:eastAsia="de-DE"/>
              </w:rPr>
              <w:t>Site to Site</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F56D4E"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Altitude (Location of Track) </w:t>
            </w:r>
            <w:r w:rsidRPr="004301E7">
              <w:rPr>
                <w:sz w:val="16"/>
                <w:szCs w:val="16"/>
                <w:lang w:val="en-US" w:eastAsia="de-DE"/>
              </w:rPr>
              <w:br/>
              <w:t>-100 hPa/1000m  (fr.1015 to 915 hPa)</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F0C8C" w14:textId="77777777" w:rsidR="001E3E9E" w:rsidRPr="004301E7" w:rsidRDefault="001E3E9E" w:rsidP="00FC4AE3">
            <w:pPr>
              <w:jc w:val="center"/>
              <w:rPr>
                <w:sz w:val="16"/>
                <w:szCs w:val="16"/>
                <w:lang w:val="en-US" w:eastAsia="de-DE"/>
              </w:rPr>
            </w:pPr>
            <w:r w:rsidRPr="004301E7">
              <w:rPr>
                <w:sz w:val="16"/>
                <w:szCs w:val="16"/>
                <w:lang w:val="en-US" w:eastAsia="de-DE"/>
              </w:rPr>
              <w:t>0,70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412E14" w14:textId="77777777" w:rsidR="001E3E9E" w:rsidRPr="004301E7" w:rsidRDefault="001E3E9E" w:rsidP="00FC4AE3">
            <w:pPr>
              <w:jc w:val="center"/>
              <w:rPr>
                <w:sz w:val="16"/>
                <w:szCs w:val="16"/>
                <w:lang w:val="en-US" w:eastAsia="de-DE"/>
              </w:rPr>
            </w:pPr>
            <w:r w:rsidRPr="004301E7">
              <w:rPr>
                <w:sz w:val="16"/>
                <w:szCs w:val="16"/>
                <w:lang w:val="en-US" w:eastAsia="de-DE"/>
              </w:rPr>
              <w:t>0,70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891793A"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0,70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E4763F"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991001"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D07A3EB" w14:textId="77777777" w:rsidR="001E3E9E" w:rsidRPr="004301E7" w:rsidRDefault="001E3E9E" w:rsidP="00FC4AE3">
            <w:pPr>
              <w:jc w:val="center"/>
              <w:rPr>
                <w:sz w:val="16"/>
                <w:szCs w:val="16"/>
                <w:lang w:val="en-US" w:eastAsia="de-DE"/>
              </w:rPr>
            </w:pPr>
            <w:r w:rsidRPr="004301E7">
              <w:rPr>
                <w:sz w:val="16"/>
                <w:szCs w:val="16"/>
                <w:lang w:val="en-US" w:eastAsia="de-DE"/>
              </w:rPr>
              <w:t xml:space="preserve">0,202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92858FF"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1,5%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EAF466" w14:textId="77777777" w:rsidR="001E3E9E" w:rsidRPr="004301E7" w:rsidRDefault="001E3E9E" w:rsidP="00FC4AE3">
            <w:pPr>
              <w:jc w:val="center"/>
              <w:rPr>
                <w:sz w:val="16"/>
                <w:szCs w:val="16"/>
                <w:lang w:val="en-US" w:eastAsia="de-DE"/>
              </w:rPr>
            </w:pPr>
            <w:r w:rsidRPr="004301E7">
              <w:rPr>
                <w:sz w:val="16"/>
                <w:szCs w:val="16"/>
                <w:lang w:val="en-US" w:eastAsia="de-DE"/>
              </w:rPr>
              <w:t>1,24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AEA4A7" w14:textId="77777777" w:rsidR="001E3E9E" w:rsidRPr="004301E7" w:rsidRDefault="001E3E9E" w:rsidP="00FC4AE3">
            <w:pPr>
              <w:jc w:val="center"/>
              <w:rPr>
                <w:sz w:val="16"/>
                <w:szCs w:val="16"/>
                <w:lang w:val="en-US" w:eastAsia="de-DE"/>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EF6BF6" w14:textId="77777777" w:rsidR="001E3E9E" w:rsidRPr="004301E7" w:rsidRDefault="001E3E9E" w:rsidP="00FC4AE3">
            <w:pPr>
              <w:jc w:val="center"/>
              <w:rPr>
                <w:sz w:val="16"/>
                <w:szCs w:val="16"/>
                <w:lang w:val="en-US" w:eastAsia="de-DE"/>
              </w:rPr>
            </w:pPr>
            <w:r w:rsidRPr="004301E7">
              <w:rPr>
                <w:sz w:val="16"/>
                <w:szCs w:val="16"/>
                <w:lang w:val="en-US" w:eastAsia="de-DE"/>
              </w:rPr>
              <w:t>0,62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0DBFA4" w14:textId="77777777" w:rsidR="001E3E9E" w:rsidRPr="004301E7" w:rsidRDefault="001E3E9E" w:rsidP="00FC4AE3">
            <w:pPr>
              <w:jc w:val="center"/>
              <w:rPr>
                <w:sz w:val="16"/>
                <w:szCs w:val="16"/>
                <w:lang w:val="en-US" w:eastAsia="de-DE"/>
              </w:rPr>
            </w:pPr>
            <w:r w:rsidRPr="004301E7">
              <w:rPr>
                <w:sz w:val="16"/>
                <w:szCs w:val="16"/>
                <w:lang w:val="en-US" w:eastAsia="de-DE"/>
              </w:rPr>
              <w:t>1,24</w:t>
            </w:r>
          </w:p>
        </w:tc>
        <w:tc>
          <w:tcPr>
            <w:tcW w:w="567" w:type="dxa"/>
            <w:vMerge w:val="restart"/>
            <w:tcBorders>
              <w:top w:val="single" w:sz="4" w:space="0" w:color="auto"/>
              <w:left w:val="single" w:sz="4" w:space="0" w:color="auto"/>
              <w:right w:val="single" w:sz="4" w:space="0" w:color="auto"/>
            </w:tcBorders>
            <w:shd w:val="clear" w:color="auto" w:fill="E7E6E6" w:themeFill="background2"/>
            <w:vAlign w:val="center"/>
          </w:tcPr>
          <w:p w14:paraId="377DD969" w14:textId="77777777" w:rsidR="001E3E9E" w:rsidRPr="004301E7" w:rsidRDefault="001E3E9E" w:rsidP="00FC4AE3">
            <w:pPr>
              <w:jc w:val="center"/>
              <w:rPr>
                <w:sz w:val="16"/>
                <w:szCs w:val="16"/>
                <w:lang w:val="en-US" w:eastAsia="de-DE"/>
              </w:rPr>
            </w:pPr>
            <w:r w:rsidRPr="004301E7">
              <w:rPr>
                <w:sz w:val="16"/>
                <w:szCs w:val="16"/>
                <w:lang w:val="en-US" w:eastAsia="de-DE"/>
              </w:rPr>
              <w:t>2,5</w:t>
            </w:r>
          </w:p>
        </w:tc>
      </w:tr>
      <w:tr w:rsidR="001E3E9E" w:rsidRPr="004301E7" w14:paraId="1DBA4996"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1255B2A4" w14:textId="77777777" w:rsidR="001E3E9E" w:rsidRPr="004301E7" w:rsidRDefault="001E3E9E" w:rsidP="00FC4AE3">
            <w:pPr>
              <w:ind w:left="113" w:right="113"/>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B2E80F" w14:textId="77777777" w:rsidR="001E3E9E" w:rsidRPr="004301E7" w:rsidRDefault="001E3E9E" w:rsidP="001E3E9E">
            <w:pPr>
              <w:spacing w:line="240" w:lineRule="auto"/>
              <w:rPr>
                <w:sz w:val="16"/>
                <w:szCs w:val="16"/>
                <w:lang w:val="en-US" w:eastAsia="de-DE"/>
              </w:rPr>
            </w:pPr>
            <w:r w:rsidRPr="004301E7">
              <w:rPr>
                <w:sz w:val="16"/>
                <w:szCs w:val="16"/>
                <w:lang w:val="en-US" w:eastAsia="de-DE"/>
              </w:rPr>
              <w:t>Test Track Surface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7D8746" w14:textId="77777777" w:rsidR="001E3E9E" w:rsidRPr="004301E7" w:rsidRDefault="001E3E9E" w:rsidP="00FC4AE3">
            <w:pPr>
              <w:jc w:val="center"/>
              <w:rPr>
                <w:sz w:val="16"/>
                <w:szCs w:val="16"/>
                <w:lang w:val="en-US" w:eastAsia="de-DE"/>
              </w:rPr>
            </w:pPr>
            <w:r w:rsidRPr="004301E7">
              <w:rPr>
                <w:sz w:val="16"/>
                <w:szCs w:val="16"/>
                <w:lang w:val="en-US" w:eastAsia="de-DE"/>
              </w:rPr>
              <w:t>3,40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BB8423" w14:textId="77777777" w:rsidR="001E3E9E" w:rsidRPr="004301E7" w:rsidRDefault="001E3E9E" w:rsidP="00FC4AE3">
            <w:pPr>
              <w:jc w:val="center"/>
              <w:rPr>
                <w:sz w:val="16"/>
                <w:szCs w:val="16"/>
                <w:lang w:val="en-US" w:eastAsia="de-DE"/>
              </w:rPr>
            </w:pPr>
            <w:r w:rsidRPr="004301E7">
              <w:rPr>
                <w:sz w:val="16"/>
                <w:szCs w:val="16"/>
                <w:lang w:val="en-US" w:eastAsia="de-DE"/>
              </w:rPr>
              <w:t>5,50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C9085B"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4,11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27C80"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7F147E" w14:textId="77777777" w:rsidR="001E3E9E" w:rsidRPr="004301E7" w:rsidRDefault="001E3E9E" w:rsidP="00FC4AE3">
            <w:pPr>
              <w:jc w:val="center"/>
              <w:rPr>
                <w:sz w:val="16"/>
                <w:szCs w:val="16"/>
                <w:lang w:val="en-US" w:eastAsia="de-DE"/>
              </w:rPr>
            </w:pPr>
            <w:r w:rsidRPr="004301E7">
              <w:rPr>
                <w:sz w:val="16"/>
                <w:szCs w:val="16"/>
                <w:lang w:val="en-US" w:eastAsia="de-DE"/>
              </w:rPr>
              <w:t xml:space="preserve">1,41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041DF06" w14:textId="77777777" w:rsidR="001E3E9E" w:rsidRPr="004301E7" w:rsidRDefault="001E3E9E" w:rsidP="00FC4AE3">
            <w:pPr>
              <w:jc w:val="center"/>
              <w:rPr>
                <w:sz w:val="16"/>
                <w:szCs w:val="16"/>
                <w:lang w:val="en-US" w:eastAsia="de-DE"/>
              </w:rPr>
            </w:pPr>
            <w:r w:rsidRPr="004301E7">
              <w:rPr>
                <w:sz w:val="16"/>
                <w:szCs w:val="16"/>
                <w:lang w:val="en-US" w:eastAsia="de-DE"/>
              </w:rPr>
              <w:t xml:space="preserve">1,187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1593F6"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51,8%</w:t>
            </w:r>
          </w:p>
        </w:tc>
        <w:tc>
          <w:tcPr>
            <w:tcW w:w="567" w:type="dxa"/>
            <w:vMerge/>
            <w:tcBorders>
              <w:top w:val="single" w:sz="4" w:space="0" w:color="auto"/>
              <w:left w:val="single" w:sz="4" w:space="0" w:color="auto"/>
              <w:bottom w:val="single" w:sz="4" w:space="0" w:color="auto"/>
              <w:right w:val="single" w:sz="4" w:space="0" w:color="auto"/>
            </w:tcBorders>
            <w:vAlign w:val="center"/>
          </w:tcPr>
          <w:p w14:paraId="28DA39B5"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6E4A7D9"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D081A88" w14:textId="77777777" w:rsidR="001E3E9E" w:rsidRPr="004301E7" w:rsidRDefault="001E3E9E" w:rsidP="00FC4AE3">
            <w:pPr>
              <w:rPr>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AEEA00E"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0F7F3253" w14:textId="77777777" w:rsidR="001E3E9E" w:rsidRPr="004301E7" w:rsidRDefault="001E3E9E" w:rsidP="00FC4AE3">
            <w:pPr>
              <w:jc w:val="center"/>
              <w:rPr>
                <w:sz w:val="16"/>
                <w:szCs w:val="16"/>
                <w:lang w:val="en-US" w:eastAsia="de-DE"/>
              </w:rPr>
            </w:pPr>
          </w:p>
        </w:tc>
      </w:tr>
      <w:tr w:rsidR="001E3E9E" w:rsidRPr="004301E7" w14:paraId="6146EDD8"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0EA5B226" w14:textId="77777777" w:rsidR="001E3E9E" w:rsidRPr="004301E7" w:rsidRDefault="001E3E9E" w:rsidP="00FC4AE3">
            <w:pPr>
              <w:ind w:left="113" w:right="113"/>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B00731" w14:textId="77777777" w:rsidR="001E3E9E" w:rsidRPr="004301E7" w:rsidRDefault="001E3E9E" w:rsidP="001E3E9E">
            <w:pPr>
              <w:spacing w:line="240" w:lineRule="auto"/>
              <w:rPr>
                <w:sz w:val="16"/>
                <w:szCs w:val="16"/>
                <w:lang w:val="en-US" w:eastAsia="de-DE"/>
              </w:rPr>
            </w:pPr>
            <w:r w:rsidRPr="004301E7">
              <w:rPr>
                <w:sz w:val="16"/>
                <w:szCs w:val="16"/>
                <w:lang w:val="en-US" w:eastAsia="de-DE"/>
              </w:rPr>
              <w:t>Microphone Class 1 IEC 61672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109CCB" w14:textId="77777777" w:rsidR="001E3E9E" w:rsidRPr="004301E7" w:rsidRDefault="001E3E9E" w:rsidP="00FC4AE3">
            <w:pPr>
              <w:jc w:val="center"/>
              <w:rPr>
                <w:sz w:val="16"/>
                <w:szCs w:val="16"/>
                <w:lang w:val="en-US" w:eastAsia="de-DE"/>
              </w:rPr>
            </w:pPr>
            <w:r w:rsidRPr="004301E7">
              <w:rPr>
                <w:sz w:val="16"/>
                <w:szCs w:val="16"/>
                <w:lang w:val="en-US" w:eastAsia="de-DE"/>
              </w:rPr>
              <w:t>1,00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5C0837" w14:textId="77777777" w:rsidR="001E3E9E" w:rsidRPr="004301E7" w:rsidRDefault="001E3E9E" w:rsidP="00FC4AE3">
            <w:pPr>
              <w:jc w:val="center"/>
              <w:rPr>
                <w:sz w:val="16"/>
                <w:szCs w:val="16"/>
                <w:lang w:val="en-US" w:eastAsia="de-DE"/>
              </w:rPr>
            </w:pPr>
            <w:r w:rsidRPr="004301E7">
              <w:rPr>
                <w:sz w:val="16"/>
                <w:szCs w:val="16"/>
                <w:lang w:val="en-US" w:eastAsia="de-DE"/>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2B3F21C"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1,00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BE4A1"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5EC0C5"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0,06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15F599" w14:textId="77777777" w:rsidR="001E3E9E" w:rsidRPr="004301E7" w:rsidRDefault="001E3E9E" w:rsidP="00FC4AE3">
            <w:pPr>
              <w:jc w:val="center"/>
              <w:rPr>
                <w:sz w:val="16"/>
                <w:szCs w:val="16"/>
                <w:lang w:val="en-US" w:eastAsia="de-DE"/>
              </w:rPr>
            </w:pPr>
            <w:r w:rsidRPr="004301E7">
              <w:rPr>
                <w:sz w:val="16"/>
                <w:szCs w:val="16"/>
                <w:lang w:val="en-US" w:eastAsia="de-DE"/>
              </w:rPr>
              <w:t>0,250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7BB29E"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2,3%</w:t>
            </w:r>
          </w:p>
        </w:tc>
        <w:tc>
          <w:tcPr>
            <w:tcW w:w="567" w:type="dxa"/>
            <w:vMerge/>
            <w:tcBorders>
              <w:top w:val="single" w:sz="4" w:space="0" w:color="auto"/>
              <w:left w:val="single" w:sz="4" w:space="0" w:color="auto"/>
              <w:bottom w:val="single" w:sz="4" w:space="0" w:color="auto"/>
              <w:right w:val="single" w:sz="4" w:space="0" w:color="auto"/>
            </w:tcBorders>
            <w:vAlign w:val="center"/>
          </w:tcPr>
          <w:p w14:paraId="4F802E8A"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386477E"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1715AB4" w14:textId="77777777" w:rsidR="001E3E9E" w:rsidRPr="004301E7" w:rsidRDefault="001E3E9E" w:rsidP="00FC4AE3">
            <w:pPr>
              <w:rPr>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4B1927F"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2B4DC337" w14:textId="77777777" w:rsidR="001E3E9E" w:rsidRPr="004301E7" w:rsidRDefault="001E3E9E" w:rsidP="00FC4AE3">
            <w:pPr>
              <w:jc w:val="center"/>
              <w:rPr>
                <w:sz w:val="16"/>
                <w:szCs w:val="16"/>
                <w:lang w:val="en-US" w:eastAsia="de-DE"/>
              </w:rPr>
            </w:pPr>
          </w:p>
        </w:tc>
      </w:tr>
      <w:tr w:rsidR="001E3E9E" w:rsidRPr="004301E7" w14:paraId="486B1479"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91F61A4" w14:textId="77777777" w:rsidR="001E3E9E" w:rsidRPr="004301E7" w:rsidRDefault="001E3E9E" w:rsidP="00FC4AE3">
            <w:pPr>
              <w:ind w:left="113" w:right="113"/>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F1B92E" w14:textId="77777777" w:rsidR="001E3E9E" w:rsidRPr="004301E7" w:rsidRDefault="001E3E9E" w:rsidP="001E3E9E">
            <w:pPr>
              <w:spacing w:line="240" w:lineRule="auto"/>
              <w:rPr>
                <w:sz w:val="16"/>
                <w:szCs w:val="16"/>
                <w:lang w:val="en-US" w:eastAsia="de-DE"/>
              </w:rPr>
            </w:pPr>
            <w:r w:rsidRPr="004301E7">
              <w:rPr>
                <w:sz w:val="16"/>
                <w:szCs w:val="16"/>
                <w:lang w:val="en-US" w:eastAsia="de-DE"/>
              </w:rPr>
              <w:t>Sound calibrator IEC 60942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59E311"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68D659"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AF3DFA2"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D738BE" w14:textId="77777777" w:rsidR="001E3E9E" w:rsidRPr="004301E7" w:rsidRDefault="001E3E9E" w:rsidP="00FC4AE3">
            <w:pPr>
              <w:jc w:val="center"/>
              <w:rPr>
                <w:sz w:val="16"/>
                <w:szCs w:val="16"/>
                <w:lang w:val="en-US" w:eastAsia="de-DE"/>
              </w:rPr>
            </w:pPr>
            <w:r w:rsidRPr="004301E7">
              <w:rPr>
                <w:sz w:val="16"/>
                <w:szCs w:val="16"/>
                <w:lang w:val="en-US" w:eastAsia="de-DE"/>
              </w:rPr>
              <w:t xml:space="preserve">gaussian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A8CAA1"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727B33" w14:textId="77777777" w:rsidR="001E3E9E" w:rsidRPr="004301E7" w:rsidRDefault="001E3E9E" w:rsidP="00FC4AE3">
            <w:pPr>
              <w:jc w:val="center"/>
              <w:rPr>
                <w:sz w:val="16"/>
                <w:szCs w:val="16"/>
                <w:lang w:val="en-US" w:eastAsia="de-DE"/>
              </w:rPr>
            </w:pPr>
            <w:r w:rsidRPr="004301E7">
              <w:rPr>
                <w:sz w:val="16"/>
                <w:szCs w:val="16"/>
                <w:lang w:val="en-US" w:eastAsia="de-DE"/>
              </w:rPr>
              <w:t>0,125</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BED1EFC"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0,6%</w:t>
            </w:r>
          </w:p>
        </w:tc>
        <w:tc>
          <w:tcPr>
            <w:tcW w:w="567" w:type="dxa"/>
            <w:vMerge/>
            <w:tcBorders>
              <w:top w:val="single" w:sz="4" w:space="0" w:color="auto"/>
              <w:left w:val="single" w:sz="4" w:space="0" w:color="auto"/>
              <w:bottom w:val="single" w:sz="4" w:space="0" w:color="auto"/>
              <w:right w:val="single" w:sz="4" w:space="0" w:color="auto"/>
            </w:tcBorders>
            <w:vAlign w:val="center"/>
          </w:tcPr>
          <w:p w14:paraId="72CA59A6"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7DE26AC"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07E6796" w14:textId="77777777" w:rsidR="001E3E9E" w:rsidRPr="004301E7" w:rsidRDefault="001E3E9E" w:rsidP="00FC4AE3">
            <w:pPr>
              <w:rPr>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C588378"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3AB838E2" w14:textId="77777777" w:rsidR="001E3E9E" w:rsidRPr="004301E7" w:rsidRDefault="001E3E9E" w:rsidP="00FC4AE3">
            <w:pPr>
              <w:jc w:val="center"/>
              <w:rPr>
                <w:sz w:val="16"/>
                <w:szCs w:val="16"/>
                <w:lang w:val="en-US" w:eastAsia="de-DE"/>
              </w:rPr>
            </w:pPr>
          </w:p>
        </w:tc>
      </w:tr>
      <w:tr w:rsidR="001E3E9E" w:rsidRPr="004301E7" w14:paraId="6EA117CD"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EFD4A5C" w14:textId="77777777" w:rsidR="001E3E9E" w:rsidRPr="004301E7" w:rsidRDefault="001E3E9E" w:rsidP="00FC4AE3">
            <w:pPr>
              <w:ind w:left="113" w:right="113"/>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1A948B" w14:textId="77777777" w:rsidR="001E3E9E" w:rsidRPr="004301E7" w:rsidRDefault="001E3E9E" w:rsidP="001E3E9E">
            <w:pPr>
              <w:spacing w:line="240" w:lineRule="auto"/>
              <w:rPr>
                <w:sz w:val="16"/>
                <w:szCs w:val="16"/>
                <w:lang w:val="en-US" w:eastAsia="de-DE"/>
              </w:rPr>
            </w:pPr>
            <w:r w:rsidRPr="004301E7">
              <w:rPr>
                <w:sz w:val="16"/>
                <w:szCs w:val="16"/>
                <w:lang w:val="en-US" w:eastAsia="de-DE"/>
              </w:rPr>
              <w:t>Speed measuring equipment continuous at PP</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C192A2" w14:textId="77777777" w:rsidR="001E3E9E" w:rsidRPr="004301E7" w:rsidRDefault="001E3E9E" w:rsidP="00FC4AE3">
            <w:pPr>
              <w:jc w:val="center"/>
              <w:rPr>
                <w:sz w:val="16"/>
                <w:szCs w:val="16"/>
                <w:lang w:val="en-US" w:eastAsia="de-DE"/>
              </w:rPr>
            </w:pPr>
            <w:r w:rsidRPr="004301E7">
              <w:rPr>
                <w:sz w:val="16"/>
                <w:szCs w:val="16"/>
                <w:lang w:val="en-US" w:eastAsia="de-DE"/>
              </w:rPr>
              <w:t>0,10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23072D" w14:textId="77777777" w:rsidR="001E3E9E" w:rsidRPr="004301E7" w:rsidRDefault="001E3E9E" w:rsidP="00FC4AE3">
            <w:pPr>
              <w:jc w:val="center"/>
              <w:rPr>
                <w:sz w:val="16"/>
                <w:szCs w:val="16"/>
                <w:lang w:val="en-US" w:eastAsia="de-DE"/>
              </w:rPr>
            </w:pPr>
            <w:r w:rsidRPr="004301E7">
              <w:rPr>
                <w:sz w:val="16"/>
                <w:szCs w:val="16"/>
                <w:lang w:val="en-US" w:eastAsia="de-DE"/>
              </w:rPr>
              <w:t>0,10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7D71746"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0,10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A4AEAD"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CDD8F3"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089B4C"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0,029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63AA0B8"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0,0%</w:t>
            </w:r>
          </w:p>
        </w:tc>
        <w:tc>
          <w:tcPr>
            <w:tcW w:w="567" w:type="dxa"/>
            <w:vMerge/>
            <w:tcBorders>
              <w:top w:val="single" w:sz="4" w:space="0" w:color="auto"/>
              <w:left w:val="single" w:sz="4" w:space="0" w:color="auto"/>
              <w:bottom w:val="single" w:sz="4" w:space="0" w:color="auto"/>
              <w:right w:val="single" w:sz="4" w:space="0" w:color="auto"/>
            </w:tcBorders>
            <w:vAlign w:val="center"/>
          </w:tcPr>
          <w:p w14:paraId="6234766D"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1B02DA9"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ED45BC0" w14:textId="77777777" w:rsidR="001E3E9E" w:rsidRPr="004301E7" w:rsidRDefault="001E3E9E" w:rsidP="00FC4AE3">
            <w:pPr>
              <w:rPr>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3D0A6CC"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169BB5FB" w14:textId="77777777" w:rsidR="001E3E9E" w:rsidRPr="004301E7" w:rsidRDefault="001E3E9E" w:rsidP="00FC4AE3">
            <w:pPr>
              <w:jc w:val="center"/>
              <w:rPr>
                <w:sz w:val="16"/>
                <w:szCs w:val="16"/>
                <w:lang w:val="en-US" w:eastAsia="de-DE"/>
              </w:rPr>
            </w:pPr>
          </w:p>
        </w:tc>
      </w:tr>
      <w:tr w:rsidR="001E3E9E" w:rsidRPr="004301E7" w14:paraId="4C399876"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351B0776" w14:textId="77777777" w:rsidR="001E3E9E" w:rsidRPr="004301E7" w:rsidRDefault="001E3E9E" w:rsidP="00FC4AE3">
            <w:pPr>
              <w:ind w:left="113" w:right="113"/>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FA1A99" w14:textId="77777777" w:rsidR="001E3E9E" w:rsidRPr="004301E7" w:rsidRDefault="001E3E9E" w:rsidP="001E3E9E">
            <w:pPr>
              <w:spacing w:line="240" w:lineRule="auto"/>
              <w:rPr>
                <w:sz w:val="16"/>
                <w:szCs w:val="16"/>
                <w:lang w:val="en-US" w:eastAsia="de-DE"/>
              </w:rPr>
            </w:pPr>
            <w:r w:rsidRPr="004301E7">
              <w:rPr>
                <w:sz w:val="16"/>
                <w:szCs w:val="16"/>
                <w:lang w:val="en-US" w:eastAsia="de-DE"/>
              </w:rPr>
              <w:t>Acceleration calculation from vehicle speed measurement</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DB4C87"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13B4EE" w14:textId="77777777" w:rsidR="001E3E9E" w:rsidRPr="004301E7" w:rsidRDefault="001E3E9E" w:rsidP="00FC4AE3">
            <w:pPr>
              <w:jc w:val="center"/>
              <w:rPr>
                <w:sz w:val="16"/>
                <w:szCs w:val="16"/>
                <w:lang w:val="en-US" w:eastAsia="de-DE"/>
              </w:rPr>
            </w:pPr>
            <w:r w:rsidRPr="004301E7">
              <w:rPr>
                <w:sz w:val="16"/>
                <w:szCs w:val="16"/>
                <w:lang w:val="en-US" w:eastAsia="de-DE"/>
              </w:rPr>
              <w:t>0,50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C10D8CB"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599E6B"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1F2AF7"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0,02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C01321"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0,144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AACB2D"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0,8%</w:t>
            </w:r>
          </w:p>
        </w:tc>
        <w:tc>
          <w:tcPr>
            <w:tcW w:w="567" w:type="dxa"/>
            <w:vMerge/>
            <w:tcBorders>
              <w:top w:val="single" w:sz="4" w:space="0" w:color="auto"/>
              <w:left w:val="single" w:sz="4" w:space="0" w:color="auto"/>
              <w:bottom w:val="single" w:sz="4" w:space="0" w:color="auto"/>
              <w:right w:val="single" w:sz="4" w:space="0" w:color="auto"/>
            </w:tcBorders>
            <w:vAlign w:val="center"/>
          </w:tcPr>
          <w:p w14:paraId="7A4176A7"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C71E7DE"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8D90B95" w14:textId="77777777" w:rsidR="001E3E9E" w:rsidRPr="004301E7" w:rsidRDefault="001E3E9E" w:rsidP="00FC4AE3">
            <w:pPr>
              <w:rPr>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99E4E76" w14:textId="77777777" w:rsidR="001E3E9E" w:rsidRPr="004301E7" w:rsidRDefault="001E3E9E" w:rsidP="00FC4AE3">
            <w:pPr>
              <w:rPr>
                <w:sz w:val="16"/>
                <w:szCs w:val="16"/>
                <w:lang w:val="en-US" w:eastAsia="de-DE"/>
              </w:rPr>
            </w:pPr>
          </w:p>
        </w:tc>
        <w:tc>
          <w:tcPr>
            <w:tcW w:w="567" w:type="dxa"/>
            <w:vMerge/>
            <w:tcBorders>
              <w:left w:val="single" w:sz="4" w:space="0" w:color="auto"/>
              <w:bottom w:val="single" w:sz="4" w:space="0" w:color="auto"/>
              <w:right w:val="single" w:sz="4" w:space="0" w:color="auto"/>
            </w:tcBorders>
            <w:shd w:val="clear" w:color="auto" w:fill="E7E6E6" w:themeFill="background2"/>
            <w:vAlign w:val="center"/>
          </w:tcPr>
          <w:p w14:paraId="0934DE1C" w14:textId="77777777" w:rsidR="001E3E9E" w:rsidRPr="004301E7" w:rsidRDefault="001E3E9E" w:rsidP="00FC4AE3">
            <w:pPr>
              <w:jc w:val="center"/>
              <w:rPr>
                <w:sz w:val="16"/>
                <w:szCs w:val="16"/>
                <w:lang w:val="en-US" w:eastAsia="de-DE"/>
              </w:rPr>
            </w:pPr>
          </w:p>
        </w:tc>
      </w:tr>
      <w:tr w:rsidR="001E3E9E" w:rsidRPr="004301E7" w14:paraId="3AA189E8" w14:textId="77777777" w:rsidTr="00FC4AE3">
        <w:trPr>
          <w:trHeight w:val="162"/>
        </w:trPr>
        <w:tc>
          <w:tcPr>
            <w:tcW w:w="426"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589ABADC" w14:textId="77777777" w:rsidR="001E3E9E" w:rsidRPr="004301E7" w:rsidRDefault="001E3E9E" w:rsidP="00FC4AE3">
            <w:pPr>
              <w:ind w:left="113" w:right="113"/>
              <w:jc w:val="center"/>
              <w:rPr>
                <w:b/>
                <w:bCs/>
                <w:sz w:val="16"/>
                <w:szCs w:val="16"/>
                <w:lang w:val="en-US" w:eastAsia="de-DE"/>
              </w:rPr>
            </w:pPr>
            <w:r w:rsidRPr="004301E7">
              <w:rPr>
                <w:b/>
                <w:bCs/>
                <w:sz w:val="16"/>
                <w:szCs w:val="16"/>
                <w:lang w:val="en-US" w:eastAsia="de-DE"/>
              </w:rPr>
              <w:t>Vehicle to Vehicle</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FF7B83" w14:textId="77777777" w:rsidR="001E3E9E" w:rsidRPr="004301E7" w:rsidRDefault="001E3E9E" w:rsidP="001E3E9E">
            <w:pPr>
              <w:spacing w:line="240" w:lineRule="auto"/>
              <w:rPr>
                <w:sz w:val="16"/>
                <w:szCs w:val="16"/>
                <w:lang w:val="en-US" w:eastAsia="de-DE"/>
              </w:rPr>
            </w:pPr>
            <w:r w:rsidRPr="004301E7">
              <w:rPr>
                <w:sz w:val="16"/>
                <w:szCs w:val="16"/>
                <w:lang w:val="en-US" w:eastAsia="de-DE"/>
              </w:rPr>
              <w:t>Production Variation on Tyres; Aging of Tyres until delivery to customer (1dB after one year)</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323884" w14:textId="77777777" w:rsidR="001E3E9E" w:rsidRPr="004301E7" w:rsidRDefault="001E3E9E" w:rsidP="00FC4AE3">
            <w:pPr>
              <w:jc w:val="center"/>
              <w:rPr>
                <w:sz w:val="16"/>
                <w:szCs w:val="16"/>
                <w:lang w:val="en-US" w:eastAsia="de-DE"/>
              </w:rPr>
            </w:pPr>
            <w:r w:rsidRPr="004301E7">
              <w:rPr>
                <w:sz w:val="16"/>
                <w:szCs w:val="16"/>
                <w:lang w:val="en-US" w:eastAsia="de-DE"/>
              </w:rPr>
              <w:t>0,80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AEF752" w14:textId="77777777" w:rsidR="001E3E9E" w:rsidRPr="004301E7" w:rsidRDefault="001E3E9E" w:rsidP="00FC4AE3">
            <w:pPr>
              <w:jc w:val="center"/>
              <w:rPr>
                <w:sz w:val="16"/>
                <w:szCs w:val="16"/>
                <w:lang w:val="en-US" w:eastAsia="de-DE"/>
              </w:rPr>
            </w:pPr>
            <w:r w:rsidRPr="004301E7">
              <w:rPr>
                <w:sz w:val="16"/>
                <w:szCs w:val="16"/>
                <w:lang w:val="en-US" w:eastAsia="de-DE"/>
              </w:rPr>
              <w:t>1,50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E52D6B0"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1,04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02E5DE"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395DD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0,07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D32753" w14:textId="77777777" w:rsidR="001E3E9E" w:rsidRPr="004301E7" w:rsidRDefault="001E3E9E" w:rsidP="00FC4AE3">
            <w:pPr>
              <w:jc w:val="center"/>
              <w:rPr>
                <w:sz w:val="16"/>
                <w:szCs w:val="16"/>
                <w:lang w:val="en-US" w:eastAsia="de-DE"/>
              </w:rPr>
            </w:pPr>
            <w:r w:rsidRPr="004301E7">
              <w:rPr>
                <w:sz w:val="16"/>
                <w:szCs w:val="16"/>
                <w:lang w:val="en-US" w:eastAsia="de-DE"/>
              </w:rPr>
              <w:t xml:space="preserve">0,259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889E6"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2,5%</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1EF01DC" w14:textId="77777777" w:rsidR="001E3E9E" w:rsidRPr="004301E7" w:rsidRDefault="001E3E9E" w:rsidP="00FC4AE3">
            <w:pPr>
              <w:jc w:val="center"/>
              <w:rPr>
                <w:sz w:val="16"/>
                <w:szCs w:val="16"/>
                <w:lang w:val="en-US" w:eastAsia="de-DE"/>
              </w:rPr>
            </w:pPr>
            <w:r w:rsidRPr="004301E7">
              <w:rPr>
                <w:sz w:val="16"/>
                <w:szCs w:val="16"/>
                <w:lang w:val="en-US" w:eastAsia="de-DE"/>
              </w:rPr>
              <w:t>0,57</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92755CC" w14:textId="77777777" w:rsidR="001E3E9E" w:rsidRPr="004301E7" w:rsidRDefault="001E3E9E" w:rsidP="00FC4AE3">
            <w:pPr>
              <w:jc w:val="center"/>
              <w:rPr>
                <w:sz w:val="16"/>
                <w:szCs w:val="16"/>
                <w:lang w:val="en-US" w:eastAsia="de-DE"/>
              </w:rPr>
            </w:pPr>
            <w:r w:rsidRPr="004301E7">
              <w:rPr>
                <w:sz w:val="16"/>
                <w:szCs w:val="16"/>
                <w:lang w:val="en-US" w:eastAsia="de-DE"/>
              </w:rPr>
              <w:t> </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5135D21" w14:textId="77777777" w:rsidR="001E3E9E" w:rsidRPr="004301E7" w:rsidRDefault="001E3E9E" w:rsidP="00FC4AE3">
            <w:pPr>
              <w:jc w:val="center"/>
              <w:rPr>
                <w:sz w:val="16"/>
                <w:szCs w:val="16"/>
                <w:lang w:val="en-US" w:eastAsia="de-DE"/>
              </w:rPr>
            </w:pPr>
            <w:r w:rsidRPr="004301E7">
              <w:rPr>
                <w:sz w:val="16"/>
                <w:szCs w:val="16"/>
                <w:lang w:val="en-US" w:eastAsia="de-DE"/>
              </w:rPr>
              <w:t>0,57</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E8BC18" w14:textId="77777777" w:rsidR="001E3E9E" w:rsidRPr="004301E7" w:rsidRDefault="001E3E9E" w:rsidP="00FC4AE3">
            <w:pPr>
              <w:jc w:val="center"/>
              <w:rPr>
                <w:sz w:val="16"/>
                <w:szCs w:val="16"/>
                <w:lang w:val="en-US" w:eastAsia="de-DE"/>
              </w:rPr>
            </w:pPr>
            <w:r w:rsidRPr="004301E7">
              <w:rPr>
                <w:sz w:val="16"/>
                <w:szCs w:val="16"/>
                <w:lang w:val="en-US" w:eastAsia="de-DE"/>
              </w:rPr>
              <w:t>0,57</w:t>
            </w:r>
          </w:p>
        </w:tc>
        <w:tc>
          <w:tcPr>
            <w:tcW w:w="567" w:type="dxa"/>
            <w:vMerge w:val="restart"/>
            <w:tcBorders>
              <w:top w:val="single" w:sz="4" w:space="0" w:color="auto"/>
              <w:left w:val="single" w:sz="4" w:space="0" w:color="auto"/>
              <w:right w:val="single" w:sz="4" w:space="0" w:color="auto"/>
            </w:tcBorders>
            <w:shd w:val="clear" w:color="auto" w:fill="E7E6E6" w:themeFill="background2"/>
            <w:vAlign w:val="center"/>
          </w:tcPr>
          <w:p w14:paraId="358496FF" w14:textId="77777777" w:rsidR="001E3E9E" w:rsidRPr="004301E7" w:rsidRDefault="001E3E9E" w:rsidP="00FC4AE3">
            <w:pPr>
              <w:jc w:val="center"/>
              <w:rPr>
                <w:sz w:val="16"/>
                <w:szCs w:val="16"/>
                <w:lang w:val="en-US" w:eastAsia="de-DE"/>
              </w:rPr>
            </w:pPr>
            <w:r w:rsidRPr="004301E7">
              <w:rPr>
                <w:sz w:val="16"/>
                <w:szCs w:val="16"/>
                <w:lang w:val="en-US" w:eastAsia="de-DE"/>
              </w:rPr>
              <w:t>1,1</w:t>
            </w:r>
          </w:p>
        </w:tc>
      </w:tr>
      <w:tr w:rsidR="001E3E9E" w:rsidRPr="004301E7" w14:paraId="28F79D70"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62346EE2"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8EB9A2" w14:textId="77777777" w:rsidR="001E3E9E" w:rsidRPr="004301E7" w:rsidRDefault="001E3E9E" w:rsidP="001E3E9E">
            <w:pPr>
              <w:spacing w:line="240" w:lineRule="auto"/>
              <w:rPr>
                <w:sz w:val="16"/>
                <w:szCs w:val="16"/>
                <w:lang w:val="en-US" w:eastAsia="de-DE"/>
              </w:rPr>
            </w:pPr>
            <w:r w:rsidRPr="004301E7">
              <w:rPr>
                <w:sz w:val="16"/>
                <w:szCs w:val="16"/>
                <w:lang w:val="en-US" w:eastAsia="de-DE"/>
              </w:rPr>
              <w:t>Tyres at minimum tread depth</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74340C"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D930A"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FEC8F0"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6F8503"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4EBE87"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0,04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EFECE1" w14:textId="77777777" w:rsidR="001E3E9E" w:rsidRPr="004301E7" w:rsidRDefault="001E3E9E" w:rsidP="00FC4AE3">
            <w:pPr>
              <w:jc w:val="center"/>
              <w:rPr>
                <w:sz w:val="16"/>
                <w:szCs w:val="16"/>
                <w:lang w:val="en-US" w:eastAsia="de-DE"/>
              </w:rPr>
            </w:pPr>
            <w:r w:rsidRPr="004301E7">
              <w:rPr>
                <w:sz w:val="16"/>
                <w:szCs w:val="16"/>
                <w:lang w:val="en-US" w:eastAsia="de-DE"/>
              </w:rPr>
              <w:t xml:space="preserve">0,209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5F312F"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1,8%</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AEEA075"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F8E6DCF"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6179F13"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33E85EE"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60A4AFC2" w14:textId="77777777" w:rsidR="001E3E9E" w:rsidRPr="004301E7" w:rsidRDefault="001E3E9E" w:rsidP="00FC4AE3">
            <w:pPr>
              <w:rPr>
                <w:sz w:val="16"/>
                <w:szCs w:val="16"/>
                <w:lang w:val="en-US" w:eastAsia="de-DE"/>
              </w:rPr>
            </w:pPr>
          </w:p>
        </w:tc>
      </w:tr>
      <w:tr w:rsidR="001E3E9E" w:rsidRPr="004301E7" w14:paraId="21E37BE9"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3E5FA41C" w14:textId="77777777" w:rsidR="001E3E9E" w:rsidRPr="004301E7" w:rsidRDefault="001E3E9E" w:rsidP="00FC4AE3">
            <w:pPr>
              <w:rPr>
                <w:b/>
                <w:bCs/>
                <w:sz w:val="16"/>
                <w:szCs w:val="16"/>
                <w:lang w:val="en-US"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76279884"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Variation on Tyre Size and Brand </w:t>
            </w:r>
            <w:r w:rsidRPr="004301E7">
              <w:rPr>
                <w:sz w:val="16"/>
                <w:szCs w:val="16"/>
                <w:lang w:val="en-US" w:eastAsia="de-DE"/>
              </w:rPr>
              <w:br/>
              <w:t>(non-OEM)</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6812F1B1"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39CF0950"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nil"/>
              <w:left w:val="nil"/>
              <w:bottom w:val="single" w:sz="4" w:space="0" w:color="auto"/>
              <w:right w:val="single" w:sz="4" w:space="0" w:color="auto"/>
            </w:tcBorders>
            <w:shd w:val="clear" w:color="auto" w:fill="auto"/>
            <w:noWrap/>
            <w:vAlign w:val="center"/>
            <w:hideMark/>
          </w:tcPr>
          <w:p w14:paraId="56A51F1F"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0,00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A7D908"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nil"/>
              <w:left w:val="nil"/>
              <w:bottom w:val="single" w:sz="4" w:space="0" w:color="auto"/>
              <w:right w:val="single" w:sz="4" w:space="0" w:color="auto"/>
            </w:tcBorders>
            <w:shd w:val="clear" w:color="auto" w:fill="auto"/>
            <w:vAlign w:val="center"/>
            <w:hideMark/>
          </w:tcPr>
          <w:p w14:paraId="1D3DC98C"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14:paraId="6669B7D4"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0,000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BE3429"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0,0%</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BE3AAD7"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81DB873"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739D78C"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10F0E29"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399EF32B" w14:textId="77777777" w:rsidR="001E3E9E" w:rsidRPr="004301E7" w:rsidRDefault="001E3E9E" w:rsidP="00FC4AE3">
            <w:pPr>
              <w:rPr>
                <w:sz w:val="16"/>
                <w:szCs w:val="16"/>
                <w:lang w:val="en-US" w:eastAsia="de-DE"/>
              </w:rPr>
            </w:pPr>
          </w:p>
        </w:tc>
      </w:tr>
      <w:tr w:rsidR="001E3E9E" w:rsidRPr="004301E7" w14:paraId="1E5EEF6B"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2F155CEE" w14:textId="77777777" w:rsidR="001E3E9E" w:rsidRPr="004301E7" w:rsidRDefault="001E3E9E" w:rsidP="00FC4AE3">
            <w:pPr>
              <w:rPr>
                <w:b/>
                <w:bCs/>
                <w:sz w:val="16"/>
                <w:szCs w:val="16"/>
                <w:lang w:val="en-US"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619AF4A5" w14:textId="77777777" w:rsidR="001E3E9E" w:rsidRPr="004301E7" w:rsidRDefault="001E3E9E" w:rsidP="001E3E9E">
            <w:pPr>
              <w:spacing w:line="240" w:lineRule="auto"/>
              <w:rPr>
                <w:sz w:val="16"/>
                <w:szCs w:val="16"/>
                <w:lang w:val="en-US" w:eastAsia="de-DE"/>
              </w:rPr>
            </w:pPr>
            <w:r w:rsidRPr="004301E7">
              <w:rPr>
                <w:sz w:val="16"/>
                <w:szCs w:val="16"/>
                <w:lang w:val="en-US" w:eastAsia="de-DE"/>
              </w:rPr>
              <w:t>Production Variation in Power, incl. proper break-in of a brand-new engine</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0A84426"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224B0FFE" w14:textId="77777777" w:rsidR="001E3E9E" w:rsidRPr="004301E7" w:rsidRDefault="001E3E9E" w:rsidP="00FC4AE3">
            <w:pPr>
              <w:jc w:val="center"/>
              <w:rPr>
                <w:sz w:val="16"/>
                <w:szCs w:val="16"/>
                <w:lang w:val="en-US" w:eastAsia="de-DE"/>
              </w:rPr>
            </w:pPr>
            <w:r w:rsidRPr="004301E7">
              <w:rPr>
                <w:sz w:val="16"/>
                <w:szCs w:val="16"/>
                <w:lang w:val="en-US" w:eastAsia="de-DE"/>
              </w:rPr>
              <w:t>0,40</w:t>
            </w:r>
          </w:p>
        </w:tc>
        <w:tc>
          <w:tcPr>
            <w:tcW w:w="425" w:type="dxa"/>
            <w:tcBorders>
              <w:top w:val="nil"/>
              <w:left w:val="nil"/>
              <w:bottom w:val="single" w:sz="4" w:space="0" w:color="auto"/>
              <w:right w:val="single" w:sz="4" w:space="0" w:color="auto"/>
            </w:tcBorders>
            <w:shd w:val="clear" w:color="auto" w:fill="auto"/>
            <w:noWrap/>
            <w:vAlign w:val="center"/>
            <w:hideMark/>
          </w:tcPr>
          <w:p w14:paraId="34B140DE"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0,40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1243F7"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nil"/>
              <w:left w:val="nil"/>
              <w:bottom w:val="single" w:sz="4" w:space="0" w:color="auto"/>
              <w:right w:val="single" w:sz="4" w:space="0" w:color="auto"/>
            </w:tcBorders>
            <w:shd w:val="clear" w:color="auto" w:fill="auto"/>
            <w:vAlign w:val="center"/>
            <w:hideMark/>
          </w:tcPr>
          <w:p w14:paraId="4AC620DD"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0,01 </w:t>
            </w:r>
          </w:p>
        </w:tc>
        <w:tc>
          <w:tcPr>
            <w:tcW w:w="567" w:type="dxa"/>
            <w:tcBorders>
              <w:top w:val="nil"/>
              <w:left w:val="nil"/>
              <w:bottom w:val="single" w:sz="4" w:space="0" w:color="auto"/>
              <w:right w:val="single" w:sz="4" w:space="0" w:color="auto"/>
            </w:tcBorders>
            <w:shd w:val="clear" w:color="auto" w:fill="auto"/>
            <w:vAlign w:val="center"/>
            <w:hideMark/>
          </w:tcPr>
          <w:p w14:paraId="2DE798BA"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0,115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DAD444"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0,5%</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E0DED1F"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74EB5D9"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1A31BC7"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96D61E2"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3450E49B" w14:textId="77777777" w:rsidR="001E3E9E" w:rsidRPr="004301E7" w:rsidRDefault="001E3E9E" w:rsidP="00FC4AE3">
            <w:pPr>
              <w:rPr>
                <w:sz w:val="16"/>
                <w:szCs w:val="16"/>
                <w:lang w:val="en-US" w:eastAsia="de-DE"/>
              </w:rPr>
            </w:pPr>
          </w:p>
        </w:tc>
      </w:tr>
      <w:tr w:rsidR="001E3E9E" w:rsidRPr="004301E7" w14:paraId="2DAD16F9"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3B139EEF" w14:textId="77777777" w:rsidR="001E3E9E" w:rsidRPr="004301E7" w:rsidRDefault="001E3E9E" w:rsidP="00FC4AE3">
            <w:pPr>
              <w:rPr>
                <w:b/>
                <w:bCs/>
                <w:sz w:val="16"/>
                <w:szCs w:val="16"/>
                <w:lang w:val="en-US"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7AC5001A" w14:textId="77777777" w:rsidR="001E3E9E" w:rsidRPr="004301E7" w:rsidRDefault="001E3E9E" w:rsidP="001E3E9E">
            <w:pPr>
              <w:spacing w:line="240" w:lineRule="auto"/>
              <w:rPr>
                <w:sz w:val="16"/>
                <w:szCs w:val="16"/>
                <w:lang w:val="en-US" w:eastAsia="de-DE"/>
              </w:rPr>
            </w:pPr>
            <w:r w:rsidRPr="004301E7">
              <w:rPr>
                <w:sz w:val="16"/>
                <w:szCs w:val="16"/>
                <w:lang w:val="en-US" w:eastAsia="de-DE"/>
              </w:rPr>
              <w:t xml:space="preserve">Battery state of charge for HEVs </w:t>
            </w:r>
            <w:r w:rsidRPr="004301E7">
              <w:rPr>
                <w:sz w:val="16"/>
                <w:szCs w:val="16"/>
                <w:lang w:val="en-US" w:eastAsia="de-DE"/>
              </w:rPr>
              <w:br/>
              <w:t>(3 dB(A))</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2A1D802"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45E8BA97"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nil"/>
              <w:left w:val="nil"/>
              <w:bottom w:val="single" w:sz="4" w:space="0" w:color="auto"/>
              <w:right w:val="single" w:sz="4" w:space="0" w:color="auto"/>
            </w:tcBorders>
            <w:shd w:val="clear" w:color="auto" w:fill="auto"/>
            <w:noWrap/>
            <w:vAlign w:val="center"/>
            <w:hideMark/>
          </w:tcPr>
          <w:p w14:paraId="0C4B020F"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AACB4"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nil"/>
              <w:left w:val="nil"/>
              <w:bottom w:val="single" w:sz="4" w:space="0" w:color="auto"/>
              <w:right w:val="single" w:sz="4" w:space="0" w:color="auto"/>
            </w:tcBorders>
            <w:shd w:val="clear" w:color="auto" w:fill="auto"/>
            <w:vAlign w:val="center"/>
            <w:hideMark/>
          </w:tcPr>
          <w:p w14:paraId="2CE03229"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 </w:t>
            </w:r>
          </w:p>
        </w:tc>
        <w:tc>
          <w:tcPr>
            <w:tcW w:w="567" w:type="dxa"/>
            <w:tcBorders>
              <w:top w:val="nil"/>
              <w:left w:val="nil"/>
              <w:bottom w:val="single" w:sz="4" w:space="0" w:color="auto"/>
              <w:right w:val="single" w:sz="4" w:space="0" w:color="auto"/>
            </w:tcBorders>
            <w:shd w:val="clear" w:color="auto" w:fill="auto"/>
            <w:vAlign w:val="center"/>
            <w:hideMark/>
          </w:tcPr>
          <w:p w14:paraId="2FF10E49"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0,000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BDD39F"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0,0%</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66C5115"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46F4FB3"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D513AED"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704E7913"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0D87CC16" w14:textId="77777777" w:rsidR="001E3E9E" w:rsidRPr="004301E7" w:rsidRDefault="001E3E9E" w:rsidP="00FC4AE3">
            <w:pPr>
              <w:rPr>
                <w:sz w:val="16"/>
                <w:szCs w:val="16"/>
                <w:lang w:val="en-US" w:eastAsia="de-DE"/>
              </w:rPr>
            </w:pPr>
          </w:p>
        </w:tc>
      </w:tr>
      <w:tr w:rsidR="001E3E9E" w:rsidRPr="004301E7" w14:paraId="5AC53C63"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64572406" w14:textId="77777777" w:rsidR="001E3E9E" w:rsidRPr="004301E7" w:rsidRDefault="001E3E9E" w:rsidP="00FC4AE3">
            <w:pPr>
              <w:rPr>
                <w:b/>
                <w:bCs/>
                <w:sz w:val="16"/>
                <w:szCs w:val="16"/>
                <w:lang w:val="en-US" w:eastAsia="de-DE"/>
              </w:rPr>
            </w:pPr>
          </w:p>
        </w:tc>
        <w:tc>
          <w:tcPr>
            <w:tcW w:w="2693" w:type="dxa"/>
            <w:tcBorders>
              <w:top w:val="nil"/>
              <w:left w:val="nil"/>
              <w:bottom w:val="single" w:sz="4" w:space="0" w:color="auto"/>
              <w:right w:val="single" w:sz="4" w:space="0" w:color="auto"/>
            </w:tcBorders>
            <w:shd w:val="clear" w:color="auto" w:fill="FFFFFF" w:themeFill="background1"/>
            <w:vAlign w:val="center"/>
            <w:hideMark/>
          </w:tcPr>
          <w:p w14:paraId="7E0DE4A6" w14:textId="77777777" w:rsidR="001E3E9E" w:rsidRPr="004301E7" w:rsidRDefault="001E3E9E" w:rsidP="001E3E9E">
            <w:pPr>
              <w:spacing w:line="240" w:lineRule="auto"/>
              <w:rPr>
                <w:sz w:val="16"/>
                <w:szCs w:val="16"/>
                <w:lang w:val="en-US" w:eastAsia="de-DE"/>
              </w:rPr>
            </w:pPr>
            <w:r w:rsidRPr="004301E7">
              <w:rPr>
                <w:sz w:val="16"/>
                <w:szCs w:val="16"/>
                <w:lang w:val="en-US" w:eastAsia="de-DE"/>
              </w:rPr>
              <w:t>Production Variability of Sound Reduction Components</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609B8C6" w14:textId="77777777" w:rsidR="001E3E9E" w:rsidRPr="004301E7" w:rsidRDefault="001E3E9E" w:rsidP="00FC4AE3">
            <w:pPr>
              <w:jc w:val="center"/>
              <w:rPr>
                <w:sz w:val="16"/>
                <w:szCs w:val="16"/>
                <w:lang w:val="en-US" w:eastAsia="de-DE"/>
              </w:rPr>
            </w:pPr>
            <w:r w:rsidRPr="004301E7">
              <w:rPr>
                <w:sz w:val="16"/>
                <w:szCs w:val="16"/>
                <w:lang w:val="en-US" w:eastAsia="de-DE"/>
              </w:rPr>
              <w:t>1,10</w:t>
            </w:r>
          </w:p>
        </w:tc>
        <w:tc>
          <w:tcPr>
            <w:tcW w:w="426" w:type="dxa"/>
            <w:tcBorders>
              <w:top w:val="nil"/>
              <w:left w:val="nil"/>
              <w:bottom w:val="single" w:sz="4" w:space="0" w:color="auto"/>
              <w:right w:val="single" w:sz="4" w:space="0" w:color="auto"/>
            </w:tcBorders>
            <w:shd w:val="clear" w:color="auto" w:fill="FFFFFF" w:themeFill="background1"/>
            <w:vAlign w:val="center"/>
            <w:hideMark/>
          </w:tcPr>
          <w:p w14:paraId="6E028986" w14:textId="77777777" w:rsidR="001E3E9E" w:rsidRPr="004301E7" w:rsidRDefault="001E3E9E" w:rsidP="00FC4AE3">
            <w:pPr>
              <w:jc w:val="center"/>
              <w:rPr>
                <w:sz w:val="16"/>
                <w:szCs w:val="16"/>
                <w:lang w:val="en-US" w:eastAsia="de-DE"/>
              </w:rPr>
            </w:pPr>
            <w:r w:rsidRPr="004301E7">
              <w:rPr>
                <w:sz w:val="16"/>
                <w:szCs w:val="16"/>
                <w:lang w:val="en-US" w:eastAsia="de-DE"/>
              </w:rPr>
              <w:t>0,00</w:t>
            </w:r>
          </w:p>
        </w:tc>
        <w:tc>
          <w:tcPr>
            <w:tcW w:w="425" w:type="dxa"/>
            <w:tcBorders>
              <w:top w:val="nil"/>
              <w:left w:val="nil"/>
              <w:bottom w:val="single" w:sz="4" w:space="0" w:color="auto"/>
              <w:right w:val="single" w:sz="4" w:space="0" w:color="auto"/>
            </w:tcBorders>
            <w:shd w:val="clear" w:color="auto" w:fill="auto"/>
            <w:noWrap/>
            <w:vAlign w:val="center"/>
            <w:hideMark/>
          </w:tcPr>
          <w:p w14:paraId="7262D4C9" w14:textId="77777777" w:rsidR="001E3E9E" w:rsidRPr="004301E7" w:rsidRDefault="001E3E9E" w:rsidP="00FC4AE3">
            <w:pPr>
              <w:jc w:val="center"/>
              <w:rPr>
                <w:sz w:val="16"/>
                <w:szCs w:val="16"/>
                <w:lang w:val="en-US" w:eastAsia="de-DE"/>
              </w:rPr>
            </w:pPr>
            <w:r w:rsidRPr="004301E7">
              <w:rPr>
                <w:sz w:val="16"/>
                <w:szCs w:val="16"/>
                <w:lang w:val="en-US" w:eastAsia="de-DE"/>
              </w:rPr>
              <w:t xml:space="preserve">0,73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8A0DA4" w14:textId="77777777" w:rsidR="001E3E9E" w:rsidRPr="004301E7" w:rsidRDefault="001E3E9E" w:rsidP="00FC4AE3">
            <w:pPr>
              <w:jc w:val="center"/>
              <w:rPr>
                <w:sz w:val="16"/>
                <w:szCs w:val="16"/>
                <w:lang w:val="en-US" w:eastAsia="de-DE"/>
              </w:rPr>
            </w:pPr>
            <w:r w:rsidRPr="004301E7">
              <w:rPr>
                <w:sz w:val="16"/>
                <w:szCs w:val="16"/>
                <w:lang w:val="en-US" w:eastAsia="de-DE"/>
              </w:rPr>
              <w:t>gaussian</w:t>
            </w:r>
          </w:p>
        </w:tc>
        <w:tc>
          <w:tcPr>
            <w:tcW w:w="567" w:type="dxa"/>
            <w:tcBorders>
              <w:top w:val="nil"/>
              <w:left w:val="nil"/>
              <w:bottom w:val="single" w:sz="4" w:space="0" w:color="auto"/>
              <w:right w:val="single" w:sz="4" w:space="0" w:color="auto"/>
            </w:tcBorders>
            <w:shd w:val="clear" w:color="auto" w:fill="auto"/>
            <w:vAlign w:val="center"/>
            <w:hideMark/>
          </w:tcPr>
          <w:p w14:paraId="4F3A38B3" w14:textId="77777777" w:rsidR="001E3E9E" w:rsidRPr="004301E7" w:rsidRDefault="001E3E9E" w:rsidP="00FC4AE3">
            <w:pPr>
              <w:jc w:val="center"/>
              <w:rPr>
                <w:sz w:val="16"/>
                <w:szCs w:val="16"/>
                <w:lang w:val="en-US" w:eastAsia="de-DE"/>
              </w:rPr>
            </w:pPr>
            <w:r w:rsidRPr="004301E7">
              <w:rPr>
                <w:sz w:val="16"/>
                <w:szCs w:val="16"/>
                <w:lang w:val="en-US" w:eastAsia="de-DE"/>
              </w:rPr>
              <w:t xml:space="preserve">0,03 </w:t>
            </w:r>
          </w:p>
        </w:tc>
        <w:tc>
          <w:tcPr>
            <w:tcW w:w="567" w:type="dxa"/>
            <w:tcBorders>
              <w:top w:val="nil"/>
              <w:left w:val="nil"/>
              <w:bottom w:val="single" w:sz="4" w:space="0" w:color="auto"/>
              <w:right w:val="single" w:sz="4" w:space="0" w:color="auto"/>
            </w:tcBorders>
            <w:shd w:val="clear" w:color="auto" w:fill="auto"/>
            <w:vAlign w:val="center"/>
            <w:hideMark/>
          </w:tcPr>
          <w:p w14:paraId="079E08FE" w14:textId="77777777" w:rsidR="001E3E9E" w:rsidRPr="004301E7" w:rsidRDefault="001E3E9E" w:rsidP="00FC4AE3">
            <w:pPr>
              <w:jc w:val="center"/>
              <w:rPr>
                <w:sz w:val="16"/>
                <w:szCs w:val="16"/>
                <w:lang w:val="en-US" w:eastAsia="de-DE"/>
              </w:rPr>
            </w:pPr>
            <w:r w:rsidRPr="004301E7">
              <w:rPr>
                <w:sz w:val="16"/>
                <w:szCs w:val="16"/>
                <w:lang w:val="en-US" w:eastAsia="de-DE"/>
              </w:rPr>
              <w:t xml:space="preserve">0,182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CBA335"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1,2%</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341052B"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06FFF17"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399DF3C"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115DE62" w14:textId="77777777" w:rsidR="001E3E9E" w:rsidRPr="004301E7" w:rsidRDefault="001E3E9E" w:rsidP="00FC4AE3">
            <w:pPr>
              <w:rPr>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2F012A6C" w14:textId="77777777" w:rsidR="001E3E9E" w:rsidRPr="004301E7" w:rsidRDefault="001E3E9E" w:rsidP="00FC4AE3">
            <w:pPr>
              <w:rPr>
                <w:sz w:val="16"/>
                <w:szCs w:val="16"/>
                <w:lang w:val="en-US" w:eastAsia="de-DE"/>
              </w:rPr>
            </w:pPr>
          </w:p>
        </w:tc>
      </w:tr>
      <w:tr w:rsidR="001E3E9E" w:rsidRPr="004301E7" w14:paraId="5324C24C"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5BAA82EC" w14:textId="77777777" w:rsidR="001E3E9E" w:rsidRPr="004301E7" w:rsidRDefault="001E3E9E" w:rsidP="00FC4AE3">
            <w:pPr>
              <w:rPr>
                <w:b/>
                <w:bCs/>
                <w:sz w:val="16"/>
                <w:szCs w:val="16"/>
                <w:lang w:val="en-US" w:eastAsia="de-DE"/>
              </w:rPr>
            </w:pPr>
          </w:p>
        </w:tc>
        <w:tc>
          <w:tcPr>
            <w:tcW w:w="2693" w:type="dxa"/>
            <w:tcBorders>
              <w:top w:val="single" w:sz="4" w:space="0" w:color="auto"/>
              <w:left w:val="nil"/>
              <w:bottom w:val="single" w:sz="12" w:space="0" w:color="auto"/>
              <w:right w:val="single" w:sz="4" w:space="0" w:color="auto"/>
            </w:tcBorders>
            <w:shd w:val="clear" w:color="auto" w:fill="FFFFFF" w:themeFill="background1"/>
            <w:vAlign w:val="center"/>
            <w:hideMark/>
          </w:tcPr>
          <w:p w14:paraId="376D7339" w14:textId="77777777" w:rsidR="001E3E9E" w:rsidRPr="004301E7" w:rsidRDefault="001E3E9E" w:rsidP="001E3E9E">
            <w:pPr>
              <w:spacing w:line="240" w:lineRule="auto"/>
              <w:rPr>
                <w:sz w:val="16"/>
                <w:szCs w:val="16"/>
                <w:lang w:val="en-US" w:eastAsia="de-DE"/>
              </w:rPr>
            </w:pPr>
            <w:r w:rsidRPr="004301E7">
              <w:rPr>
                <w:sz w:val="16"/>
                <w:szCs w:val="16"/>
                <w:lang w:val="en-US" w:eastAsia="de-DE"/>
              </w:rPr>
              <w:t>Impact of variation of vehicle mass</w:t>
            </w:r>
          </w:p>
        </w:tc>
        <w:tc>
          <w:tcPr>
            <w:tcW w:w="567" w:type="dxa"/>
            <w:tcBorders>
              <w:top w:val="single" w:sz="4" w:space="0" w:color="auto"/>
              <w:left w:val="nil"/>
              <w:bottom w:val="single" w:sz="12" w:space="0" w:color="auto"/>
              <w:right w:val="single" w:sz="4" w:space="0" w:color="auto"/>
            </w:tcBorders>
            <w:shd w:val="clear" w:color="auto" w:fill="FFFFFF" w:themeFill="background1"/>
            <w:vAlign w:val="center"/>
            <w:hideMark/>
          </w:tcPr>
          <w:p w14:paraId="7CEA233A" w14:textId="77777777" w:rsidR="001E3E9E" w:rsidRPr="004301E7" w:rsidRDefault="001E3E9E" w:rsidP="00FC4AE3">
            <w:pPr>
              <w:jc w:val="center"/>
              <w:rPr>
                <w:sz w:val="16"/>
                <w:szCs w:val="16"/>
                <w:lang w:val="en-US" w:eastAsia="de-DE"/>
              </w:rPr>
            </w:pPr>
            <w:r w:rsidRPr="004301E7">
              <w:rPr>
                <w:sz w:val="16"/>
                <w:szCs w:val="16"/>
                <w:lang w:val="en-US" w:eastAsia="de-DE"/>
              </w:rPr>
              <w:t>1,60</w:t>
            </w:r>
          </w:p>
        </w:tc>
        <w:tc>
          <w:tcPr>
            <w:tcW w:w="426" w:type="dxa"/>
            <w:tcBorders>
              <w:top w:val="single" w:sz="4" w:space="0" w:color="auto"/>
              <w:left w:val="nil"/>
              <w:bottom w:val="single" w:sz="12" w:space="0" w:color="auto"/>
              <w:right w:val="single" w:sz="4" w:space="0" w:color="auto"/>
            </w:tcBorders>
            <w:shd w:val="clear" w:color="auto" w:fill="FFFFFF" w:themeFill="background1"/>
            <w:vAlign w:val="center"/>
            <w:hideMark/>
          </w:tcPr>
          <w:p w14:paraId="3D5659E3" w14:textId="77777777" w:rsidR="001E3E9E" w:rsidRPr="004301E7" w:rsidRDefault="001E3E9E" w:rsidP="00FC4AE3">
            <w:pPr>
              <w:jc w:val="center"/>
              <w:rPr>
                <w:sz w:val="16"/>
                <w:szCs w:val="16"/>
                <w:lang w:val="en-US" w:eastAsia="de-DE"/>
              </w:rPr>
            </w:pPr>
            <w:r w:rsidRPr="004301E7">
              <w:rPr>
                <w:sz w:val="16"/>
                <w:szCs w:val="16"/>
                <w:lang w:val="en-US" w:eastAsia="de-DE"/>
              </w:rPr>
              <w:t>1,60</w:t>
            </w:r>
          </w:p>
        </w:tc>
        <w:tc>
          <w:tcPr>
            <w:tcW w:w="425" w:type="dxa"/>
            <w:tcBorders>
              <w:top w:val="single" w:sz="4" w:space="0" w:color="auto"/>
              <w:left w:val="nil"/>
              <w:bottom w:val="single" w:sz="12" w:space="0" w:color="auto"/>
              <w:right w:val="single" w:sz="4" w:space="0" w:color="auto"/>
            </w:tcBorders>
            <w:shd w:val="clear" w:color="auto" w:fill="auto"/>
            <w:noWrap/>
            <w:vAlign w:val="center"/>
            <w:hideMark/>
          </w:tcPr>
          <w:p w14:paraId="34C33002"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 xml:space="preserve">1,60 </w:t>
            </w:r>
          </w:p>
        </w:tc>
        <w:tc>
          <w:tcPr>
            <w:tcW w:w="992" w:type="dxa"/>
            <w:tcBorders>
              <w:top w:val="single" w:sz="4" w:space="0" w:color="auto"/>
              <w:left w:val="nil"/>
              <w:bottom w:val="single" w:sz="12" w:space="0" w:color="auto"/>
              <w:right w:val="single" w:sz="4" w:space="0" w:color="auto"/>
            </w:tcBorders>
            <w:shd w:val="clear" w:color="auto" w:fill="FFFFFF" w:themeFill="background1"/>
            <w:vAlign w:val="center"/>
            <w:hideMark/>
          </w:tcPr>
          <w:p w14:paraId="3F158EB3" w14:textId="77777777" w:rsidR="001E3E9E" w:rsidRPr="004301E7" w:rsidRDefault="001E3E9E" w:rsidP="00FC4AE3">
            <w:pPr>
              <w:jc w:val="center"/>
              <w:rPr>
                <w:sz w:val="16"/>
                <w:szCs w:val="16"/>
                <w:lang w:val="en-US" w:eastAsia="de-DE"/>
              </w:rPr>
            </w:pPr>
            <w:r w:rsidRPr="004301E7">
              <w:rPr>
                <w:sz w:val="16"/>
                <w:szCs w:val="16"/>
                <w:lang w:val="en-US" w:eastAsia="de-DE"/>
              </w:rPr>
              <w:t>rectangular</w:t>
            </w:r>
          </w:p>
        </w:tc>
        <w:tc>
          <w:tcPr>
            <w:tcW w:w="567" w:type="dxa"/>
            <w:tcBorders>
              <w:top w:val="single" w:sz="4" w:space="0" w:color="auto"/>
              <w:left w:val="nil"/>
              <w:bottom w:val="single" w:sz="12" w:space="0" w:color="auto"/>
              <w:right w:val="single" w:sz="4" w:space="0" w:color="auto"/>
            </w:tcBorders>
            <w:shd w:val="clear" w:color="auto" w:fill="auto"/>
            <w:vAlign w:val="center"/>
            <w:hideMark/>
          </w:tcPr>
          <w:p w14:paraId="391037ED" w14:textId="77777777" w:rsidR="001E3E9E" w:rsidRPr="004301E7" w:rsidRDefault="001E3E9E" w:rsidP="00FC4AE3">
            <w:pPr>
              <w:jc w:val="center"/>
              <w:rPr>
                <w:sz w:val="16"/>
                <w:szCs w:val="16"/>
                <w:lang w:val="en-US" w:eastAsia="de-DE"/>
              </w:rPr>
            </w:pPr>
            <w:r w:rsidRPr="004301E7">
              <w:rPr>
                <w:sz w:val="16"/>
                <w:szCs w:val="16"/>
                <w:lang w:val="en-US" w:eastAsia="de-DE"/>
              </w:rPr>
              <w:t xml:space="preserve">0,21 </w:t>
            </w:r>
          </w:p>
        </w:tc>
        <w:tc>
          <w:tcPr>
            <w:tcW w:w="567" w:type="dxa"/>
            <w:tcBorders>
              <w:top w:val="single" w:sz="4" w:space="0" w:color="auto"/>
              <w:left w:val="nil"/>
              <w:bottom w:val="single" w:sz="12" w:space="0" w:color="auto"/>
              <w:right w:val="single" w:sz="4" w:space="0" w:color="auto"/>
            </w:tcBorders>
            <w:shd w:val="clear" w:color="auto" w:fill="auto"/>
            <w:vAlign w:val="center"/>
            <w:hideMark/>
          </w:tcPr>
          <w:p w14:paraId="3E3E6334" w14:textId="77777777" w:rsidR="001E3E9E" w:rsidRPr="004301E7" w:rsidRDefault="001E3E9E" w:rsidP="00FC4AE3">
            <w:pPr>
              <w:jc w:val="center"/>
              <w:rPr>
                <w:sz w:val="16"/>
                <w:szCs w:val="16"/>
                <w:lang w:val="en-US" w:eastAsia="de-DE"/>
              </w:rPr>
            </w:pPr>
            <w:r w:rsidRPr="004301E7">
              <w:rPr>
                <w:sz w:val="16"/>
                <w:szCs w:val="16"/>
                <w:lang w:val="en-US" w:eastAsia="de-DE"/>
              </w:rPr>
              <w:t xml:space="preserve">0,462 </w:t>
            </w: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14:paraId="7A708F23" w14:textId="77777777" w:rsidR="001E3E9E" w:rsidRPr="004301E7" w:rsidRDefault="001E3E9E" w:rsidP="00FC4AE3">
            <w:pPr>
              <w:jc w:val="center"/>
              <w:rPr>
                <w:color w:val="000000"/>
                <w:sz w:val="16"/>
                <w:szCs w:val="16"/>
                <w:lang w:val="en-US" w:eastAsia="de-DE"/>
              </w:rPr>
            </w:pPr>
            <w:r w:rsidRPr="004301E7">
              <w:rPr>
                <w:color w:val="000000"/>
                <w:sz w:val="16"/>
                <w:szCs w:val="16"/>
                <w:lang w:val="en-US" w:eastAsia="de-DE"/>
              </w:rPr>
              <w:t>7,8%</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B303C55"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4876438"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291C7BEE" w14:textId="77777777" w:rsidR="001E3E9E" w:rsidRPr="004301E7" w:rsidRDefault="001E3E9E" w:rsidP="00FC4AE3">
            <w:pPr>
              <w:rPr>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44CB2D28" w14:textId="77777777" w:rsidR="001E3E9E" w:rsidRPr="004301E7" w:rsidRDefault="001E3E9E" w:rsidP="00FC4AE3">
            <w:pPr>
              <w:rPr>
                <w:sz w:val="16"/>
                <w:szCs w:val="16"/>
                <w:lang w:val="en-US" w:eastAsia="de-DE"/>
              </w:rPr>
            </w:pPr>
          </w:p>
        </w:tc>
        <w:tc>
          <w:tcPr>
            <w:tcW w:w="567" w:type="dxa"/>
            <w:vMerge/>
            <w:tcBorders>
              <w:left w:val="single" w:sz="4" w:space="0" w:color="auto"/>
              <w:bottom w:val="single" w:sz="12" w:space="0" w:color="auto"/>
              <w:right w:val="single" w:sz="4" w:space="0" w:color="auto"/>
            </w:tcBorders>
            <w:shd w:val="clear" w:color="auto" w:fill="E7E6E6" w:themeFill="background2"/>
          </w:tcPr>
          <w:p w14:paraId="41902D40" w14:textId="77777777" w:rsidR="001E3E9E" w:rsidRPr="004301E7" w:rsidRDefault="001E3E9E" w:rsidP="00FC4AE3">
            <w:pPr>
              <w:rPr>
                <w:sz w:val="16"/>
                <w:szCs w:val="16"/>
                <w:lang w:val="en-US" w:eastAsia="de-DE"/>
              </w:rPr>
            </w:pPr>
          </w:p>
        </w:tc>
      </w:tr>
      <w:tr w:rsidR="001E3E9E" w:rsidRPr="004301E7" w14:paraId="2D3CB3AF" w14:textId="77777777" w:rsidTr="00FC4AE3">
        <w:trPr>
          <w:trHeight w:val="162"/>
        </w:trPr>
        <w:tc>
          <w:tcPr>
            <w:tcW w:w="426" w:type="dxa"/>
            <w:tcBorders>
              <w:top w:val="single" w:sz="12" w:space="0" w:color="auto"/>
              <w:left w:val="nil"/>
              <w:right w:val="nil"/>
            </w:tcBorders>
            <w:shd w:val="clear" w:color="000000" w:fill="FFFFFF"/>
            <w:vAlign w:val="center"/>
            <w:hideMark/>
          </w:tcPr>
          <w:p w14:paraId="443EB37A" w14:textId="77777777" w:rsidR="001E3E9E" w:rsidRPr="004301E7" w:rsidRDefault="001E3E9E" w:rsidP="00FC4AE3">
            <w:pPr>
              <w:jc w:val="center"/>
              <w:rPr>
                <w:b/>
                <w:bCs/>
                <w:color w:val="9C6500"/>
                <w:sz w:val="18"/>
                <w:szCs w:val="18"/>
                <w:lang w:val="en-US" w:eastAsia="de-DE"/>
              </w:rPr>
            </w:pPr>
            <w:r w:rsidRPr="004301E7">
              <w:rPr>
                <w:b/>
                <w:bCs/>
                <w:color w:val="9C6500"/>
                <w:sz w:val="18"/>
                <w:szCs w:val="18"/>
                <w:lang w:val="en-US" w:eastAsia="de-DE"/>
              </w:rPr>
              <w:t> </w:t>
            </w:r>
          </w:p>
        </w:tc>
        <w:tc>
          <w:tcPr>
            <w:tcW w:w="2693" w:type="dxa"/>
            <w:tcBorders>
              <w:top w:val="single" w:sz="12" w:space="0" w:color="auto"/>
              <w:left w:val="nil"/>
              <w:right w:val="nil"/>
            </w:tcBorders>
            <w:shd w:val="clear" w:color="000000" w:fill="FFFFFF"/>
            <w:vAlign w:val="center"/>
            <w:hideMark/>
          </w:tcPr>
          <w:p w14:paraId="34782F4E" w14:textId="77777777" w:rsidR="001E3E9E" w:rsidRPr="004301E7" w:rsidRDefault="001E3E9E" w:rsidP="00FC4AE3">
            <w:pPr>
              <w:rPr>
                <w:sz w:val="18"/>
                <w:szCs w:val="18"/>
                <w:lang w:val="en-US" w:eastAsia="de-DE"/>
              </w:rPr>
            </w:pPr>
            <w:r w:rsidRPr="004301E7">
              <w:rPr>
                <w:sz w:val="18"/>
                <w:szCs w:val="18"/>
                <w:lang w:val="en-US" w:eastAsia="de-DE"/>
              </w:rPr>
              <w:t> </w:t>
            </w:r>
          </w:p>
        </w:tc>
        <w:tc>
          <w:tcPr>
            <w:tcW w:w="567" w:type="dxa"/>
            <w:tcBorders>
              <w:top w:val="single" w:sz="12" w:space="0" w:color="auto"/>
              <w:left w:val="nil"/>
              <w:right w:val="nil"/>
            </w:tcBorders>
            <w:shd w:val="clear" w:color="000000" w:fill="FFFFFF"/>
            <w:hideMark/>
          </w:tcPr>
          <w:p w14:paraId="01BB90F7" w14:textId="77777777" w:rsidR="001E3E9E" w:rsidRPr="004301E7" w:rsidRDefault="001E3E9E" w:rsidP="00FC4AE3">
            <w:pPr>
              <w:rPr>
                <w:sz w:val="18"/>
                <w:szCs w:val="18"/>
                <w:lang w:val="en-US" w:eastAsia="de-DE"/>
              </w:rPr>
            </w:pPr>
            <w:r w:rsidRPr="004301E7">
              <w:rPr>
                <w:sz w:val="18"/>
                <w:szCs w:val="18"/>
                <w:lang w:val="en-US" w:eastAsia="de-DE"/>
              </w:rPr>
              <w:t> </w:t>
            </w:r>
          </w:p>
        </w:tc>
        <w:tc>
          <w:tcPr>
            <w:tcW w:w="426" w:type="dxa"/>
            <w:tcBorders>
              <w:top w:val="single" w:sz="12" w:space="0" w:color="auto"/>
              <w:left w:val="nil"/>
              <w:right w:val="nil"/>
            </w:tcBorders>
            <w:shd w:val="clear" w:color="000000" w:fill="FFFFFF"/>
            <w:noWrap/>
            <w:vAlign w:val="center"/>
            <w:hideMark/>
          </w:tcPr>
          <w:p w14:paraId="13B50E1A" w14:textId="77777777" w:rsidR="001E3E9E" w:rsidRPr="004301E7" w:rsidRDefault="001E3E9E" w:rsidP="00FC4AE3">
            <w:pPr>
              <w:rPr>
                <w:sz w:val="18"/>
                <w:szCs w:val="18"/>
                <w:lang w:val="en-US" w:eastAsia="de-DE"/>
              </w:rPr>
            </w:pPr>
            <w:r w:rsidRPr="004301E7">
              <w:rPr>
                <w:sz w:val="18"/>
                <w:szCs w:val="18"/>
                <w:lang w:val="en-US" w:eastAsia="de-DE"/>
              </w:rPr>
              <w:t> </w:t>
            </w:r>
          </w:p>
        </w:tc>
        <w:tc>
          <w:tcPr>
            <w:tcW w:w="425" w:type="dxa"/>
            <w:tcBorders>
              <w:top w:val="single" w:sz="12" w:space="0" w:color="auto"/>
              <w:left w:val="nil"/>
              <w:right w:val="nil"/>
            </w:tcBorders>
            <w:shd w:val="clear" w:color="000000" w:fill="FFFFFF"/>
            <w:noWrap/>
            <w:vAlign w:val="center"/>
            <w:hideMark/>
          </w:tcPr>
          <w:p w14:paraId="23EAC208" w14:textId="77777777" w:rsidR="001E3E9E" w:rsidRPr="004301E7" w:rsidRDefault="001E3E9E" w:rsidP="00FC4AE3">
            <w:pPr>
              <w:rPr>
                <w:sz w:val="18"/>
                <w:szCs w:val="18"/>
                <w:lang w:val="en-US" w:eastAsia="de-DE"/>
              </w:rPr>
            </w:pPr>
            <w:r w:rsidRPr="004301E7">
              <w:rPr>
                <w:sz w:val="18"/>
                <w:szCs w:val="18"/>
                <w:lang w:val="en-US" w:eastAsia="de-DE"/>
              </w:rPr>
              <w:t> </w:t>
            </w:r>
          </w:p>
        </w:tc>
        <w:tc>
          <w:tcPr>
            <w:tcW w:w="992" w:type="dxa"/>
            <w:tcBorders>
              <w:top w:val="single" w:sz="12" w:space="0" w:color="auto"/>
              <w:left w:val="nil"/>
              <w:right w:val="nil"/>
            </w:tcBorders>
            <w:shd w:val="clear" w:color="auto" w:fill="FFFFFF" w:themeFill="background1"/>
            <w:noWrap/>
            <w:vAlign w:val="center"/>
            <w:hideMark/>
          </w:tcPr>
          <w:p w14:paraId="00227B6F" w14:textId="77777777" w:rsidR="001E3E9E" w:rsidRPr="004301E7" w:rsidRDefault="001E3E9E" w:rsidP="00FC4AE3">
            <w:pPr>
              <w:rPr>
                <w:sz w:val="18"/>
                <w:szCs w:val="18"/>
                <w:lang w:val="en-US" w:eastAsia="de-DE"/>
              </w:rPr>
            </w:pPr>
            <w:r w:rsidRPr="004301E7">
              <w:rPr>
                <w:sz w:val="18"/>
                <w:szCs w:val="18"/>
                <w:lang w:val="en-US" w:eastAsia="de-DE"/>
              </w:rPr>
              <w:t> </w:t>
            </w:r>
          </w:p>
        </w:tc>
        <w:tc>
          <w:tcPr>
            <w:tcW w:w="567" w:type="dxa"/>
            <w:tcBorders>
              <w:top w:val="single" w:sz="12" w:space="0" w:color="auto"/>
              <w:left w:val="nil"/>
              <w:right w:val="nil"/>
            </w:tcBorders>
            <w:shd w:val="clear" w:color="000000" w:fill="FFFFFF"/>
            <w:noWrap/>
            <w:vAlign w:val="center"/>
            <w:hideMark/>
          </w:tcPr>
          <w:p w14:paraId="45E61296" w14:textId="77777777" w:rsidR="001E3E9E" w:rsidRPr="004301E7" w:rsidRDefault="001E3E9E" w:rsidP="00FC4AE3">
            <w:pPr>
              <w:rPr>
                <w:sz w:val="18"/>
                <w:szCs w:val="18"/>
                <w:lang w:val="en-US" w:eastAsia="de-DE"/>
              </w:rPr>
            </w:pPr>
            <w:r w:rsidRPr="004301E7">
              <w:rPr>
                <w:sz w:val="18"/>
                <w:szCs w:val="18"/>
                <w:lang w:val="en-US" w:eastAsia="de-DE"/>
              </w:rPr>
              <w:t> </w:t>
            </w:r>
          </w:p>
        </w:tc>
        <w:tc>
          <w:tcPr>
            <w:tcW w:w="567" w:type="dxa"/>
            <w:tcBorders>
              <w:top w:val="single" w:sz="12" w:space="0" w:color="auto"/>
              <w:left w:val="nil"/>
              <w:right w:val="nil"/>
            </w:tcBorders>
            <w:shd w:val="clear" w:color="000000" w:fill="FFFFFF"/>
            <w:vAlign w:val="center"/>
            <w:hideMark/>
          </w:tcPr>
          <w:p w14:paraId="2663E65A" w14:textId="77777777" w:rsidR="001E3E9E" w:rsidRPr="004301E7" w:rsidRDefault="001E3E9E" w:rsidP="00FC4AE3">
            <w:pPr>
              <w:jc w:val="center"/>
              <w:rPr>
                <w:color w:val="FFFFFF"/>
                <w:sz w:val="18"/>
                <w:szCs w:val="18"/>
                <w:lang w:val="en-US" w:eastAsia="de-DE"/>
              </w:rPr>
            </w:pPr>
            <w:r w:rsidRPr="004301E7">
              <w:rPr>
                <w:color w:val="FFFFFF"/>
                <w:sz w:val="18"/>
                <w:szCs w:val="18"/>
                <w:lang w:val="en-US" w:eastAsia="de-DE"/>
              </w:rPr>
              <w:t xml:space="preserve">1,552 </w:t>
            </w:r>
          </w:p>
        </w:tc>
        <w:tc>
          <w:tcPr>
            <w:tcW w:w="709" w:type="dxa"/>
            <w:tcBorders>
              <w:top w:val="single" w:sz="12" w:space="0" w:color="auto"/>
              <w:left w:val="nil"/>
              <w:right w:val="nil"/>
            </w:tcBorders>
            <w:shd w:val="clear" w:color="auto" w:fill="FFFFFF" w:themeFill="background1"/>
            <w:vAlign w:val="center"/>
            <w:hideMark/>
          </w:tcPr>
          <w:p w14:paraId="6188D519" w14:textId="77777777" w:rsidR="001E3E9E" w:rsidRPr="004301E7" w:rsidRDefault="001E3E9E" w:rsidP="00FC4AE3">
            <w:pPr>
              <w:jc w:val="center"/>
              <w:rPr>
                <w:sz w:val="18"/>
                <w:szCs w:val="18"/>
                <w:lang w:val="en-US" w:eastAsia="de-DE"/>
              </w:rPr>
            </w:pPr>
            <w:r w:rsidRPr="004301E7">
              <w:rPr>
                <w:sz w:val="18"/>
                <w:szCs w:val="18"/>
                <w:lang w:val="en-US" w:eastAsia="de-DE"/>
              </w:rPr>
              <w:t>100 %</w:t>
            </w:r>
          </w:p>
        </w:tc>
        <w:tc>
          <w:tcPr>
            <w:tcW w:w="567" w:type="dxa"/>
            <w:tcBorders>
              <w:top w:val="single" w:sz="12" w:space="0" w:color="auto"/>
              <w:left w:val="nil"/>
              <w:right w:val="nil"/>
            </w:tcBorders>
            <w:shd w:val="clear" w:color="000000" w:fill="FFFFFF"/>
            <w:noWrap/>
            <w:vAlign w:val="center"/>
            <w:hideMark/>
          </w:tcPr>
          <w:p w14:paraId="59640815" w14:textId="77777777" w:rsidR="001E3E9E" w:rsidRPr="004301E7" w:rsidRDefault="001E3E9E" w:rsidP="00FC4AE3">
            <w:pPr>
              <w:rPr>
                <w:sz w:val="18"/>
                <w:szCs w:val="18"/>
                <w:lang w:val="en-US" w:eastAsia="de-DE"/>
              </w:rPr>
            </w:pPr>
            <w:r w:rsidRPr="004301E7">
              <w:rPr>
                <w:sz w:val="18"/>
                <w:szCs w:val="18"/>
                <w:lang w:val="en-US" w:eastAsia="de-DE"/>
              </w:rPr>
              <w:t> </w:t>
            </w:r>
          </w:p>
        </w:tc>
        <w:tc>
          <w:tcPr>
            <w:tcW w:w="1701" w:type="dxa"/>
            <w:gridSpan w:val="3"/>
            <w:tcBorders>
              <w:top w:val="single" w:sz="12" w:space="0" w:color="auto"/>
              <w:left w:val="nil"/>
              <w:right w:val="nil"/>
            </w:tcBorders>
            <w:shd w:val="clear" w:color="000000" w:fill="FFFFFF"/>
            <w:vAlign w:val="center"/>
            <w:hideMark/>
          </w:tcPr>
          <w:p w14:paraId="6D96EBF6" w14:textId="77777777" w:rsidR="001E3E9E" w:rsidRPr="004301E7" w:rsidRDefault="001E3E9E" w:rsidP="00FC4AE3">
            <w:pPr>
              <w:jc w:val="center"/>
              <w:rPr>
                <w:sz w:val="18"/>
                <w:szCs w:val="18"/>
                <w:lang w:val="en-US" w:eastAsia="de-DE"/>
              </w:rPr>
            </w:pPr>
            <w:r w:rsidRPr="004301E7">
              <w:rPr>
                <w:sz w:val="18"/>
                <w:szCs w:val="18"/>
                <w:lang w:val="en-US" w:eastAsia="de-DE"/>
              </w:rPr>
              <w:t> </w:t>
            </w:r>
          </w:p>
        </w:tc>
        <w:tc>
          <w:tcPr>
            <w:tcW w:w="567" w:type="dxa"/>
            <w:tcBorders>
              <w:top w:val="single" w:sz="12" w:space="0" w:color="auto"/>
              <w:left w:val="nil"/>
              <w:right w:val="nil"/>
            </w:tcBorders>
            <w:shd w:val="clear" w:color="000000" w:fill="FFFFFF"/>
          </w:tcPr>
          <w:p w14:paraId="51E73081" w14:textId="77777777" w:rsidR="001E3E9E" w:rsidRPr="004301E7" w:rsidRDefault="001E3E9E" w:rsidP="00FC4AE3">
            <w:pPr>
              <w:jc w:val="center"/>
              <w:rPr>
                <w:sz w:val="18"/>
                <w:szCs w:val="18"/>
                <w:lang w:val="en-US" w:eastAsia="de-DE"/>
              </w:rPr>
            </w:pPr>
          </w:p>
        </w:tc>
      </w:tr>
    </w:tbl>
    <w:tbl>
      <w:tblPr>
        <w:tblStyle w:val="TabelleRaster1"/>
        <w:tblW w:w="9781" w:type="dxa"/>
        <w:tblInd w:w="142" w:type="dxa"/>
        <w:tblLook w:val="0600" w:firstRow="0" w:lastRow="0" w:firstColumn="0" w:lastColumn="0" w:noHBand="1" w:noVBand="1"/>
      </w:tblPr>
      <w:tblGrid>
        <w:gridCol w:w="1985"/>
        <w:gridCol w:w="1010"/>
        <w:gridCol w:w="1399"/>
        <w:gridCol w:w="1843"/>
        <w:gridCol w:w="700"/>
        <w:gridCol w:w="1028"/>
        <w:gridCol w:w="824"/>
        <w:gridCol w:w="992"/>
      </w:tblGrid>
      <w:tr w:rsidR="001E3E9E" w:rsidRPr="004301E7" w14:paraId="7A4E4A87" w14:textId="77777777" w:rsidTr="00FC4AE3">
        <w:trPr>
          <w:trHeight w:val="275"/>
        </w:trPr>
        <w:tc>
          <w:tcPr>
            <w:tcW w:w="1985" w:type="dxa"/>
            <w:tcBorders>
              <w:top w:val="nil"/>
              <w:left w:val="nil"/>
              <w:bottom w:val="nil"/>
              <w:right w:val="nil"/>
            </w:tcBorders>
            <w:vAlign w:val="bottom"/>
          </w:tcPr>
          <w:p w14:paraId="0CC60CDB" w14:textId="77777777" w:rsidR="001E3E9E" w:rsidRPr="004301E7" w:rsidRDefault="001E3E9E" w:rsidP="00FC4AE3">
            <w:pPr>
              <w:suppressAutoHyphens w:val="0"/>
              <w:jc w:val="center"/>
              <w:rPr>
                <w:bCs/>
                <w:lang w:val="en-US"/>
              </w:rPr>
            </w:pPr>
          </w:p>
        </w:tc>
        <w:tc>
          <w:tcPr>
            <w:tcW w:w="1010" w:type="dxa"/>
            <w:tcBorders>
              <w:top w:val="nil"/>
              <w:left w:val="nil"/>
              <w:bottom w:val="nil"/>
              <w:right w:val="nil"/>
            </w:tcBorders>
            <w:vAlign w:val="center"/>
          </w:tcPr>
          <w:p w14:paraId="24E7DD97" w14:textId="77777777" w:rsidR="001E3E9E" w:rsidRPr="004301E7" w:rsidRDefault="001E3E9E" w:rsidP="00FC4AE3">
            <w:pPr>
              <w:suppressAutoHyphens w:val="0"/>
              <w:jc w:val="center"/>
              <w:rPr>
                <w:bCs/>
                <w:lang w:val="en-US"/>
              </w:rPr>
            </w:pPr>
          </w:p>
        </w:tc>
        <w:tc>
          <w:tcPr>
            <w:tcW w:w="1399" w:type="dxa"/>
            <w:tcBorders>
              <w:top w:val="nil"/>
              <w:left w:val="nil"/>
              <w:bottom w:val="nil"/>
              <w:right w:val="nil"/>
            </w:tcBorders>
            <w:vAlign w:val="center"/>
          </w:tcPr>
          <w:p w14:paraId="6E2CADE3" w14:textId="77777777" w:rsidR="001E3E9E" w:rsidRPr="004301E7" w:rsidRDefault="001E3E9E" w:rsidP="00FC4AE3">
            <w:pPr>
              <w:suppressAutoHyphens w:val="0"/>
              <w:jc w:val="center"/>
              <w:rPr>
                <w:b/>
                <w:sz w:val="18"/>
                <w:szCs w:val="18"/>
                <w:lang w:val="en-US"/>
              </w:rPr>
            </w:pPr>
          </w:p>
        </w:tc>
        <w:tc>
          <w:tcPr>
            <w:tcW w:w="1843" w:type="dxa"/>
            <w:tcBorders>
              <w:top w:val="nil"/>
              <w:left w:val="nil"/>
              <w:bottom w:val="nil"/>
              <w:right w:val="nil"/>
            </w:tcBorders>
            <w:vAlign w:val="center"/>
          </w:tcPr>
          <w:p w14:paraId="4317DAF8" w14:textId="77777777" w:rsidR="001E3E9E" w:rsidRPr="004301E7" w:rsidRDefault="001E3E9E" w:rsidP="00FC4AE3">
            <w:pPr>
              <w:suppressAutoHyphens w:val="0"/>
              <w:jc w:val="center"/>
              <w:rPr>
                <w:b/>
                <w:lang w:val="en-US"/>
              </w:rPr>
            </w:pPr>
          </w:p>
        </w:tc>
        <w:tc>
          <w:tcPr>
            <w:tcW w:w="700" w:type="dxa"/>
            <w:tcBorders>
              <w:top w:val="nil"/>
              <w:left w:val="nil"/>
              <w:bottom w:val="nil"/>
              <w:right w:val="single" w:sz="4" w:space="0" w:color="auto"/>
            </w:tcBorders>
            <w:vAlign w:val="center"/>
          </w:tcPr>
          <w:p w14:paraId="05383F87" w14:textId="77777777" w:rsidR="001E3E9E" w:rsidRPr="004301E7" w:rsidRDefault="001E3E9E" w:rsidP="00FC4AE3">
            <w:pPr>
              <w:suppressAutoHyphens w:val="0"/>
              <w:jc w:val="center"/>
              <w:rPr>
                <w:bCs/>
                <w:lang w:val="en-US"/>
              </w:rPr>
            </w:pPr>
          </w:p>
        </w:tc>
        <w:tc>
          <w:tcPr>
            <w:tcW w:w="2844" w:type="dxa"/>
            <w:gridSpan w:val="3"/>
            <w:tcBorders>
              <w:top w:val="single" w:sz="4" w:space="0" w:color="auto"/>
              <w:left w:val="single" w:sz="4" w:space="0" w:color="auto"/>
              <w:right w:val="single" w:sz="4" w:space="0" w:color="auto"/>
            </w:tcBorders>
            <w:shd w:val="clear" w:color="auto" w:fill="E7E6E6" w:themeFill="background2"/>
            <w:vAlign w:val="center"/>
          </w:tcPr>
          <w:p w14:paraId="59E9D2F1" w14:textId="77777777" w:rsidR="001E3E9E" w:rsidRPr="004301E7" w:rsidRDefault="001E3E9E" w:rsidP="00FC4AE3">
            <w:pPr>
              <w:suppressAutoHyphens w:val="0"/>
              <w:jc w:val="center"/>
              <w:rPr>
                <w:b/>
                <w:lang w:val="en-US"/>
              </w:rPr>
            </w:pPr>
            <w:r w:rsidRPr="004301E7">
              <w:rPr>
                <w:b/>
                <w:sz w:val="18"/>
                <w:szCs w:val="18"/>
                <w:lang w:val="en-US"/>
              </w:rPr>
              <w:t>Expanded uncertainty (95%) +/-</w:t>
            </w:r>
          </w:p>
        </w:tc>
      </w:tr>
      <w:tr w:rsidR="001E3E9E" w:rsidRPr="004301E7" w14:paraId="22FF9A52" w14:textId="77777777" w:rsidTr="00FC4AE3">
        <w:trPr>
          <w:trHeight w:val="652"/>
        </w:trPr>
        <w:tc>
          <w:tcPr>
            <w:tcW w:w="1985" w:type="dxa"/>
            <w:tcBorders>
              <w:top w:val="nil"/>
              <w:left w:val="nil"/>
              <w:bottom w:val="nil"/>
              <w:right w:val="nil"/>
            </w:tcBorders>
            <w:vAlign w:val="bottom"/>
          </w:tcPr>
          <w:p w14:paraId="288E1B39" w14:textId="77777777" w:rsidR="001E3E9E" w:rsidRPr="004301E7" w:rsidRDefault="001E3E9E" w:rsidP="00FC4AE3">
            <w:pPr>
              <w:suppressAutoHyphens w:val="0"/>
              <w:jc w:val="center"/>
              <w:rPr>
                <w:bCs/>
                <w:lang w:val="en-US"/>
              </w:rPr>
            </w:pPr>
          </w:p>
        </w:tc>
        <w:tc>
          <w:tcPr>
            <w:tcW w:w="1010" w:type="dxa"/>
            <w:vMerge w:val="restart"/>
            <w:tcBorders>
              <w:top w:val="nil"/>
              <w:left w:val="nil"/>
              <w:bottom w:val="nil"/>
              <w:right w:val="single" w:sz="4" w:space="0" w:color="auto"/>
            </w:tcBorders>
            <w:vAlign w:val="center"/>
          </w:tcPr>
          <w:p w14:paraId="6EB72F0C" w14:textId="77777777" w:rsidR="001E3E9E" w:rsidRPr="004301E7" w:rsidRDefault="001E3E9E" w:rsidP="00FC4AE3">
            <w:pPr>
              <w:suppressAutoHyphens w:val="0"/>
              <w:jc w:val="center"/>
              <w:rPr>
                <w:bCs/>
                <w:lang w:val="en-US"/>
              </w:rPr>
            </w:pPr>
          </w:p>
        </w:tc>
        <w:tc>
          <w:tcPr>
            <w:tcW w:w="1399" w:type="dxa"/>
            <w:vMerge w:val="restart"/>
            <w:tcBorders>
              <w:top w:val="single" w:sz="4" w:space="0" w:color="auto"/>
              <w:left w:val="single" w:sz="4" w:space="0" w:color="auto"/>
            </w:tcBorders>
            <w:vAlign w:val="center"/>
          </w:tcPr>
          <w:p w14:paraId="0494DB4B" w14:textId="77777777" w:rsidR="001E3E9E" w:rsidRPr="004301E7" w:rsidRDefault="001E3E9E" w:rsidP="00FC4AE3">
            <w:pPr>
              <w:suppressAutoHyphens w:val="0"/>
              <w:jc w:val="center"/>
              <w:rPr>
                <w:b/>
                <w:lang w:val="en-US"/>
              </w:rPr>
            </w:pPr>
            <w:r w:rsidRPr="004301E7">
              <w:rPr>
                <w:b/>
                <w:sz w:val="18"/>
                <w:szCs w:val="18"/>
                <w:lang w:val="en-US"/>
              </w:rPr>
              <w:t>Overall Combined Uncertainty</w:t>
            </w:r>
            <w:r w:rsidRPr="004301E7">
              <w:rPr>
                <w:b/>
                <w:lang w:val="en-US"/>
              </w:rPr>
              <w:t xml:space="preserve"> +/-</w:t>
            </w:r>
          </w:p>
        </w:tc>
        <w:tc>
          <w:tcPr>
            <w:tcW w:w="1843" w:type="dxa"/>
            <w:vMerge w:val="restart"/>
            <w:tcBorders>
              <w:top w:val="single" w:sz="4" w:space="0" w:color="auto"/>
              <w:right w:val="single" w:sz="4" w:space="0" w:color="auto"/>
            </w:tcBorders>
            <w:shd w:val="clear" w:color="auto" w:fill="E7E6E6" w:themeFill="background2"/>
            <w:vAlign w:val="center"/>
          </w:tcPr>
          <w:p w14:paraId="5DAD9081" w14:textId="77777777" w:rsidR="001E3E9E" w:rsidRPr="004301E7" w:rsidRDefault="001E3E9E" w:rsidP="00FC4AE3">
            <w:pPr>
              <w:suppressAutoHyphens w:val="0"/>
              <w:jc w:val="center"/>
              <w:rPr>
                <w:b/>
                <w:lang w:val="en-US"/>
              </w:rPr>
            </w:pPr>
            <w:r w:rsidRPr="004301E7">
              <w:rPr>
                <w:b/>
                <w:lang w:val="en-US"/>
              </w:rPr>
              <w:t xml:space="preserve">Expanded uncertainty (95%) </w:t>
            </w:r>
            <w:r w:rsidRPr="004301E7">
              <w:rPr>
                <w:b/>
                <w:lang w:val="en-US"/>
              </w:rPr>
              <w:br/>
              <w:t>+/-</w:t>
            </w:r>
          </w:p>
        </w:tc>
        <w:tc>
          <w:tcPr>
            <w:tcW w:w="700" w:type="dxa"/>
            <w:vMerge w:val="restart"/>
            <w:tcBorders>
              <w:top w:val="nil"/>
              <w:left w:val="single" w:sz="4" w:space="0" w:color="auto"/>
              <w:bottom w:val="nil"/>
              <w:right w:val="single" w:sz="4" w:space="0" w:color="auto"/>
            </w:tcBorders>
            <w:vAlign w:val="center"/>
          </w:tcPr>
          <w:p w14:paraId="668D90E8" w14:textId="77777777" w:rsidR="001E3E9E" w:rsidRPr="004301E7" w:rsidRDefault="001E3E9E" w:rsidP="00FC4AE3">
            <w:pPr>
              <w:suppressAutoHyphens w:val="0"/>
              <w:jc w:val="center"/>
              <w:rPr>
                <w:bCs/>
                <w:lang w:val="en-US"/>
              </w:rPr>
            </w:pPr>
          </w:p>
        </w:tc>
        <w:tc>
          <w:tcPr>
            <w:tcW w:w="1028" w:type="dxa"/>
            <w:vMerge w:val="restart"/>
            <w:tcBorders>
              <w:top w:val="single" w:sz="4" w:space="0" w:color="auto"/>
              <w:left w:val="single" w:sz="4" w:space="0" w:color="auto"/>
            </w:tcBorders>
            <w:shd w:val="clear" w:color="auto" w:fill="E7E6E6" w:themeFill="background2"/>
            <w:vAlign w:val="center"/>
          </w:tcPr>
          <w:p w14:paraId="5FFD11A2" w14:textId="77777777" w:rsidR="001E3E9E" w:rsidRPr="004301E7" w:rsidRDefault="001E3E9E" w:rsidP="00FC4AE3">
            <w:pPr>
              <w:suppressAutoHyphens w:val="0"/>
              <w:jc w:val="center"/>
              <w:rPr>
                <w:b/>
                <w:lang w:val="en-US"/>
              </w:rPr>
            </w:pPr>
            <w:r w:rsidRPr="004301E7">
              <w:rPr>
                <w:b/>
                <w:lang w:val="en-US"/>
              </w:rPr>
              <w:t>Type Approval</w:t>
            </w:r>
          </w:p>
        </w:tc>
        <w:tc>
          <w:tcPr>
            <w:tcW w:w="824" w:type="dxa"/>
            <w:vMerge w:val="restart"/>
            <w:tcBorders>
              <w:top w:val="single" w:sz="4" w:space="0" w:color="auto"/>
            </w:tcBorders>
            <w:shd w:val="clear" w:color="auto" w:fill="E7E6E6" w:themeFill="background2"/>
            <w:vAlign w:val="center"/>
          </w:tcPr>
          <w:p w14:paraId="0A9A6FA3" w14:textId="77777777" w:rsidR="001E3E9E" w:rsidRPr="004301E7" w:rsidRDefault="001E3E9E" w:rsidP="00FC4AE3">
            <w:pPr>
              <w:suppressAutoHyphens w:val="0"/>
              <w:jc w:val="center"/>
              <w:rPr>
                <w:b/>
                <w:lang w:val="en-US"/>
              </w:rPr>
            </w:pPr>
            <w:r w:rsidRPr="004301E7">
              <w:rPr>
                <w:b/>
                <w:lang w:val="en-US"/>
              </w:rPr>
              <w:t>CoP</w:t>
            </w:r>
          </w:p>
        </w:tc>
        <w:tc>
          <w:tcPr>
            <w:tcW w:w="992" w:type="dxa"/>
            <w:vMerge w:val="restart"/>
            <w:tcBorders>
              <w:top w:val="single" w:sz="4" w:space="0" w:color="auto"/>
              <w:right w:val="single" w:sz="4" w:space="0" w:color="auto"/>
            </w:tcBorders>
            <w:shd w:val="clear" w:color="auto" w:fill="E7E6E6" w:themeFill="background2"/>
            <w:vAlign w:val="center"/>
          </w:tcPr>
          <w:p w14:paraId="61B97663" w14:textId="77777777" w:rsidR="001E3E9E" w:rsidRPr="004301E7" w:rsidRDefault="001E3E9E" w:rsidP="00FC4AE3">
            <w:pPr>
              <w:suppressAutoHyphens w:val="0"/>
              <w:jc w:val="center"/>
              <w:rPr>
                <w:b/>
                <w:lang w:val="en-US"/>
              </w:rPr>
            </w:pPr>
            <w:r w:rsidRPr="004301E7">
              <w:rPr>
                <w:b/>
                <w:lang w:val="en-US"/>
              </w:rPr>
              <w:t>Field Test</w:t>
            </w:r>
          </w:p>
        </w:tc>
      </w:tr>
      <w:tr w:rsidR="001E3E9E" w:rsidRPr="004301E7" w14:paraId="35D545CE" w14:textId="77777777" w:rsidTr="00FC4AE3">
        <w:trPr>
          <w:trHeight w:val="45"/>
        </w:trPr>
        <w:tc>
          <w:tcPr>
            <w:tcW w:w="1985" w:type="dxa"/>
            <w:tcBorders>
              <w:top w:val="nil"/>
              <w:left w:val="nil"/>
              <w:bottom w:val="nil"/>
              <w:right w:val="nil"/>
            </w:tcBorders>
            <w:vAlign w:val="center"/>
          </w:tcPr>
          <w:p w14:paraId="42CFF3E9" w14:textId="77777777" w:rsidR="001E3E9E" w:rsidRPr="004301E7" w:rsidRDefault="001E3E9E" w:rsidP="00FC4AE3">
            <w:pPr>
              <w:suppressAutoHyphens w:val="0"/>
              <w:jc w:val="center"/>
              <w:rPr>
                <w:b/>
                <w:lang w:val="en-US"/>
              </w:rPr>
            </w:pPr>
          </w:p>
        </w:tc>
        <w:tc>
          <w:tcPr>
            <w:tcW w:w="1010" w:type="dxa"/>
            <w:vMerge/>
            <w:tcBorders>
              <w:top w:val="nil"/>
              <w:left w:val="nil"/>
              <w:bottom w:val="nil"/>
              <w:right w:val="single" w:sz="4" w:space="0" w:color="auto"/>
            </w:tcBorders>
            <w:vAlign w:val="center"/>
          </w:tcPr>
          <w:p w14:paraId="3ECD0D5B" w14:textId="77777777" w:rsidR="001E3E9E" w:rsidRPr="004301E7" w:rsidRDefault="001E3E9E" w:rsidP="00FC4AE3">
            <w:pPr>
              <w:suppressAutoHyphens w:val="0"/>
              <w:jc w:val="center"/>
              <w:rPr>
                <w:bCs/>
                <w:lang w:val="en-US"/>
              </w:rPr>
            </w:pPr>
          </w:p>
        </w:tc>
        <w:tc>
          <w:tcPr>
            <w:tcW w:w="1399" w:type="dxa"/>
            <w:vMerge/>
            <w:tcBorders>
              <w:left w:val="single" w:sz="4" w:space="0" w:color="auto"/>
            </w:tcBorders>
            <w:vAlign w:val="center"/>
          </w:tcPr>
          <w:p w14:paraId="5B86427C" w14:textId="77777777" w:rsidR="001E3E9E" w:rsidRPr="004301E7" w:rsidRDefault="001E3E9E" w:rsidP="00FC4AE3">
            <w:pPr>
              <w:suppressAutoHyphens w:val="0"/>
              <w:jc w:val="center"/>
              <w:rPr>
                <w:b/>
                <w:lang w:val="en-US"/>
              </w:rPr>
            </w:pPr>
          </w:p>
        </w:tc>
        <w:tc>
          <w:tcPr>
            <w:tcW w:w="1843" w:type="dxa"/>
            <w:vMerge/>
            <w:tcBorders>
              <w:right w:val="single" w:sz="4" w:space="0" w:color="auto"/>
            </w:tcBorders>
            <w:shd w:val="clear" w:color="auto" w:fill="E7E6E6" w:themeFill="background2"/>
            <w:vAlign w:val="center"/>
          </w:tcPr>
          <w:p w14:paraId="48B17480" w14:textId="77777777" w:rsidR="001E3E9E" w:rsidRPr="004301E7" w:rsidRDefault="001E3E9E" w:rsidP="00FC4AE3">
            <w:pPr>
              <w:suppressAutoHyphens w:val="0"/>
              <w:jc w:val="center"/>
              <w:rPr>
                <w:b/>
                <w:lang w:val="en-US"/>
              </w:rPr>
            </w:pPr>
          </w:p>
        </w:tc>
        <w:tc>
          <w:tcPr>
            <w:tcW w:w="700" w:type="dxa"/>
            <w:vMerge/>
            <w:tcBorders>
              <w:top w:val="nil"/>
              <w:left w:val="single" w:sz="4" w:space="0" w:color="auto"/>
              <w:bottom w:val="nil"/>
              <w:right w:val="single" w:sz="4" w:space="0" w:color="auto"/>
            </w:tcBorders>
            <w:vAlign w:val="center"/>
          </w:tcPr>
          <w:p w14:paraId="5ACF2A17" w14:textId="77777777" w:rsidR="001E3E9E" w:rsidRPr="004301E7" w:rsidRDefault="001E3E9E" w:rsidP="00FC4AE3">
            <w:pPr>
              <w:suppressAutoHyphens w:val="0"/>
              <w:jc w:val="center"/>
              <w:rPr>
                <w:bCs/>
                <w:lang w:val="en-US"/>
              </w:rPr>
            </w:pPr>
          </w:p>
        </w:tc>
        <w:tc>
          <w:tcPr>
            <w:tcW w:w="1028" w:type="dxa"/>
            <w:vMerge/>
            <w:tcBorders>
              <w:left w:val="single" w:sz="4" w:space="0" w:color="auto"/>
            </w:tcBorders>
            <w:shd w:val="clear" w:color="auto" w:fill="E7E6E6" w:themeFill="background2"/>
            <w:vAlign w:val="center"/>
          </w:tcPr>
          <w:p w14:paraId="588E9B28" w14:textId="77777777" w:rsidR="001E3E9E" w:rsidRPr="004301E7" w:rsidRDefault="001E3E9E" w:rsidP="00FC4AE3">
            <w:pPr>
              <w:suppressAutoHyphens w:val="0"/>
              <w:jc w:val="center"/>
              <w:rPr>
                <w:bCs/>
                <w:lang w:val="en-US"/>
              </w:rPr>
            </w:pPr>
          </w:p>
        </w:tc>
        <w:tc>
          <w:tcPr>
            <w:tcW w:w="824" w:type="dxa"/>
            <w:vMerge/>
            <w:shd w:val="clear" w:color="auto" w:fill="E7E6E6" w:themeFill="background2"/>
            <w:vAlign w:val="center"/>
          </w:tcPr>
          <w:p w14:paraId="71E32F76" w14:textId="77777777" w:rsidR="001E3E9E" w:rsidRPr="004301E7" w:rsidRDefault="001E3E9E" w:rsidP="00FC4AE3">
            <w:pPr>
              <w:suppressAutoHyphens w:val="0"/>
              <w:jc w:val="center"/>
              <w:rPr>
                <w:bCs/>
                <w:lang w:val="en-US"/>
              </w:rPr>
            </w:pPr>
          </w:p>
        </w:tc>
        <w:tc>
          <w:tcPr>
            <w:tcW w:w="992" w:type="dxa"/>
            <w:vMerge/>
            <w:tcBorders>
              <w:right w:val="single" w:sz="4" w:space="0" w:color="auto"/>
            </w:tcBorders>
            <w:shd w:val="clear" w:color="auto" w:fill="E7E6E6" w:themeFill="background2"/>
            <w:vAlign w:val="center"/>
          </w:tcPr>
          <w:p w14:paraId="33A0AB38" w14:textId="77777777" w:rsidR="001E3E9E" w:rsidRPr="004301E7" w:rsidRDefault="001E3E9E" w:rsidP="00FC4AE3">
            <w:pPr>
              <w:suppressAutoHyphens w:val="0"/>
              <w:jc w:val="center"/>
              <w:rPr>
                <w:bCs/>
                <w:lang w:val="en-US"/>
              </w:rPr>
            </w:pPr>
          </w:p>
        </w:tc>
      </w:tr>
      <w:tr w:rsidR="001E3E9E" w:rsidRPr="004301E7" w14:paraId="42E39298" w14:textId="77777777" w:rsidTr="00FC4AE3">
        <w:trPr>
          <w:trHeight w:val="140"/>
        </w:trPr>
        <w:tc>
          <w:tcPr>
            <w:tcW w:w="1985" w:type="dxa"/>
            <w:tcBorders>
              <w:top w:val="nil"/>
              <w:left w:val="nil"/>
              <w:bottom w:val="nil"/>
              <w:right w:val="nil"/>
            </w:tcBorders>
            <w:vAlign w:val="center"/>
          </w:tcPr>
          <w:p w14:paraId="51E3CE18" w14:textId="77777777" w:rsidR="001E3E9E" w:rsidRPr="004301E7" w:rsidRDefault="001E3E9E" w:rsidP="00FC4AE3">
            <w:pPr>
              <w:suppressAutoHyphens w:val="0"/>
              <w:jc w:val="center"/>
              <w:rPr>
                <w:b/>
                <w:lang w:val="en-US"/>
              </w:rPr>
            </w:pPr>
          </w:p>
        </w:tc>
        <w:tc>
          <w:tcPr>
            <w:tcW w:w="1010" w:type="dxa"/>
            <w:vMerge/>
            <w:tcBorders>
              <w:top w:val="nil"/>
              <w:left w:val="nil"/>
              <w:bottom w:val="nil"/>
              <w:right w:val="single" w:sz="4" w:space="0" w:color="auto"/>
            </w:tcBorders>
            <w:vAlign w:val="center"/>
          </w:tcPr>
          <w:p w14:paraId="2B665BE4" w14:textId="77777777" w:rsidR="001E3E9E" w:rsidRPr="004301E7" w:rsidRDefault="001E3E9E" w:rsidP="00FC4AE3">
            <w:pPr>
              <w:suppressAutoHyphens w:val="0"/>
              <w:jc w:val="center"/>
              <w:rPr>
                <w:b/>
                <w:lang w:val="en-US"/>
              </w:rPr>
            </w:pPr>
          </w:p>
        </w:tc>
        <w:tc>
          <w:tcPr>
            <w:tcW w:w="1399" w:type="dxa"/>
            <w:tcBorders>
              <w:left w:val="single" w:sz="4" w:space="0" w:color="auto"/>
              <w:bottom w:val="single" w:sz="4" w:space="0" w:color="auto"/>
            </w:tcBorders>
            <w:shd w:val="clear" w:color="auto" w:fill="000000" w:themeFill="text1"/>
            <w:vAlign w:val="center"/>
          </w:tcPr>
          <w:p w14:paraId="10E00642" w14:textId="77777777" w:rsidR="001E3E9E" w:rsidRPr="004301E7" w:rsidRDefault="001E3E9E" w:rsidP="00FC4AE3">
            <w:pPr>
              <w:suppressAutoHyphens w:val="0"/>
              <w:jc w:val="center"/>
              <w:rPr>
                <w:b/>
                <w:lang w:val="en-US"/>
              </w:rPr>
            </w:pPr>
            <w:r w:rsidRPr="004301E7">
              <w:rPr>
                <w:b/>
                <w:lang w:val="en-US"/>
              </w:rPr>
              <w:t>1,73</w:t>
            </w:r>
          </w:p>
        </w:tc>
        <w:tc>
          <w:tcPr>
            <w:tcW w:w="1843" w:type="dxa"/>
            <w:tcBorders>
              <w:bottom w:val="single" w:sz="4" w:space="0" w:color="auto"/>
              <w:right w:val="single" w:sz="4" w:space="0" w:color="auto"/>
            </w:tcBorders>
            <w:shd w:val="clear" w:color="auto" w:fill="000000" w:themeFill="text1"/>
            <w:vAlign w:val="center"/>
          </w:tcPr>
          <w:p w14:paraId="7D5CCFF0" w14:textId="77777777" w:rsidR="001E3E9E" w:rsidRPr="004301E7" w:rsidRDefault="001E3E9E" w:rsidP="00FC4AE3">
            <w:pPr>
              <w:suppressAutoHyphens w:val="0"/>
              <w:jc w:val="center"/>
              <w:rPr>
                <w:b/>
                <w:lang w:val="en-US"/>
              </w:rPr>
            </w:pPr>
            <w:r w:rsidRPr="004301E7">
              <w:rPr>
                <w:b/>
                <w:lang w:val="en-US"/>
              </w:rPr>
              <w:t>3,46</w:t>
            </w:r>
          </w:p>
        </w:tc>
        <w:tc>
          <w:tcPr>
            <w:tcW w:w="700" w:type="dxa"/>
            <w:vMerge/>
            <w:tcBorders>
              <w:top w:val="nil"/>
              <w:left w:val="single" w:sz="4" w:space="0" w:color="auto"/>
              <w:bottom w:val="nil"/>
              <w:right w:val="single" w:sz="4" w:space="0" w:color="auto"/>
            </w:tcBorders>
            <w:vAlign w:val="center"/>
          </w:tcPr>
          <w:p w14:paraId="6CA232B4" w14:textId="77777777" w:rsidR="001E3E9E" w:rsidRPr="004301E7" w:rsidRDefault="001E3E9E" w:rsidP="00FC4AE3">
            <w:pPr>
              <w:suppressAutoHyphens w:val="0"/>
              <w:jc w:val="center"/>
              <w:rPr>
                <w:b/>
                <w:lang w:val="en-US"/>
              </w:rPr>
            </w:pPr>
          </w:p>
        </w:tc>
        <w:tc>
          <w:tcPr>
            <w:tcW w:w="1028" w:type="dxa"/>
            <w:tcBorders>
              <w:left w:val="single" w:sz="4" w:space="0" w:color="auto"/>
              <w:bottom w:val="single" w:sz="4" w:space="0" w:color="auto"/>
            </w:tcBorders>
            <w:shd w:val="clear" w:color="auto" w:fill="000000" w:themeFill="text1"/>
            <w:vAlign w:val="center"/>
          </w:tcPr>
          <w:p w14:paraId="258021CC" w14:textId="77777777" w:rsidR="001E3E9E" w:rsidRPr="004301E7" w:rsidRDefault="001E3E9E" w:rsidP="00FC4AE3">
            <w:pPr>
              <w:suppressAutoHyphens w:val="0"/>
              <w:jc w:val="center"/>
              <w:rPr>
                <w:b/>
                <w:lang w:val="en-US"/>
              </w:rPr>
            </w:pPr>
            <w:r w:rsidRPr="004301E7">
              <w:rPr>
                <w:b/>
                <w:lang w:val="en-US"/>
              </w:rPr>
              <w:t>2,12</w:t>
            </w:r>
          </w:p>
        </w:tc>
        <w:tc>
          <w:tcPr>
            <w:tcW w:w="824" w:type="dxa"/>
            <w:tcBorders>
              <w:bottom w:val="single" w:sz="4" w:space="0" w:color="auto"/>
            </w:tcBorders>
            <w:shd w:val="clear" w:color="auto" w:fill="000000" w:themeFill="text1"/>
            <w:vAlign w:val="center"/>
          </w:tcPr>
          <w:p w14:paraId="3F9D5312" w14:textId="77777777" w:rsidR="001E3E9E" w:rsidRPr="004301E7" w:rsidRDefault="001E3E9E" w:rsidP="00FC4AE3">
            <w:pPr>
              <w:suppressAutoHyphens w:val="0"/>
              <w:jc w:val="center"/>
              <w:rPr>
                <w:b/>
                <w:lang w:val="en-US"/>
              </w:rPr>
            </w:pPr>
            <w:r w:rsidRPr="004301E7">
              <w:rPr>
                <w:b/>
                <w:lang w:val="en-US"/>
              </w:rPr>
              <w:t>2,71</w:t>
            </w:r>
          </w:p>
        </w:tc>
        <w:tc>
          <w:tcPr>
            <w:tcW w:w="992" w:type="dxa"/>
            <w:tcBorders>
              <w:bottom w:val="single" w:sz="4" w:space="0" w:color="auto"/>
              <w:right w:val="single" w:sz="4" w:space="0" w:color="auto"/>
            </w:tcBorders>
            <w:shd w:val="clear" w:color="auto" w:fill="000000" w:themeFill="text1"/>
            <w:vAlign w:val="center"/>
          </w:tcPr>
          <w:p w14:paraId="1188A9B7" w14:textId="77777777" w:rsidR="001E3E9E" w:rsidRPr="004301E7" w:rsidRDefault="001E3E9E" w:rsidP="00FC4AE3">
            <w:pPr>
              <w:suppressAutoHyphens w:val="0"/>
              <w:jc w:val="center"/>
              <w:rPr>
                <w:b/>
                <w:lang w:val="en-US"/>
              </w:rPr>
            </w:pPr>
            <w:r w:rsidRPr="004301E7">
              <w:rPr>
                <w:b/>
                <w:lang w:val="en-US"/>
              </w:rPr>
              <w:t>3,46</w:t>
            </w:r>
          </w:p>
        </w:tc>
      </w:tr>
      <w:bookmarkEnd w:id="5"/>
    </w:tbl>
    <w:p w14:paraId="6444F5BE" w14:textId="77777777" w:rsidR="00E951C4" w:rsidRPr="004301E7" w:rsidRDefault="00E951C4" w:rsidP="00E951C4">
      <w:pPr>
        <w:ind w:left="1134"/>
        <w:jc w:val="both"/>
        <w:rPr>
          <w:lang w:val="en-US"/>
        </w:rPr>
      </w:pPr>
    </w:p>
    <w:p w14:paraId="00622245" w14:textId="77777777" w:rsidR="00793CD2" w:rsidRDefault="00E951C4" w:rsidP="001F29D7">
      <w:pPr>
        <w:tabs>
          <w:tab w:val="left" w:pos="2268"/>
        </w:tabs>
        <w:ind w:left="2268" w:hanging="1134"/>
        <w:jc w:val="both"/>
        <w:rPr>
          <w:lang w:val="en-US"/>
        </w:rPr>
      </w:pPr>
      <w:r w:rsidRPr="004301E7">
        <w:rPr>
          <w:lang w:val="en-US"/>
        </w:rPr>
        <w:t xml:space="preserve">Table 5.2. </w:t>
      </w:r>
      <w:r w:rsidR="001F29D7">
        <w:rPr>
          <w:lang w:val="en-US"/>
        </w:rPr>
        <w:tab/>
      </w:r>
    </w:p>
    <w:p w14:paraId="37594445" w14:textId="1CE7A6E5" w:rsidR="00E951C4" w:rsidRPr="00E951C4" w:rsidRDefault="00E951C4" w:rsidP="00D013D9">
      <w:pPr>
        <w:spacing w:after="120"/>
        <w:ind w:left="1134" w:right="1134"/>
        <w:jc w:val="both"/>
        <w:rPr>
          <w:lang w:val="en-US"/>
        </w:rPr>
      </w:pPr>
      <w:r w:rsidRPr="00E951C4">
        <w:rPr>
          <w:lang w:val="en-US"/>
        </w:rPr>
        <w:t>Estimation of uncertainty per situation for N</w:t>
      </w:r>
      <w:r w:rsidRPr="00793CD2">
        <w:rPr>
          <w:vertAlign w:val="subscript"/>
          <w:lang w:val="en-US"/>
        </w:rPr>
        <w:t>2</w:t>
      </w:r>
      <w:r w:rsidRPr="00E951C4">
        <w:rPr>
          <w:lang w:val="en-US"/>
        </w:rPr>
        <w:t>, N</w:t>
      </w:r>
      <w:r w:rsidRPr="00793CD2">
        <w:rPr>
          <w:vertAlign w:val="subscript"/>
          <w:lang w:val="en-US"/>
        </w:rPr>
        <w:t>3</w:t>
      </w:r>
      <w:r w:rsidRPr="00E951C4">
        <w:rPr>
          <w:lang w:val="en-US"/>
        </w:rPr>
        <w:t xml:space="preserve"> and M</w:t>
      </w:r>
      <w:r w:rsidRPr="00793CD2">
        <w:rPr>
          <w:vertAlign w:val="subscript"/>
          <w:lang w:val="en-US"/>
        </w:rPr>
        <w:t>2</w:t>
      </w:r>
      <w:r w:rsidRPr="00E951C4">
        <w:rPr>
          <w:lang w:val="en-US"/>
        </w:rPr>
        <w:t xml:space="preserve"> &gt; 3</w:t>
      </w:r>
      <w:r w:rsidR="00793CD2">
        <w:rPr>
          <w:lang w:val="en-US"/>
        </w:rPr>
        <w:t>,</w:t>
      </w:r>
      <w:r w:rsidRPr="00E951C4">
        <w:rPr>
          <w:lang w:val="en-US"/>
        </w:rPr>
        <w:t>500 kg and M</w:t>
      </w:r>
      <w:r w:rsidRPr="00793CD2">
        <w:rPr>
          <w:vertAlign w:val="subscript"/>
          <w:lang w:val="en-US"/>
        </w:rPr>
        <w:t>3</w:t>
      </w:r>
      <w:r w:rsidR="001F29D7">
        <w:rPr>
          <w:lang w:val="en-US"/>
        </w:rPr>
        <w:t xml:space="preserve">, </w:t>
      </w:r>
      <w:r w:rsidR="001F29D7" w:rsidRPr="004301E7">
        <w:rPr>
          <w:lang w:val="en-US"/>
        </w:rPr>
        <w:t xml:space="preserve">based on this </w:t>
      </w:r>
      <w:r w:rsidR="00793CD2">
        <w:rPr>
          <w:lang w:val="en-US"/>
        </w:rPr>
        <w:t>R</w:t>
      </w:r>
      <w:r w:rsidR="001F29D7" w:rsidRPr="004301E7">
        <w:rPr>
          <w:lang w:val="en-US"/>
        </w:rPr>
        <w:t>egulation up to Supplement 6</w:t>
      </w:r>
    </w:p>
    <w:tbl>
      <w:tblPr>
        <w:tblW w:w="10342" w:type="dxa"/>
        <w:tblInd w:w="-289" w:type="dxa"/>
        <w:tblLayout w:type="fixed"/>
        <w:tblCellMar>
          <w:left w:w="70" w:type="dxa"/>
          <w:right w:w="70" w:type="dxa"/>
        </w:tblCellMar>
        <w:tblLook w:val="04A0" w:firstRow="1" w:lastRow="0" w:firstColumn="1" w:lastColumn="0" w:noHBand="0" w:noVBand="1"/>
      </w:tblPr>
      <w:tblGrid>
        <w:gridCol w:w="426"/>
        <w:gridCol w:w="2828"/>
        <w:gridCol w:w="567"/>
        <w:gridCol w:w="426"/>
        <w:gridCol w:w="425"/>
        <w:gridCol w:w="992"/>
        <w:gridCol w:w="567"/>
        <w:gridCol w:w="567"/>
        <w:gridCol w:w="709"/>
        <w:gridCol w:w="567"/>
        <w:gridCol w:w="567"/>
        <w:gridCol w:w="567"/>
        <w:gridCol w:w="567"/>
        <w:gridCol w:w="567"/>
      </w:tblGrid>
      <w:tr w:rsidR="00E951C4" w:rsidRPr="00E951C4" w14:paraId="0EEF5CE4" w14:textId="77777777" w:rsidTr="00FC4AE3">
        <w:trPr>
          <w:cantSplit/>
          <w:trHeight w:val="1144"/>
        </w:trPr>
        <w:tc>
          <w:tcPr>
            <w:tcW w:w="426" w:type="dxa"/>
            <w:vMerge w:val="restart"/>
            <w:tcBorders>
              <w:top w:val="single" w:sz="4" w:space="0" w:color="auto"/>
              <w:left w:val="single" w:sz="4" w:space="0" w:color="auto"/>
              <w:bottom w:val="single" w:sz="12" w:space="0" w:color="auto"/>
              <w:right w:val="nil"/>
            </w:tcBorders>
            <w:shd w:val="clear" w:color="auto" w:fill="auto"/>
            <w:textDirection w:val="btLr"/>
            <w:vAlign w:val="center"/>
            <w:hideMark/>
          </w:tcPr>
          <w:p w14:paraId="769CCC1A"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bookmarkStart w:id="6" w:name="_Hlk124769395"/>
            <w:r w:rsidRPr="00E951C4">
              <w:rPr>
                <w:rFonts w:eastAsiaTheme="minorEastAsia"/>
                <w:b/>
                <w:bCs/>
                <w:i/>
                <w:iCs/>
                <w:sz w:val="16"/>
                <w:szCs w:val="16"/>
                <w:lang w:val="en-US" w:eastAsia="de-DE"/>
              </w:rPr>
              <w:t>Situation</w:t>
            </w:r>
          </w:p>
        </w:tc>
        <w:tc>
          <w:tcPr>
            <w:tcW w:w="2828"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784EF4C2" w14:textId="77777777" w:rsidR="00E951C4" w:rsidRPr="00E951C4" w:rsidRDefault="00E951C4" w:rsidP="00E951C4">
            <w:pPr>
              <w:suppressAutoHyphens w:val="0"/>
              <w:spacing w:line="240" w:lineRule="auto"/>
              <w:jc w:val="center"/>
              <w:rPr>
                <w:rFonts w:eastAsiaTheme="minorEastAsia"/>
                <w:b/>
                <w:bCs/>
                <w:i/>
                <w:iCs/>
                <w:sz w:val="16"/>
                <w:szCs w:val="16"/>
                <w:lang w:val="en-US" w:eastAsia="de-DE"/>
              </w:rPr>
            </w:pPr>
            <w:r w:rsidRPr="00E951C4">
              <w:rPr>
                <w:rFonts w:eastAsiaTheme="minorEastAsia"/>
                <w:b/>
                <w:bCs/>
                <w:i/>
                <w:iCs/>
                <w:sz w:val="16"/>
                <w:szCs w:val="16"/>
                <w:lang w:val="en-US" w:eastAsia="de-DE"/>
              </w:rPr>
              <w:t>Input Quantity</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14:paraId="0810A54D"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Estimated deviations of the meas. result (peak-peak)</w:t>
            </w:r>
          </w:p>
        </w:tc>
        <w:tc>
          <w:tcPr>
            <w:tcW w:w="425" w:type="dxa"/>
            <w:vMerge w:val="restart"/>
            <w:tcBorders>
              <w:top w:val="single" w:sz="4" w:space="0" w:color="auto"/>
              <w:left w:val="nil"/>
              <w:bottom w:val="single" w:sz="12" w:space="0" w:color="auto"/>
              <w:right w:val="nil"/>
            </w:tcBorders>
            <w:shd w:val="clear" w:color="auto" w:fill="auto"/>
            <w:textDirection w:val="btLr"/>
            <w:vAlign w:val="center"/>
            <w:hideMark/>
          </w:tcPr>
          <w:p w14:paraId="01A220F7"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Impact on Lurb</w:t>
            </w:r>
          </w:p>
        </w:tc>
        <w:tc>
          <w:tcPr>
            <w:tcW w:w="992"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textDirection w:val="btLr"/>
            <w:vAlign w:val="center"/>
            <w:hideMark/>
          </w:tcPr>
          <w:p w14:paraId="43D75ABA"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 xml:space="preserve">Probability </w:t>
            </w:r>
            <w:r w:rsidRPr="00E951C4">
              <w:rPr>
                <w:rFonts w:eastAsiaTheme="minorEastAsia"/>
                <w:b/>
                <w:bCs/>
                <w:i/>
                <w:iCs/>
                <w:sz w:val="16"/>
                <w:szCs w:val="16"/>
                <w:lang w:val="en-US" w:eastAsia="de-DE"/>
              </w:rPr>
              <w:br/>
              <w:t>Distribution</w:t>
            </w:r>
          </w:p>
        </w:tc>
        <w:tc>
          <w:tcPr>
            <w:tcW w:w="567" w:type="dxa"/>
            <w:vMerge w:val="restart"/>
            <w:tcBorders>
              <w:top w:val="single" w:sz="4" w:space="0" w:color="auto"/>
              <w:left w:val="nil"/>
              <w:bottom w:val="single" w:sz="12" w:space="0" w:color="auto"/>
              <w:right w:val="single" w:sz="4" w:space="0" w:color="auto"/>
            </w:tcBorders>
            <w:shd w:val="clear" w:color="auto" w:fill="auto"/>
            <w:textDirection w:val="btLr"/>
            <w:vAlign w:val="center"/>
            <w:hideMark/>
          </w:tcPr>
          <w:p w14:paraId="37C077D9"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Variance</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6DC2A2CF"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Standard uncertainty</w:t>
            </w:r>
          </w:p>
        </w:tc>
        <w:tc>
          <w:tcPr>
            <w:tcW w:w="709" w:type="dxa"/>
            <w:vMerge w:val="restart"/>
            <w:tcBorders>
              <w:top w:val="single" w:sz="4" w:space="0" w:color="auto"/>
              <w:left w:val="single" w:sz="4" w:space="0" w:color="auto"/>
              <w:bottom w:val="single" w:sz="12" w:space="0" w:color="auto"/>
              <w:right w:val="single" w:sz="4" w:space="0" w:color="auto"/>
            </w:tcBorders>
            <w:shd w:val="clear" w:color="auto" w:fill="FFFFFF" w:themeFill="background1"/>
            <w:textDirection w:val="btLr"/>
            <w:vAlign w:val="center"/>
            <w:hideMark/>
          </w:tcPr>
          <w:p w14:paraId="5EECDD60"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Share</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3FF5A795" w14:textId="77777777" w:rsidR="00E951C4" w:rsidRPr="00E951C4" w:rsidRDefault="00E951C4" w:rsidP="00E951C4">
            <w:pPr>
              <w:suppressAutoHyphens w:val="0"/>
              <w:spacing w:line="240" w:lineRule="auto"/>
              <w:ind w:left="-67" w:right="-72"/>
              <w:jc w:val="center"/>
              <w:rPr>
                <w:rFonts w:eastAsiaTheme="minorEastAsia"/>
                <w:b/>
                <w:bCs/>
                <w:i/>
                <w:iCs/>
                <w:sz w:val="16"/>
                <w:szCs w:val="16"/>
                <w:lang w:val="en-US" w:eastAsia="de-DE"/>
              </w:rPr>
            </w:pPr>
            <w:r w:rsidRPr="00E951C4">
              <w:rPr>
                <w:rFonts w:eastAsiaTheme="minorEastAsia"/>
                <w:b/>
                <w:bCs/>
                <w:i/>
                <w:iCs/>
                <w:sz w:val="16"/>
                <w:szCs w:val="16"/>
                <w:lang w:val="en-US" w:eastAsia="de-DE"/>
              </w:rPr>
              <w:t>Comb. stand. uncertainty</w:t>
            </w:r>
          </w:p>
        </w:tc>
        <w:tc>
          <w:tcPr>
            <w:tcW w:w="1701" w:type="dxa"/>
            <w:gridSpan w:val="3"/>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E2AD4B2"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Uncertainty Budgets</w:t>
            </w:r>
          </w:p>
        </w:tc>
        <w:tc>
          <w:tcPr>
            <w:tcW w:w="567" w:type="dxa"/>
            <w:vMerge w:val="restart"/>
            <w:tcBorders>
              <w:top w:val="single" w:sz="4" w:space="0" w:color="auto"/>
              <w:left w:val="single" w:sz="4" w:space="0" w:color="auto"/>
              <w:right w:val="single" w:sz="4" w:space="0" w:color="auto"/>
            </w:tcBorders>
            <w:shd w:val="clear" w:color="auto" w:fill="E7E6E6" w:themeFill="background2"/>
            <w:textDirection w:val="btLr"/>
            <w:vAlign w:val="center"/>
          </w:tcPr>
          <w:p w14:paraId="5C2E9B23"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expanded uncertainty</w:t>
            </w:r>
          </w:p>
          <w:p w14:paraId="03026BD4"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95%</w:t>
            </w:r>
          </w:p>
        </w:tc>
      </w:tr>
      <w:tr w:rsidR="00E951C4" w:rsidRPr="00E951C4" w14:paraId="401E2012" w14:textId="77777777" w:rsidTr="00FC4AE3">
        <w:trPr>
          <w:cantSplit/>
          <w:trHeight w:val="686"/>
        </w:trPr>
        <w:tc>
          <w:tcPr>
            <w:tcW w:w="426" w:type="dxa"/>
            <w:vMerge/>
            <w:tcBorders>
              <w:top w:val="single" w:sz="4" w:space="0" w:color="auto"/>
              <w:left w:val="single" w:sz="4" w:space="0" w:color="auto"/>
              <w:bottom w:val="single" w:sz="12" w:space="0" w:color="auto"/>
              <w:right w:val="nil"/>
            </w:tcBorders>
            <w:vAlign w:val="center"/>
            <w:hideMark/>
          </w:tcPr>
          <w:p w14:paraId="0FCB4524"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042823F0"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567" w:type="dxa"/>
            <w:tcBorders>
              <w:top w:val="single" w:sz="4" w:space="0" w:color="auto"/>
              <w:left w:val="nil"/>
              <w:bottom w:val="single" w:sz="12" w:space="0" w:color="auto"/>
              <w:right w:val="single" w:sz="4" w:space="0" w:color="auto"/>
            </w:tcBorders>
            <w:shd w:val="clear" w:color="auto" w:fill="FFFFFF" w:themeFill="background1"/>
            <w:textDirection w:val="btLr"/>
            <w:vAlign w:val="center"/>
            <w:hideMark/>
          </w:tcPr>
          <w:p w14:paraId="12F767F6"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Lwot</w:t>
            </w:r>
          </w:p>
        </w:tc>
        <w:tc>
          <w:tcPr>
            <w:tcW w:w="426" w:type="dxa"/>
            <w:tcBorders>
              <w:top w:val="single" w:sz="4" w:space="0" w:color="auto"/>
              <w:left w:val="nil"/>
              <w:bottom w:val="single" w:sz="12" w:space="0" w:color="auto"/>
              <w:right w:val="single" w:sz="4" w:space="0" w:color="auto"/>
            </w:tcBorders>
            <w:shd w:val="clear" w:color="auto" w:fill="FFFFFF" w:themeFill="background1"/>
            <w:textDirection w:val="btLr"/>
            <w:vAlign w:val="center"/>
            <w:hideMark/>
          </w:tcPr>
          <w:p w14:paraId="385BFD91" w14:textId="77777777" w:rsidR="00E951C4" w:rsidRPr="00E951C4" w:rsidRDefault="00E951C4" w:rsidP="00E951C4">
            <w:pPr>
              <w:suppressAutoHyphens w:val="0"/>
              <w:spacing w:line="240" w:lineRule="auto"/>
              <w:ind w:left="113" w:right="113"/>
              <w:jc w:val="center"/>
              <w:rPr>
                <w:rFonts w:eastAsiaTheme="minorEastAsia"/>
                <w:b/>
                <w:bCs/>
                <w:i/>
                <w:iCs/>
                <w:sz w:val="16"/>
                <w:szCs w:val="16"/>
                <w:lang w:val="en-US" w:eastAsia="de-DE"/>
              </w:rPr>
            </w:pPr>
            <w:r w:rsidRPr="00E951C4">
              <w:rPr>
                <w:rFonts w:eastAsiaTheme="minorEastAsia"/>
                <w:b/>
                <w:bCs/>
                <w:i/>
                <w:iCs/>
                <w:sz w:val="16"/>
                <w:szCs w:val="16"/>
                <w:lang w:val="en-US" w:eastAsia="de-DE"/>
              </w:rPr>
              <w:t>Lcrs</w:t>
            </w:r>
          </w:p>
        </w:tc>
        <w:tc>
          <w:tcPr>
            <w:tcW w:w="425" w:type="dxa"/>
            <w:vMerge/>
            <w:tcBorders>
              <w:top w:val="single" w:sz="4" w:space="0" w:color="auto"/>
              <w:left w:val="nil"/>
              <w:bottom w:val="single" w:sz="12" w:space="0" w:color="auto"/>
              <w:right w:val="nil"/>
            </w:tcBorders>
            <w:vAlign w:val="center"/>
            <w:hideMark/>
          </w:tcPr>
          <w:p w14:paraId="3C1B7C2B"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992"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057744F5"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567" w:type="dxa"/>
            <w:vMerge/>
            <w:tcBorders>
              <w:top w:val="single" w:sz="4" w:space="0" w:color="auto"/>
              <w:left w:val="nil"/>
              <w:bottom w:val="single" w:sz="12" w:space="0" w:color="auto"/>
              <w:right w:val="single" w:sz="4" w:space="0" w:color="auto"/>
            </w:tcBorders>
            <w:vAlign w:val="center"/>
            <w:hideMark/>
          </w:tcPr>
          <w:p w14:paraId="4B9D1B7B"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5342B87"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709" w:type="dxa"/>
            <w:vMerge/>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14:paraId="1D76BED3"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F8363E4"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567"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1E9C075C" w14:textId="45588280" w:rsidR="00E951C4" w:rsidRPr="00E951C4" w:rsidRDefault="00E951C4" w:rsidP="00E951C4">
            <w:pPr>
              <w:suppressAutoHyphens w:val="0"/>
              <w:spacing w:line="240" w:lineRule="auto"/>
              <w:jc w:val="center"/>
              <w:rPr>
                <w:rFonts w:eastAsiaTheme="minorEastAsia"/>
                <w:b/>
                <w:bCs/>
                <w:i/>
                <w:iCs/>
                <w:sz w:val="16"/>
                <w:szCs w:val="16"/>
                <w:lang w:val="en-US" w:eastAsia="de-DE"/>
              </w:rPr>
            </w:pPr>
            <w:r w:rsidRPr="00E951C4">
              <w:rPr>
                <w:rFonts w:eastAsiaTheme="minorEastAsia"/>
                <w:b/>
                <w:bCs/>
                <w:i/>
                <w:iCs/>
                <w:sz w:val="16"/>
                <w:szCs w:val="16"/>
                <w:lang w:val="en-US" w:eastAsia="de-DE"/>
              </w:rPr>
              <w:t xml:space="preserve">Type </w:t>
            </w:r>
            <w:r w:rsidRPr="00E951C4">
              <w:rPr>
                <w:rFonts w:eastAsiaTheme="minorEastAsia"/>
                <w:b/>
                <w:bCs/>
                <w:i/>
                <w:iCs/>
                <w:sz w:val="16"/>
                <w:szCs w:val="16"/>
                <w:lang w:val="en-US" w:eastAsia="de-DE"/>
              </w:rPr>
              <w:br/>
            </w:r>
            <w:r w:rsidR="00DD221C" w:rsidRPr="00E951C4">
              <w:rPr>
                <w:rFonts w:eastAsiaTheme="minorEastAsia"/>
                <w:b/>
                <w:bCs/>
                <w:i/>
                <w:iCs/>
                <w:sz w:val="16"/>
                <w:szCs w:val="16"/>
                <w:lang w:val="en-US" w:eastAsia="de-DE"/>
              </w:rPr>
              <w:t>Approval</w:t>
            </w:r>
          </w:p>
        </w:tc>
        <w:tc>
          <w:tcPr>
            <w:tcW w:w="567" w:type="dxa"/>
            <w:tcBorders>
              <w:top w:val="single" w:sz="4" w:space="0" w:color="auto"/>
              <w:left w:val="nil"/>
              <w:bottom w:val="single" w:sz="12" w:space="0" w:color="auto"/>
              <w:right w:val="single" w:sz="4" w:space="0" w:color="auto"/>
            </w:tcBorders>
            <w:shd w:val="clear" w:color="000000" w:fill="FFFFFF"/>
            <w:vAlign w:val="center"/>
            <w:hideMark/>
          </w:tcPr>
          <w:p w14:paraId="62D30CB1" w14:textId="77777777" w:rsidR="00E951C4" w:rsidRPr="00E951C4" w:rsidRDefault="00E951C4" w:rsidP="00E951C4">
            <w:pPr>
              <w:suppressAutoHyphens w:val="0"/>
              <w:spacing w:line="240" w:lineRule="auto"/>
              <w:jc w:val="center"/>
              <w:rPr>
                <w:rFonts w:eastAsiaTheme="minorEastAsia"/>
                <w:b/>
                <w:bCs/>
                <w:i/>
                <w:iCs/>
                <w:sz w:val="16"/>
                <w:szCs w:val="16"/>
                <w:lang w:val="en-US" w:eastAsia="de-DE"/>
              </w:rPr>
            </w:pPr>
            <w:r w:rsidRPr="00E951C4">
              <w:rPr>
                <w:rFonts w:eastAsiaTheme="minorEastAsia"/>
                <w:b/>
                <w:bCs/>
                <w:i/>
                <w:iCs/>
                <w:sz w:val="16"/>
                <w:szCs w:val="16"/>
                <w:lang w:val="en-US" w:eastAsia="de-DE"/>
              </w:rPr>
              <w:t>CoP</w:t>
            </w:r>
          </w:p>
        </w:tc>
        <w:tc>
          <w:tcPr>
            <w:tcW w:w="567" w:type="dxa"/>
            <w:tcBorders>
              <w:top w:val="single" w:sz="4" w:space="0" w:color="auto"/>
              <w:left w:val="nil"/>
              <w:bottom w:val="single" w:sz="12" w:space="0" w:color="auto"/>
              <w:right w:val="single" w:sz="4" w:space="0" w:color="auto"/>
            </w:tcBorders>
            <w:shd w:val="clear" w:color="000000" w:fill="FFFFFF"/>
            <w:vAlign w:val="center"/>
            <w:hideMark/>
          </w:tcPr>
          <w:p w14:paraId="559ACBF3" w14:textId="77777777" w:rsidR="00E951C4" w:rsidRPr="00E951C4" w:rsidRDefault="00E951C4" w:rsidP="00E951C4">
            <w:pPr>
              <w:suppressAutoHyphens w:val="0"/>
              <w:spacing w:line="240" w:lineRule="auto"/>
              <w:jc w:val="center"/>
              <w:rPr>
                <w:rFonts w:eastAsiaTheme="minorEastAsia"/>
                <w:b/>
                <w:bCs/>
                <w:i/>
                <w:iCs/>
                <w:sz w:val="16"/>
                <w:szCs w:val="16"/>
                <w:lang w:val="en-US" w:eastAsia="de-DE"/>
              </w:rPr>
            </w:pPr>
            <w:r w:rsidRPr="00E951C4">
              <w:rPr>
                <w:rFonts w:eastAsiaTheme="minorEastAsia"/>
                <w:b/>
                <w:bCs/>
                <w:i/>
                <w:iCs/>
                <w:sz w:val="16"/>
                <w:szCs w:val="16"/>
                <w:lang w:val="en-US" w:eastAsia="de-DE"/>
              </w:rPr>
              <w:t xml:space="preserve">Field </w:t>
            </w:r>
            <w:r w:rsidRPr="00E951C4">
              <w:rPr>
                <w:rFonts w:eastAsiaTheme="minorEastAsia"/>
                <w:b/>
                <w:bCs/>
                <w:i/>
                <w:iCs/>
                <w:sz w:val="16"/>
                <w:szCs w:val="16"/>
                <w:lang w:val="en-US" w:eastAsia="de-DE"/>
              </w:rPr>
              <w:br/>
              <w:t>Tests</w:t>
            </w:r>
          </w:p>
        </w:tc>
        <w:tc>
          <w:tcPr>
            <w:tcW w:w="567" w:type="dxa"/>
            <w:vMerge/>
            <w:tcBorders>
              <w:left w:val="single" w:sz="4" w:space="0" w:color="auto"/>
              <w:bottom w:val="single" w:sz="12" w:space="0" w:color="auto"/>
              <w:right w:val="single" w:sz="4" w:space="0" w:color="auto"/>
            </w:tcBorders>
            <w:shd w:val="clear" w:color="auto" w:fill="E7E6E6" w:themeFill="background2"/>
          </w:tcPr>
          <w:p w14:paraId="2E8F0777" w14:textId="77777777" w:rsidR="00E951C4" w:rsidRPr="00E951C4" w:rsidRDefault="00E951C4" w:rsidP="00E951C4">
            <w:pPr>
              <w:suppressAutoHyphens w:val="0"/>
              <w:spacing w:line="240" w:lineRule="auto"/>
              <w:jc w:val="center"/>
              <w:rPr>
                <w:rFonts w:eastAsiaTheme="minorEastAsia"/>
                <w:b/>
                <w:bCs/>
                <w:i/>
                <w:iCs/>
                <w:sz w:val="16"/>
                <w:szCs w:val="16"/>
                <w:lang w:val="en-US" w:eastAsia="de-DE"/>
              </w:rPr>
            </w:pPr>
          </w:p>
        </w:tc>
      </w:tr>
      <w:tr w:rsidR="00E951C4" w:rsidRPr="00E951C4" w14:paraId="410AA406" w14:textId="77777777" w:rsidTr="00FC4AE3">
        <w:trPr>
          <w:trHeight w:val="162"/>
        </w:trPr>
        <w:tc>
          <w:tcPr>
            <w:tcW w:w="426" w:type="dxa"/>
            <w:vMerge w:val="restar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14:paraId="5EC12316" w14:textId="77777777" w:rsidR="00E951C4" w:rsidRPr="00E951C4" w:rsidRDefault="00E951C4" w:rsidP="00E951C4">
            <w:pPr>
              <w:suppressAutoHyphens w:val="0"/>
              <w:spacing w:line="240" w:lineRule="auto"/>
              <w:ind w:left="113" w:right="113"/>
              <w:jc w:val="center"/>
              <w:rPr>
                <w:rFonts w:eastAsiaTheme="minorEastAsia"/>
                <w:b/>
                <w:bCs/>
                <w:sz w:val="16"/>
                <w:szCs w:val="16"/>
                <w:lang w:val="en-US" w:eastAsia="de-DE"/>
              </w:rPr>
            </w:pPr>
            <w:r w:rsidRPr="00E951C4">
              <w:rPr>
                <w:rFonts w:eastAsiaTheme="minorEastAsia"/>
                <w:b/>
                <w:bCs/>
                <w:sz w:val="16"/>
                <w:szCs w:val="16"/>
                <w:lang w:val="en-US" w:eastAsia="de-DE"/>
              </w:rPr>
              <w:t>Run to Run</w:t>
            </w:r>
          </w:p>
        </w:tc>
        <w:tc>
          <w:tcPr>
            <w:tcW w:w="2828" w:type="dxa"/>
            <w:tcBorders>
              <w:top w:val="single" w:sz="12" w:space="0" w:color="auto"/>
              <w:left w:val="nil"/>
              <w:bottom w:val="single" w:sz="4" w:space="0" w:color="auto"/>
              <w:right w:val="single" w:sz="4" w:space="0" w:color="auto"/>
            </w:tcBorders>
            <w:shd w:val="clear" w:color="auto" w:fill="FFFFFF" w:themeFill="background1"/>
            <w:vAlign w:val="center"/>
            <w:hideMark/>
          </w:tcPr>
          <w:p w14:paraId="326BE6F3"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Microclimate wind effect – head or tail</w:t>
            </w:r>
          </w:p>
        </w:tc>
        <w:tc>
          <w:tcPr>
            <w:tcW w:w="567" w:type="dxa"/>
            <w:tcBorders>
              <w:top w:val="single" w:sz="12" w:space="0" w:color="auto"/>
              <w:left w:val="nil"/>
              <w:bottom w:val="single" w:sz="4" w:space="0" w:color="auto"/>
              <w:right w:val="single" w:sz="4" w:space="0" w:color="auto"/>
            </w:tcBorders>
            <w:shd w:val="clear" w:color="auto" w:fill="FFFFFF" w:themeFill="background1"/>
            <w:vAlign w:val="center"/>
            <w:hideMark/>
          </w:tcPr>
          <w:p w14:paraId="7087B79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w:t>
            </w:r>
          </w:p>
        </w:tc>
        <w:tc>
          <w:tcPr>
            <w:tcW w:w="426" w:type="dxa"/>
            <w:tcBorders>
              <w:top w:val="single" w:sz="12" w:space="0" w:color="auto"/>
              <w:left w:val="nil"/>
              <w:bottom w:val="single" w:sz="4" w:space="0" w:color="auto"/>
              <w:right w:val="single" w:sz="4" w:space="0" w:color="auto"/>
            </w:tcBorders>
            <w:shd w:val="clear" w:color="auto" w:fill="FFFFFF" w:themeFill="background1"/>
            <w:vAlign w:val="center"/>
          </w:tcPr>
          <w:p w14:paraId="219B085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12" w:space="0" w:color="auto"/>
              <w:left w:val="nil"/>
              <w:bottom w:val="single" w:sz="4" w:space="0" w:color="auto"/>
              <w:right w:val="single" w:sz="4" w:space="0" w:color="auto"/>
            </w:tcBorders>
            <w:shd w:val="clear" w:color="auto" w:fill="auto"/>
            <w:noWrap/>
            <w:vAlign w:val="center"/>
            <w:hideMark/>
          </w:tcPr>
          <w:p w14:paraId="539C3F22"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color w:val="000000"/>
                <w:sz w:val="16"/>
                <w:szCs w:val="16"/>
                <w:lang w:val="en-US" w:eastAsia="de-DE"/>
              </w:rPr>
              <w:t>0</w:t>
            </w:r>
          </w:p>
        </w:tc>
        <w:tc>
          <w:tcPr>
            <w:tcW w:w="992" w:type="dxa"/>
            <w:tcBorders>
              <w:top w:val="single" w:sz="12" w:space="0" w:color="auto"/>
              <w:left w:val="nil"/>
              <w:bottom w:val="single" w:sz="4" w:space="0" w:color="auto"/>
              <w:right w:val="single" w:sz="4" w:space="0" w:color="auto"/>
            </w:tcBorders>
            <w:shd w:val="clear" w:color="auto" w:fill="FFFFFF" w:themeFill="background1"/>
            <w:vAlign w:val="center"/>
            <w:hideMark/>
          </w:tcPr>
          <w:p w14:paraId="2C2EDE6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gaussian</w:t>
            </w:r>
          </w:p>
        </w:tc>
        <w:tc>
          <w:tcPr>
            <w:tcW w:w="567" w:type="dxa"/>
            <w:tcBorders>
              <w:top w:val="single" w:sz="12" w:space="0" w:color="auto"/>
              <w:left w:val="nil"/>
              <w:bottom w:val="single" w:sz="4" w:space="0" w:color="auto"/>
              <w:right w:val="single" w:sz="4" w:space="0" w:color="auto"/>
            </w:tcBorders>
            <w:shd w:val="clear" w:color="auto" w:fill="auto"/>
            <w:vAlign w:val="center"/>
            <w:hideMark/>
          </w:tcPr>
          <w:p w14:paraId="1D171A9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0,000 </w:t>
            </w:r>
          </w:p>
        </w:tc>
        <w:tc>
          <w:tcPr>
            <w:tcW w:w="567" w:type="dxa"/>
            <w:tcBorders>
              <w:top w:val="single" w:sz="12" w:space="0" w:color="auto"/>
              <w:left w:val="nil"/>
              <w:bottom w:val="single" w:sz="4" w:space="0" w:color="auto"/>
              <w:right w:val="single" w:sz="4" w:space="0" w:color="auto"/>
            </w:tcBorders>
            <w:shd w:val="clear" w:color="auto" w:fill="auto"/>
            <w:vAlign w:val="center"/>
            <w:hideMark/>
          </w:tcPr>
          <w:p w14:paraId="1A62FDE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0,00 </w:t>
            </w: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14:paraId="62B3367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0,0%</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03E8D1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0,30</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4AB774D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0,30</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7B0AFD0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0,30</w:t>
            </w:r>
          </w:p>
        </w:tc>
        <w:tc>
          <w:tcPr>
            <w:tcW w:w="56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F99DEF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0,30</w:t>
            </w:r>
          </w:p>
        </w:tc>
        <w:tc>
          <w:tcPr>
            <w:tcW w:w="567" w:type="dxa"/>
            <w:vMerge w:val="restart"/>
            <w:tcBorders>
              <w:top w:val="single" w:sz="12" w:space="0" w:color="auto"/>
              <w:left w:val="single" w:sz="4" w:space="0" w:color="auto"/>
              <w:right w:val="single" w:sz="4" w:space="0" w:color="auto"/>
            </w:tcBorders>
            <w:shd w:val="clear" w:color="auto" w:fill="E7E6E6" w:themeFill="background2"/>
            <w:vAlign w:val="center"/>
          </w:tcPr>
          <w:p w14:paraId="7D0B997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0,59</w:t>
            </w:r>
          </w:p>
        </w:tc>
      </w:tr>
      <w:tr w:rsidR="00E951C4" w:rsidRPr="00E951C4" w14:paraId="09EE4B32"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0434C86"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DBA26C"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Deviation from centred driving</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F2D8B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0,50</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3371736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265C8E2"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color w:val="000000"/>
                <w:sz w:val="16"/>
                <w:szCs w:val="16"/>
                <w:lang w:val="en-US" w:eastAsia="de-DE"/>
              </w:rPr>
              <w:t xml:space="preserve">0,50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D846FE"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283D4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0,021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C4108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0,14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BA0FC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2,0%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3FC7394"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6EABB4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1F435A"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8677BC7"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35048851"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65BECF7C"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5C76062"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C95151"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Speed at BB’ – Target vehicle speed (+/-5 km/h), (target engine speed (+/-2%)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414F5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0,40</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4E8E92C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A2B197"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color w:val="000000"/>
                <w:sz w:val="16"/>
                <w:szCs w:val="16"/>
                <w:lang w:val="en-US" w:eastAsia="de-DE"/>
              </w:rPr>
              <w:t xml:space="preserve">0,40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3D60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B5D0A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0,013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11C2C0"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6908CE"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83A47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94A77E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8E78635"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5146145"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19E44885"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1C8998DF"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42AB896"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F84BF3"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Varying background noise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8693F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0,10</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12E7AA7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C83B6D4"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09B8C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03B63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722DB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0,03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05118E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362C91"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35882C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59EEFAD"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D5DADB2"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2DDD4415"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1901C155"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5BA622D"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5536E8"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Variation on operating temperature of engine and tyres =&gt; See ISO 362-1 note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2844F6"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0,80</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0DEA73A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664734F"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color w:val="000000"/>
                <w:sz w:val="16"/>
                <w:szCs w:val="16"/>
                <w:lang w:val="en-US" w:eastAsia="de-DE"/>
              </w:rPr>
              <w:t xml:space="preserve">0,80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A8982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E122B4"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0,053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FCF86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0,23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AD27D4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5,1%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1D0248"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BED56C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27DDB8"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71E79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bottom w:val="single" w:sz="4" w:space="0" w:color="auto"/>
              <w:right w:val="single" w:sz="4" w:space="0" w:color="auto"/>
            </w:tcBorders>
            <w:shd w:val="clear" w:color="auto" w:fill="E7E6E6" w:themeFill="background2"/>
            <w:vAlign w:val="center"/>
          </w:tcPr>
          <w:p w14:paraId="03CE3632"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132E69D7" w14:textId="77777777" w:rsidTr="00FC4AE3">
        <w:trPr>
          <w:trHeight w:val="16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6290F3" w14:textId="77777777" w:rsidR="00E951C4" w:rsidRPr="00E951C4" w:rsidRDefault="00E951C4" w:rsidP="00E951C4">
            <w:pPr>
              <w:suppressAutoHyphens w:val="0"/>
              <w:spacing w:line="240" w:lineRule="auto"/>
              <w:ind w:left="113" w:right="113"/>
              <w:jc w:val="center"/>
              <w:rPr>
                <w:rFonts w:eastAsiaTheme="minorEastAsia"/>
                <w:b/>
                <w:bCs/>
                <w:sz w:val="16"/>
                <w:szCs w:val="16"/>
                <w:lang w:val="en-US" w:eastAsia="de-DE"/>
              </w:rPr>
            </w:pPr>
            <w:r w:rsidRPr="00E951C4">
              <w:rPr>
                <w:rFonts w:eastAsiaTheme="minorEastAsia"/>
                <w:b/>
                <w:bCs/>
                <w:sz w:val="16"/>
                <w:szCs w:val="16"/>
                <w:lang w:val="en-US" w:eastAsia="de-DE"/>
              </w:rPr>
              <w:t>Day to Day</w:t>
            </w: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FA786"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 xml:space="preserve">Ambient temperature influence on sound transmission in air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AA933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0,6</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79DEDFD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63E887B"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0,6</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06D23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BC5C3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0,030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2B16C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0,17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914C35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2,9%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73A5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A63C54"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4652DBE"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98B9F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0,46</w:t>
            </w:r>
          </w:p>
        </w:tc>
        <w:tc>
          <w:tcPr>
            <w:tcW w:w="567" w:type="dxa"/>
            <w:vMerge w:val="restart"/>
            <w:tcBorders>
              <w:top w:val="single" w:sz="4" w:space="0" w:color="auto"/>
              <w:left w:val="single" w:sz="4" w:space="0" w:color="auto"/>
              <w:right w:val="single" w:sz="4" w:space="0" w:color="auto"/>
            </w:tcBorders>
            <w:shd w:val="clear" w:color="auto" w:fill="E7E6E6" w:themeFill="background2"/>
            <w:vAlign w:val="center"/>
          </w:tcPr>
          <w:p w14:paraId="262276A5"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0,91</w:t>
            </w:r>
          </w:p>
        </w:tc>
      </w:tr>
      <w:tr w:rsidR="00E951C4" w:rsidRPr="00E951C4" w14:paraId="5FA766E7"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69F2509"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5CB27E"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Ambient barometric pressure influence on sound transmission in air</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387F16"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0,9</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17705DB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CC8E0F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6B649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FF7856"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0,068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B82F8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0,26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304B91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6,5%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73DA023"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235576D"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367D2FB"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115AD9F"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07B2565A" w14:textId="77777777" w:rsidR="00E951C4" w:rsidRPr="00E951C4" w:rsidRDefault="00E951C4" w:rsidP="00E951C4">
            <w:pPr>
              <w:suppressAutoHyphens w:val="0"/>
              <w:spacing w:line="240" w:lineRule="auto"/>
              <w:jc w:val="center"/>
              <w:rPr>
                <w:rFonts w:eastAsiaTheme="minorEastAsia"/>
                <w:color w:val="C00000"/>
                <w:sz w:val="16"/>
                <w:szCs w:val="16"/>
                <w:lang w:val="en-US" w:eastAsia="de-DE"/>
              </w:rPr>
            </w:pPr>
          </w:p>
        </w:tc>
      </w:tr>
      <w:tr w:rsidR="00E951C4" w:rsidRPr="00E951C4" w14:paraId="515F79B5"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4238C34"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C66A07"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Ambient humidity influence on sound transmission in air</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DE5EC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0,1</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0DE759D5"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F6DE9D0"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FBB90"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BB457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651BB5"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0,03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E4C60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8E854B"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B9C33F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2813FA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374A03E"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0C3466FC" w14:textId="77777777" w:rsidR="00E951C4" w:rsidRPr="00E951C4" w:rsidRDefault="00E951C4" w:rsidP="00E951C4">
            <w:pPr>
              <w:suppressAutoHyphens w:val="0"/>
              <w:spacing w:line="240" w:lineRule="auto"/>
              <w:jc w:val="center"/>
              <w:rPr>
                <w:rFonts w:eastAsiaTheme="minorEastAsia"/>
                <w:color w:val="C00000"/>
                <w:sz w:val="16"/>
                <w:szCs w:val="16"/>
                <w:lang w:val="en-US" w:eastAsia="de-DE"/>
              </w:rPr>
            </w:pPr>
          </w:p>
        </w:tc>
      </w:tr>
      <w:tr w:rsidR="00E951C4" w:rsidRPr="00E951C4" w14:paraId="238624BB"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6CCFC61"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FAF719"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Ambient air temperature influence on engine power  (based on R85)</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E6361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1,0</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48B649E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43D0CB1"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1,0</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1C8E8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rectangular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93F18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0,083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A4F1B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0,29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BDA3CD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8,0%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5C0C6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C53684F"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6D589B3"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9105A30"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3360CC30" w14:textId="77777777" w:rsidR="00E951C4" w:rsidRPr="00E951C4" w:rsidRDefault="00E951C4" w:rsidP="00E951C4">
            <w:pPr>
              <w:suppressAutoHyphens w:val="0"/>
              <w:spacing w:line="240" w:lineRule="auto"/>
              <w:jc w:val="center"/>
              <w:rPr>
                <w:rFonts w:eastAsiaTheme="minorEastAsia"/>
                <w:color w:val="C00000"/>
                <w:sz w:val="16"/>
                <w:szCs w:val="16"/>
                <w:lang w:val="en-US" w:eastAsia="de-DE"/>
              </w:rPr>
            </w:pPr>
          </w:p>
        </w:tc>
      </w:tr>
      <w:tr w:rsidR="00E951C4" w:rsidRPr="00E951C4" w14:paraId="55AA6F69" w14:textId="77777777" w:rsidTr="00FC4AE3">
        <w:trPr>
          <w:trHeight w:val="10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C3BE4DC"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C7BE56"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 xml:space="preserve">Ambient air temperature effect on ICE vehicles due to tyre noise (5-40°C)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DDD12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6DAE35F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59FCCE"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45934"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rectangular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1F0F16"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0,013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9287C0"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6E928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F87E0A"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9083187"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A60F777"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5024787"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237EE1D5" w14:textId="77777777" w:rsidR="00E951C4" w:rsidRPr="00E951C4" w:rsidRDefault="00E951C4" w:rsidP="00E951C4">
            <w:pPr>
              <w:suppressAutoHyphens w:val="0"/>
              <w:spacing w:line="240" w:lineRule="auto"/>
              <w:jc w:val="center"/>
              <w:rPr>
                <w:rFonts w:eastAsiaTheme="minorEastAsia"/>
                <w:color w:val="C00000"/>
                <w:sz w:val="16"/>
                <w:szCs w:val="16"/>
                <w:lang w:val="en-US" w:eastAsia="de-DE"/>
              </w:rPr>
            </w:pPr>
          </w:p>
        </w:tc>
      </w:tr>
      <w:tr w:rsidR="00E951C4" w:rsidRPr="00E951C4" w14:paraId="41104FEE" w14:textId="77777777" w:rsidTr="00FC4AE3">
        <w:trPr>
          <w:trHeight w:val="23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680F07B"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96504A"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 xml:space="preserve">Barometric pressure effect on engine power (based on R85)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92E3C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4E39FCC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1A40955"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0,4</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06D8F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BD984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0,013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889A6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0,12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97AEB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159744"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E58D2D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09C378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409FD59"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left w:val="single" w:sz="4" w:space="0" w:color="auto"/>
              <w:bottom w:val="single" w:sz="4" w:space="0" w:color="auto"/>
              <w:right w:val="single" w:sz="4" w:space="0" w:color="auto"/>
            </w:tcBorders>
            <w:shd w:val="clear" w:color="auto" w:fill="E7E6E6" w:themeFill="background2"/>
            <w:vAlign w:val="center"/>
          </w:tcPr>
          <w:p w14:paraId="2E48FCA0" w14:textId="77777777" w:rsidR="00E951C4" w:rsidRPr="00E951C4" w:rsidRDefault="00E951C4" w:rsidP="00E951C4">
            <w:pPr>
              <w:suppressAutoHyphens w:val="0"/>
              <w:spacing w:line="240" w:lineRule="auto"/>
              <w:jc w:val="center"/>
              <w:rPr>
                <w:rFonts w:eastAsiaTheme="minorEastAsia"/>
                <w:color w:val="C00000"/>
                <w:sz w:val="16"/>
                <w:szCs w:val="16"/>
                <w:lang w:val="en-US" w:eastAsia="de-DE"/>
              </w:rPr>
            </w:pPr>
          </w:p>
        </w:tc>
      </w:tr>
      <w:tr w:rsidR="00E951C4" w:rsidRPr="00E951C4" w14:paraId="43930B02" w14:textId="77777777" w:rsidTr="00FC4AE3">
        <w:trPr>
          <w:trHeight w:val="16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D73414" w14:textId="77777777" w:rsidR="00E951C4" w:rsidRPr="00E951C4" w:rsidRDefault="00E951C4" w:rsidP="00E951C4">
            <w:pPr>
              <w:suppressAutoHyphens w:val="0"/>
              <w:spacing w:line="240" w:lineRule="auto"/>
              <w:ind w:left="113" w:right="113"/>
              <w:jc w:val="center"/>
              <w:rPr>
                <w:rFonts w:eastAsiaTheme="minorEastAsia"/>
                <w:b/>
                <w:bCs/>
                <w:sz w:val="16"/>
                <w:szCs w:val="16"/>
                <w:lang w:val="en-US" w:eastAsia="de-DE"/>
              </w:rPr>
            </w:pPr>
            <w:r w:rsidRPr="00E951C4">
              <w:rPr>
                <w:rFonts w:eastAsiaTheme="minorEastAsia"/>
                <w:b/>
                <w:bCs/>
                <w:sz w:val="16"/>
                <w:szCs w:val="16"/>
                <w:lang w:val="en-US" w:eastAsia="de-DE"/>
              </w:rPr>
              <w:t>Site to Site</w:t>
            </w:r>
          </w:p>
        </w:tc>
        <w:tc>
          <w:tcPr>
            <w:tcW w:w="2828" w:type="dxa"/>
            <w:tcBorders>
              <w:top w:val="single" w:sz="4" w:space="0" w:color="auto"/>
              <w:left w:val="nil"/>
              <w:bottom w:val="single" w:sz="4" w:space="0" w:color="auto"/>
              <w:right w:val="single" w:sz="4" w:space="0" w:color="auto"/>
            </w:tcBorders>
            <w:shd w:val="clear" w:color="auto" w:fill="FFFFFF" w:themeFill="background1"/>
            <w:hideMark/>
          </w:tcPr>
          <w:p w14:paraId="3FF5BC35"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rPr>
              <w:t>Altitude effect on combustion and sound propagation (Range: 1000 m) (95-105 kPa )</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42080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0,9</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6D3AFF6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B6442B3"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0,9</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5F765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rectangular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4AB82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0,068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866E0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0,26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A37EA8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6,5%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B4D4"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0,50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7F1D28"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8E4FD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0,50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99A97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0,50</w:t>
            </w:r>
          </w:p>
        </w:tc>
        <w:tc>
          <w:tcPr>
            <w:tcW w:w="567" w:type="dxa"/>
            <w:vMerge w:val="restart"/>
            <w:tcBorders>
              <w:top w:val="single" w:sz="4" w:space="0" w:color="auto"/>
              <w:left w:val="single" w:sz="4" w:space="0" w:color="auto"/>
              <w:right w:val="single" w:sz="4" w:space="0" w:color="auto"/>
            </w:tcBorders>
            <w:shd w:val="clear" w:color="auto" w:fill="E7E6E6" w:themeFill="background2"/>
            <w:vAlign w:val="center"/>
          </w:tcPr>
          <w:p w14:paraId="3906590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1,0</w:t>
            </w:r>
          </w:p>
        </w:tc>
      </w:tr>
      <w:tr w:rsidR="00E951C4" w:rsidRPr="00E951C4" w14:paraId="25E67CDD"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7B1A29E8" w14:textId="77777777" w:rsidR="00E951C4" w:rsidRPr="00E951C4" w:rsidRDefault="00E951C4" w:rsidP="00E951C4">
            <w:pPr>
              <w:suppressAutoHyphens w:val="0"/>
              <w:spacing w:line="240" w:lineRule="auto"/>
              <w:ind w:left="113" w:right="113"/>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hideMark/>
          </w:tcPr>
          <w:p w14:paraId="35C6B5D9"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rPr>
              <w:t>Test Track Surface</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3B166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1,3</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2CD66B3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8DB1C7B"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1,3</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E060D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EF0C5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0,106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BA2ED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0,33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A3CCE5"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10,2%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2F8180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2BF80AB"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7B7E0B7"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434869F"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5E1D522D"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01926C4A"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1650EF12" w14:textId="77777777" w:rsidR="00E951C4" w:rsidRPr="00E951C4" w:rsidRDefault="00E951C4" w:rsidP="00E951C4">
            <w:pPr>
              <w:suppressAutoHyphens w:val="0"/>
              <w:spacing w:line="240" w:lineRule="auto"/>
              <w:ind w:left="113" w:right="113"/>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hideMark/>
          </w:tcPr>
          <w:p w14:paraId="39F055A3"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rPr>
              <w:t>Microphone Class 1 IEC 61672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122EB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5897473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E952623"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4D5E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EF83F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0,063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A694A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0,25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3A11F5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6,0%</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3CE6D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67168FA"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7D51D9B"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5DD9489"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2097FB5A"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791C2057"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6950F606" w14:textId="77777777" w:rsidR="00E951C4" w:rsidRPr="00E951C4" w:rsidRDefault="00E951C4" w:rsidP="00E951C4">
            <w:pPr>
              <w:suppressAutoHyphens w:val="0"/>
              <w:spacing w:line="240" w:lineRule="auto"/>
              <w:ind w:left="113" w:right="113"/>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hideMark/>
          </w:tcPr>
          <w:p w14:paraId="61FB2549"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rPr>
              <w:t>Sound calibrator IEC 60942</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D2566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0,5</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7249BB6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1A766B7"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1C3D8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gaussian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71C6C6"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0,016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E38C7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0,13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B91B3A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1,5%</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FA5435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215334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25C0580"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F4BE4E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1D985C5D"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24EE05BB"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4711B186" w14:textId="77777777" w:rsidR="00E951C4" w:rsidRPr="00E951C4" w:rsidRDefault="00E951C4" w:rsidP="00E951C4">
            <w:pPr>
              <w:suppressAutoHyphens w:val="0"/>
              <w:spacing w:line="240" w:lineRule="auto"/>
              <w:ind w:left="113" w:right="113"/>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hideMark/>
          </w:tcPr>
          <w:p w14:paraId="0CD44EB4"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rPr>
              <w:t>Speed measuring equipment continuous at BB</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DC0DE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0,1</w:t>
            </w:r>
          </w:p>
        </w:tc>
        <w:tc>
          <w:tcPr>
            <w:tcW w:w="426" w:type="dxa"/>
            <w:tcBorders>
              <w:top w:val="single" w:sz="4" w:space="0" w:color="auto"/>
              <w:left w:val="nil"/>
              <w:bottom w:val="single" w:sz="4" w:space="0" w:color="auto"/>
              <w:right w:val="single" w:sz="4" w:space="0" w:color="auto"/>
            </w:tcBorders>
            <w:shd w:val="clear" w:color="auto" w:fill="FFFFFF" w:themeFill="background1"/>
          </w:tcPr>
          <w:p w14:paraId="600D5D4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BC1811A"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sz w:val="16"/>
                <w:szCs w:val="16"/>
                <w:lang w:val="en-US" w:eastAsia="de-DE"/>
              </w:rPr>
              <w:t>0,1</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82C7BE"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gaussian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935A342"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0,001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C4EFA5"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xml:space="preserve">0,03 </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2A7085"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2B8784"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6FAADB1"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9E637DD"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FFA0DF4"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vAlign w:val="center"/>
          </w:tcPr>
          <w:p w14:paraId="06F5F614"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340A40E3" w14:textId="77777777" w:rsidTr="00FC4AE3">
        <w:trPr>
          <w:trHeight w:val="162"/>
        </w:trPr>
        <w:tc>
          <w:tcPr>
            <w:tcW w:w="426" w:type="dxa"/>
            <w:vMerge/>
            <w:tcBorders>
              <w:top w:val="single" w:sz="4" w:space="0" w:color="auto"/>
              <w:left w:val="single" w:sz="4" w:space="0" w:color="auto"/>
              <w:bottom w:val="single" w:sz="4" w:space="0" w:color="auto"/>
              <w:right w:val="single" w:sz="4" w:space="0" w:color="auto"/>
            </w:tcBorders>
            <w:textDirection w:val="btLr"/>
            <w:vAlign w:val="center"/>
            <w:hideMark/>
          </w:tcPr>
          <w:p w14:paraId="5A5E8DB4" w14:textId="77777777" w:rsidR="00E951C4" w:rsidRPr="00E951C4" w:rsidRDefault="00E951C4" w:rsidP="00E951C4">
            <w:pPr>
              <w:suppressAutoHyphens w:val="0"/>
              <w:spacing w:line="240" w:lineRule="auto"/>
              <w:ind w:left="113" w:right="113"/>
              <w:rPr>
                <w:rFonts w:eastAsiaTheme="minorEastAsia"/>
                <w:b/>
                <w:bCs/>
                <w:sz w:val="16"/>
                <w:szCs w:val="16"/>
                <w:lang w:val="en-US" w:eastAsia="de-DE"/>
              </w:rPr>
            </w:pP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tcPr>
          <w:p w14:paraId="786F2A1F"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5BAFF181"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6" w:type="dxa"/>
            <w:tcBorders>
              <w:top w:val="single" w:sz="4" w:space="0" w:color="auto"/>
              <w:left w:val="nil"/>
              <w:bottom w:val="single" w:sz="4" w:space="0" w:color="auto"/>
              <w:right w:val="single" w:sz="4" w:space="0" w:color="auto"/>
            </w:tcBorders>
            <w:shd w:val="clear" w:color="auto" w:fill="FFFFFF" w:themeFill="background1"/>
          </w:tcPr>
          <w:p w14:paraId="07D0C0A7"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E7B7186"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0BF1DFD"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EEE3394"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33D5EE0"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14:paraId="446D945C"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E17739"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6A78B7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49E3232" w14:textId="77777777" w:rsidR="00E951C4" w:rsidRPr="00E951C4" w:rsidRDefault="00E951C4" w:rsidP="00E951C4">
            <w:pPr>
              <w:suppressAutoHyphens w:val="0"/>
              <w:spacing w:line="240" w:lineRule="auto"/>
              <w:rPr>
                <w:rFonts w:eastAsiaTheme="minorEastAsia"/>
                <w:color w:val="C00000"/>
                <w:sz w:val="16"/>
                <w:szCs w:val="16"/>
                <w:lang w:val="en-US" w:eastAsia="de-DE"/>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3F85340"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bottom w:val="single" w:sz="4" w:space="0" w:color="auto"/>
              <w:right w:val="single" w:sz="4" w:space="0" w:color="auto"/>
            </w:tcBorders>
            <w:shd w:val="clear" w:color="auto" w:fill="E7E6E6" w:themeFill="background2"/>
            <w:vAlign w:val="center"/>
          </w:tcPr>
          <w:p w14:paraId="389E82BC"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r>
      <w:tr w:rsidR="00E951C4" w:rsidRPr="00E951C4" w14:paraId="6302A66C" w14:textId="77777777" w:rsidTr="00FC4AE3">
        <w:trPr>
          <w:trHeight w:val="162"/>
        </w:trPr>
        <w:tc>
          <w:tcPr>
            <w:tcW w:w="426" w:type="dxa"/>
            <w:vMerge w:val="restart"/>
            <w:tcBorders>
              <w:top w:val="single" w:sz="4" w:space="0" w:color="auto"/>
              <w:left w:val="single" w:sz="4" w:space="0" w:color="auto"/>
              <w:bottom w:val="single" w:sz="12" w:space="0" w:color="auto"/>
              <w:right w:val="single" w:sz="4" w:space="0" w:color="auto"/>
            </w:tcBorders>
            <w:shd w:val="clear" w:color="auto" w:fill="auto"/>
            <w:textDirection w:val="btLr"/>
            <w:vAlign w:val="center"/>
            <w:hideMark/>
          </w:tcPr>
          <w:p w14:paraId="08680F19" w14:textId="77777777" w:rsidR="00E951C4" w:rsidRPr="00E951C4" w:rsidRDefault="00E951C4" w:rsidP="00E951C4">
            <w:pPr>
              <w:suppressAutoHyphens w:val="0"/>
              <w:spacing w:line="240" w:lineRule="auto"/>
              <w:ind w:left="113" w:right="113"/>
              <w:jc w:val="center"/>
              <w:rPr>
                <w:rFonts w:eastAsiaTheme="minorEastAsia"/>
                <w:b/>
                <w:bCs/>
                <w:sz w:val="16"/>
                <w:szCs w:val="16"/>
                <w:lang w:val="en-US" w:eastAsia="de-DE"/>
              </w:rPr>
            </w:pPr>
            <w:r w:rsidRPr="00E951C4">
              <w:rPr>
                <w:rFonts w:eastAsiaTheme="minorEastAsia"/>
                <w:b/>
                <w:bCs/>
                <w:sz w:val="16"/>
                <w:szCs w:val="16"/>
                <w:lang w:val="en-US" w:eastAsia="de-DE"/>
              </w:rPr>
              <w:t>Vehicle to Vehicle</w:t>
            </w:r>
          </w:p>
        </w:tc>
        <w:tc>
          <w:tcPr>
            <w:tcW w:w="28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17E243"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Production Variation on Tyres; Aging of Tyres until delivery to customer (1dB after one year)</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7E4FF64F"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6" w:type="dxa"/>
            <w:tcBorders>
              <w:top w:val="single" w:sz="4" w:space="0" w:color="auto"/>
              <w:left w:val="nil"/>
              <w:bottom w:val="single" w:sz="4" w:space="0" w:color="auto"/>
              <w:right w:val="single" w:sz="4" w:space="0" w:color="auto"/>
            </w:tcBorders>
            <w:shd w:val="clear" w:color="auto" w:fill="FFFFFF" w:themeFill="background1"/>
          </w:tcPr>
          <w:p w14:paraId="5CA929F6"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0BBA68B"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9F11D15"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1F56866"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B2EC9E"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2C41E4"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9E88F2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0,70</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9C8EEBC"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 </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tcPr>
          <w:p w14:paraId="3C7B9024"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0,35</w:t>
            </w:r>
          </w:p>
        </w:tc>
        <w:tc>
          <w:tcPr>
            <w:tcW w:w="567" w:type="dxa"/>
            <w:vMerge w:val="restart"/>
            <w:tcBorders>
              <w:top w:val="single" w:sz="4" w:space="0" w:color="auto"/>
              <w:left w:val="single" w:sz="4" w:space="0" w:color="auto"/>
              <w:bottom w:val="single" w:sz="12" w:space="0" w:color="auto"/>
              <w:right w:val="single" w:sz="4" w:space="0" w:color="auto"/>
            </w:tcBorders>
            <w:shd w:val="clear" w:color="auto" w:fill="auto"/>
            <w:noWrap/>
            <w:vAlign w:val="center"/>
          </w:tcPr>
          <w:p w14:paraId="6B5599D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0,70</w:t>
            </w:r>
          </w:p>
        </w:tc>
        <w:tc>
          <w:tcPr>
            <w:tcW w:w="567" w:type="dxa"/>
            <w:vMerge w:val="restart"/>
            <w:tcBorders>
              <w:top w:val="single" w:sz="4" w:space="0" w:color="auto"/>
              <w:left w:val="single" w:sz="4" w:space="0" w:color="auto"/>
              <w:right w:val="single" w:sz="4" w:space="0" w:color="auto"/>
            </w:tcBorders>
            <w:shd w:val="clear" w:color="auto" w:fill="E7E6E6" w:themeFill="background2"/>
            <w:vAlign w:val="center"/>
          </w:tcPr>
          <w:p w14:paraId="4DFC4C29"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1,4</w:t>
            </w:r>
          </w:p>
        </w:tc>
      </w:tr>
      <w:tr w:rsidR="00E951C4" w:rsidRPr="00E951C4" w14:paraId="01E0C2CA"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77B75BCA"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nil"/>
              <w:left w:val="nil"/>
              <w:bottom w:val="single" w:sz="4" w:space="0" w:color="auto"/>
              <w:right w:val="single" w:sz="4" w:space="0" w:color="auto"/>
            </w:tcBorders>
            <w:shd w:val="clear" w:color="auto" w:fill="FFFFFF" w:themeFill="background1"/>
            <w:vAlign w:val="center"/>
            <w:hideMark/>
          </w:tcPr>
          <w:p w14:paraId="50495D6D"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 xml:space="preserve">Tyre – generic dispersion (Normal, tread depth, inflation pressure, model etc) </w:t>
            </w:r>
          </w:p>
        </w:tc>
        <w:tc>
          <w:tcPr>
            <w:tcW w:w="567" w:type="dxa"/>
            <w:tcBorders>
              <w:top w:val="nil"/>
              <w:left w:val="nil"/>
              <w:bottom w:val="single" w:sz="4" w:space="0" w:color="auto"/>
              <w:right w:val="single" w:sz="4" w:space="0" w:color="auto"/>
            </w:tcBorders>
            <w:shd w:val="clear" w:color="auto" w:fill="FFFFFF" w:themeFill="background1"/>
            <w:vAlign w:val="center"/>
          </w:tcPr>
          <w:p w14:paraId="299200FB"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2,8</w:t>
            </w:r>
          </w:p>
        </w:tc>
        <w:tc>
          <w:tcPr>
            <w:tcW w:w="426" w:type="dxa"/>
            <w:tcBorders>
              <w:top w:val="nil"/>
              <w:left w:val="nil"/>
              <w:bottom w:val="single" w:sz="4" w:space="0" w:color="auto"/>
              <w:right w:val="single" w:sz="4" w:space="0" w:color="auto"/>
            </w:tcBorders>
            <w:shd w:val="clear" w:color="auto" w:fill="FFFFFF" w:themeFill="background1"/>
          </w:tcPr>
          <w:p w14:paraId="613C639D"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nil"/>
              <w:left w:val="nil"/>
              <w:bottom w:val="single" w:sz="4" w:space="0" w:color="auto"/>
              <w:right w:val="single" w:sz="4" w:space="0" w:color="auto"/>
            </w:tcBorders>
            <w:shd w:val="clear" w:color="auto" w:fill="auto"/>
            <w:noWrap/>
            <w:vAlign w:val="center"/>
            <w:hideMark/>
          </w:tcPr>
          <w:p w14:paraId="64C67458"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r w:rsidRPr="00E951C4">
              <w:rPr>
                <w:rFonts w:eastAsiaTheme="minorEastAsia"/>
                <w:color w:val="000000"/>
                <w:sz w:val="16"/>
                <w:szCs w:val="16"/>
                <w:lang w:val="en-US" w:eastAsia="de-DE"/>
              </w:rPr>
              <w:t>2,8</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6A4CE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gaussian</w:t>
            </w:r>
          </w:p>
        </w:tc>
        <w:tc>
          <w:tcPr>
            <w:tcW w:w="567" w:type="dxa"/>
            <w:tcBorders>
              <w:top w:val="nil"/>
              <w:left w:val="nil"/>
              <w:bottom w:val="single" w:sz="4" w:space="0" w:color="auto"/>
              <w:right w:val="single" w:sz="4" w:space="0" w:color="auto"/>
            </w:tcBorders>
            <w:shd w:val="clear" w:color="auto" w:fill="auto"/>
            <w:vAlign w:val="center"/>
          </w:tcPr>
          <w:p w14:paraId="05151A34"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0,49</w:t>
            </w:r>
          </w:p>
        </w:tc>
        <w:tc>
          <w:tcPr>
            <w:tcW w:w="567" w:type="dxa"/>
            <w:tcBorders>
              <w:top w:val="nil"/>
              <w:left w:val="nil"/>
              <w:bottom w:val="single" w:sz="4" w:space="0" w:color="auto"/>
              <w:right w:val="single" w:sz="4" w:space="0" w:color="auto"/>
            </w:tcBorders>
            <w:shd w:val="clear" w:color="auto" w:fill="auto"/>
            <w:vAlign w:val="center"/>
          </w:tcPr>
          <w:p w14:paraId="159B0007"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0,70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5CDCCA"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47,2%</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38F1FD3"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4C4D7F8"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0E9DF14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5C3EF741"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76A0621C" w14:textId="77777777" w:rsidR="00E951C4" w:rsidRPr="00E951C4" w:rsidRDefault="00E951C4" w:rsidP="00E951C4">
            <w:pPr>
              <w:suppressAutoHyphens w:val="0"/>
              <w:spacing w:line="240" w:lineRule="auto"/>
              <w:rPr>
                <w:rFonts w:eastAsiaTheme="minorEastAsia"/>
                <w:sz w:val="16"/>
                <w:szCs w:val="16"/>
                <w:lang w:val="en-US" w:eastAsia="de-DE"/>
              </w:rPr>
            </w:pPr>
          </w:p>
        </w:tc>
      </w:tr>
      <w:tr w:rsidR="00E951C4" w:rsidRPr="00E951C4" w14:paraId="5B572098"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269D612D"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nil"/>
              <w:left w:val="nil"/>
              <w:bottom w:val="single" w:sz="4" w:space="0" w:color="auto"/>
              <w:right w:val="single" w:sz="4" w:space="0" w:color="auto"/>
            </w:tcBorders>
            <w:shd w:val="clear" w:color="auto" w:fill="FFFFFF" w:themeFill="background1"/>
            <w:vAlign w:val="center"/>
            <w:hideMark/>
          </w:tcPr>
          <w:p w14:paraId="7EA5D21D"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Production Variation in Power, incl. proper break-in of a brand-new engine</w:t>
            </w:r>
          </w:p>
        </w:tc>
        <w:tc>
          <w:tcPr>
            <w:tcW w:w="567" w:type="dxa"/>
            <w:tcBorders>
              <w:top w:val="nil"/>
              <w:left w:val="nil"/>
              <w:bottom w:val="single" w:sz="4" w:space="0" w:color="auto"/>
              <w:right w:val="single" w:sz="4" w:space="0" w:color="auto"/>
            </w:tcBorders>
            <w:shd w:val="clear" w:color="auto" w:fill="FFFFFF" w:themeFill="background1"/>
            <w:vAlign w:val="center"/>
          </w:tcPr>
          <w:p w14:paraId="3A7AA06A"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6" w:type="dxa"/>
            <w:tcBorders>
              <w:top w:val="nil"/>
              <w:left w:val="nil"/>
              <w:bottom w:val="single" w:sz="4" w:space="0" w:color="auto"/>
              <w:right w:val="single" w:sz="4" w:space="0" w:color="auto"/>
            </w:tcBorders>
            <w:shd w:val="clear" w:color="auto" w:fill="FFFFFF" w:themeFill="background1"/>
          </w:tcPr>
          <w:p w14:paraId="0D68E258"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nil"/>
              <w:left w:val="nil"/>
              <w:bottom w:val="single" w:sz="4" w:space="0" w:color="auto"/>
              <w:right w:val="single" w:sz="4" w:space="0" w:color="auto"/>
            </w:tcBorders>
            <w:shd w:val="clear" w:color="auto" w:fill="auto"/>
            <w:noWrap/>
            <w:vAlign w:val="center"/>
          </w:tcPr>
          <w:p w14:paraId="0BC009A9"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p>
        </w:tc>
        <w:tc>
          <w:tcPr>
            <w:tcW w:w="992" w:type="dxa"/>
            <w:tcBorders>
              <w:top w:val="nil"/>
              <w:left w:val="nil"/>
              <w:bottom w:val="single" w:sz="4" w:space="0" w:color="auto"/>
              <w:right w:val="single" w:sz="4" w:space="0" w:color="auto"/>
            </w:tcBorders>
            <w:shd w:val="clear" w:color="auto" w:fill="FFFFFF" w:themeFill="background1"/>
            <w:vAlign w:val="center"/>
          </w:tcPr>
          <w:p w14:paraId="613F5B01"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nil"/>
              <w:left w:val="nil"/>
              <w:bottom w:val="single" w:sz="4" w:space="0" w:color="auto"/>
              <w:right w:val="single" w:sz="4" w:space="0" w:color="auto"/>
            </w:tcBorders>
            <w:shd w:val="clear" w:color="auto" w:fill="auto"/>
            <w:vAlign w:val="center"/>
          </w:tcPr>
          <w:p w14:paraId="5693218F"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nil"/>
              <w:left w:val="nil"/>
              <w:bottom w:val="single" w:sz="4" w:space="0" w:color="auto"/>
              <w:right w:val="single" w:sz="4" w:space="0" w:color="auto"/>
            </w:tcBorders>
            <w:shd w:val="clear" w:color="auto" w:fill="auto"/>
            <w:vAlign w:val="center"/>
          </w:tcPr>
          <w:p w14:paraId="657B4FE0"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B437EA"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AD1E94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1EFC18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55E14039"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3D69AA2B"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19B1F6D6" w14:textId="77777777" w:rsidR="00E951C4" w:rsidRPr="00E951C4" w:rsidRDefault="00E951C4" w:rsidP="00E951C4">
            <w:pPr>
              <w:suppressAutoHyphens w:val="0"/>
              <w:spacing w:line="240" w:lineRule="auto"/>
              <w:rPr>
                <w:rFonts w:eastAsiaTheme="minorEastAsia"/>
                <w:sz w:val="16"/>
                <w:szCs w:val="16"/>
                <w:lang w:val="en-US" w:eastAsia="de-DE"/>
              </w:rPr>
            </w:pPr>
          </w:p>
        </w:tc>
      </w:tr>
      <w:tr w:rsidR="00E951C4" w:rsidRPr="00E951C4" w14:paraId="6C896F55"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388A518B"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nil"/>
              <w:left w:val="nil"/>
              <w:bottom w:val="single" w:sz="4" w:space="0" w:color="auto"/>
              <w:right w:val="single" w:sz="4" w:space="0" w:color="auto"/>
            </w:tcBorders>
            <w:shd w:val="clear" w:color="auto" w:fill="FFFFFF" w:themeFill="background1"/>
            <w:vAlign w:val="center"/>
            <w:hideMark/>
          </w:tcPr>
          <w:p w14:paraId="2D6711AC"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 xml:space="preserve">Battery state of charge for HEVs </w:t>
            </w:r>
            <w:r w:rsidRPr="00E951C4">
              <w:rPr>
                <w:rFonts w:eastAsiaTheme="minorEastAsia"/>
                <w:sz w:val="16"/>
                <w:szCs w:val="16"/>
                <w:lang w:val="en-US" w:eastAsia="de-DE"/>
              </w:rPr>
              <w:br/>
              <w:t>(3 dB(A))</w:t>
            </w:r>
          </w:p>
        </w:tc>
        <w:tc>
          <w:tcPr>
            <w:tcW w:w="567" w:type="dxa"/>
            <w:tcBorders>
              <w:top w:val="nil"/>
              <w:left w:val="nil"/>
              <w:bottom w:val="single" w:sz="4" w:space="0" w:color="auto"/>
              <w:right w:val="single" w:sz="4" w:space="0" w:color="auto"/>
            </w:tcBorders>
            <w:shd w:val="clear" w:color="auto" w:fill="FFFFFF" w:themeFill="background1"/>
            <w:vAlign w:val="center"/>
          </w:tcPr>
          <w:p w14:paraId="661DB498"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6" w:type="dxa"/>
            <w:tcBorders>
              <w:top w:val="nil"/>
              <w:left w:val="nil"/>
              <w:bottom w:val="single" w:sz="4" w:space="0" w:color="auto"/>
              <w:right w:val="single" w:sz="4" w:space="0" w:color="auto"/>
            </w:tcBorders>
            <w:shd w:val="clear" w:color="auto" w:fill="FFFFFF" w:themeFill="background1"/>
          </w:tcPr>
          <w:p w14:paraId="1CA62581"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nil"/>
              <w:left w:val="nil"/>
              <w:bottom w:val="single" w:sz="4" w:space="0" w:color="auto"/>
              <w:right w:val="single" w:sz="4" w:space="0" w:color="auto"/>
            </w:tcBorders>
            <w:shd w:val="clear" w:color="auto" w:fill="auto"/>
            <w:noWrap/>
            <w:vAlign w:val="center"/>
          </w:tcPr>
          <w:p w14:paraId="2CF98A20"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992" w:type="dxa"/>
            <w:tcBorders>
              <w:top w:val="nil"/>
              <w:left w:val="nil"/>
              <w:bottom w:val="single" w:sz="4" w:space="0" w:color="auto"/>
              <w:right w:val="single" w:sz="4" w:space="0" w:color="auto"/>
            </w:tcBorders>
            <w:shd w:val="clear" w:color="auto" w:fill="FFFFFF" w:themeFill="background1"/>
            <w:vAlign w:val="center"/>
          </w:tcPr>
          <w:p w14:paraId="7C34B34E"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nil"/>
              <w:left w:val="nil"/>
              <w:bottom w:val="single" w:sz="4" w:space="0" w:color="auto"/>
              <w:right w:val="single" w:sz="4" w:space="0" w:color="auto"/>
            </w:tcBorders>
            <w:shd w:val="clear" w:color="auto" w:fill="auto"/>
            <w:vAlign w:val="center"/>
          </w:tcPr>
          <w:p w14:paraId="0CCFB4B2"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nil"/>
              <w:left w:val="nil"/>
              <w:bottom w:val="single" w:sz="4" w:space="0" w:color="auto"/>
              <w:right w:val="single" w:sz="4" w:space="0" w:color="auto"/>
            </w:tcBorders>
            <w:shd w:val="clear" w:color="auto" w:fill="auto"/>
            <w:vAlign w:val="center"/>
          </w:tcPr>
          <w:p w14:paraId="1753BFCC"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F1B241"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D50237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66E048B"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55B137A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0AB1EE0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6706020C" w14:textId="77777777" w:rsidR="00E951C4" w:rsidRPr="00E951C4" w:rsidRDefault="00E951C4" w:rsidP="00E951C4">
            <w:pPr>
              <w:suppressAutoHyphens w:val="0"/>
              <w:spacing w:line="240" w:lineRule="auto"/>
              <w:rPr>
                <w:rFonts w:eastAsiaTheme="minorEastAsia"/>
                <w:sz w:val="16"/>
                <w:szCs w:val="16"/>
                <w:lang w:val="en-US" w:eastAsia="de-DE"/>
              </w:rPr>
            </w:pPr>
          </w:p>
        </w:tc>
      </w:tr>
      <w:tr w:rsidR="00E951C4" w:rsidRPr="00E951C4" w14:paraId="4433B176"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6F80FC13"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nil"/>
              <w:left w:val="nil"/>
              <w:bottom w:val="single" w:sz="4" w:space="0" w:color="auto"/>
              <w:right w:val="single" w:sz="4" w:space="0" w:color="auto"/>
            </w:tcBorders>
            <w:shd w:val="clear" w:color="auto" w:fill="FFFFFF" w:themeFill="background1"/>
            <w:vAlign w:val="center"/>
            <w:hideMark/>
          </w:tcPr>
          <w:p w14:paraId="425349D5"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Production Variability of Sound Reduction Components</w:t>
            </w:r>
          </w:p>
        </w:tc>
        <w:tc>
          <w:tcPr>
            <w:tcW w:w="567" w:type="dxa"/>
            <w:tcBorders>
              <w:top w:val="nil"/>
              <w:left w:val="nil"/>
              <w:bottom w:val="single" w:sz="4" w:space="0" w:color="auto"/>
              <w:right w:val="single" w:sz="4" w:space="0" w:color="auto"/>
            </w:tcBorders>
            <w:shd w:val="clear" w:color="auto" w:fill="FFFFFF" w:themeFill="background1"/>
            <w:vAlign w:val="center"/>
          </w:tcPr>
          <w:p w14:paraId="10443DA2"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6" w:type="dxa"/>
            <w:tcBorders>
              <w:top w:val="nil"/>
              <w:left w:val="nil"/>
              <w:bottom w:val="single" w:sz="4" w:space="0" w:color="auto"/>
              <w:right w:val="single" w:sz="4" w:space="0" w:color="auto"/>
            </w:tcBorders>
            <w:shd w:val="clear" w:color="auto" w:fill="FFFFFF" w:themeFill="background1"/>
          </w:tcPr>
          <w:p w14:paraId="24FD2DBF"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nil"/>
              <w:left w:val="nil"/>
              <w:bottom w:val="single" w:sz="4" w:space="0" w:color="auto"/>
              <w:right w:val="single" w:sz="4" w:space="0" w:color="auto"/>
            </w:tcBorders>
            <w:shd w:val="clear" w:color="auto" w:fill="auto"/>
            <w:noWrap/>
            <w:vAlign w:val="center"/>
          </w:tcPr>
          <w:p w14:paraId="1FD0AD37"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992" w:type="dxa"/>
            <w:tcBorders>
              <w:top w:val="nil"/>
              <w:left w:val="nil"/>
              <w:bottom w:val="single" w:sz="4" w:space="0" w:color="auto"/>
              <w:right w:val="single" w:sz="4" w:space="0" w:color="auto"/>
            </w:tcBorders>
            <w:shd w:val="clear" w:color="auto" w:fill="FFFFFF" w:themeFill="background1"/>
            <w:vAlign w:val="center"/>
          </w:tcPr>
          <w:p w14:paraId="2391CCA2"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nil"/>
              <w:left w:val="nil"/>
              <w:bottom w:val="single" w:sz="4" w:space="0" w:color="auto"/>
              <w:right w:val="single" w:sz="4" w:space="0" w:color="auto"/>
            </w:tcBorders>
            <w:shd w:val="clear" w:color="auto" w:fill="auto"/>
            <w:vAlign w:val="center"/>
          </w:tcPr>
          <w:p w14:paraId="2B64186D"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nil"/>
              <w:left w:val="nil"/>
              <w:bottom w:val="single" w:sz="4" w:space="0" w:color="auto"/>
              <w:right w:val="single" w:sz="4" w:space="0" w:color="auto"/>
            </w:tcBorders>
            <w:shd w:val="clear" w:color="auto" w:fill="auto"/>
            <w:vAlign w:val="center"/>
          </w:tcPr>
          <w:p w14:paraId="3A09E291"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45ADC4"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42810E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601DE39B"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75B1A22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3AA67AC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right w:val="single" w:sz="4" w:space="0" w:color="auto"/>
            </w:tcBorders>
            <w:shd w:val="clear" w:color="auto" w:fill="E7E6E6" w:themeFill="background2"/>
          </w:tcPr>
          <w:p w14:paraId="1FC0D838" w14:textId="77777777" w:rsidR="00E951C4" w:rsidRPr="00E951C4" w:rsidRDefault="00E951C4" w:rsidP="00E951C4">
            <w:pPr>
              <w:suppressAutoHyphens w:val="0"/>
              <w:spacing w:line="240" w:lineRule="auto"/>
              <w:rPr>
                <w:rFonts w:eastAsiaTheme="minorEastAsia"/>
                <w:sz w:val="16"/>
                <w:szCs w:val="16"/>
                <w:lang w:val="en-US" w:eastAsia="de-DE"/>
              </w:rPr>
            </w:pPr>
          </w:p>
        </w:tc>
      </w:tr>
      <w:tr w:rsidR="00E951C4" w:rsidRPr="00E951C4" w14:paraId="7DFA505E" w14:textId="77777777" w:rsidTr="00FC4AE3">
        <w:trPr>
          <w:trHeight w:val="162"/>
        </w:trPr>
        <w:tc>
          <w:tcPr>
            <w:tcW w:w="426" w:type="dxa"/>
            <w:vMerge/>
            <w:tcBorders>
              <w:top w:val="single" w:sz="8" w:space="0" w:color="000000"/>
              <w:left w:val="single" w:sz="4" w:space="0" w:color="auto"/>
              <w:bottom w:val="single" w:sz="12" w:space="0" w:color="auto"/>
              <w:right w:val="single" w:sz="4" w:space="0" w:color="auto"/>
            </w:tcBorders>
            <w:vAlign w:val="center"/>
            <w:hideMark/>
          </w:tcPr>
          <w:p w14:paraId="0E2BE2E6" w14:textId="77777777" w:rsidR="00E951C4" w:rsidRPr="00E951C4" w:rsidRDefault="00E951C4" w:rsidP="00E951C4">
            <w:pPr>
              <w:suppressAutoHyphens w:val="0"/>
              <w:spacing w:line="240" w:lineRule="auto"/>
              <w:rPr>
                <w:rFonts w:eastAsiaTheme="minorEastAsia"/>
                <w:b/>
                <w:bCs/>
                <w:sz w:val="16"/>
                <w:szCs w:val="16"/>
                <w:lang w:val="en-US" w:eastAsia="de-DE"/>
              </w:rPr>
            </w:pPr>
          </w:p>
        </w:tc>
        <w:tc>
          <w:tcPr>
            <w:tcW w:w="2828" w:type="dxa"/>
            <w:tcBorders>
              <w:top w:val="single" w:sz="4" w:space="0" w:color="auto"/>
              <w:left w:val="nil"/>
              <w:bottom w:val="single" w:sz="12" w:space="0" w:color="auto"/>
              <w:right w:val="single" w:sz="4" w:space="0" w:color="auto"/>
            </w:tcBorders>
            <w:shd w:val="clear" w:color="auto" w:fill="FFFFFF" w:themeFill="background1"/>
            <w:vAlign w:val="center"/>
            <w:hideMark/>
          </w:tcPr>
          <w:p w14:paraId="44AC3BAA" w14:textId="77777777" w:rsidR="00E951C4" w:rsidRPr="00E951C4" w:rsidRDefault="00E951C4" w:rsidP="00E951C4">
            <w:pPr>
              <w:suppressAutoHyphens w:val="0"/>
              <w:spacing w:line="240" w:lineRule="auto"/>
              <w:rPr>
                <w:rFonts w:eastAsiaTheme="minorEastAsia"/>
                <w:sz w:val="16"/>
                <w:szCs w:val="16"/>
                <w:lang w:val="en-US" w:eastAsia="de-DE"/>
              </w:rPr>
            </w:pPr>
            <w:r w:rsidRPr="00E951C4">
              <w:rPr>
                <w:rFonts w:eastAsiaTheme="minorEastAsia"/>
                <w:sz w:val="16"/>
                <w:szCs w:val="16"/>
                <w:lang w:val="en-US" w:eastAsia="de-DE"/>
              </w:rPr>
              <w:t>Test mass – variation as a consequence of the definition</w:t>
            </w:r>
          </w:p>
        </w:tc>
        <w:tc>
          <w:tcPr>
            <w:tcW w:w="567" w:type="dxa"/>
            <w:tcBorders>
              <w:top w:val="single" w:sz="4" w:space="0" w:color="auto"/>
              <w:left w:val="nil"/>
              <w:bottom w:val="single" w:sz="12" w:space="0" w:color="auto"/>
              <w:right w:val="single" w:sz="4" w:space="0" w:color="auto"/>
            </w:tcBorders>
            <w:shd w:val="clear" w:color="auto" w:fill="FFFFFF" w:themeFill="background1"/>
            <w:vAlign w:val="center"/>
          </w:tcPr>
          <w:p w14:paraId="1E79C5BF"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426" w:type="dxa"/>
            <w:tcBorders>
              <w:top w:val="single" w:sz="4" w:space="0" w:color="auto"/>
              <w:left w:val="nil"/>
              <w:bottom w:val="single" w:sz="12" w:space="0" w:color="auto"/>
              <w:right w:val="single" w:sz="4" w:space="0" w:color="auto"/>
            </w:tcBorders>
            <w:shd w:val="clear" w:color="auto" w:fill="FFFFFF" w:themeFill="background1"/>
          </w:tcPr>
          <w:p w14:paraId="40A3F3D3" w14:textId="77777777" w:rsidR="00E951C4" w:rsidRPr="00E951C4" w:rsidRDefault="00E951C4" w:rsidP="00E951C4">
            <w:pPr>
              <w:suppressAutoHyphens w:val="0"/>
              <w:spacing w:line="240" w:lineRule="auto"/>
              <w:jc w:val="center"/>
              <w:rPr>
                <w:rFonts w:eastAsiaTheme="minorEastAsia"/>
                <w:sz w:val="16"/>
                <w:szCs w:val="16"/>
                <w:lang w:val="en-US" w:eastAsia="de-DE"/>
              </w:rPr>
            </w:pPr>
            <w:r w:rsidRPr="00E951C4">
              <w:rPr>
                <w:rFonts w:eastAsiaTheme="minorEastAsia"/>
                <w:sz w:val="16"/>
                <w:szCs w:val="16"/>
                <w:lang w:val="en-US" w:eastAsia="de-DE"/>
              </w:rPr>
              <w:t>NA</w:t>
            </w:r>
          </w:p>
        </w:tc>
        <w:tc>
          <w:tcPr>
            <w:tcW w:w="425" w:type="dxa"/>
            <w:tcBorders>
              <w:top w:val="single" w:sz="4" w:space="0" w:color="auto"/>
              <w:left w:val="nil"/>
              <w:bottom w:val="single" w:sz="12" w:space="0" w:color="auto"/>
              <w:right w:val="single" w:sz="4" w:space="0" w:color="auto"/>
            </w:tcBorders>
            <w:shd w:val="clear" w:color="auto" w:fill="auto"/>
            <w:noWrap/>
            <w:vAlign w:val="center"/>
          </w:tcPr>
          <w:p w14:paraId="6CCDAB68" w14:textId="77777777" w:rsidR="00E951C4" w:rsidRPr="00E951C4" w:rsidRDefault="00E951C4" w:rsidP="00E951C4">
            <w:pPr>
              <w:suppressAutoHyphens w:val="0"/>
              <w:spacing w:line="240" w:lineRule="auto"/>
              <w:jc w:val="center"/>
              <w:rPr>
                <w:rFonts w:eastAsiaTheme="minorEastAsia"/>
                <w:color w:val="000000"/>
                <w:sz w:val="16"/>
                <w:szCs w:val="16"/>
                <w:lang w:val="en-US" w:eastAsia="de-DE"/>
              </w:rPr>
            </w:pPr>
          </w:p>
        </w:tc>
        <w:tc>
          <w:tcPr>
            <w:tcW w:w="992" w:type="dxa"/>
            <w:tcBorders>
              <w:top w:val="single" w:sz="4" w:space="0" w:color="auto"/>
              <w:left w:val="nil"/>
              <w:bottom w:val="single" w:sz="12" w:space="0" w:color="auto"/>
              <w:right w:val="single" w:sz="4" w:space="0" w:color="auto"/>
            </w:tcBorders>
            <w:shd w:val="clear" w:color="auto" w:fill="FFFFFF" w:themeFill="background1"/>
            <w:vAlign w:val="center"/>
          </w:tcPr>
          <w:p w14:paraId="2935B91B"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single" w:sz="4" w:space="0" w:color="auto"/>
              <w:left w:val="nil"/>
              <w:bottom w:val="single" w:sz="12" w:space="0" w:color="auto"/>
              <w:right w:val="single" w:sz="4" w:space="0" w:color="auto"/>
            </w:tcBorders>
            <w:shd w:val="clear" w:color="auto" w:fill="auto"/>
            <w:vAlign w:val="center"/>
          </w:tcPr>
          <w:p w14:paraId="0D0B1242"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tcBorders>
              <w:top w:val="single" w:sz="4" w:space="0" w:color="auto"/>
              <w:left w:val="nil"/>
              <w:bottom w:val="single" w:sz="12" w:space="0" w:color="auto"/>
              <w:right w:val="single" w:sz="4" w:space="0" w:color="auto"/>
            </w:tcBorders>
            <w:shd w:val="clear" w:color="auto" w:fill="auto"/>
            <w:vAlign w:val="center"/>
          </w:tcPr>
          <w:p w14:paraId="7CC83275"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14:paraId="2744B375" w14:textId="77777777" w:rsidR="00E951C4" w:rsidRPr="00E951C4" w:rsidRDefault="00E951C4" w:rsidP="00E951C4">
            <w:pPr>
              <w:suppressAutoHyphens w:val="0"/>
              <w:spacing w:line="240" w:lineRule="auto"/>
              <w:jc w:val="center"/>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11A55A36"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0F8280C5"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1C92AD0E"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top w:val="single" w:sz="4" w:space="0" w:color="auto"/>
              <w:left w:val="single" w:sz="4" w:space="0" w:color="auto"/>
              <w:bottom w:val="single" w:sz="12" w:space="0" w:color="auto"/>
              <w:right w:val="single" w:sz="4" w:space="0" w:color="auto"/>
            </w:tcBorders>
            <w:vAlign w:val="center"/>
          </w:tcPr>
          <w:p w14:paraId="4205C15C" w14:textId="77777777" w:rsidR="00E951C4" w:rsidRPr="00E951C4" w:rsidRDefault="00E951C4" w:rsidP="00E951C4">
            <w:pPr>
              <w:suppressAutoHyphens w:val="0"/>
              <w:spacing w:line="240" w:lineRule="auto"/>
              <w:rPr>
                <w:rFonts w:eastAsiaTheme="minorEastAsia"/>
                <w:sz w:val="16"/>
                <w:szCs w:val="16"/>
                <w:lang w:val="en-US" w:eastAsia="de-DE"/>
              </w:rPr>
            </w:pPr>
          </w:p>
        </w:tc>
        <w:tc>
          <w:tcPr>
            <w:tcW w:w="567" w:type="dxa"/>
            <w:vMerge/>
            <w:tcBorders>
              <w:left w:val="single" w:sz="4" w:space="0" w:color="auto"/>
              <w:bottom w:val="single" w:sz="12" w:space="0" w:color="auto"/>
              <w:right w:val="single" w:sz="4" w:space="0" w:color="auto"/>
            </w:tcBorders>
            <w:shd w:val="clear" w:color="auto" w:fill="E7E6E6" w:themeFill="background2"/>
          </w:tcPr>
          <w:p w14:paraId="71D7C700" w14:textId="77777777" w:rsidR="00E951C4" w:rsidRPr="00E951C4" w:rsidRDefault="00E951C4" w:rsidP="00E951C4">
            <w:pPr>
              <w:suppressAutoHyphens w:val="0"/>
              <w:spacing w:line="240" w:lineRule="auto"/>
              <w:rPr>
                <w:rFonts w:eastAsiaTheme="minorEastAsia"/>
                <w:sz w:val="16"/>
                <w:szCs w:val="16"/>
                <w:lang w:val="en-US" w:eastAsia="de-DE"/>
              </w:rPr>
            </w:pPr>
          </w:p>
        </w:tc>
      </w:tr>
      <w:tr w:rsidR="00E951C4" w:rsidRPr="00E951C4" w14:paraId="0AE9C42E" w14:textId="77777777" w:rsidTr="00FC4AE3">
        <w:trPr>
          <w:trHeight w:val="162"/>
        </w:trPr>
        <w:tc>
          <w:tcPr>
            <w:tcW w:w="426" w:type="dxa"/>
            <w:tcBorders>
              <w:top w:val="single" w:sz="12" w:space="0" w:color="auto"/>
              <w:left w:val="nil"/>
              <w:right w:val="nil"/>
            </w:tcBorders>
            <w:shd w:val="clear" w:color="000000" w:fill="FFFFFF"/>
            <w:vAlign w:val="center"/>
            <w:hideMark/>
          </w:tcPr>
          <w:p w14:paraId="06EA32A5" w14:textId="77777777" w:rsidR="00E951C4" w:rsidRPr="00E951C4" w:rsidRDefault="00E951C4" w:rsidP="00E951C4">
            <w:pPr>
              <w:suppressAutoHyphens w:val="0"/>
              <w:spacing w:line="240" w:lineRule="auto"/>
              <w:jc w:val="center"/>
              <w:rPr>
                <w:rFonts w:eastAsiaTheme="minorEastAsia"/>
                <w:b/>
                <w:bCs/>
                <w:color w:val="9C6500"/>
                <w:sz w:val="18"/>
                <w:szCs w:val="18"/>
                <w:lang w:val="en-US" w:eastAsia="de-DE"/>
              </w:rPr>
            </w:pPr>
            <w:r w:rsidRPr="00E951C4">
              <w:rPr>
                <w:rFonts w:eastAsiaTheme="minorEastAsia"/>
                <w:b/>
                <w:bCs/>
                <w:color w:val="9C6500"/>
                <w:sz w:val="18"/>
                <w:szCs w:val="18"/>
                <w:lang w:val="en-US" w:eastAsia="de-DE"/>
              </w:rPr>
              <w:t> </w:t>
            </w:r>
          </w:p>
        </w:tc>
        <w:tc>
          <w:tcPr>
            <w:tcW w:w="2828" w:type="dxa"/>
            <w:tcBorders>
              <w:top w:val="single" w:sz="12" w:space="0" w:color="auto"/>
              <w:left w:val="nil"/>
              <w:right w:val="nil"/>
            </w:tcBorders>
            <w:shd w:val="clear" w:color="000000" w:fill="FFFFFF"/>
            <w:vAlign w:val="center"/>
            <w:hideMark/>
          </w:tcPr>
          <w:p w14:paraId="61A5873B"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567" w:type="dxa"/>
            <w:tcBorders>
              <w:top w:val="single" w:sz="12" w:space="0" w:color="auto"/>
              <w:left w:val="nil"/>
              <w:right w:val="nil"/>
            </w:tcBorders>
            <w:shd w:val="clear" w:color="000000" w:fill="FFFFFF"/>
            <w:hideMark/>
          </w:tcPr>
          <w:p w14:paraId="2641D17B"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426" w:type="dxa"/>
            <w:tcBorders>
              <w:top w:val="single" w:sz="12" w:space="0" w:color="auto"/>
              <w:left w:val="nil"/>
              <w:right w:val="nil"/>
            </w:tcBorders>
            <w:shd w:val="clear" w:color="000000" w:fill="FFFFFF"/>
            <w:noWrap/>
            <w:vAlign w:val="center"/>
            <w:hideMark/>
          </w:tcPr>
          <w:p w14:paraId="460E1681"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425" w:type="dxa"/>
            <w:tcBorders>
              <w:top w:val="single" w:sz="12" w:space="0" w:color="auto"/>
              <w:left w:val="nil"/>
              <w:right w:val="nil"/>
            </w:tcBorders>
            <w:shd w:val="clear" w:color="000000" w:fill="FFFFFF"/>
            <w:noWrap/>
            <w:vAlign w:val="center"/>
            <w:hideMark/>
          </w:tcPr>
          <w:p w14:paraId="25821CE5"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992" w:type="dxa"/>
            <w:tcBorders>
              <w:top w:val="single" w:sz="12" w:space="0" w:color="auto"/>
              <w:left w:val="nil"/>
              <w:right w:val="nil"/>
            </w:tcBorders>
            <w:shd w:val="clear" w:color="auto" w:fill="FFFFFF" w:themeFill="background1"/>
            <w:noWrap/>
            <w:vAlign w:val="center"/>
            <w:hideMark/>
          </w:tcPr>
          <w:p w14:paraId="0B9B425B"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567" w:type="dxa"/>
            <w:tcBorders>
              <w:top w:val="single" w:sz="12" w:space="0" w:color="auto"/>
              <w:left w:val="nil"/>
              <w:right w:val="nil"/>
            </w:tcBorders>
            <w:shd w:val="clear" w:color="000000" w:fill="FFFFFF"/>
            <w:noWrap/>
            <w:vAlign w:val="center"/>
            <w:hideMark/>
          </w:tcPr>
          <w:p w14:paraId="5E4D4345"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567" w:type="dxa"/>
            <w:tcBorders>
              <w:top w:val="single" w:sz="12" w:space="0" w:color="auto"/>
              <w:left w:val="nil"/>
              <w:right w:val="nil"/>
            </w:tcBorders>
            <w:shd w:val="clear" w:color="000000" w:fill="FFFFFF"/>
            <w:vAlign w:val="center"/>
            <w:hideMark/>
          </w:tcPr>
          <w:p w14:paraId="551AA055" w14:textId="77777777" w:rsidR="00E951C4" w:rsidRPr="00E951C4" w:rsidRDefault="00E951C4" w:rsidP="00E951C4">
            <w:pPr>
              <w:suppressAutoHyphens w:val="0"/>
              <w:spacing w:line="240" w:lineRule="auto"/>
              <w:jc w:val="center"/>
              <w:rPr>
                <w:rFonts w:eastAsiaTheme="minorEastAsia"/>
                <w:color w:val="FFFFFF"/>
                <w:sz w:val="18"/>
                <w:szCs w:val="18"/>
                <w:lang w:val="en-US" w:eastAsia="de-DE"/>
              </w:rPr>
            </w:pPr>
            <w:r w:rsidRPr="00E951C4">
              <w:rPr>
                <w:rFonts w:eastAsiaTheme="minorEastAsia"/>
                <w:color w:val="FFFFFF"/>
                <w:sz w:val="18"/>
                <w:szCs w:val="18"/>
                <w:lang w:val="en-US" w:eastAsia="de-DE"/>
              </w:rPr>
              <w:t xml:space="preserve">1,552 </w:t>
            </w:r>
          </w:p>
        </w:tc>
        <w:tc>
          <w:tcPr>
            <w:tcW w:w="709" w:type="dxa"/>
            <w:tcBorders>
              <w:top w:val="single" w:sz="12" w:space="0" w:color="auto"/>
              <w:left w:val="nil"/>
              <w:right w:val="nil"/>
            </w:tcBorders>
            <w:shd w:val="clear" w:color="auto" w:fill="FFFFFF" w:themeFill="background1"/>
            <w:vAlign w:val="center"/>
            <w:hideMark/>
          </w:tcPr>
          <w:p w14:paraId="7985B6CA" w14:textId="77777777" w:rsidR="00E951C4" w:rsidRPr="00E951C4" w:rsidRDefault="00E951C4" w:rsidP="00E951C4">
            <w:pPr>
              <w:suppressAutoHyphens w:val="0"/>
              <w:spacing w:line="240" w:lineRule="auto"/>
              <w:jc w:val="center"/>
              <w:rPr>
                <w:rFonts w:eastAsiaTheme="minorEastAsia"/>
                <w:sz w:val="18"/>
                <w:szCs w:val="18"/>
                <w:lang w:val="en-US" w:eastAsia="de-DE"/>
              </w:rPr>
            </w:pPr>
            <w:r w:rsidRPr="00E951C4">
              <w:rPr>
                <w:rFonts w:eastAsiaTheme="minorEastAsia"/>
                <w:sz w:val="18"/>
                <w:szCs w:val="18"/>
                <w:lang w:val="en-US" w:eastAsia="de-DE"/>
              </w:rPr>
              <w:t>100 %</w:t>
            </w:r>
          </w:p>
        </w:tc>
        <w:tc>
          <w:tcPr>
            <w:tcW w:w="567" w:type="dxa"/>
            <w:tcBorders>
              <w:top w:val="single" w:sz="12" w:space="0" w:color="auto"/>
              <w:left w:val="nil"/>
              <w:right w:val="nil"/>
            </w:tcBorders>
            <w:shd w:val="clear" w:color="000000" w:fill="FFFFFF"/>
            <w:noWrap/>
            <w:vAlign w:val="center"/>
            <w:hideMark/>
          </w:tcPr>
          <w:p w14:paraId="19C26264" w14:textId="77777777" w:rsidR="00E951C4" w:rsidRPr="00E951C4" w:rsidRDefault="00E951C4" w:rsidP="00E951C4">
            <w:pPr>
              <w:suppressAutoHyphens w:val="0"/>
              <w:spacing w:line="240" w:lineRule="auto"/>
              <w:rPr>
                <w:rFonts w:eastAsiaTheme="minorEastAsia"/>
                <w:sz w:val="18"/>
                <w:szCs w:val="18"/>
                <w:lang w:val="en-US" w:eastAsia="de-DE"/>
              </w:rPr>
            </w:pPr>
            <w:r w:rsidRPr="00E951C4">
              <w:rPr>
                <w:rFonts w:eastAsiaTheme="minorEastAsia"/>
                <w:sz w:val="18"/>
                <w:szCs w:val="18"/>
                <w:lang w:val="en-US" w:eastAsia="de-DE"/>
              </w:rPr>
              <w:t> </w:t>
            </w:r>
          </w:p>
        </w:tc>
        <w:tc>
          <w:tcPr>
            <w:tcW w:w="1701" w:type="dxa"/>
            <w:gridSpan w:val="3"/>
            <w:tcBorders>
              <w:top w:val="single" w:sz="12" w:space="0" w:color="auto"/>
              <w:left w:val="nil"/>
              <w:right w:val="nil"/>
            </w:tcBorders>
            <w:shd w:val="clear" w:color="000000" w:fill="FFFFFF"/>
            <w:vAlign w:val="center"/>
            <w:hideMark/>
          </w:tcPr>
          <w:p w14:paraId="5145454F" w14:textId="77777777" w:rsidR="00E951C4" w:rsidRPr="00E951C4" w:rsidRDefault="00E951C4" w:rsidP="00E951C4">
            <w:pPr>
              <w:suppressAutoHyphens w:val="0"/>
              <w:spacing w:line="240" w:lineRule="auto"/>
              <w:jc w:val="center"/>
              <w:rPr>
                <w:rFonts w:eastAsiaTheme="minorEastAsia"/>
                <w:sz w:val="18"/>
                <w:szCs w:val="18"/>
                <w:lang w:val="en-US" w:eastAsia="de-DE"/>
              </w:rPr>
            </w:pPr>
            <w:r w:rsidRPr="00E951C4">
              <w:rPr>
                <w:rFonts w:eastAsiaTheme="minorEastAsia"/>
                <w:sz w:val="18"/>
                <w:szCs w:val="18"/>
                <w:lang w:val="en-US" w:eastAsia="de-DE"/>
              </w:rPr>
              <w:t> </w:t>
            </w:r>
          </w:p>
        </w:tc>
        <w:tc>
          <w:tcPr>
            <w:tcW w:w="567" w:type="dxa"/>
            <w:tcBorders>
              <w:top w:val="single" w:sz="12" w:space="0" w:color="auto"/>
              <w:left w:val="nil"/>
              <w:right w:val="nil"/>
            </w:tcBorders>
            <w:shd w:val="clear" w:color="000000" w:fill="FFFFFF"/>
          </w:tcPr>
          <w:p w14:paraId="6980BD44" w14:textId="77777777" w:rsidR="00E951C4" w:rsidRPr="00E951C4" w:rsidRDefault="00E951C4" w:rsidP="00E951C4">
            <w:pPr>
              <w:suppressAutoHyphens w:val="0"/>
              <w:spacing w:line="240" w:lineRule="auto"/>
              <w:jc w:val="center"/>
              <w:rPr>
                <w:rFonts w:eastAsiaTheme="minorEastAsia"/>
                <w:sz w:val="18"/>
                <w:szCs w:val="18"/>
                <w:lang w:val="en-US" w:eastAsia="de-DE"/>
              </w:rPr>
            </w:pPr>
          </w:p>
        </w:tc>
      </w:tr>
    </w:tbl>
    <w:tbl>
      <w:tblPr>
        <w:tblStyle w:val="TabelleRaster11"/>
        <w:tblW w:w="9923" w:type="dxa"/>
        <w:tblInd w:w="142" w:type="dxa"/>
        <w:tblLook w:val="0600" w:firstRow="0" w:lastRow="0" w:firstColumn="0" w:lastColumn="0" w:noHBand="1" w:noVBand="1"/>
      </w:tblPr>
      <w:tblGrid>
        <w:gridCol w:w="1892"/>
        <w:gridCol w:w="969"/>
        <w:gridCol w:w="1381"/>
        <w:gridCol w:w="1814"/>
        <w:gridCol w:w="818"/>
        <w:gridCol w:w="1123"/>
        <w:gridCol w:w="814"/>
        <w:gridCol w:w="1112"/>
      </w:tblGrid>
      <w:tr w:rsidR="00E951C4" w:rsidRPr="00E951C4" w14:paraId="6BE22BA0" w14:textId="77777777" w:rsidTr="00FC4AE3">
        <w:trPr>
          <w:trHeight w:val="223"/>
        </w:trPr>
        <w:tc>
          <w:tcPr>
            <w:tcW w:w="1985" w:type="dxa"/>
            <w:tcBorders>
              <w:top w:val="nil"/>
              <w:left w:val="nil"/>
              <w:bottom w:val="nil"/>
              <w:right w:val="nil"/>
            </w:tcBorders>
            <w:vAlign w:val="bottom"/>
          </w:tcPr>
          <w:p w14:paraId="4517D075"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1010" w:type="dxa"/>
            <w:tcBorders>
              <w:top w:val="nil"/>
              <w:left w:val="nil"/>
              <w:bottom w:val="nil"/>
              <w:right w:val="nil"/>
            </w:tcBorders>
            <w:vAlign w:val="center"/>
          </w:tcPr>
          <w:p w14:paraId="3DA4F7BD"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1399" w:type="dxa"/>
            <w:tcBorders>
              <w:top w:val="nil"/>
              <w:left w:val="nil"/>
              <w:bottom w:val="nil"/>
              <w:right w:val="nil"/>
            </w:tcBorders>
            <w:vAlign w:val="center"/>
          </w:tcPr>
          <w:p w14:paraId="7CC0E253" w14:textId="77777777" w:rsidR="00E951C4" w:rsidRPr="00E951C4" w:rsidRDefault="00E951C4" w:rsidP="00E951C4">
            <w:pPr>
              <w:suppressAutoHyphens w:val="0"/>
              <w:spacing w:line="240" w:lineRule="auto"/>
              <w:jc w:val="center"/>
              <w:rPr>
                <w:rFonts w:eastAsiaTheme="minorEastAsia"/>
                <w:sz w:val="18"/>
                <w:szCs w:val="18"/>
                <w:lang w:val="en-US" w:eastAsia="zh-CN"/>
              </w:rPr>
            </w:pPr>
          </w:p>
        </w:tc>
        <w:tc>
          <w:tcPr>
            <w:tcW w:w="1843" w:type="dxa"/>
            <w:tcBorders>
              <w:top w:val="nil"/>
              <w:left w:val="nil"/>
              <w:bottom w:val="nil"/>
              <w:right w:val="nil"/>
            </w:tcBorders>
            <w:vAlign w:val="center"/>
          </w:tcPr>
          <w:p w14:paraId="0EB79419" w14:textId="77777777" w:rsidR="00E951C4" w:rsidRPr="00E951C4" w:rsidRDefault="00E951C4" w:rsidP="00E951C4">
            <w:pPr>
              <w:suppressAutoHyphens w:val="0"/>
              <w:spacing w:line="240" w:lineRule="auto"/>
              <w:jc w:val="center"/>
              <w:rPr>
                <w:rFonts w:eastAsiaTheme="minorEastAsia"/>
                <w:sz w:val="24"/>
                <w:szCs w:val="24"/>
                <w:lang w:val="en-US" w:eastAsia="zh-CN"/>
              </w:rPr>
            </w:pPr>
          </w:p>
        </w:tc>
        <w:tc>
          <w:tcPr>
            <w:tcW w:w="851" w:type="dxa"/>
            <w:tcBorders>
              <w:top w:val="nil"/>
              <w:left w:val="nil"/>
              <w:bottom w:val="nil"/>
              <w:right w:val="single" w:sz="4" w:space="0" w:color="auto"/>
            </w:tcBorders>
            <w:vAlign w:val="center"/>
          </w:tcPr>
          <w:p w14:paraId="33B945FE"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2835" w:type="dxa"/>
            <w:gridSpan w:val="3"/>
            <w:tcBorders>
              <w:top w:val="single" w:sz="4" w:space="0" w:color="auto"/>
              <w:left w:val="single" w:sz="4" w:space="0" w:color="auto"/>
              <w:right w:val="single" w:sz="4" w:space="0" w:color="auto"/>
            </w:tcBorders>
            <w:shd w:val="clear" w:color="auto" w:fill="E7E6E6" w:themeFill="background2"/>
            <w:vAlign w:val="center"/>
          </w:tcPr>
          <w:p w14:paraId="65BF02FA" w14:textId="77777777" w:rsidR="00E951C4" w:rsidRPr="00E951C4" w:rsidRDefault="00E951C4" w:rsidP="00E951C4">
            <w:pPr>
              <w:suppressAutoHyphens w:val="0"/>
              <w:spacing w:line="240" w:lineRule="auto"/>
              <w:jc w:val="center"/>
              <w:rPr>
                <w:rFonts w:eastAsiaTheme="minorEastAsia"/>
                <w:sz w:val="24"/>
                <w:szCs w:val="24"/>
                <w:lang w:val="en-US" w:eastAsia="zh-CN"/>
              </w:rPr>
            </w:pPr>
            <w:r w:rsidRPr="00E951C4">
              <w:rPr>
                <w:rFonts w:eastAsiaTheme="minorEastAsia"/>
                <w:sz w:val="18"/>
                <w:szCs w:val="18"/>
                <w:lang w:val="en-US" w:eastAsia="en-GB"/>
              </w:rPr>
              <w:t>Expanded uncertainty (95%) +/-</w:t>
            </w:r>
          </w:p>
        </w:tc>
      </w:tr>
      <w:tr w:rsidR="00E951C4" w:rsidRPr="00E951C4" w14:paraId="5EBBAC4C" w14:textId="77777777" w:rsidTr="00FC4AE3">
        <w:trPr>
          <w:trHeight w:val="652"/>
        </w:trPr>
        <w:tc>
          <w:tcPr>
            <w:tcW w:w="1985" w:type="dxa"/>
            <w:tcBorders>
              <w:top w:val="nil"/>
              <w:left w:val="nil"/>
              <w:bottom w:val="nil"/>
              <w:right w:val="nil"/>
            </w:tcBorders>
            <w:vAlign w:val="bottom"/>
          </w:tcPr>
          <w:p w14:paraId="5EB08E29"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1010" w:type="dxa"/>
            <w:vMerge w:val="restart"/>
            <w:tcBorders>
              <w:top w:val="nil"/>
              <w:left w:val="nil"/>
              <w:bottom w:val="nil"/>
              <w:right w:val="single" w:sz="4" w:space="0" w:color="auto"/>
            </w:tcBorders>
            <w:vAlign w:val="center"/>
          </w:tcPr>
          <w:p w14:paraId="364AB09C"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1399" w:type="dxa"/>
            <w:vMerge w:val="restart"/>
            <w:tcBorders>
              <w:top w:val="single" w:sz="4" w:space="0" w:color="auto"/>
              <w:left w:val="single" w:sz="4" w:space="0" w:color="auto"/>
            </w:tcBorders>
            <w:vAlign w:val="center"/>
          </w:tcPr>
          <w:p w14:paraId="6A6611DB"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18"/>
                <w:szCs w:val="18"/>
                <w:lang w:val="en-US" w:eastAsia="zh-CN"/>
              </w:rPr>
              <w:t>Overall Combined Uncertainty</w:t>
            </w:r>
            <w:r w:rsidRPr="00E951C4">
              <w:rPr>
                <w:rFonts w:eastAsiaTheme="minorEastAsia"/>
                <w:bCs/>
                <w:sz w:val="24"/>
                <w:szCs w:val="24"/>
                <w:lang w:val="en-US" w:eastAsia="zh-CN"/>
              </w:rPr>
              <w:t xml:space="preserve"> +/-</w:t>
            </w:r>
          </w:p>
        </w:tc>
        <w:tc>
          <w:tcPr>
            <w:tcW w:w="1843" w:type="dxa"/>
            <w:vMerge w:val="restart"/>
            <w:tcBorders>
              <w:top w:val="single" w:sz="4" w:space="0" w:color="auto"/>
              <w:right w:val="single" w:sz="4" w:space="0" w:color="auto"/>
            </w:tcBorders>
            <w:shd w:val="clear" w:color="auto" w:fill="E7E6E6" w:themeFill="background2"/>
            <w:vAlign w:val="center"/>
          </w:tcPr>
          <w:p w14:paraId="68C7FFCF"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 xml:space="preserve">Expanded uncertainty (95%) </w:t>
            </w:r>
            <w:r w:rsidRPr="00E951C4">
              <w:rPr>
                <w:rFonts w:eastAsiaTheme="minorEastAsia"/>
                <w:bCs/>
                <w:sz w:val="24"/>
                <w:szCs w:val="24"/>
                <w:lang w:val="en-US" w:eastAsia="zh-CN"/>
              </w:rPr>
              <w:br/>
              <w:t>+/-</w:t>
            </w:r>
          </w:p>
        </w:tc>
        <w:tc>
          <w:tcPr>
            <w:tcW w:w="851" w:type="dxa"/>
            <w:vMerge w:val="restart"/>
            <w:tcBorders>
              <w:top w:val="nil"/>
              <w:left w:val="single" w:sz="4" w:space="0" w:color="auto"/>
              <w:bottom w:val="nil"/>
              <w:right w:val="single" w:sz="4" w:space="0" w:color="auto"/>
            </w:tcBorders>
            <w:vAlign w:val="center"/>
          </w:tcPr>
          <w:p w14:paraId="5BAD8EB3"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877" w:type="dxa"/>
            <w:vMerge w:val="restart"/>
            <w:tcBorders>
              <w:top w:val="single" w:sz="4" w:space="0" w:color="auto"/>
              <w:left w:val="single" w:sz="4" w:space="0" w:color="auto"/>
            </w:tcBorders>
            <w:shd w:val="clear" w:color="auto" w:fill="E7E6E6" w:themeFill="background2"/>
            <w:vAlign w:val="center"/>
          </w:tcPr>
          <w:p w14:paraId="2C485573"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Type Approval</w:t>
            </w:r>
          </w:p>
        </w:tc>
        <w:tc>
          <w:tcPr>
            <w:tcW w:w="824" w:type="dxa"/>
            <w:vMerge w:val="restart"/>
            <w:tcBorders>
              <w:top w:val="single" w:sz="4" w:space="0" w:color="auto"/>
            </w:tcBorders>
            <w:shd w:val="clear" w:color="auto" w:fill="E7E6E6" w:themeFill="background2"/>
            <w:vAlign w:val="center"/>
          </w:tcPr>
          <w:p w14:paraId="6E02F03F"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CoP</w:t>
            </w:r>
          </w:p>
        </w:tc>
        <w:tc>
          <w:tcPr>
            <w:tcW w:w="1134" w:type="dxa"/>
            <w:vMerge w:val="restart"/>
            <w:tcBorders>
              <w:top w:val="single" w:sz="4" w:space="0" w:color="auto"/>
              <w:right w:val="single" w:sz="4" w:space="0" w:color="auto"/>
            </w:tcBorders>
            <w:shd w:val="clear" w:color="auto" w:fill="E7E6E6" w:themeFill="background2"/>
            <w:vAlign w:val="center"/>
          </w:tcPr>
          <w:p w14:paraId="01C78811"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Field Test</w:t>
            </w:r>
          </w:p>
        </w:tc>
      </w:tr>
      <w:tr w:rsidR="00E951C4" w:rsidRPr="00E951C4" w14:paraId="2EBF3E17" w14:textId="77777777" w:rsidTr="00FC4AE3">
        <w:trPr>
          <w:trHeight w:val="45"/>
        </w:trPr>
        <w:tc>
          <w:tcPr>
            <w:tcW w:w="1985" w:type="dxa"/>
            <w:tcBorders>
              <w:top w:val="nil"/>
              <w:left w:val="nil"/>
              <w:bottom w:val="nil"/>
              <w:right w:val="nil"/>
            </w:tcBorders>
            <w:vAlign w:val="center"/>
          </w:tcPr>
          <w:p w14:paraId="60CDBB53" w14:textId="77777777" w:rsidR="00E951C4" w:rsidRPr="00E951C4" w:rsidRDefault="00E951C4" w:rsidP="00E951C4">
            <w:pPr>
              <w:suppressAutoHyphens w:val="0"/>
              <w:spacing w:line="240" w:lineRule="auto"/>
              <w:jc w:val="center"/>
              <w:rPr>
                <w:rFonts w:eastAsiaTheme="minorEastAsia"/>
                <w:sz w:val="24"/>
                <w:szCs w:val="24"/>
                <w:lang w:val="en-US" w:eastAsia="zh-CN"/>
              </w:rPr>
            </w:pPr>
          </w:p>
        </w:tc>
        <w:tc>
          <w:tcPr>
            <w:tcW w:w="1010" w:type="dxa"/>
            <w:vMerge/>
            <w:tcBorders>
              <w:top w:val="nil"/>
              <w:left w:val="nil"/>
              <w:bottom w:val="nil"/>
              <w:right w:val="single" w:sz="4" w:space="0" w:color="auto"/>
            </w:tcBorders>
            <w:vAlign w:val="center"/>
          </w:tcPr>
          <w:p w14:paraId="4F983638"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1399" w:type="dxa"/>
            <w:vMerge/>
            <w:tcBorders>
              <w:left w:val="single" w:sz="4" w:space="0" w:color="auto"/>
            </w:tcBorders>
            <w:vAlign w:val="center"/>
          </w:tcPr>
          <w:p w14:paraId="1D64DEBC" w14:textId="77777777" w:rsidR="00E951C4" w:rsidRPr="00E951C4" w:rsidRDefault="00E951C4" w:rsidP="00E951C4">
            <w:pPr>
              <w:suppressAutoHyphens w:val="0"/>
              <w:spacing w:line="240" w:lineRule="auto"/>
              <w:jc w:val="center"/>
              <w:rPr>
                <w:rFonts w:eastAsiaTheme="minorEastAsia"/>
                <w:sz w:val="24"/>
                <w:szCs w:val="24"/>
                <w:lang w:val="en-US" w:eastAsia="zh-CN"/>
              </w:rPr>
            </w:pPr>
          </w:p>
        </w:tc>
        <w:tc>
          <w:tcPr>
            <w:tcW w:w="1843" w:type="dxa"/>
            <w:vMerge/>
            <w:tcBorders>
              <w:right w:val="single" w:sz="4" w:space="0" w:color="auto"/>
            </w:tcBorders>
            <w:shd w:val="clear" w:color="auto" w:fill="E7E6E6" w:themeFill="background2"/>
            <w:vAlign w:val="center"/>
          </w:tcPr>
          <w:p w14:paraId="41C18459" w14:textId="77777777" w:rsidR="00E951C4" w:rsidRPr="00E951C4" w:rsidRDefault="00E951C4" w:rsidP="00E951C4">
            <w:pPr>
              <w:suppressAutoHyphens w:val="0"/>
              <w:spacing w:line="240" w:lineRule="auto"/>
              <w:jc w:val="center"/>
              <w:rPr>
                <w:rFonts w:eastAsiaTheme="minorEastAsia"/>
                <w:sz w:val="24"/>
                <w:szCs w:val="24"/>
                <w:lang w:val="en-US" w:eastAsia="zh-CN"/>
              </w:rPr>
            </w:pPr>
          </w:p>
        </w:tc>
        <w:tc>
          <w:tcPr>
            <w:tcW w:w="851" w:type="dxa"/>
            <w:vMerge/>
            <w:tcBorders>
              <w:top w:val="nil"/>
              <w:left w:val="single" w:sz="4" w:space="0" w:color="auto"/>
              <w:bottom w:val="nil"/>
              <w:right w:val="single" w:sz="4" w:space="0" w:color="auto"/>
            </w:tcBorders>
            <w:vAlign w:val="center"/>
          </w:tcPr>
          <w:p w14:paraId="37FF310F"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877" w:type="dxa"/>
            <w:vMerge/>
            <w:tcBorders>
              <w:left w:val="single" w:sz="4" w:space="0" w:color="auto"/>
            </w:tcBorders>
            <w:shd w:val="clear" w:color="auto" w:fill="E7E6E6" w:themeFill="background2"/>
            <w:vAlign w:val="center"/>
          </w:tcPr>
          <w:p w14:paraId="5409E769"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824" w:type="dxa"/>
            <w:vMerge/>
            <w:shd w:val="clear" w:color="auto" w:fill="E7E6E6" w:themeFill="background2"/>
            <w:vAlign w:val="center"/>
          </w:tcPr>
          <w:p w14:paraId="1AFF949E"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1134" w:type="dxa"/>
            <w:vMerge/>
            <w:tcBorders>
              <w:right w:val="single" w:sz="4" w:space="0" w:color="auto"/>
            </w:tcBorders>
            <w:shd w:val="clear" w:color="auto" w:fill="E7E6E6" w:themeFill="background2"/>
            <w:vAlign w:val="center"/>
          </w:tcPr>
          <w:p w14:paraId="59F53356"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r>
      <w:tr w:rsidR="00E951C4" w:rsidRPr="00E951C4" w14:paraId="4A6127F5" w14:textId="77777777" w:rsidTr="00FC4AE3">
        <w:trPr>
          <w:trHeight w:val="140"/>
        </w:trPr>
        <w:tc>
          <w:tcPr>
            <w:tcW w:w="1985" w:type="dxa"/>
            <w:tcBorders>
              <w:top w:val="nil"/>
              <w:left w:val="nil"/>
              <w:bottom w:val="nil"/>
              <w:right w:val="nil"/>
            </w:tcBorders>
            <w:vAlign w:val="center"/>
          </w:tcPr>
          <w:p w14:paraId="79BDB5A5" w14:textId="77777777" w:rsidR="00E951C4" w:rsidRPr="00E951C4" w:rsidRDefault="00E951C4" w:rsidP="00E951C4">
            <w:pPr>
              <w:suppressAutoHyphens w:val="0"/>
              <w:spacing w:line="240" w:lineRule="auto"/>
              <w:jc w:val="center"/>
              <w:rPr>
                <w:rFonts w:eastAsiaTheme="minorEastAsia"/>
                <w:sz w:val="24"/>
                <w:szCs w:val="24"/>
                <w:lang w:val="en-US" w:eastAsia="zh-CN"/>
              </w:rPr>
            </w:pPr>
          </w:p>
        </w:tc>
        <w:tc>
          <w:tcPr>
            <w:tcW w:w="1010" w:type="dxa"/>
            <w:vMerge/>
            <w:tcBorders>
              <w:top w:val="nil"/>
              <w:left w:val="nil"/>
              <w:bottom w:val="nil"/>
              <w:right w:val="single" w:sz="4" w:space="0" w:color="auto"/>
            </w:tcBorders>
            <w:vAlign w:val="center"/>
          </w:tcPr>
          <w:p w14:paraId="7DEE6B1B" w14:textId="77777777" w:rsidR="00E951C4" w:rsidRPr="00E951C4" w:rsidRDefault="00E951C4" w:rsidP="00E951C4">
            <w:pPr>
              <w:suppressAutoHyphens w:val="0"/>
              <w:spacing w:line="240" w:lineRule="auto"/>
              <w:jc w:val="center"/>
              <w:rPr>
                <w:rFonts w:eastAsiaTheme="minorEastAsia"/>
                <w:sz w:val="24"/>
                <w:szCs w:val="24"/>
                <w:lang w:val="en-US" w:eastAsia="zh-CN"/>
              </w:rPr>
            </w:pPr>
          </w:p>
        </w:tc>
        <w:tc>
          <w:tcPr>
            <w:tcW w:w="1399" w:type="dxa"/>
            <w:tcBorders>
              <w:left w:val="single" w:sz="4" w:space="0" w:color="auto"/>
              <w:bottom w:val="single" w:sz="4" w:space="0" w:color="auto"/>
            </w:tcBorders>
            <w:shd w:val="clear" w:color="auto" w:fill="000000" w:themeFill="text1"/>
            <w:vAlign w:val="center"/>
          </w:tcPr>
          <w:p w14:paraId="3E8FE7DD"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1,02</w:t>
            </w:r>
          </w:p>
        </w:tc>
        <w:tc>
          <w:tcPr>
            <w:tcW w:w="1843" w:type="dxa"/>
            <w:tcBorders>
              <w:bottom w:val="single" w:sz="4" w:space="0" w:color="auto"/>
              <w:right w:val="single" w:sz="4" w:space="0" w:color="auto"/>
            </w:tcBorders>
            <w:shd w:val="clear" w:color="auto" w:fill="000000" w:themeFill="text1"/>
            <w:vAlign w:val="center"/>
          </w:tcPr>
          <w:p w14:paraId="31BEE945"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2,04</w:t>
            </w:r>
          </w:p>
        </w:tc>
        <w:tc>
          <w:tcPr>
            <w:tcW w:w="851" w:type="dxa"/>
            <w:vMerge/>
            <w:tcBorders>
              <w:top w:val="nil"/>
              <w:left w:val="single" w:sz="4" w:space="0" w:color="auto"/>
              <w:bottom w:val="nil"/>
              <w:right w:val="single" w:sz="4" w:space="0" w:color="auto"/>
            </w:tcBorders>
            <w:vAlign w:val="center"/>
          </w:tcPr>
          <w:p w14:paraId="0407C9B2" w14:textId="77777777" w:rsidR="00E951C4" w:rsidRPr="00E951C4" w:rsidRDefault="00E951C4" w:rsidP="00E951C4">
            <w:pPr>
              <w:suppressAutoHyphens w:val="0"/>
              <w:spacing w:line="240" w:lineRule="auto"/>
              <w:jc w:val="center"/>
              <w:rPr>
                <w:rFonts w:eastAsiaTheme="minorEastAsia"/>
                <w:bCs/>
                <w:sz w:val="24"/>
                <w:szCs w:val="24"/>
                <w:lang w:val="en-US" w:eastAsia="zh-CN"/>
              </w:rPr>
            </w:pPr>
          </w:p>
        </w:tc>
        <w:tc>
          <w:tcPr>
            <w:tcW w:w="877" w:type="dxa"/>
            <w:tcBorders>
              <w:left w:val="single" w:sz="4" w:space="0" w:color="auto"/>
              <w:bottom w:val="single" w:sz="4" w:space="0" w:color="auto"/>
            </w:tcBorders>
            <w:shd w:val="clear" w:color="auto" w:fill="000000" w:themeFill="text1"/>
            <w:vAlign w:val="center"/>
          </w:tcPr>
          <w:p w14:paraId="39D16C09"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1,09</w:t>
            </w:r>
          </w:p>
        </w:tc>
        <w:tc>
          <w:tcPr>
            <w:tcW w:w="824" w:type="dxa"/>
            <w:tcBorders>
              <w:bottom w:val="single" w:sz="4" w:space="0" w:color="auto"/>
            </w:tcBorders>
            <w:shd w:val="clear" w:color="auto" w:fill="000000" w:themeFill="text1"/>
            <w:vAlign w:val="center"/>
          </w:tcPr>
          <w:p w14:paraId="322A5BDA"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1,64</w:t>
            </w:r>
          </w:p>
        </w:tc>
        <w:tc>
          <w:tcPr>
            <w:tcW w:w="1134" w:type="dxa"/>
            <w:tcBorders>
              <w:bottom w:val="single" w:sz="4" w:space="0" w:color="auto"/>
              <w:right w:val="single" w:sz="4" w:space="0" w:color="auto"/>
            </w:tcBorders>
            <w:shd w:val="clear" w:color="auto" w:fill="000000" w:themeFill="text1"/>
            <w:vAlign w:val="center"/>
          </w:tcPr>
          <w:p w14:paraId="1E129815" w14:textId="77777777" w:rsidR="00E951C4" w:rsidRPr="00E951C4" w:rsidRDefault="00E951C4" w:rsidP="00E951C4">
            <w:pPr>
              <w:suppressAutoHyphens w:val="0"/>
              <w:spacing w:line="240" w:lineRule="auto"/>
              <w:jc w:val="center"/>
              <w:rPr>
                <w:rFonts w:eastAsiaTheme="minorEastAsia"/>
                <w:bCs/>
                <w:sz w:val="24"/>
                <w:szCs w:val="24"/>
                <w:lang w:val="en-US" w:eastAsia="zh-CN"/>
              </w:rPr>
            </w:pPr>
            <w:r w:rsidRPr="00E951C4">
              <w:rPr>
                <w:rFonts w:eastAsiaTheme="minorEastAsia"/>
                <w:bCs/>
                <w:sz w:val="24"/>
                <w:szCs w:val="24"/>
                <w:lang w:val="en-US" w:eastAsia="zh-CN"/>
              </w:rPr>
              <w:t>2,04</w:t>
            </w:r>
          </w:p>
        </w:tc>
      </w:tr>
    </w:tbl>
    <w:bookmarkEnd w:id="6"/>
    <w:p w14:paraId="0A2ADBA9" w14:textId="67B29A1E" w:rsidR="00EB1CCD" w:rsidRPr="004301E7" w:rsidRDefault="00E951C4"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w:t>
      </w:r>
      <w:r w:rsidR="00EB1CCD" w:rsidRPr="004301E7">
        <w:rPr>
          <w:b/>
          <w:bCs/>
          <w:sz w:val="24"/>
          <w:szCs w:val="24"/>
          <w:lang w:val="en-US"/>
        </w:rPr>
        <w:t>N Regulation No. 54</w:t>
      </w:r>
    </w:p>
    <w:p w14:paraId="2E051D59" w14:textId="77777777" w:rsidR="001177F9" w:rsidRPr="004301E7" w:rsidRDefault="001177F9" w:rsidP="001177F9">
      <w:pPr>
        <w:spacing w:after="120"/>
        <w:ind w:left="1134"/>
        <w:jc w:val="both"/>
        <w:rPr>
          <w:lang w:val="en-US"/>
        </w:rPr>
      </w:pPr>
      <w:r w:rsidRPr="004301E7">
        <w:rPr>
          <w:lang w:val="en-US"/>
        </w:rPr>
        <w:t>reserved</w:t>
      </w:r>
    </w:p>
    <w:p w14:paraId="2939A502"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59</w:t>
      </w:r>
    </w:p>
    <w:p w14:paraId="0332CD51" w14:textId="77777777" w:rsidR="006151E2" w:rsidRPr="004301E7" w:rsidRDefault="006151E2" w:rsidP="006151E2">
      <w:pPr>
        <w:spacing w:after="120"/>
        <w:ind w:left="1134"/>
        <w:jc w:val="both"/>
        <w:rPr>
          <w:lang w:val="en-US"/>
        </w:rPr>
      </w:pPr>
      <w:r w:rsidRPr="004301E7">
        <w:rPr>
          <w:lang w:val="en-US"/>
        </w:rPr>
        <w:t>reserved</w:t>
      </w:r>
    </w:p>
    <w:p w14:paraId="237C0390"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63</w:t>
      </w:r>
    </w:p>
    <w:p w14:paraId="5646BF82" w14:textId="77777777" w:rsidR="006151E2" w:rsidRPr="004301E7" w:rsidRDefault="006151E2" w:rsidP="006151E2">
      <w:pPr>
        <w:spacing w:after="120"/>
        <w:ind w:left="1134"/>
        <w:jc w:val="both"/>
        <w:rPr>
          <w:lang w:val="en-US"/>
        </w:rPr>
      </w:pPr>
      <w:r w:rsidRPr="004301E7">
        <w:rPr>
          <w:lang w:val="en-US"/>
        </w:rPr>
        <w:t>reserved</w:t>
      </w:r>
    </w:p>
    <w:p w14:paraId="67A169E0"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No.64</w:t>
      </w:r>
    </w:p>
    <w:p w14:paraId="4287F3EE" w14:textId="77777777" w:rsidR="006151E2" w:rsidRPr="004301E7" w:rsidRDefault="006151E2" w:rsidP="006151E2">
      <w:pPr>
        <w:spacing w:after="120"/>
        <w:ind w:left="1134"/>
        <w:jc w:val="both"/>
        <w:rPr>
          <w:lang w:val="en-US"/>
        </w:rPr>
      </w:pPr>
      <w:r w:rsidRPr="004301E7">
        <w:rPr>
          <w:lang w:val="en-US"/>
        </w:rPr>
        <w:t>reserved</w:t>
      </w:r>
    </w:p>
    <w:p w14:paraId="3667A9EA"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75</w:t>
      </w:r>
    </w:p>
    <w:p w14:paraId="5D06509F" w14:textId="77777777" w:rsidR="006151E2" w:rsidRPr="004301E7" w:rsidRDefault="006151E2" w:rsidP="006151E2">
      <w:pPr>
        <w:spacing w:after="120"/>
        <w:ind w:left="1134"/>
        <w:jc w:val="both"/>
        <w:rPr>
          <w:lang w:val="en-US"/>
        </w:rPr>
      </w:pPr>
      <w:r w:rsidRPr="004301E7">
        <w:rPr>
          <w:lang w:val="en-US"/>
        </w:rPr>
        <w:t>reserved</w:t>
      </w:r>
    </w:p>
    <w:p w14:paraId="41EE534B"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92</w:t>
      </w:r>
    </w:p>
    <w:p w14:paraId="17F8E369" w14:textId="77777777" w:rsidR="006151E2" w:rsidRPr="004301E7" w:rsidRDefault="006151E2" w:rsidP="006151E2">
      <w:pPr>
        <w:spacing w:after="120"/>
        <w:ind w:left="1134"/>
        <w:jc w:val="both"/>
        <w:rPr>
          <w:lang w:val="en-US"/>
        </w:rPr>
      </w:pPr>
      <w:r w:rsidRPr="004301E7">
        <w:rPr>
          <w:lang w:val="en-US"/>
        </w:rPr>
        <w:t>reserved</w:t>
      </w:r>
    </w:p>
    <w:p w14:paraId="6EFE438D"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106</w:t>
      </w:r>
    </w:p>
    <w:p w14:paraId="65F4C015" w14:textId="77777777" w:rsidR="006151E2" w:rsidRPr="004301E7" w:rsidRDefault="006151E2" w:rsidP="006151E2">
      <w:pPr>
        <w:spacing w:after="120"/>
        <w:ind w:left="1134"/>
        <w:jc w:val="both"/>
        <w:rPr>
          <w:lang w:val="en-US"/>
        </w:rPr>
      </w:pPr>
      <w:r w:rsidRPr="004301E7">
        <w:rPr>
          <w:lang w:val="en-US"/>
        </w:rPr>
        <w:t>reserved</w:t>
      </w:r>
    </w:p>
    <w:p w14:paraId="2B727A3A"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108</w:t>
      </w:r>
    </w:p>
    <w:p w14:paraId="2A7DE06B" w14:textId="77777777" w:rsidR="006151E2" w:rsidRPr="004301E7" w:rsidRDefault="006151E2" w:rsidP="006151E2">
      <w:pPr>
        <w:spacing w:after="120"/>
        <w:ind w:left="1134"/>
        <w:jc w:val="both"/>
        <w:rPr>
          <w:lang w:val="en-US"/>
        </w:rPr>
      </w:pPr>
      <w:r w:rsidRPr="004301E7">
        <w:rPr>
          <w:lang w:val="en-US"/>
        </w:rPr>
        <w:t>reserved</w:t>
      </w:r>
    </w:p>
    <w:p w14:paraId="61C7BC3D"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109</w:t>
      </w:r>
    </w:p>
    <w:p w14:paraId="74110D87" w14:textId="696C8B43" w:rsidR="006151E2" w:rsidRPr="004301E7" w:rsidRDefault="00EA4F92" w:rsidP="006151E2">
      <w:pPr>
        <w:spacing w:after="120"/>
        <w:ind w:left="1134"/>
        <w:jc w:val="both"/>
        <w:rPr>
          <w:lang w:val="en-US"/>
        </w:rPr>
      </w:pPr>
      <w:r w:rsidRPr="004301E7">
        <w:rPr>
          <w:lang w:val="en-US"/>
        </w:rPr>
        <w:t>R</w:t>
      </w:r>
      <w:r w:rsidR="006151E2" w:rsidRPr="004301E7">
        <w:rPr>
          <w:lang w:val="en-US"/>
        </w:rPr>
        <w:t>eserved</w:t>
      </w:r>
    </w:p>
    <w:p w14:paraId="7B7138C1" w14:textId="77777777" w:rsidR="00580967" w:rsidRDefault="00580967">
      <w:pPr>
        <w:suppressAutoHyphens w:val="0"/>
        <w:spacing w:line="240" w:lineRule="auto"/>
        <w:rPr>
          <w:b/>
          <w:bCs/>
          <w:sz w:val="24"/>
          <w:szCs w:val="24"/>
          <w:lang w:val="en-US"/>
        </w:rPr>
      </w:pPr>
      <w:r>
        <w:rPr>
          <w:b/>
          <w:bCs/>
          <w:sz w:val="24"/>
          <w:szCs w:val="24"/>
          <w:lang w:val="en-US"/>
        </w:rPr>
        <w:br w:type="page"/>
      </w:r>
    </w:p>
    <w:p w14:paraId="468D60B4" w14:textId="5AC6106E"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117</w:t>
      </w:r>
    </w:p>
    <w:p w14:paraId="6E16CAB5" w14:textId="77777777" w:rsidR="00D013D9" w:rsidRDefault="00EA4F92" w:rsidP="00EA4F92">
      <w:pPr>
        <w:ind w:left="1134"/>
        <w:jc w:val="both"/>
        <w:rPr>
          <w:lang w:val="en-US"/>
        </w:rPr>
      </w:pPr>
      <w:r w:rsidRPr="004301E7">
        <w:rPr>
          <w:lang w:val="en-US"/>
        </w:rPr>
        <w:t xml:space="preserve">Table 15.1. </w:t>
      </w:r>
    </w:p>
    <w:p w14:paraId="77037E50" w14:textId="1E16DC86" w:rsidR="00EA4F92" w:rsidRPr="004301E7" w:rsidRDefault="00EA4F92" w:rsidP="00D013D9">
      <w:pPr>
        <w:spacing w:after="120"/>
        <w:ind w:left="1134"/>
        <w:jc w:val="both"/>
        <w:rPr>
          <w:lang w:val="en-US"/>
        </w:rPr>
      </w:pPr>
      <w:r w:rsidRPr="004301E7">
        <w:rPr>
          <w:lang w:val="en-US"/>
        </w:rPr>
        <w:t>Uncertainty calculation for tyres</w:t>
      </w:r>
    </w:p>
    <w:tbl>
      <w:tblPr>
        <w:tblW w:w="9351" w:type="dxa"/>
        <w:tblLayout w:type="fixed"/>
        <w:tblCellMar>
          <w:left w:w="70" w:type="dxa"/>
          <w:right w:w="70" w:type="dxa"/>
        </w:tblCellMar>
        <w:tblLook w:val="04A0" w:firstRow="1" w:lastRow="0" w:firstColumn="1" w:lastColumn="0" w:noHBand="0" w:noVBand="1"/>
      </w:tblPr>
      <w:tblGrid>
        <w:gridCol w:w="1312"/>
        <w:gridCol w:w="2241"/>
        <w:gridCol w:w="1448"/>
        <w:gridCol w:w="1185"/>
        <w:gridCol w:w="925"/>
        <w:gridCol w:w="1186"/>
        <w:gridCol w:w="1054"/>
      </w:tblGrid>
      <w:tr w:rsidR="00EA4F92" w:rsidRPr="00D013D9" w14:paraId="1FDE0C8E" w14:textId="77777777" w:rsidTr="00FC4AE3">
        <w:trPr>
          <w:trHeight w:val="409"/>
        </w:trPr>
        <w:tc>
          <w:tcPr>
            <w:tcW w:w="1312" w:type="dxa"/>
            <w:vMerge w:val="restart"/>
            <w:tcBorders>
              <w:top w:val="single" w:sz="4" w:space="0" w:color="auto"/>
              <w:left w:val="single" w:sz="4" w:space="0" w:color="auto"/>
              <w:right w:val="single" w:sz="4" w:space="0" w:color="auto"/>
            </w:tcBorders>
            <w:shd w:val="clear" w:color="auto" w:fill="auto"/>
            <w:noWrap/>
            <w:vAlign w:val="center"/>
            <w:hideMark/>
          </w:tcPr>
          <w:p w14:paraId="5C11B062"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w:t>
            </w:r>
          </w:p>
          <w:p w14:paraId="2DA87A0B"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xml:space="preserve">Estimation of uncertainty </w:t>
            </w:r>
            <w:r w:rsidRPr="00D013D9">
              <w:rPr>
                <w:rFonts w:asciiTheme="majorBidi" w:hAnsiTheme="majorBidi" w:cstheme="majorBidi"/>
                <w:b/>
                <w:bCs/>
                <w:i/>
                <w:iCs/>
                <w:color w:val="000000"/>
                <w:sz w:val="18"/>
                <w:szCs w:val="18"/>
                <w:lang w:val="en-US" w:eastAsia="de-DE"/>
              </w:rPr>
              <w:br/>
              <w:t xml:space="preserve">per situation </w:t>
            </w:r>
          </w:p>
        </w:tc>
        <w:tc>
          <w:tcPr>
            <w:tcW w:w="2241" w:type="dxa"/>
            <w:vMerge w:val="restart"/>
            <w:tcBorders>
              <w:top w:val="single" w:sz="4" w:space="0" w:color="auto"/>
              <w:left w:val="nil"/>
              <w:right w:val="single" w:sz="4" w:space="0" w:color="auto"/>
            </w:tcBorders>
            <w:shd w:val="clear" w:color="auto" w:fill="auto"/>
            <w:noWrap/>
            <w:vAlign w:val="center"/>
            <w:hideMark/>
          </w:tcPr>
          <w:p w14:paraId="335EB4B0"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w:t>
            </w:r>
          </w:p>
          <w:p w14:paraId="5346A2B9"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Input quantity</w:t>
            </w:r>
          </w:p>
        </w:tc>
        <w:tc>
          <w:tcPr>
            <w:tcW w:w="1448" w:type="dxa"/>
            <w:vMerge w:val="restart"/>
            <w:tcBorders>
              <w:top w:val="single" w:sz="4" w:space="0" w:color="auto"/>
              <w:left w:val="nil"/>
              <w:right w:val="single" w:sz="4" w:space="0" w:color="auto"/>
            </w:tcBorders>
            <w:shd w:val="clear" w:color="auto" w:fill="auto"/>
            <w:vAlign w:val="center"/>
            <w:hideMark/>
          </w:tcPr>
          <w:p w14:paraId="57DD646E"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xml:space="preserve">Estimated </w:t>
            </w:r>
            <w:r w:rsidRPr="00D013D9">
              <w:rPr>
                <w:rFonts w:asciiTheme="majorBidi" w:hAnsiTheme="majorBidi" w:cstheme="majorBidi"/>
                <w:b/>
                <w:bCs/>
                <w:i/>
                <w:iCs/>
                <w:color w:val="000000"/>
                <w:sz w:val="18"/>
                <w:szCs w:val="18"/>
                <w:lang w:val="en-US" w:eastAsia="de-DE"/>
              </w:rPr>
              <w:br/>
              <w:t xml:space="preserve">deviations from meas.results </w:t>
            </w:r>
            <w:r w:rsidRPr="00D013D9">
              <w:rPr>
                <w:rFonts w:asciiTheme="majorBidi" w:hAnsiTheme="majorBidi" w:cstheme="majorBidi"/>
                <w:b/>
                <w:bCs/>
                <w:i/>
                <w:iCs/>
                <w:color w:val="000000"/>
                <w:sz w:val="18"/>
                <w:szCs w:val="18"/>
                <w:lang w:val="en-US" w:eastAsia="de-DE"/>
              </w:rPr>
              <w:br/>
              <w:t>(peak-to-peak)</w:t>
            </w:r>
          </w:p>
        </w:tc>
        <w:tc>
          <w:tcPr>
            <w:tcW w:w="1185" w:type="dxa"/>
            <w:vMerge w:val="restart"/>
            <w:tcBorders>
              <w:top w:val="single" w:sz="4" w:space="0" w:color="auto"/>
              <w:left w:val="nil"/>
              <w:right w:val="single" w:sz="4" w:space="0" w:color="auto"/>
            </w:tcBorders>
            <w:shd w:val="clear" w:color="auto" w:fill="auto"/>
            <w:noWrap/>
            <w:vAlign w:val="center"/>
            <w:hideMark/>
          </w:tcPr>
          <w:p w14:paraId="6362A5E7"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Probability distribution</w:t>
            </w:r>
          </w:p>
        </w:tc>
        <w:tc>
          <w:tcPr>
            <w:tcW w:w="925" w:type="dxa"/>
            <w:vMerge w:val="restart"/>
            <w:tcBorders>
              <w:top w:val="single" w:sz="4" w:space="0" w:color="auto"/>
              <w:left w:val="nil"/>
              <w:right w:val="single" w:sz="4" w:space="0" w:color="auto"/>
            </w:tcBorders>
            <w:shd w:val="clear" w:color="auto" w:fill="auto"/>
            <w:noWrap/>
            <w:vAlign w:val="center"/>
            <w:hideMark/>
          </w:tcPr>
          <w:p w14:paraId="5A8375DE"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w:t>
            </w:r>
          </w:p>
          <w:p w14:paraId="004DB585"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Variance</w:t>
            </w:r>
          </w:p>
        </w:tc>
        <w:tc>
          <w:tcPr>
            <w:tcW w:w="1186" w:type="dxa"/>
            <w:vMerge w:val="restart"/>
            <w:tcBorders>
              <w:top w:val="single" w:sz="4" w:space="0" w:color="auto"/>
              <w:left w:val="nil"/>
              <w:right w:val="nil"/>
            </w:tcBorders>
            <w:shd w:val="clear" w:color="auto" w:fill="auto"/>
            <w:noWrap/>
            <w:vAlign w:val="center"/>
            <w:hideMark/>
          </w:tcPr>
          <w:p w14:paraId="40396A0F"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w:t>
            </w:r>
          </w:p>
          <w:p w14:paraId="75A6AADF"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xml:space="preserve">Standard </w:t>
            </w:r>
            <w:r w:rsidRPr="00D013D9">
              <w:rPr>
                <w:rFonts w:asciiTheme="majorBidi" w:hAnsiTheme="majorBidi" w:cstheme="majorBidi"/>
                <w:b/>
                <w:bCs/>
                <w:i/>
                <w:iCs/>
                <w:color w:val="000000"/>
                <w:sz w:val="18"/>
                <w:szCs w:val="18"/>
                <w:lang w:val="en-US" w:eastAsia="de-DE"/>
              </w:rPr>
              <w:br/>
              <w:t>uncertainty</w:t>
            </w:r>
          </w:p>
        </w:tc>
        <w:tc>
          <w:tcPr>
            <w:tcW w:w="1054" w:type="dxa"/>
            <w:tcBorders>
              <w:top w:val="single" w:sz="4" w:space="0" w:color="auto"/>
              <w:left w:val="single" w:sz="4" w:space="0" w:color="auto"/>
              <w:bottom w:val="nil"/>
              <w:right w:val="single" w:sz="4" w:space="0" w:color="auto"/>
            </w:tcBorders>
            <w:shd w:val="clear" w:color="auto" w:fill="auto"/>
            <w:noWrap/>
            <w:vAlign w:val="center"/>
            <w:hideMark/>
          </w:tcPr>
          <w:p w14:paraId="15F62B0B"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 </w:t>
            </w:r>
          </w:p>
        </w:tc>
      </w:tr>
      <w:tr w:rsidR="00EA4F92" w:rsidRPr="00D013D9" w14:paraId="4C9BB257" w14:textId="77777777" w:rsidTr="00FC4AE3">
        <w:trPr>
          <w:trHeight w:val="420"/>
        </w:trPr>
        <w:tc>
          <w:tcPr>
            <w:tcW w:w="1312" w:type="dxa"/>
            <w:vMerge/>
            <w:tcBorders>
              <w:left w:val="single" w:sz="4" w:space="0" w:color="auto"/>
              <w:bottom w:val="single" w:sz="12" w:space="0" w:color="auto"/>
              <w:right w:val="single" w:sz="4" w:space="0" w:color="auto"/>
            </w:tcBorders>
            <w:shd w:val="clear" w:color="auto" w:fill="auto"/>
            <w:vAlign w:val="center"/>
            <w:hideMark/>
          </w:tcPr>
          <w:p w14:paraId="249468F9" w14:textId="77777777" w:rsidR="00EA4F92" w:rsidRPr="00D013D9" w:rsidRDefault="00EA4F92" w:rsidP="00FC4AE3">
            <w:pPr>
              <w:rPr>
                <w:rFonts w:asciiTheme="majorBidi" w:hAnsiTheme="majorBidi" w:cstheme="majorBidi"/>
                <w:b/>
                <w:bCs/>
                <w:color w:val="000000"/>
                <w:sz w:val="18"/>
                <w:szCs w:val="18"/>
                <w:lang w:val="en-US" w:eastAsia="de-DE"/>
              </w:rPr>
            </w:pPr>
          </w:p>
        </w:tc>
        <w:tc>
          <w:tcPr>
            <w:tcW w:w="2241" w:type="dxa"/>
            <w:vMerge/>
            <w:tcBorders>
              <w:left w:val="nil"/>
              <w:bottom w:val="single" w:sz="12" w:space="0" w:color="auto"/>
              <w:right w:val="single" w:sz="4" w:space="0" w:color="auto"/>
            </w:tcBorders>
            <w:shd w:val="clear" w:color="auto" w:fill="auto"/>
            <w:noWrap/>
            <w:vAlign w:val="center"/>
            <w:hideMark/>
          </w:tcPr>
          <w:p w14:paraId="6C8BD393" w14:textId="77777777" w:rsidR="00EA4F92" w:rsidRPr="00D013D9" w:rsidRDefault="00EA4F92" w:rsidP="00FC4AE3">
            <w:pPr>
              <w:rPr>
                <w:rFonts w:asciiTheme="majorBidi" w:hAnsiTheme="majorBidi" w:cstheme="majorBidi"/>
                <w:b/>
                <w:bCs/>
                <w:color w:val="000000"/>
                <w:sz w:val="18"/>
                <w:szCs w:val="18"/>
                <w:lang w:val="en-US" w:eastAsia="de-DE"/>
              </w:rPr>
            </w:pPr>
          </w:p>
        </w:tc>
        <w:tc>
          <w:tcPr>
            <w:tcW w:w="1448" w:type="dxa"/>
            <w:vMerge/>
            <w:tcBorders>
              <w:left w:val="nil"/>
              <w:bottom w:val="single" w:sz="12" w:space="0" w:color="auto"/>
              <w:right w:val="single" w:sz="4" w:space="0" w:color="auto"/>
            </w:tcBorders>
            <w:shd w:val="clear" w:color="auto" w:fill="auto"/>
            <w:vAlign w:val="center"/>
            <w:hideMark/>
          </w:tcPr>
          <w:p w14:paraId="4B40944E" w14:textId="77777777" w:rsidR="00EA4F92" w:rsidRPr="00D013D9" w:rsidRDefault="00EA4F92" w:rsidP="00FC4AE3">
            <w:pPr>
              <w:rPr>
                <w:rFonts w:asciiTheme="majorBidi" w:hAnsiTheme="majorBidi" w:cstheme="majorBidi"/>
                <w:b/>
                <w:bCs/>
                <w:color w:val="000000"/>
                <w:sz w:val="18"/>
                <w:szCs w:val="18"/>
                <w:lang w:val="en-US" w:eastAsia="de-DE"/>
              </w:rPr>
            </w:pPr>
          </w:p>
        </w:tc>
        <w:tc>
          <w:tcPr>
            <w:tcW w:w="1185" w:type="dxa"/>
            <w:vMerge/>
            <w:tcBorders>
              <w:left w:val="nil"/>
              <w:bottom w:val="single" w:sz="12" w:space="0" w:color="auto"/>
              <w:right w:val="single" w:sz="4" w:space="0" w:color="auto"/>
            </w:tcBorders>
            <w:shd w:val="clear" w:color="auto" w:fill="auto"/>
            <w:noWrap/>
            <w:vAlign w:val="center"/>
            <w:hideMark/>
          </w:tcPr>
          <w:p w14:paraId="07864F61" w14:textId="77777777" w:rsidR="00EA4F92" w:rsidRPr="00D013D9" w:rsidRDefault="00EA4F92" w:rsidP="00FC4AE3">
            <w:pPr>
              <w:rPr>
                <w:rFonts w:asciiTheme="majorBidi" w:hAnsiTheme="majorBidi" w:cstheme="majorBidi"/>
                <w:b/>
                <w:bCs/>
                <w:color w:val="000000"/>
                <w:sz w:val="18"/>
                <w:szCs w:val="18"/>
                <w:lang w:val="en-US" w:eastAsia="de-DE"/>
              </w:rPr>
            </w:pPr>
          </w:p>
        </w:tc>
        <w:tc>
          <w:tcPr>
            <w:tcW w:w="925" w:type="dxa"/>
            <w:vMerge/>
            <w:tcBorders>
              <w:left w:val="nil"/>
              <w:bottom w:val="single" w:sz="12" w:space="0" w:color="auto"/>
              <w:right w:val="single" w:sz="4" w:space="0" w:color="auto"/>
            </w:tcBorders>
            <w:shd w:val="clear" w:color="auto" w:fill="auto"/>
            <w:noWrap/>
            <w:vAlign w:val="center"/>
            <w:hideMark/>
          </w:tcPr>
          <w:p w14:paraId="469FE3F3" w14:textId="77777777" w:rsidR="00EA4F92" w:rsidRPr="00D013D9" w:rsidRDefault="00EA4F92" w:rsidP="00FC4AE3">
            <w:pPr>
              <w:rPr>
                <w:rFonts w:asciiTheme="majorBidi" w:hAnsiTheme="majorBidi" w:cstheme="majorBidi"/>
                <w:b/>
                <w:bCs/>
                <w:color w:val="000000"/>
                <w:sz w:val="18"/>
                <w:szCs w:val="18"/>
                <w:lang w:val="en-US" w:eastAsia="de-DE"/>
              </w:rPr>
            </w:pPr>
          </w:p>
        </w:tc>
        <w:tc>
          <w:tcPr>
            <w:tcW w:w="1186" w:type="dxa"/>
            <w:vMerge/>
            <w:tcBorders>
              <w:left w:val="nil"/>
              <w:bottom w:val="single" w:sz="12" w:space="0" w:color="auto"/>
              <w:right w:val="nil"/>
            </w:tcBorders>
            <w:shd w:val="clear" w:color="auto" w:fill="auto"/>
            <w:vAlign w:val="center"/>
            <w:hideMark/>
          </w:tcPr>
          <w:p w14:paraId="7EF8C574" w14:textId="77777777" w:rsidR="00EA4F92" w:rsidRPr="00D013D9" w:rsidRDefault="00EA4F92" w:rsidP="00FC4AE3">
            <w:pPr>
              <w:rPr>
                <w:rFonts w:asciiTheme="majorBidi" w:hAnsiTheme="majorBidi" w:cstheme="majorBidi"/>
                <w:b/>
                <w:bCs/>
                <w:color w:val="000000"/>
                <w:sz w:val="18"/>
                <w:szCs w:val="18"/>
                <w:lang w:val="en-US" w:eastAsia="de-DE"/>
              </w:rPr>
            </w:pPr>
          </w:p>
        </w:tc>
        <w:tc>
          <w:tcPr>
            <w:tcW w:w="1054" w:type="dxa"/>
            <w:tcBorders>
              <w:top w:val="nil"/>
              <w:left w:val="single" w:sz="4" w:space="0" w:color="auto"/>
              <w:bottom w:val="single" w:sz="12" w:space="0" w:color="auto"/>
              <w:right w:val="single" w:sz="4" w:space="0" w:color="auto"/>
            </w:tcBorders>
            <w:shd w:val="clear" w:color="auto" w:fill="auto"/>
            <w:noWrap/>
            <w:vAlign w:val="center"/>
            <w:hideMark/>
          </w:tcPr>
          <w:p w14:paraId="28BBEDBA" w14:textId="77777777" w:rsidR="00EA4F92" w:rsidRPr="00D013D9" w:rsidRDefault="00EA4F92" w:rsidP="00FC4AE3">
            <w:pPr>
              <w:rPr>
                <w:rFonts w:asciiTheme="majorBidi" w:hAnsiTheme="majorBidi" w:cstheme="majorBidi"/>
                <w:b/>
                <w:bCs/>
                <w:i/>
                <w:iCs/>
                <w:color w:val="000000"/>
                <w:sz w:val="18"/>
                <w:szCs w:val="18"/>
                <w:lang w:val="en-US" w:eastAsia="de-DE"/>
              </w:rPr>
            </w:pPr>
            <w:r w:rsidRPr="00D013D9">
              <w:rPr>
                <w:rFonts w:asciiTheme="majorBidi" w:hAnsiTheme="majorBidi" w:cstheme="majorBidi"/>
                <w:b/>
                <w:bCs/>
                <w:i/>
                <w:iCs/>
                <w:color w:val="000000"/>
                <w:sz w:val="18"/>
                <w:szCs w:val="18"/>
                <w:lang w:val="en-US" w:eastAsia="de-DE"/>
              </w:rPr>
              <w:t>Share, %</w:t>
            </w:r>
          </w:p>
        </w:tc>
      </w:tr>
      <w:tr w:rsidR="00EA4F92" w:rsidRPr="00D013D9" w14:paraId="37C37EFD" w14:textId="77777777" w:rsidTr="00FC4AE3">
        <w:trPr>
          <w:trHeight w:val="204"/>
        </w:trPr>
        <w:tc>
          <w:tcPr>
            <w:tcW w:w="1312"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0C158F2C" w14:textId="77777777"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Single run-to single run</w:t>
            </w:r>
          </w:p>
        </w:tc>
        <w:tc>
          <w:tcPr>
            <w:tcW w:w="2241" w:type="dxa"/>
            <w:tcBorders>
              <w:top w:val="single" w:sz="12" w:space="0" w:color="auto"/>
              <w:left w:val="nil"/>
              <w:bottom w:val="single" w:sz="4" w:space="0" w:color="auto"/>
              <w:right w:val="single" w:sz="4" w:space="0" w:color="auto"/>
            </w:tcBorders>
            <w:shd w:val="clear" w:color="auto" w:fill="auto"/>
            <w:noWrap/>
            <w:vAlign w:val="bottom"/>
            <w:hideMark/>
          </w:tcPr>
          <w:p w14:paraId="32223D1D"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Microclimate wind effect</w:t>
            </w:r>
          </w:p>
        </w:tc>
        <w:tc>
          <w:tcPr>
            <w:tcW w:w="1448" w:type="dxa"/>
            <w:tcBorders>
              <w:top w:val="single" w:sz="12" w:space="0" w:color="auto"/>
              <w:left w:val="nil"/>
              <w:bottom w:val="single" w:sz="4" w:space="0" w:color="auto"/>
              <w:right w:val="single" w:sz="4" w:space="0" w:color="auto"/>
            </w:tcBorders>
            <w:shd w:val="clear" w:color="auto" w:fill="auto"/>
            <w:noWrap/>
            <w:vAlign w:val="bottom"/>
            <w:hideMark/>
          </w:tcPr>
          <w:p w14:paraId="668F48D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0,8</w:t>
            </w:r>
          </w:p>
        </w:tc>
        <w:tc>
          <w:tcPr>
            <w:tcW w:w="1185" w:type="dxa"/>
            <w:tcBorders>
              <w:top w:val="single" w:sz="12" w:space="0" w:color="auto"/>
              <w:left w:val="nil"/>
              <w:bottom w:val="single" w:sz="4" w:space="0" w:color="auto"/>
              <w:right w:val="single" w:sz="4" w:space="0" w:color="auto"/>
            </w:tcBorders>
            <w:shd w:val="clear" w:color="auto" w:fill="auto"/>
            <w:noWrap/>
            <w:vAlign w:val="bottom"/>
            <w:hideMark/>
          </w:tcPr>
          <w:p w14:paraId="21EB437E"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gaussian</w:t>
            </w:r>
          </w:p>
        </w:tc>
        <w:tc>
          <w:tcPr>
            <w:tcW w:w="925" w:type="dxa"/>
            <w:tcBorders>
              <w:top w:val="single" w:sz="12" w:space="0" w:color="auto"/>
              <w:left w:val="nil"/>
              <w:bottom w:val="single" w:sz="4" w:space="0" w:color="auto"/>
              <w:right w:val="single" w:sz="4" w:space="0" w:color="auto"/>
            </w:tcBorders>
            <w:shd w:val="clear" w:color="auto" w:fill="auto"/>
            <w:noWrap/>
            <w:vAlign w:val="bottom"/>
            <w:hideMark/>
          </w:tcPr>
          <w:p w14:paraId="59890041"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0,04</w:t>
            </w:r>
          </w:p>
        </w:tc>
        <w:tc>
          <w:tcPr>
            <w:tcW w:w="1186" w:type="dxa"/>
            <w:tcBorders>
              <w:top w:val="single" w:sz="12" w:space="0" w:color="auto"/>
              <w:left w:val="nil"/>
              <w:bottom w:val="single" w:sz="4" w:space="0" w:color="auto"/>
              <w:right w:val="single" w:sz="4" w:space="0" w:color="auto"/>
            </w:tcBorders>
            <w:shd w:val="clear" w:color="auto" w:fill="auto"/>
            <w:noWrap/>
            <w:vAlign w:val="bottom"/>
            <w:hideMark/>
          </w:tcPr>
          <w:p w14:paraId="77DBA264"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0,20</w:t>
            </w:r>
          </w:p>
        </w:tc>
        <w:tc>
          <w:tcPr>
            <w:tcW w:w="1054" w:type="dxa"/>
            <w:tcBorders>
              <w:top w:val="single" w:sz="12" w:space="0" w:color="auto"/>
              <w:left w:val="nil"/>
              <w:bottom w:val="single" w:sz="4" w:space="0" w:color="auto"/>
              <w:right w:val="single" w:sz="4" w:space="0" w:color="auto"/>
            </w:tcBorders>
            <w:shd w:val="clear" w:color="auto" w:fill="auto"/>
            <w:noWrap/>
            <w:vAlign w:val="bottom"/>
            <w:hideMark/>
          </w:tcPr>
          <w:p w14:paraId="3FF1BBEE"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1,4</w:t>
            </w:r>
          </w:p>
        </w:tc>
      </w:tr>
      <w:tr w:rsidR="00EA4F92" w:rsidRPr="00D013D9" w14:paraId="2AA04850" w14:textId="77777777" w:rsidTr="00FC4AE3">
        <w:trPr>
          <w:trHeight w:val="204"/>
        </w:trPr>
        <w:tc>
          <w:tcPr>
            <w:tcW w:w="1312" w:type="dxa"/>
            <w:vMerge/>
            <w:tcBorders>
              <w:top w:val="single" w:sz="8" w:space="0" w:color="auto"/>
              <w:left w:val="single" w:sz="4" w:space="0" w:color="auto"/>
              <w:bottom w:val="single" w:sz="4" w:space="0" w:color="auto"/>
              <w:right w:val="single" w:sz="4" w:space="0" w:color="auto"/>
            </w:tcBorders>
            <w:vAlign w:val="center"/>
            <w:hideMark/>
          </w:tcPr>
          <w:p w14:paraId="61EB8E78" w14:textId="77777777" w:rsidR="00EA4F92" w:rsidRPr="00D013D9" w:rsidRDefault="00EA4F92" w:rsidP="00FC4AE3">
            <w:pPr>
              <w:rPr>
                <w:rFonts w:asciiTheme="majorBidi" w:hAnsiTheme="majorBidi" w:cstheme="majorBidi"/>
                <w:b/>
                <w:bCs/>
                <w:color w:val="000000"/>
                <w:sz w:val="18"/>
                <w:szCs w:val="18"/>
                <w:lang w:val="en-US" w:eastAsia="de-DE"/>
              </w:rPr>
            </w:pPr>
          </w:p>
        </w:tc>
        <w:tc>
          <w:tcPr>
            <w:tcW w:w="2241" w:type="dxa"/>
            <w:tcBorders>
              <w:top w:val="nil"/>
              <w:left w:val="nil"/>
              <w:bottom w:val="single" w:sz="4" w:space="0" w:color="auto"/>
              <w:right w:val="single" w:sz="4" w:space="0" w:color="auto"/>
            </w:tcBorders>
            <w:shd w:val="clear" w:color="auto" w:fill="auto"/>
            <w:noWrap/>
            <w:vAlign w:val="bottom"/>
            <w:hideMark/>
          </w:tcPr>
          <w:p w14:paraId="24C57447"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Deviation from centered driving</w:t>
            </w:r>
          </w:p>
        </w:tc>
        <w:tc>
          <w:tcPr>
            <w:tcW w:w="1448" w:type="dxa"/>
            <w:tcBorders>
              <w:top w:val="nil"/>
              <w:left w:val="nil"/>
              <w:bottom w:val="single" w:sz="4" w:space="0" w:color="auto"/>
              <w:right w:val="single" w:sz="4" w:space="0" w:color="auto"/>
            </w:tcBorders>
            <w:shd w:val="clear" w:color="auto" w:fill="auto"/>
            <w:noWrap/>
            <w:vAlign w:val="bottom"/>
            <w:hideMark/>
          </w:tcPr>
          <w:p w14:paraId="460A83BC"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w:t>
            </w:r>
          </w:p>
        </w:tc>
        <w:tc>
          <w:tcPr>
            <w:tcW w:w="1185" w:type="dxa"/>
            <w:tcBorders>
              <w:top w:val="nil"/>
              <w:left w:val="nil"/>
              <w:bottom w:val="single" w:sz="4" w:space="0" w:color="auto"/>
              <w:right w:val="single" w:sz="4" w:space="0" w:color="auto"/>
            </w:tcBorders>
            <w:shd w:val="clear" w:color="auto" w:fill="auto"/>
            <w:noWrap/>
            <w:vAlign w:val="bottom"/>
            <w:hideMark/>
          </w:tcPr>
          <w:p w14:paraId="1C6CA920"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rectangular</w:t>
            </w:r>
          </w:p>
        </w:tc>
        <w:tc>
          <w:tcPr>
            <w:tcW w:w="925" w:type="dxa"/>
            <w:tcBorders>
              <w:top w:val="nil"/>
              <w:left w:val="nil"/>
              <w:bottom w:val="single" w:sz="4" w:space="0" w:color="auto"/>
              <w:right w:val="single" w:sz="4" w:space="0" w:color="auto"/>
            </w:tcBorders>
            <w:shd w:val="clear" w:color="auto" w:fill="auto"/>
            <w:noWrap/>
            <w:vAlign w:val="bottom"/>
            <w:hideMark/>
          </w:tcPr>
          <w:p w14:paraId="0FA104B3"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0,02</w:t>
            </w:r>
          </w:p>
        </w:tc>
        <w:tc>
          <w:tcPr>
            <w:tcW w:w="1186" w:type="dxa"/>
            <w:tcBorders>
              <w:top w:val="nil"/>
              <w:left w:val="nil"/>
              <w:bottom w:val="single" w:sz="4" w:space="0" w:color="auto"/>
              <w:right w:val="single" w:sz="4" w:space="0" w:color="auto"/>
            </w:tcBorders>
            <w:shd w:val="clear" w:color="auto" w:fill="auto"/>
            <w:noWrap/>
            <w:vAlign w:val="bottom"/>
            <w:hideMark/>
          </w:tcPr>
          <w:p w14:paraId="2F3DF2D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0,14</w:t>
            </w:r>
          </w:p>
        </w:tc>
        <w:tc>
          <w:tcPr>
            <w:tcW w:w="1054" w:type="dxa"/>
            <w:tcBorders>
              <w:top w:val="nil"/>
              <w:left w:val="nil"/>
              <w:bottom w:val="single" w:sz="4" w:space="0" w:color="auto"/>
              <w:right w:val="single" w:sz="4" w:space="0" w:color="auto"/>
            </w:tcBorders>
            <w:shd w:val="clear" w:color="auto" w:fill="auto"/>
            <w:noWrap/>
            <w:vAlign w:val="bottom"/>
            <w:hideMark/>
          </w:tcPr>
          <w:p w14:paraId="769AC5B9"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0,7</w:t>
            </w:r>
          </w:p>
        </w:tc>
      </w:tr>
      <w:tr w:rsidR="00EA4F92" w:rsidRPr="00D013D9" w14:paraId="3209B30B" w14:textId="77777777" w:rsidTr="00FC4AE3">
        <w:trPr>
          <w:trHeight w:val="204"/>
        </w:trPr>
        <w:tc>
          <w:tcPr>
            <w:tcW w:w="1312" w:type="dxa"/>
            <w:vMerge/>
            <w:tcBorders>
              <w:top w:val="single" w:sz="8" w:space="0" w:color="auto"/>
              <w:left w:val="single" w:sz="4" w:space="0" w:color="auto"/>
              <w:bottom w:val="single" w:sz="4" w:space="0" w:color="auto"/>
              <w:right w:val="single" w:sz="4" w:space="0" w:color="auto"/>
            </w:tcBorders>
            <w:vAlign w:val="center"/>
            <w:hideMark/>
          </w:tcPr>
          <w:p w14:paraId="6202F383" w14:textId="77777777" w:rsidR="00EA4F92" w:rsidRPr="00D013D9" w:rsidRDefault="00EA4F92" w:rsidP="00FC4AE3">
            <w:pPr>
              <w:rPr>
                <w:rFonts w:asciiTheme="majorBidi" w:hAnsiTheme="majorBidi" w:cstheme="majorBidi"/>
                <w:b/>
                <w:bCs/>
                <w:color w:val="000000"/>
                <w:sz w:val="18"/>
                <w:szCs w:val="18"/>
                <w:lang w:val="en-US" w:eastAsia="de-DE"/>
              </w:rPr>
            </w:pPr>
          </w:p>
        </w:tc>
        <w:tc>
          <w:tcPr>
            <w:tcW w:w="2241" w:type="dxa"/>
            <w:tcBorders>
              <w:top w:val="nil"/>
              <w:left w:val="nil"/>
              <w:bottom w:val="single" w:sz="4" w:space="0" w:color="auto"/>
              <w:right w:val="single" w:sz="4" w:space="0" w:color="auto"/>
            </w:tcBorders>
            <w:shd w:val="clear" w:color="auto" w:fill="auto"/>
            <w:noWrap/>
            <w:vAlign w:val="bottom"/>
            <w:hideMark/>
          </w:tcPr>
          <w:p w14:paraId="2644C940"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Varying background noise</w:t>
            </w:r>
          </w:p>
        </w:tc>
        <w:tc>
          <w:tcPr>
            <w:tcW w:w="1448" w:type="dxa"/>
            <w:tcBorders>
              <w:top w:val="nil"/>
              <w:left w:val="nil"/>
              <w:bottom w:val="single" w:sz="4" w:space="0" w:color="auto"/>
              <w:right w:val="single" w:sz="4" w:space="0" w:color="auto"/>
            </w:tcBorders>
            <w:shd w:val="clear" w:color="auto" w:fill="auto"/>
            <w:noWrap/>
            <w:vAlign w:val="bottom"/>
            <w:hideMark/>
          </w:tcPr>
          <w:p w14:paraId="37E95BD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0,4</w:t>
            </w:r>
          </w:p>
        </w:tc>
        <w:tc>
          <w:tcPr>
            <w:tcW w:w="1185" w:type="dxa"/>
            <w:tcBorders>
              <w:top w:val="nil"/>
              <w:left w:val="nil"/>
              <w:bottom w:val="single" w:sz="4" w:space="0" w:color="auto"/>
              <w:right w:val="single" w:sz="4" w:space="0" w:color="auto"/>
            </w:tcBorders>
            <w:shd w:val="clear" w:color="auto" w:fill="auto"/>
            <w:noWrap/>
            <w:vAlign w:val="bottom"/>
            <w:hideMark/>
          </w:tcPr>
          <w:p w14:paraId="0E760F4B"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rectangular</w:t>
            </w:r>
          </w:p>
        </w:tc>
        <w:tc>
          <w:tcPr>
            <w:tcW w:w="925" w:type="dxa"/>
            <w:tcBorders>
              <w:top w:val="nil"/>
              <w:left w:val="nil"/>
              <w:bottom w:val="single" w:sz="4" w:space="0" w:color="auto"/>
              <w:right w:val="single" w:sz="4" w:space="0" w:color="auto"/>
            </w:tcBorders>
            <w:shd w:val="clear" w:color="auto" w:fill="auto"/>
            <w:noWrap/>
            <w:vAlign w:val="bottom"/>
            <w:hideMark/>
          </w:tcPr>
          <w:p w14:paraId="62357A33"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0,01</w:t>
            </w:r>
          </w:p>
        </w:tc>
        <w:tc>
          <w:tcPr>
            <w:tcW w:w="1186" w:type="dxa"/>
            <w:tcBorders>
              <w:top w:val="nil"/>
              <w:left w:val="nil"/>
              <w:bottom w:val="single" w:sz="4" w:space="0" w:color="auto"/>
              <w:right w:val="single" w:sz="4" w:space="0" w:color="auto"/>
            </w:tcBorders>
            <w:shd w:val="clear" w:color="auto" w:fill="auto"/>
            <w:noWrap/>
            <w:vAlign w:val="bottom"/>
            <w:hideMark/>
          </w:tcPr>
          <w:p w14:paraId="389DDB15"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0,12</w:t>
            </w:r>
          </w:p>
        </w:tc>
        <w:tc>
          <w:tcPr>
            <w:tcW w:w="1054" w:type="dxa"/>
            <w:tcBorders>
              <w:top w:val="nil"/>
              <w:left w:val="nil"/>
              <w:bottom w:val="single" w:sz="4" w:space="0" w:color="auto"/>
              <w:right w:val="single" w:sz="4" w:space="0" w:color="auto"/>
            </w:tcBorders>
            <w:shd w:val="clear" w:color="auto" w:fill="auto"/>
            <w:noWrap/>
            <w:vAlign w:val="bottom"/>
            <w:hideMark/>
          </w:tcPr>
          <w:p w14:paraId="1AEA8554"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w:t>
            </w:r>
          </w:p>
        </w:tc>
      </w:tr>
      <w:tr w:rsidR="00EA4F92" w:rsidRPr="00D013D9" w14:paraId="31A5B345" w14:textId="77777777" w:rsidTr="00FC4AE3">
        <w:trPr>
          <w:trHeight w:val="358"/>
        </w:trPr>
        <w:tc>
          <w:tcPr>
            <w:tcW w:w="131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68A6F" w14:textId="77777777"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Day-to-day</w:t>
            </w:r>
          </w:p>
        </w:tc>
        <w:tc>
          <w:tcPr>
            <w:tcW w:w="2241" w:type="dxa"/>
            <w:tcBorders>
              <w:top w:val="nil"/>
              <w:left w:val="nil"/>
              <w:bottom w:val="single" w:sz="4" w:space="0" w:color="auto"/>
              <w:right w:val="single" w:sz="4" w:space="0" w:color="auto"/>
            </w:tcBorders>
            <w:shd w:val="clear" w:color="auto" w:fill="auto"/>
            <w:vAlign w:val="center"/>
            <w:hideMark/>
          </w:tcPr>
          <w:p w14:paraId="16998B36"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Residual temperature influence</w:t>
            </w:r>
            <w:r w:rsidRPr="00D013D9">
              <w:rPr>
                <w:rFonts w:asciiTheme="majorBidi" w:hAnsiTheme="majorBidi" w:cstheme="majorBidi"/>
                <w:color w:val="000000"/>
                <w:sz w:val="18"/>
                <w:szCs w:val="18"/>
                <w:lang w:val="en-US" w:eastAsia="de-DE"/>
              </w:rPr>
              <w:br/>
              <w:t>(After correction for C1/C2)</w:t>
            </w:r>
          </w:p>
        </w:tc>
        <w:tc>
          <w:tcPr>
            <w:tcW w:w="1448" w:type="dxa"/>
            <w:tcBorders>
              <w:top w:val="nil"/>
              <w:left w:val="nil"/>
              <w:bottom w:val="single" w:sz="4" w:space="0" w:color="auto"/>
              <w:right w:val="single" w:sz="4" w:space="0" w:color="auto"/>
            </w:tcBorders>
            <w:shd w:val="clear" w:color="auto" w:fill="auto"/>
            <w:noWrap/>
            <w:vAlign w:val="center"/>
            <w:hideMark/>
          </w:tcPr>
          <w:p w14:paraId="1B7E43A7"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0,9</w:t>
            </w:r>
          </w:p>
        </w:tc>
        <w:tc>
          <w:tcPr>
            <w:tcW w:w="1185" w:type="dxa"/>
            <w:tcBorders>
              <w:top w:val="nil"/>
              <w:left w:val="nil"/>
              <w:bottom w:val="single" w:sz="4" w:space="0" w:color="auto"/>
              <w:right w:val="single" w:sz="4" w:space="0" w:color="auto"/>
            </w:tcBorders>
            <w:shd w:val="clear" w:color="auto" w:fill="auto"/>
            <w:noWrap/>
            <w:vAlign w:val="center"/>
            <w:hideMark/>
          </w:tcPr>
          <w:p w14:paraId="55F61783"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rectangular</w:t>
            </w:r>
          </w:p>
        </w:tc>
        <w:tc>
          <w:tcPr>
            <w:tcW w:w="925" w:type="dxa"/>
            <w:tcBorders>
              <w:top w:val="nil"/>
              <w:left w:val="nil"/>
              <w:bottom w:val="single" w:sz="4" w:space="0" w:color="auto"/>
              <w:right w:val="single" w:sz="4" w:space="0" w:color="auto"/>
            </w:tcBorders>
            <w:shd w:val="clear" w:color="auto" w:fill="auto"/>
            <w:noWrap/>
            <w:vAlign w:val="center"/>
            <w:hideMark/>
          </w:tcPr>
          <w:p w14:paraId="5CF0DF1E"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0,07</w:t>
            </w:r>
          </w:p>
        </w:tc>
        <w:tc>
          <w:tcPr>
            <w:tcW w:w="1186" w:type="dxa"/>
            <w:tcBorders>
              <w:top w:val="nil"/>
              <w:left w:val="nil"/>
              <w:bottom w:val="single" w:sz="4" w:space="0" w:color="auto"/>
              <w:right w:val="single" w:sz="4" w:space="0" w:color="auto"/>
            </w:tcBorders>
            <w:shd w:val="clear" w:color="auto" w:fill="auto"/>
            <w:noWrap/>
            <w:vAlign w:val="center"/>
            <w:hideMark/>
          </w:tcPr>
          <w:p w14:paraId="1FAC7CA2"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0,26</w:t>
            </w:r>
          </w:p>
        </w:tc>
        <w:tc>
          <w:tcPr>
            <w:tcW w:w="1054" w:type="dxa"/>
            <w:tcBorders>
              <w:top w:val="nil"/>
              <w:left w:val="nil"/>
              <w:bottom w:val="single" w:sz="4" w:space="0" w:color="auto"/>
              <w:right w:val="single" w:sz="4" w:space="0" w:color="auto"/>
            </w:tcBorders>
            <w:shd w:val="clear" w:color="auto" w:fill="auto"/>
            <w:noWrap/>
            <w:vAlign w:val="center"/>
            <w:hideMark/>
          </w:tcPr>
          <w:p w14:paraId="37361A8F"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2,3</w:t>
            </w:r>
          </w:p>
        </w:tc>
      </w:tr>
      <w:tr w:rsidR="00EA4F92" w:rsidRPr="00D013D9" w14:paraId="41B4B3CB" w14:textId="77777777" w:rsidTr="00FC4AE3">
        <w:trPr>
          <w:trHeight w:val="204"/>
        </w:trPr>
        <w:tc>
          <w:tcPr>
            <w:tcW w:w="1312" w:type="dxa"/>
            <w:vMerge/>
            <w:tcBorders>
              <w:top w:val="nil"/>
              <w:left w:val="single" w:sz="4" w:space="0" w:color="auto"/>
              <w:bottom w:val="single" w:sz="4" w:space="0" w:color="auto"/>
              <w:right w:val="single" w:sz="4" w:space="0" w:color="auto"/>
            </w:tcBorders>
            <w:vAlign w:val="center"/>
            <w:hideMark/>
          </w:tcPr>
          <w:p w14:paraId="3CDB374E" w14:textId="77777777" w:rsidR="00EA4F92" w:rsidRPr="00D013D9" w:rsidRDefault="00EA4F92" w:rsidP="00FC4AE3">
            <w:pPr>
              <w:rPr>
                <w:rFonts w:asciiTheme="majorBidi" w:hAnsiTheme="majorBidi" w:cstheme="majorBidi"/>
                <w:b/>
                <w:bCs/>
                <w:color w:val="000000"/>
                <w:sz w:val="18"/>
                <w:szCs w:val="18"/>
                <w:lang w:val="en-US" w:eastAsia="de-DE"/>
              </w:rPr>
            </w:pPr>
          </w:p>
        </w:tc>
        <w:tc>
          <w:tcPr>
            <w:tcW w:w="2241" w:type="dxa"/>
            <w:tcBorders>
              <w:top w:val="nil"/>
              <w:left w:val="nil"/>
              <w:bottom w:val="single" w:sz="4" w:space="0" w:color="auto"/>
              <w:right w:val="single" w:sz="4" w:space="0" w:color="auto"/>
            </w:tcBorders>
            <w:shd w:val="clear" w:color="auto" w:fill="auto"/>
            <w:noWrap/>
            <w:vAlign w:val="bottom"/>
            <w:hideMark/>
          </w:tcPr>
          <w:p w14:paraId="40E591FD"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Vehicle contribution</w:t>
            </w:r>
          </w:p>
        </w:tc>
        <w:tc>
          <w:tcPr>
            <w:tcW w:w="1448" w:type="dxa"/>
            <w:tcBorders>
              <w:top w:val="nil"/>
              <w:left w:val="nil"/>
              <w:bottom w:val="single" w:sz="4" w:space="0" w:color="auto"/>
              <w:right w:val="single" w:sz="4" w:space="0" w:color="auto"/>
            </w:tcBorders>
            <w:shd w:val="clear" w:color="auto" w:fill="auto"/>
            <w:noWrap/>
            <w:vAlign w:val="bottom"/>
            <w:hideMark/>
          </w:tcPr>
          <w:p w14:paraId="421E6AE8"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2,0</w:t>
            </w:r>
          </w:p>
        </w:tc>
        <w:tc>
          <w:tcPr>
            <w:tcW w:w="1185" w:type="dxa"/>
            <w:tcBorders>
              <w:top w:val="nil"/>
              <w:left w:val="nil"/>
              <w:bottom w:val="single" w:sz="4" w:space="0" w:color="auto"/>
              <w:right w:val="single" w:sz="4" w:space="0" w:color="auto"/>
            </w:tcBorders>
            <w:shd w:val="clear" w:color="auto" w:fill="auto"/>
            <w:noWrap/>
            <w:vAlign w:val="bottom"/>
            <w:hideMark/>
          </w:tcPr>
          <w:p w14:paraId="23F81183"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gaussian</w:t>
            </w:r>
          </w:p>
        </w:tc>
        <w:tc>
          <w:tcPr>
            <w:tcW w:w="925" w:type="dxa"/>
            <w:tcBorders>
              <w:top w:val="nil"/>
              <w:left w:val="nil"/>
              <w:bottom w:val="single" w:sz="4" w:space="0" w:color="auto"/>
              <w:right w:val="single" w:sz="4" w:space="0" w:color="auto"/>
            </w:tcBorders>
            <w:shd w:val="clear" w:color="auto" w:fill="auto"/>
            <w:noWrap/>
            <w:vAlign w:val="bottom"/>
            <w:hideMark/>
          </w:tcPr>
          <w:p w14:paraId="7EC49026"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0,25</w:t>
            </w:r>
          </w:p>
        </w:tc>
        <w:tc>
          <w:tcPr>
            <w:tcW w:w="1186" w:type="dxa"/>
            <w:tcBorders>
              <w:top w:val="nil"/>
              <w:left w:val="nil"/>
              <w:bottom w:val="single" w:sz="4" w:space="0" w:color="auto"/>
              <w:right w:val="single" w:sz="4" w:space="0" w:color="auto"/>
            </w:tcBorders>
            <w:shd w:val="clear" w:color="auto" w:fill="auto"/>
            <w:noWrap/>
            <w:vAlign w:val="bottom"/>
            <w:hideMark/>
          </w:tcPr>
          <w:p w14:paraId="55DAFF89"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0,50</w:t>
            </w:r>
          </w:p>
        </w:tc>
        <w:tc>
          <w:tcPr>
            <w:tcW w:w="1054" w:type="dxa"/>
            <w:tcBorders>
              <w:top w:val="nil"/>
              <w:left w:val="nil"/>
              <w:bottom w:val="single" w:sz="4" w:space="0" w:color="auto"/>
              <w:right w:val="single" w:sz="4" w:space="0" w:color="auto"/>
            </w:tcBorders>
            <w:shd w:val="clear" w:color="auto" w:fill="auto"/>
            <w:noWrap/>
            <w:vAlign w:val="bottom"/>
            <w:hideMark/>
          </w:tcPr>
          <w:p w14:paraId="4D89FCD1"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8,5</w:t>
            </w:r>
          </w:p>
        </w:tc>
      </w:tr>
      <w:tr w:rsidR="00EA4F92" w:rsidRPr="00D013D9" w14:paraId="5648FAC6" w14:textId="77777777" w:rsidTr="00FC4AE3">
        <w:trPr>
          <w:trHeight w:val="204"/>
        </w:trPr>
        <w:tc>
          <w:tcPr>
            <w:tcW w:w="1312" w:type="dxa"/>
            <w:vMerge/>
            <w:tcBorders>
              <w:top w:val="nil"/>
              <w:left w:val="single" w:sz="4" w:space="0" w:color="auto"/>
              <w:bottom w:val="single" w:sz="4" w:space="0" w:color="auto"/>
              <w:right w:val="single" w:sz="4" w:space="0" w:color="auto"/>
            </w:tcBorders>
            <w:vAlign w:val="center"/>
            <w:hideMark/>
          </w:tcPr>
          <w:p w14:paraId="4C6252BB" w14:textId="77777777" w:rsidR="00EA4F92" w:rsidRPr="00D013D9" w:rsidRDefault="00EA4F92" w:rsidP="00FC4AE3">
            <w:pPr>
              <w:rPr>
                <w:rFonts w:asciiTheme="majorBidi" w:hAnsiTheme="majorBidi" w:cstheme="majorBidi"/>
                <w:b/>
                <w:bCs/>
                <w:color w:val="000000"/>
                <w:sz w:val="18"/>
                <w:szCs w:val="18"/>
                <w:lang w:val="en-US" w:eastAsia="de-DE"/>
              </w:rPr>
            </w:pPr>
          </w:p>
        </w:tc>
        <w:tc>
          <w:tcPr>
            <w:tcW w:w="2241" w:type="dxa"/>
            <w:tcBorders>
              <w:top w:val="nil"/>
              <w:left w:val="nil"/>
              <w:bottom w:val="single" w:sz="4" w:space="0" w:color="auto"/>
              <w:right w:val="single" w:sz="4" w:space="0" w:color="auto"/>
            </w:tcBorders>
            <w:shd w:val="clear" w:color="auto" w:fill="auto"/>
            <w:noWrap/>
            <w:vAlign w:val="bottom"/>
            <w:hideMark/>
          </w:tcPr>
          <w:p w14:paraId="730C9D8E"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Residual humidity on test track surface</w:t>
            </w:r>
          </w:p>
        </w:tc>
        <w:tc>
          <w:tcPr>
            <w:tcW w:w="1448" w:type="dxa"/>
            <w:tcBorders>
              <w:top w:val="nil"/>
              <w:left w:val="nil"/>
              <w:bottom w:val="single" w:sz="4" w:space="0" w:color="auto"/>
              <w:right w:val="single" w:sz="4" w:space="0" w:color="auto"/>
            </w:tcBorders>
            <w:shd w:val="clear" w:color="auto" w:fill="auto"/>
            <w:noWrap/>
            <w:vAlign w:val="bottom"/>
            <w:hideMark/>
          </w:tcPr>
          <w:p w14:paraId="460557AE"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1,1</w:t>
            </w:r>
          </w:p>
        </w:tc>
        <w:tc>
          <w:tcPr>
            <w:tcW w:w="1185" w:type="dxa"/>
            <w:tcBorders>
              <w:top w:val="nil"/>
              <w:left w:val="nil"/>
              <w:bottom w:val="single" w:sz="4" w:space="0" w:color="auto"/>
              <w:right w:val="single" w:sz="4" w:space="0" w:color="auto"/>
            </w:tcBorders>
            <w:shd w:val="clear" w:color="auto" w:fill="auto"/>
            <w:noWrap/>
            <w:vAlign w:val="bottom"/>
            <w:hideMark/>
          </w:tcPr>
          <w:p w14:paraId="56019B3B"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rectangular</w:t>
            </w:r>
          </w:p>
        </w:tc>
        <w:tc>
          <w:tcPr>
            <w:tcW w:w="925" w:type="dxa"/>
            <w:tcBorders>
              <w:top w:val="nil"/>
              <w:left w:val="nil"/>
              <w:bottom w:val="single" w:sz="4" w:space="0" w:color="auto"/>
              <w:right w:val="single" w:sz="4" w:space="0" w:color="auto"/>
            </w:tcBorders>
            <w:shd w:val="clear" w:color="auto" w:fill="auto"/>
            <w:noWrap/>
            <w:vAlign w:val="bottom"/>
            <w:hideMark/>
          </w:tcPr>
          <w:p w14:paraId="16AD0B4A"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0,10</w:t>
            </w:r>
          </w:p>
        </w:tc>
        <w:tc>
          <w:tcPr>
            <w:tcW w:w="1186" w:type="dxa"/>
            <w:tcBorders>
              <w:top w:val="nil"/>
              <w:left w:val="nil"/>
              <w:bottom w:val="single" w:sz="4" w:space="0" w:color="auto"/>
              <w:right w:val="single" w:sz="4" w:space="0" w:color="auto"/>
            </w:tcBorders>
            <w:shd w:val="clear" w:color="auto" w:fill="auto"/>
            <w:noWrap/>
            <w:vAlign w:val="bottom"/>
            <w:hideMark/>
          </w:tcPr>
          <w:p w14:paraId="0796DC18"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0,32</w:t>
            </w:r>
          </w:p>
        </w:tc>
        <w:tc>
          <w:tcPr>
            <w:tcW w:w="1054" w:type="dxa"/>
            <w:tcBorders>
              <w:top w:val="nil"/>
              <w:left w:val="nil"/>
              <w:bottom w:val="single" w:sz="4" w:space="0" w:color="auto"/>
              <w:right w:val="single" w:sz="4" w:space="0" w:color="auto"/>
            </w:tcBorders>
            <w:shd w:val="clear" w:color="auto" w:fill="auto"/>
            <w:noWrap/>
            <w:vAlign w:val="bottom"/>
            <w:hideMark/>
          </w:tcPr>
          <w:p w14:paraId="41863FC3"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3,4</w:t>
            </w:r>
          </w:p>
        </w:tc>
      </w:tr>
      <w:tr w:rsidR="00EA4F92" w:rsidRPr="00D013D9" w14:paraId="3563211B" w14:textId="77777777" w:rsidTr="00FC4AE3">
        <w:trPr>
          <w:trHeight w:val="204"/>
        </w:trPr>
        <w:tc>
          <w:tcPr>
            <w:tcW w:w="131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8C95D17" w14:textId="77777777"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Site-to-site</w:t>
            </w:r>
          </w:p>
        </w:tc>
        <w:tc>
          <w:tcPr>
            <w:tcW w:w="2241" w:type="dxa"/>
            <w:tcBorders>
              <w:top w:val="nil"/>
              <w:left w:val="nil"/>
              <w:bottom w:val="single" w:sz="4" w:space="0" w:color="auto"/>
              <w:right w:val="single" w:sz="4" w:space="0" w:color="auto"/>
            </w:tcBorders>
            <w:shd w:val="clear" w:color="auto" w:fill="auto"/>
            <w:noWrap/>
            <w:vAlign w:val="bottom"/>
            <w:hideMark/>
          </w:tcPr>
          <w:p w14:paraId="7005090E"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Test track surface</w:t>
            </w:r>
          </w:p>
        </w:tc>
        <w:tc>
          <w:tcPr>
            <w:tcW w:w="1448" w:type="dxa"/>
            <w:tcBorders>
              <w:top w:val="nil"/>
              <w:left w:val="nil"/>
              <w:bottom w:val="single" w:sz="4" w:space="0" w:color="auto"/>
              <w:right w:val="single" w:sz="4" w:space="0" w:color="auto"/>
            </w:tcBorders>
            <w:shd w:val="clear" w:color="auto" w:fill="auto"/>
            <w:noWrap/>
            <w:vAlign w:val="bottom"/>
            <w:hideMark/>
          </w:tcPr>
          <w:p w14:paraId="0C3945CA"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5,4</w:t>
            </w:r>
          </w:p>
        </w:tc>
        <w:tc>
          <w:tcPr>
            <w:tcW w:w="1185" w:type="dxa"/>
            <w:tcBorders>
              <w:top w:val="nil"/>
              <w:left w:val="nil"/>
              <w:bottom w:val="single" w:sz="4" w:space="0" w:color="auto"/>
              <w:right w:val="single" w:sz="4" w:space="0" w:color="auto"/>
            </w:tcBorders>
            <w:shd w:val="clear" w:color="auto" w:fill="auto"/>
            <w:noWrap/>
            <w:vAlign w:val="bottom"/>
            <w:hideMark/>
          </w:tcPr>
          <w:p w14:paraId="0C3718D9"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rectangular</w:t>
            </w:r>
          </w:p>
        </w:tc>
        <w:tc>
          <w:tcPr>
            <w:tcW w:w="925" w:type="dxa"/>
            <w:tcBorders>
              <w:top w:val="nil"/>
              <w:left w:val="nil"/>
              <w:bottom w:val="single" w:sz="4" w:space="0" w:color="auto"/>
              <w:right w:val="single" w:sz="4" w:space="0" w:color="auto"/>
            </w:tcBorders>
            <w:shd w:val="clear" w:color="auto" w:fill="auto"/>
            <w:noWrap/>
            <w:vAlign w:val="bottom"/>
            <w:hideMark/>
          </w:tcPr>
          <w:p w14:paraId="38C0F4BB"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2,43</w:t>
            </w:r>
          </w:p>
        </w:tc>
        <w:tc>
          <w:tcPr>
            <w:tcW w:w="1186" w:type="dxa"/>
            <w:tcBorders>
              <w:top w:val="nil"/>
              <w:left w:val="nil"/>
              <w:bottom w:val="single" w:sz="4" w:space="0" w:color="auto"/>
              <w:right w:val="single" w:sz="4" w:space="0" w:color="auto"/>
            </w:tcBorders>
            <w:shd w:val="clear" w:color="auto" w:fill="auto"/>
            <w:noWrap/>
            <w:vAlign w:val="bottom"/>
            <w:hideMark/>
          </w:tcPr>
          <w:p w14:paraId="5D7970B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1,56</w:t>
            </w:r>
          </w:p>
        </w:tc>
        <w:tc>
          <w:tcPr>
            <w:tcW w:w="1054" w:type="dxa"/>
            <w:tcBorders>
              <w:top w:val="nil"/>
              <w:left w:val="nil"/>
              <w:bottom w:val="single" w:sz="4" w:space="0" w:color="auto"/>
              <w:right w:val="single" w:sz="4" w:space="0" w:color="auto"/>
            </w:tcBorders>
            <w:shd w:val="clear" w:color="auto" w:fill="auto"/>
            <w:noWrap/>
            <w:vAlign w:val="bottom"/>
            <w:hideMark/>
          </w:tcPr>
          <w:p w14:paraId="16E6F574"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82,3</w:t>
            </w:r>
          </w:p>
        </w:tc>
      </w:tr>
      <w:tr w:rsidR="00EA4F92" w:rsidRPr="00D013D9" w14:paraId="6E2CF97C" w14:textId="77777777" w:rsidTr="00FC4AE3">
        <w:trPr>
          <w:trHeight w:val="204"/>
        </w:trPr>
        <w:tc>
          <w:tcPr>
            <w:tcW w:w="1312" w:type="dxa"/>
            <w:vMerge/>
            <w:tcBorders>
              <w:top w:val="nil"/>
              <w:left w:val="single" w:sz="4" w:space="0" w:color="auto"/>
              <w:bottom w:val="single" w:sz="8" w:space="0" w:color="000000"/>
              <w:right w:val="single" w:sz="4" w:space="0" w:color="auto"/>
            </w:tcBorders>
            <w:vAlign w:val="center"/>
            <w:hideMark/>
          </w:tcPr>
          <w:p w14:paraId="36F9EAF7" w14:textId="77777777" w:rsidR="00EA4F92" w:rsidRPr="00D013D9" w:rsidRDefault="00EA4F92" w:rsidP="00FC4AE3">
            <w:pPr>
              <w:rPr>
                <w:rFonts w:asciiTheme="majorBidi" w:hAnsiTheme="majorBidi" w:cstheme="majorBidi"/>
                <w:color w:val="000000"/>
                <w:sz w:val="18"/>
                <w:szCs w:val="18"/>
                <w:lang w:val="en-US" w:eastAsia="de-DE"/>
              </w:rPr>
            </w:pPr>
          </w:p>
        </w:tc>
        <w:tc>
          <w:tcPr>
            <w:tcW w:w="2241" w:type="dxa"/>
            <w:tcBorders>
              <w:top w:val="nil"/>
              <w:left w:val="nil"/>
              <w:bottom w:val="single" w:sz="4" w:space="0" w:color="auto"/>
              <w:right w:val="single" w:sz="4" w:space="0" w:color="auto"/>
            </w:tcBorders>
            <w:shd w:val="clear" w:color="auto" w:fill="auto"/>
            <w:noWrap/>
            <w:vAlign w:val="bottom"/>
            <w:hideMark/>
          </w:tcPr>
          <w:p w14:paraId="2CB7DD9F"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Microphone class 1</w:t>
            </w:r>
          </w:p>
        </w:tc>
        <w:tc>
          <w:tcPr>
            <w:tcW w:w="1448" w:type="dxa"/>
            <w:tcBorders>
              <w:top w:val="nil"/>
              <w:left w:val="nil"/>
              <w:bottom w:val="single" w:sz="4" w:space="0" w:color="auto"/>
              <w:right w:val="single" w:sz="4" w:space="0" w:color="auto"/>
            </w:tcBorders>
            <w:shd w:val="clear" w:color="auto" w:fill="auto"/>
            <w:noWrap/>
            <w:vAlign w:val="bottom"/>
            <w:hideMark/>
          </w:tcPr>
          <w:p w14:paraId="24BDF913"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w:t>
            </w:r>
          </w:p>
        </w:tc>
        <w:tc>
          <w:tcPr>
            <w:tcW w:w="1185" w:type="dxa"/>
            <w:tcBorders>
              <w:top w:val="nil"/>
              <w:left w:val="nil"/>
              <w:bottom w:val="single" w:sz="4" w:space="0" w:color="auto"/>
              <w:right w:val="single" w:sz="4" w:space="0" w:color="auto"/>
            </w:tcBorders>
            <w:shd w:val="clear" w:color="auto" w:fill="auto"/>
            <w:noWrap/>
            <w:vAlign w:val="bottom"/>
            <w:hideMark/>
          </w:tcPr>
          <w:p w14:paraId="27091F5A"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gaussian</w:t>
            </w:r>
          </w:p>
        </w:tc>
        <w:tc>
          <w:tcPr>
            <w:tcW w:w="925" w:type="dxa"/>
            <w:tcBorders>
              <w:top w:val="nil"/>
              <w:left w:val="nil"/>
              <w:bottom w:val="single" w:sz="4" w:space="0" w:color="auto"/>
              <w:right w:val="single" w:sz="4" w:space="0" w:color="auto"/>
            </w:tcBorders>
            <w:shd w:val="clear" w:color="auto" w:fill="auto"/>
            <w:noWrap/>
            <w:vAlign w:val="bottom"/>
            <w:hideMark/>
          </w:tcPr>
          <w:p w14:paraId="2404842F"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0,02</w:t>
            </w:r>
          </w:p>
        </w:tc>
        <w:tc>
          <w:tcPr>
            <w:tcW w:w="1186" w:type="dxa"/>
            <w:tcBorders>
              <w:top w:val="nil"/>
              <w:left w:val="nil"/>
              <w:bottom w:val="single" w:sz="4" w:space="0" w:color="auto"/>
              <w:right w:val="single" w:sz="4" w:space="0" w:color="auto"/>
            </w:tcBorders>
            <w:shd w:val="clear" w:color="auto" w:fill="auto"/>
            <w:noWrap/>
            <w:vAlign w:val="bottom"/>
            <w:hideMark/>
          </w:tcPr>
          <w:p w14:paraId="5C4FB34C"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0,13</w:t>
            </w:r>
          </w:p>
        </w:tc>
        <w:tc>
          <w:tcPr>
            <w:tcW w:w="1054" w:type="dxa"/>
            <w:tcBorders>
              <w:top w:val="nil"/>
              <w:left w:val="nil"/>
              <w:bottom w:val="single" w:sz="4" w:space="0" w:color="auto"/>
              <w:right w:val="single" w:sz="4" w:space="0" w:color="auto"/>
            </w:tcBorders>
            <w:shd w:val="clear" w:color="auto" w:fill="auto"/>
            <w:noWrap/>
            <w:vAlign w:val="bottom"/>
            <w:hideMark/>
          </w:tcPr>
          <w:p w14:paraId="789E5B99"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w:t>
            </w:r>
          </w:p>
        </w:tc>
      </w:tr>
      <w:tr w:rsidR="00EA4F92" w:rsidRPr="00D013D9" w14:paraId="7CAD44CE" w14:textId="77777777" w:rsidTr="00FC4AE3">
        <w:trPr>
          <w:trHeight w:val="204"/>
        </w:trPr>
        <w:tc>
          <w:tcPr>
            <w:tcW w:w="1312" w:type="dxa"/>
            <w:vMerge/>
            <w:tcBorders>
              <w:top w:val="nil"/>
              <w:left w:val="single" w:sz="4" w:space="0" w:color="auto"/>
              <w:bottom w:val="single" w:sz="8" w:space="0" w:color="000000"/>
              <w:right w:val="single" w:sz="4" w:space="0" w:color="auto"/>
            </w:tcBorders>
            <w:vAlign w:val="center"/>
            <w:hideMark/>
          </w:tcPr>
          <w:p w14:paraId="4E6C0275" w14:textId="77777777" w:rsidR="00EA4F92" w:rsidRPr="00D013D9" w:rsidRDefault="00EA4F92" w:rsidP="00FC4AE3">
            <w:pPr>
              <w:rPr>
                <w:rFonts w:asciiTheme="majorBidi" w:hAnsiTheme="majorBidi" w:cstheme="majorBidi"/>
                <w:color w:val="000000"/>
                <w:sz w:val="18"/>
                <w:szCs w:val="18"/>
                <w:lang w:val="en-US" w:eastAsia="de-DE"/>
              </w:rPr>
            </w:pPr>
          </w:p>
        </w:tc>
        <w:tc>
          <w:tcPr>
            <w:tcW w:w="2241" w:type="dxa"/>
            <w:tcBorders>
              <w:top w:val="nil"/>
              <w:left w:val="nil"/>
              <w:bottom w:val="single" w:sz="4" w:space="0" w:color="auto"/>
              <w:right w:val="single" w:sz="4" w:space="0" w:color="auto"/>
            </w:tcBorders>
            <w:shd w:val="clear" w:color="auto" w:fill="auto"/>
            <w:noWrap/>
            <w:vAlign w:val="bottom"/>
            <w:hideMark/>
          </w:tcPr>
          <w:p w14:paraId="20A71873"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Sound Calibrator class 1</w:t>
            </w:r>
          </w:p>
        </w:tc>
        <w:tc>
          <w:tcPr>
            <w:tcW w:w="1448" w:type="dxa"/>
            <w:tcBorders>
              <w:top w:val="nil"/>
              <w:left w:val="nil"/>
              <w:bottom w:val="single" w:sz="4" w:space="0" w:color="auto"/>
              <w:right w:val="single" w:sz="4" w:space="0" w:color="auto"/>
            </w:tcBorders>
            <w:shd w:val="clear" w:color="auto" w:fill="auto"/>
            <w:noWrap/>
            <w:vAlign w:val="bottom"/>
            <w:hideMark/>
          </w:tcPr>
          <w:p w14:paraId="4561B45E"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w:t>
            </w:r>
          </w:p>
        </w:tc>
        <w:tc>
          <w:tcPr>
            <w:tcW w:w="1185" w:type="dxa"/>
            <w:tcBorders>
              <w:top w:val="nil"/>
              <w:left w:val="nil"/>
              <w:bottom w:val="single" w:sz="4" w:space="0" w:color="auto"/>
              <w:right w:val="single" w:sz="4" w:space="0" w:color="auto"/>
            </w:tcBorders>
            <w:shd w:val="clear" w:color="auto" w:fill="auto"/>
            <w:noWrap/>
            <w:vAlign w:val="bottom"/>
            <w:hideMark/>
          </w:tcPr>
          <w:p w14:paraId="505143A7"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gaussian</w:t>
            </w:r>
          </w:p>
        </w:tc>
        <w:tc>
          <w:tcPr>
            <w:tcW w:w="925" w:type="dxa"/>
            <w:tcBorders>
              <w:top w:val="nil"/>
              <w:left w:val="nil"/>
              <w:bottom w:val="single" w:sz="4" w:space="0" w:color="auto"/>
              <w:right w:val="single" w:sz="4" w:space="0" w:color="auto"/>
            </w:tcBorders>
            <w:shd w:val="clear" w:color="auto" w:fill="auto"/>
            <w:noWrap/>
            <w:vAlign w:val="bottom"/>
            <w:hideMark/>
          </w:tcPr>
          <w:p w14:paraId="589D3EC6"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0,02</w:t>
            </w:r>
          </w:p>
        </w:tc>
        <w:tc>
          <w:tcPr>
            <w:tcW w:w="1186" w:type="dxa"/>
            <w:tcBorders>
              <w:top w:val="nil"/>
              <w:left w:val="nil"/>
              <w:bottom w:val="single" w:sz="4" w:space="0" w:color="auto"/>
              <w:right w:val="single" w:sz="4" w:space="0" w:color="auto"/>
            </w:tcBorders>
            <w:shd w:val="clear" w:color="auto" w:fill="auto"/>
            <w:noWrap/>
            <w:vAlign w:val="bottom"/>
            <w:hideMark/>
          </w:tcPr>
          <w:p w14:paraId="237E1B5B"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0,13</w:t>
            </w:r>
          </w:p>
        </w:tc>
        <w:tc>
          <w:tcPr>
            <w:tcW w:w="1054" w:type="dxa"/>
            <w:tcBorders>
              <w:top w:val="nil"/>
              <w:left w:val="nil"/>
              <w:bottom w:val="single" w:sz="4" w:space="0" w:color="auto"/>
              <w:right w:val="single" w:sz="4" w:space="0" w:color="auto"/>
            </w:tcBorders>
            <w:shd w:val="clear" w:color="auto" w:fill="auto"/>
            <w:noWrap/>
            <w:vAlign w:val="bottom"/>
            <w:hideMark/>
          </w:tcPr>
          <w:p w14:paraId="37EC3B57"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0,5</w:t>
            </w:r>
          </w:p>
        </w:tc>
      </w:tr>
      <w:tr w:rsidR="00EA4F92" w:rsidRPr="00D013D9" w14:paraId="3A326EEA" w14:textId="77777777" w:rsidTr="00FC4AE3">
        <w:trPr>
          <w:trHeight w:val="215"/>
        </w:trPr>
        <w:tc>
          <w:tcPr>
            <w:tcW w:w="1312" w:type="dxa"/>
            <w:vMerge/>
            <w:tcBorders>
              <w:top w:val="nil"/>
              <w:left w:val="single" w:sz="4" w:space="0" w:color="auto"/>
              <w:bottom w:val="single" w:sz="8" w:space="0" w:color="000000"/>
              <w:right w:val="single" w:sz="4" w:space="0" w:color="auto"/>
            </w:tcBorders>
            <w:vAlign w:val="center"/>
            <w:hideMark/>
          </w:tcPr>
          <w:p w14:paraId="1E3588A0" w14:textId="77777777" w:rsidR="00EA4F92" w:rsidRPr="00D013D9" w:rsidRDefault="00EA4F92" w:rsidP="00FC4AE3">
            <w:pPr>
              <w:rPr>
                <w:rFonts w:asciiTheme="majorBidi" w:hAnsiTheme="majorBidi" w:cstheme="majorBidi"/>
                <w:color w:val="000000"/>
                <w:sz w:val="18"/>
                <w:szCs w:val="18"/>
                <w:lang w:val="en-US" w:eastAsia="de-DE"/>
              </w:rPr>
            </w:pPr>
          </w:p>
        </w:tc>
        <w:tc>
          <w:tcPr>
            <w:tcW w:w="2241" w:type="dxa"/>
            <w:tcBorders>
              <w:top w:val="nil"/>
              <w:left w:val="nil"/>
              <w:bottom w:val="single" w:sz="8" w:space="0" w:color="auto"/>
              <w:right w:val="single" w:sz="4" w:space="0" w:color="auto"/>
            </w:tcBorders>
            <w:shd w:val="clear" w:color="auto" w:fill="auto"/>
            <w:noWrap/>
            <w:vAlign w:val="bottom"/>
            <w:hideMark/>
          </w:tcPr>
          <w:p w14:paraId="06C72A49"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 xml:space="preserve">Speed measuring equipment </w:t>
            </w:r>
          </w:p>
        </w:tc>
        <w:tc>
          <w:tcPr>
            <w:tcW w:w="1448" w:type="dxa"/>
            <w:tcBorders>
              <w:top w:val="nil"/>
              <w:left w:val="nil"/>
              <w:bottom w:val="single" w:sz="8" w:space="0" w:color="auto"/>
              <w:right w:val="single" w:sz="4" w:space="0" w:color="auto"/>
            </w:tcBorders>
            <w:shd w:val="clear" w:color="auto" w:fill="auto"/>
            <w:noWrap/>
            <w:vAlign w:val="bottom"/>
            <w:hideMark/>
          </w:tcPr>
          <w:p w14:paraId="21ADE2E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0,1</w:t>
            </w:r>
          </w:p>
        </w:tc>
        <w:tc>
          <w:tcPr>
            <w:tcW w:w="1185" w:type="dxa"/>
            <w:tcBorders>
              <w:top w:val="nil"/>
              <w:left w:val="nil"/>
              <w:bottom w:val="single" w:sz="8" w:space="0" w:color="auto"/>
              <w:right w:val="single" w:sz="4" w:space="0" w:color="auto"/>
            </w:tcBorders>
            <w:shd w:val="clear" w:color="auto" w:fill="auto"/>
            <w:noWrap/>
            <w:vAlign w:val="bottom"/>
            <w:hideMark/>
          </w:tcPr>
          <w:p w14:paraId="26E75E9D"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gaussian</w:t>
            </w:r>
          </w:p>
        </w:tc>
        <w:tc>
          <w:tcPr>
            <w:tcW w:w="925" w:type="dxa"/>
            <w:tcBorders>
              <w:top w:val="nil"/>
              <w:left w:val="nil"/>
              <w:bottom w:val="single" w:sz="8" w:space="0" w:color="auto"/>
              <w:right w:val="single" w:sz="4" w:space="0" w:color="auto"/>
            </w:tcBorders>
            <w:shd w:val="clear" w:color="auto" w:fill="auto"/>
            <w:noWrap/>
            <w:vAlign w:val="bottom"/>
            <w:hideMark/>
          </w:tcPr>
          <w:p w14:paraId="15256F93"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0,00</w:t>
            </w:r>
          </w:p>
        </w:tc>
        <w:tc>
          <w:tcPr>
            <w:tcW w:w="1186" w:type="dxa"/>
            <w:tcBorders>
              <w:top w:val="nil"/>
              <w:left w:val="nil"/>
              <w:bottom w:val="single" w:sz="8" w:space="0" w:color="auto"/>
              <w:right w:val="single" w:sz="4" w:space="0" w:color="auto"/>
            </w:tcBorders>
            <w:shd w:val="clear" w:color="auto" w:fill="auto"/>
            <w:noWrap/>
            <w:vAlign w:val="bottom"/>
            <w:hideMark/>
          </w:tcPr>
          <w:p w14:paraId="58361944"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0,03</w:t>
            </w:r>
          </w:p>
        </w:tc>
        <w:tc>
          <w:tcPr>
            <w:tcW w:w="1054" w:type="dxa"/>
            <w:tcBorders>
              <w:top w:val="nil"/>
              <w:left w:val="nil"/>
              <w:bottom w:val="single" w:sz="8" w:space="0" w:color="auto"/>
              <w:right w:val="single" w:sz="4" w:space="0" w:color="auto"/>
            </w:tcBorders>
            <w:shd w:val="clear" w:color="auto" w:fill="auto"/>
            <w:noWrap/>
            <w:vAlign w:val="bottom"/>
            <w:hideMark/>
          </w:tcPr>
          <w:p w14:paraId="2E742EC1"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0,0</w:t>
            </w:r>
          </w:p>
        </w:tc>
      </w:tr>
      <w:tr w:rsidR="00EA4F92" w:rsidRPr="00D013D9" w14:paraId="3510680E" w14:textId="77777777" w:rsidTr="00FC4AE3">
        <w:trPr>
          <w:trHeight w:val="225"/>
        </w:trPr>
        <w:tc>
          <w:tcPr>
            <w:tcW w:w="1312" w:type="dxa"/>
            <w:tcBorders>
              <w:top w:val="nil"/>
              <w:left w:val="nil"/>
              <w:bottom w:val="nil"/>
              <w:right w:val="nil"/>
            </w:tcBorders>
            <w:shd w:val="clear" w:color="auto" w:fill="auto"/>
            <w:noWrap/>
            <w:vAlign w:val="bottom"/>
            <w:hideMark/>
          </w:tcPr>
          <w:p w14:paraId="3BD5E7D1" w14:textId="77777777" w:rsidR="00EA4F92" w:rsidRPr="00D013D9" w:rsidRDefault="00EA4F92" w:rsidP="00FC4AE3">
            <w:pPr>
              <w:jc w:val="center"/>
              <w:rPr>
                <w:rFonts w:asciiTheme="majorBidi" w:hAnsiTheme="majorBidi" w:cstheme="majorBidi"/>
                <w:color w:val="000000"/>
                <w:sz w:val="18"/>
                <w:szCs w:val="18"/>
                <w:lang w:val="en-US" w:eastAsia="de-DE"/>
              </w:rPr>
            </w:pPr>
          </w:p>
        </w:tc>
        <w:tc>
          <w:tcPr>
            <w:tcW w:w="2241" w:type="dxa"/>
            <w:tcBorders>
              <w:top w:val="nil"/>
              <w:left w:val="nil"/>
              <w:bottom w:val="nil"/>
              <w:right w:val="nil"/>
            </w:tcBorders>
            <w:shd w:val="clear" w:color="auto" w:fill="auto"/>
            <w:noWrap/>
            <w:vAlign w:val="bottom"/>
            <w:hideMark/>
          </w:tcPr>
          <w:p w14:paraId="182B0A7B" w14:textId="77777777" w:rsidR="00EA4F92" w:rsidRPr="00D013D9" w:rsidRDefault="00EA4F92" w:rsidP="00FC4AE3">
            <w:pPr>
              <w:rPr>
                <w:rFonts w:asciiTheme="majorBidi" w:hAnsiTheme="majorBidi" w:cstheme="majorBidi"/>
                <w:sz w:val="18"/>
                <w:szCs w:val="18"/>
                <w:lang w:val="en-US" w:eastAsia="de-DE"/>
              </w:rPr>
            </w:pPr>
          </w:p>
        </w:tc>
        <w:tc>
          <w:tcPr>
            <w:tcW w:w="1448" w:type="dxa"/>
            <w:tcBorders>
              <w:top w:val="nil"/>
              <w:left w:val="nil"/>
              <w:bottom w:val="nil"/>
              <w:right w:val="nil"/>
            </w:tcBorders>
            <w:shd w:val="clear" w:color="auto" w:fill="auto"/>
            <w:noWrap/>
            <w:vAlign w:val="bottom"/>
            <w:hideMark/>
          </w:tcPr>
          <w:p w14:paraId="463DC416" w14:textId="77777777" w:rsidR="00EA4F92" w:rsidRPr="00D013D9" w:rsidRDefault="00EA4F92" w:rsidP="00FC4AE3">
            <w:pPr>
              <w:rPr>
                <w:rFonts w:asciiTheme="majorBidi" w:hAnsiTheme="majorBidi" w:cstheme="majorBidi"/>
                <w:sz w:val="18"/>
                <w:szCs w:val="18"/>
                <w:lang w:val="en-US" w:eastAsia="de-DE"/>
              </w:rPr>
            </w:pPr>
          </w:p>
        </w:tc>
        <w:tc>
          <w:tcPr>
            <w:tcW w:w="1185" w:type="dxa"/>
            <w:tcBorders>
              <w:top w:val="nil"/>
              <w:left w:val="single" w:sz="8" w:space="0" w:color="auto"/>
              <w:bottom w:val="single" w:sz="8" w:space="0" w:color="auto"/>
              <w:right w:val="single" w:sz="4" w:space="0" w:color="auto"/>
            </w:tcBorders>
            <w:shd w:val="clear" w:color="auto" w:fill="auto"/>
            <w:noWrap/>
            <w:vAlign w:val="bottom"/>
            <w:hideMark/>
          </w:tcPr>
          <w:p w14:paraId="4A984AB2" w14:textId="77777777" w:rsidR="00EA4F92" w:rsidRPr="00D013D9" w:rsidRDefault="00EA4F92" w:rsidP="00FC4AE3">
            <w:pP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Sum</w:t>
            </w:r>
          </w:p>
        </w:tc>
        <w:tc>
          <w:tcPr>
            <w:tcW w:w="925" w:type="dxa"/>
            <w:tcBorders>
              <w:top w:val="nil"/>
              <w:left w:val="nil"/>
              <w:bottom w:val="single" w:sz="8" w:space="0" w:color="auto"/>
              <w:right w:val="single" w:sz="8" w:space="0" w:color="auto"/>
            </w:tcBorders>
            <w:shd w:val="clear" w:color="auto" w:fill="auto"/>
            <w:noWrap/>
            <w:vAlign w:val="bottom"/>
            <w:hideMark/>
          </w:tcPr>
          <w:p w14:paraId="4F766C2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2,95</w:t>
            </w:r>
          </w:p>
        </w:tc>
        <w:tc>
          <w:tcPr>
            <w:tcW w:w="1186" w:type="dxa"/>
            <w:tcBorders>
              <w:top w:val="nil"/>
              <w:left w:val="nil"/>
              <w:bottom w:val="nil"/>
              <w:right w:val="nil"/>
            </w:tcBorders>
            <w:shd w:val="clear" w:color="auto" w:fill="auto"/>
            <w:noWrap/>
            <w:vAlign w:val="bottom"/>
            <w:hideMark/>
          </w:tcPr>
          <w:p w14:paraId="0D20C834" w14:textId="77777777" w:rsidR="00EA4F92" w:rsidRPr="00D013D9" w:rsidRDefault="00EA4F92" w:rsidP="00FC4AE3">
            <w:pPr>
              <w:jc w:val="center"/>
              <w:rPr>
                <w:rFonts w:asciiTheme="majorBidi" w:hAnsiTheme="majorBidi" w:cstheme="majorBidi"/>
                <w:color w:val="000000"/>
                <w:sz w:val="18"/>
                <w:szCs w:val="18"/>
                <w:lang w:val="en-US" w:eastAsia="de-DE"/>
              </w:rPr>
            </w:pPr>
          </w:p>
        </w:tc>
        <w:tc>
          <w:tcPr>
            <w:tcW w:w="1054" w:type="dxa"/>
            <w:tcBorders>
              <w:top w:val="nil"/>
              <w:left w:val="single" w:sz="8" w:space="0" w:color="auto"/>
              <w:bottom w:val="single" w:sz="8" w:space="0" w:color="auto"/>
              <w:right w:val="single" w:sz="8" w:space="0" w:color="auto"/>
            </w:tcBorders>
            <w:shd w:val="clear" w:color="auto" w:fill="auto"/>
            <w:noWrap/>
            <w:vAlign w:val="bottom"/>
            <w:hideMark/>
          </w:tcPr>
          <w:p w14:paraId="3DAD1BCD" w14:textId="77777777" w:rsidR="00EA4F92" w:rsidRPr="00D013D9" w:rsidRDefault="00EA4F92" w:rsidP="00FC4AE3">
            <w:pPr>
              <w:jc w:val="center"/>
              <w:rPr>
                <w:rFonts w:asciiTheme="majorBidi" w:hAnsiTheme="majorBidi" w:cstheme="majorBidi"/>
                <w:color w:val="000000"/>
                <w:sz w:val="18"/>
                <w:szCs w:val="18"/>
                <w:lang w:val="en-US" w:eastAsia="de-DE"/>
              </w:rPr>
            </w:pPr>
            <w:r w:rsidRPr="00D013D9">
              <w:rPr>
                <w:rFonts w:asciiTheme="majorBidi" w:hAnsiTheme="majorBidi" w:cstheme="majorBidi"/>
                <w:color w:val="000000"/>
                <w:sz w:val="18"/>
                <w:szCs w:val="18"/>
                <w:lang w:val="en-US" w:eastAsia="de-DE"/>
              </w:rPr>
              <w:t>100,0</w:t>
            </w:r>
          </w:p>
        </w:tc>
      </w:tr>
      <w:tr w:rsidR="00EA4F92" w:rsidRPr="00D013D9" w14:paraId="34EF216A" w14:textId="77777777" w:rsidTr="00FC4AE3">
        <w:trPr>
          <w:trHeight w:val="204"/>
        </w:trPr>
        <w:tc>
          <w:tcPr>
            <w:tcW w:w="1312" w:type="dxa"/>
            <w:tcBorders>
              <w:top w:val="nil"/>
              <w:left w:val="nil"/>
              <w:bottom w:val="nil"/>
              <w:right w:val="nil"/>
            </w:tcBorders>
            <w:shd w:val="clear" w:color="auto" w:fill="auto"/>
            <w:noWrap/>
            <w:vAlign w:val="bottom"/>
            <w:hideMark/>
          </w:tcPr>
          <w:p w14:paraId="5174C018" w14:textId="77777777" w:rsidR="00EA4F92" w:rsidRPr="00D013D9" w:rsidRDefault="00EA4F92" w:rsidP="00FC4AE3">
            <w:pPr>
              <w:jc w:val="center"/>
              <w:rPr>
                <w:rFonts w:asciiTheme="majorBidi" w:hAnsiTheme="majorBidi" w:cstheme="majorBidi"/>
                <w:color w:val="000000"/>
                <w:sz w:val="18"/>
                <w:szCs w:val="18"/>
                <w:lang w:val="en-US" w:eastAsia="de-DE"/>
              </w:rPr>
            </w:pPr>
          </w:p>
        </w:tc>
        <w:tc>
          <w:tcPr>
            <w:tcW w:w="2241" w:type="dxa"/>
            <w:tcBorders>
              <w:top w:val="nil"/>
              <w:left w:val="nil"/>
              <w:bottom w:val="nil"/>
              <w:right w:val="nil"/>
            </w:tcBorders>
            <w:shd w:val="clear" w:color="auto" w:fill="auto"/>
            <w:noWrap/>
            <w:vAlign w:val="bottom"/>
            <w:hideMark/>
          </w:tcPr>
          <w:p w14:paraId="06FA3EDA" w14:textId="77777777" w:rsidR="00EA4F92" w:rsidRPr="00D013D9" w:rsidRDefault="00EA4F92" w:rsidP="00FC4AE3">
            <w:pPr>
              <w:rPr>
                <w:rFonts w:asciiTheme="majorBidi" w:hAnsiTheme="majorBidi" w:cstheme="majorBidi"/>
                <w:sz w:val="18"/>
                <w:szCs w:val="18"/>
                <w:lang w:val="en-US" w:eastAsia="de-DE"/>
              </w:rPr>
            </w:pPr>
          </w:p>
        </w:tc>
        <w:tc>
          <w:tcPr>
            <w:tcW w:w="1448" w:type="dxa"/>
            <w:tcBorders>
              <w:top w:val="nil"/>
              <w:left w:val="nil"/>
              <w:bottom w:val="nil"/>
              <w:right w:val="nil"/>
            </w:tcBorders>
            <w:shd w:val="clear" w:color="auto" w:fill="auto"/>
            <w:noWrap/>
            <w:vAlign w:val="bottom"/>
            <w:hideMark/>
          </w:tcPr>
          <w:p w14:paraId="4949D469" w14:textId="77777777" w:rsidR="00EA4F92" w:rsidRPr="00D013D9" w:rsidRDefault="00EA4F92" w:rsidP="00FC4AE3">
            <w:pPr>
              <w:rPr>
                <w:rFonts w:asciiTheme="majorBidi" w:hAnsiTheme="majorBidi" w:cstheme="majorBidi"/>
                <w:sz w:val="18"/>
                <w:szCs w:val="18"/>
                <w:lang w:val="en-US" w:eastAsia="de-DE"/>
              </w:rPr>
            </w:pPr>
          </w:p>
        </w:tc>
        <w:tc>
          <w:tcPr>
            <w:tcW w:w="1185" w:type="dxa"/>
            <w:tcBorders>
              <w:top w:val="nil"/>
              <w:left w:val="nil"/>
              <w:bottom w:val="nil"/>
              <w:right w:val="nil"/>
            </w:tcBorders>
            <w:shd w:val="clear" w:color="auto" w:fill="auto"/>
            <w:noWrap/>
            <w:vAlign w:val="bottom"/>
            <w:hideMark/>
          </w:tcPr>
          <w:p w14:paraId="3066A839" w14:textId="77777777" w:rsidR="00EA4F92" w:rsidRPr="00D013D9" w:rsidRDefault="00EA4F92" w:rsidP="00FC4AE3">
            <w:pPr>
              <w:rPr>
                <w:rFonts w:asciiTheme="majorBidi" w:hAnsiTheme="majorBidi" w:cstheme="majorBidi"/>
                <w:sz w:val="18"/>
                <w:szCs w:val="18"/>
                <w:lang w:val="en-US" w:eastAsia="de-DE"/>
              </w:rPr>
            </w:pPr>
          </w:p>
        </w:tc>
        <w:tc>
          <w:tcPr>
            <w:tcW w:w="925" w:type="dxa"/>
            <w:tcBorders>
              <w:top w:val="nil"/>
              <w:left w:val="nil"/>
              <w:bottom w:val="nil"/>
              <w:right w:val="nil"/>
            </w:tcBorders>
            <w:shd w:val="clear" w:color="auto" w:fill="auto"/>
            <w:noWrap/>
            <w:vAlign w:val="bottom"/>
            <w:hideMark/>
          </w:tcPr>
          <w:p w14:paraId="6D5051A5" w14:textId="77777777" w:rsidR="00EA4F92" w:rsidRPr="00D013D9" w:rsidRDefault="00EA4F92" w:rsidP="00FC4AE3">
            <w:pPr>
              <w:rPr>
                <w:rFonts w:asciiTheme="majorBidi" w:hAnsiTheme="majorBidi" w:cstheme="majorBidi"/>
                <w:sz w:val="18"/>
                <w:szCs w:val="18"/>
                <w:lang w:val="en-US" w:eastAsia="de-DE"/>
              </w:rPr>
            </w:pPr>
          </w:p>
        </w:tc>
        <w:tc>
          <w:tcPr>
            <w:tcW w:w="1186" w:type="dxa"/>
            <w:tcBorders>
              <w:top w:val="nil"/>
              <w:left w:val="nil"/>
              <w:bottom w:val="nil"/>
              <w:right w:val="nil"/>
            </w:tcBorders>
            <w:shd w:val="clear" w:color="auto" w:fill="auto"/>
            <w:noWrap/>
            <w:vAlign w:val="bottom"/>
            <w:hideMark/>
          </w:tcPr>
          <w:p w14:paraId="3D5916F6" w14:textId="77777777" w:rsidR="00EA4F92" w:rsidRPr="00D013D9" w:rsidRDefault="00EA4F92" w:rsidP="00FC4AE3">
            <w:pPr>
              <w:rPr>
                <w:rFonts w:asciiTheme="majorBidi" w:hAnsiTheme="majorBidi" w:cstheme="majorBidi"/>
                <w:sz w:val="18"/>
                <w:szCs w:val="18"/>
                <w:lang w:val="en-US" w:eastAsia="de-DE"/>
              </w:rPr>
            </w:pPr>
          </w:p>
        </w:tc>
        <w:tc>
          <w:tcPr>
            <w:tcW w:w="1054" w:type="dxa"/>
            <w:tcBorders>
              <w:top w:val="nil"/>
              <w:left w:val="nil"/>
              <w:bottom w:val="nil"/>
              <w:right w:val="nil"/>
            </w:tcBorders>
            <w:shd w:val="clear" w:color="auto" w:fill="auto"/>
            <w:noWrap/>
            <w:vAlign w:val="bottom"/>
            <w:hideMark/>
          </w:tcPr>
          <w:p w14:paraId="1DD2A420" w14:textId="77777777" w:rsidR="00EA4F92" w:rsidRPr="00D013D9" w:rsidRDefault="00EA4F92" w:rsidP="00FC4AE3">
            <w:pPr>
              <w:rPr>
                <w:rFonts w:asciiTheme="majorBidi" w:hAnsiTheme="majorBidi" w:cstheme="majorBidi"/>
                <w:sz w:val="18"/>
                <w:szCs w:val="18"/>
                <w:lang w:val="en-US" w:eastAsia="de-DE"/>
              </w:rPr>
            </w:pPr>
          </w:p>
        </w:tc>
      </w:tr>
      <w:tr w:rsidR="00EA4F92" w:rsidRPr="00D013D9" w14:paraId="7DF4CD2C" w14:textId="77777777" w:rsidTr="00FC4AE3">
        <w:trPr>
          <w:trHeight w:val="614"/>
        </w:trPr>
        <w:tc>
          <w:tcPr>
            <w:tcW w:w="1312" w:type="dxa"/>
            <w:tcBorders>
              <w:top w:val="nil"/>
              <w:left w:val="nil"/>
              <w:bottom w:val="nil"/>
              <w:right w:val="nil"/>
            </w:tcBorders>
            <w:shd w:val="clear" w:color="auto" w:fill="auto"/>
            <w:noWrap/>
            <w:vAlign w:val="bottom"/>
            <w:hideMark/>
          </w:tcPr>
          <w:p w14:paraId="54E1A56A" w14:textId="77777777" w:rsidR="00EA4F92" w:rsidRPr="00D013D9" w:rsidRDefault="00EA4F92" w:rsidP="00FC4AE3">
            <w:pPr>
              <w:rPr>
                <w:rFonts w:asciiTheme="majorBidi" w:hAnsiTheme="majorBidi" w:cstheme="majorBidi"/>
                <w:sz w:val="18"/>
                <w:szCs w:val="18"/>
                <w:lang w:val="en-US" w:eastAsia="de-DE"/>
              </w:rPr>
            </w:pPr>
          </w:p>
        </w:tc>
        <w:tc>
          <w:tcPr>
            <w:tcW w:w="2241" w:type="dxa"/>
            <w:tcBorders>
              <w:top w:val="nil"/>
              <w:left w:val="nil"/>
              <w:bottom w:val="nil"/>
              <w:right w:val="nil"/>
            </w:tcBorders>
            <w:shd w:val="clear" w:color="auto" w:fill="auto"/>
            <w:noWrap/>
            <w:vAlign w:val="bottom"/>
            <w:hideMark/>
          </w:tcPr>
          <w:p w14:paraId="6F93BF67" w14:textId="77777777" w:rsidR="00EA4F92" w:rsidRPr="00D013D9" w:rsidRDefault="00EA4F92" w:rsidP="00FC4AE3">
            <w:pPr>
              <w:rPr>
                <w:rFonts w:asciiTheme="majorBidi" w:hAnsiTheme="majorBidi" w:cstheme="majorBidi"/>
                <w:sz w:val="18"/>
                <w:szCs w:val="18"/>
                <w:lang w:val="en-US" w:eastAsia="de-DE"/>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2C1D7" w14:textId="77777777"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Coverage Factor</w:t>
            </w:r>
          </w:p>
        </w:tc>
        <w:tc>
          <w:tcPr>
            <w:tcW w:w="2110" w:type="dxa"/>
            <w:gridSpan w:val="2"/>
            <w:tcBorders>
              <w:top w:val="single" w:sz="4" w:space="0" w:color="auto"/>
              <w:left w:val="nil"/>
              <w:bottom w:val="single" w:sz="4" w:space="0" w:color="auto"/>
              <w:right w:val="single" w:sz="4" w:space="0" w:color="auto"/>
            </w:tcBorders>
            <w:shd w:val="clear" w:color="000000" w:fill="D0CECE"/>
            <w:vAlign w:val="center"/>
            <w:hideMark/>
          </w:tcPr>
          <w:p w14:paraId="5A730C7A" w14:textId="77777777"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Overall expanded uncertainty</w:t>
            </w:r>
            <w:r w:rsidRPr="00D013D9">
              <w:rPr>
                <w:rFonts w:asciiTheme="majorBidi" w:hAnsiTheme="majorBidi" w:cstheme="majorBidi"/>
                <w:b/>
                <w:bCs/>
                <w:color w:val="000000"/>
                <w:sz w:val="18"/>
                <w:szCs w:val="18"/>
                <w:lang w:val="en-US" w:eastAsia="de-DE"/>
              </w:rPr>
              <w:br/>
              <w:t>+/-</w:t>
            </w:r>
          </w:p>
        </w:tc>
        <w:tc>
          <w:tcPr>
            <w:tcW w:w="2240" w:type="dxa"/>
            <w:gridSpan w:val="2"/>
            <w:tcBorders>
              <w:top w:val="single" w:sz="4" w:space="0" w:color="auto"/>
              <w:left w:val="nil"/>
              <w:bottom w:val="single" w:sz="4" w:space="0" w:color="auto"/>
              <w:right w:val="single" w:sz="4" w:space="0" w:color="auto"/>
            </w:tcBorders>
            <w:shd w:val="clear" w:color="000000" w:fill="D0CECE"/>
            <w:vAlign w:val="center"/>
            <w:hideMark/>
          </w:tcPr>
          <w:p w14:paraId="0AB28714" w14:textId="77777777"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Expanded uncertainty, 95%</w:t>
            </w:r>
            <w:r w:rsidRPr="00D013D9">
              <w:rPr>
                <w:rFonts w:asciiTheme="majorBidi" w:hAnsiTheme="majorBidi" w:cstheme="majorBidi"/>
                <w:b/>
                <w:bCs/>
                <w:color w:val="000000"/>
                <w:sz w:val="18"/>
                <w:szCs w:val="18"/>
                <w:lang w:val="en-US" w:eastAsia="de-DE"/>
              </w:rPr>
              <w:br/>
              <w:t>+/-</w:t>
            </w:r>
          </w:p>
        </w:tc>
      </w:tr>
      <w:tr w:rsidR="00EA4F92" w:rsidRPr="00D013D9" w14:paraId="35DC4345" w14:textId="77777777" w:rsidTr="00FC4AE3">
        <w:trPr>
          <w:trHeight w:val="344"/>
        </w:trPr>
        <w:tc>
          <w:tcPr>
            <w:tcW w:w="1312" w:type="dxa"/>
            <w:tcBorders>
              <w:top w:val="nil"/>
              <w:left w:val="nil"/>
              <w:bottom w:val="nil"/>
              <w:right w:val="nil"/>
            </w:tcBorders>
            <w:shd w:val="clear" w:color="auto" w:fill="auto"/>
            <w:noWrap/>
            <w:vAlign w:val="bottom"/>
            <w:hideMark/>
          </w:tcPr>
          <w:p w14:paraId="3370190E" w14:textId="77777777" w:rsidR="00EA4F92" w:rsidRPr="00D013D9" w:rsidRDefault="00EA4F92" w:rsidP="00FC4AE3">
            <w:pPr>
              <w:jc w:val="center"/>
              <w:rPr>
                <w:rFonts w:asciiTheme="majorBidi" w:hAnsiTheme="majorBidi" w:cstheme="majorBidi"/>
                <w:b/>
                <w:bCs/>
                <w:color w:val="000000"/>
                <w:sz w:val="18"/>
                <w:szCs w:val="18"/>
                <w:lang w:val="en-US" w:eastAsia="de-DE"/>
              </w:rPr>
            </w:pPr>
          </w:p>
        </w:tc>
        <w:tc>
          <w:tcPr>
            <w:tcW w:w="2241" w:type="dxa"/>
            <w:tcBorders>
              <w:top w:val="nil"/>
              <w:left w:val="nil"/>
              <w:bottom w:val="nil"/>
              <w:right w:val="nil"/>
            </w:tcBorders>
            <w:shd w:val="clear" w:color="auto" w:fill="auto"/>
            <w:noWrap/>
            <w:vAlign w:val="bottom"/>
            <w:hideMark/>
          </w:tcPr>
          <w:p w14:paraId="6E7E0287" w14:textId="77777777" w:rsidR="00EA4F92" w:rsidRPr="00D013D9" w:rsidRDefault="00EA4F92" w:rsidP="00FC4AE3">
            <w:pPr>
              <w:rPr>
                <w:rFonts w:asciiTheme="majorBidi" w:hAnsiTheme="majorBidi" w:cstheme="majorBidi"/>
                <w:sz w:val="18"/>
                <w:szCs w:val="18"/>
                <w:lang w:val="en-US" w:eastAsia="de-DE"/>
              </w:rPr>
            </w:pP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333EA14" w14:textId="338E47CA" w:rsidR="00EA4F92" w:rsidRPr="00D013D9" w:rsidRDefault="00EA4F92" w:rsidP="00FC4AE3">
            <w:pPr>
              <w:jc w:val="center"/>
              <w:rPr>
                <w:rFonts w:asciiTheme="majorBidi" w:hAnsiTheme="majorBidi" w:cstheme="majorBidi"/>
                <w:b/>
                <w:bCs/>
                <w:color w:val="000000"/>
                <w:sz w:val="18"/>
                <w:szCs w:val="18"/>
                <w:lang w:val="en-US" w:eastAsia="de-DE"/>
              </w:rPr>
            </w:pPr>
            <w:r w:rsidRPr="00D013D9">
              <w:rPr>
                <w:rFonts w:asciiTheme="majorBidi" w:hAnsiTheme="majorBidi" w:cstheme="majorBidi"/>
                <w:b/>
                <w:bCs/>
                <w:color w:val="000000"/>
                <w:sz w:val="18"/>
                <w:szCs w:val="18"/>
                <w:lang w:val="en-US" w:eastAsia="de-DE"/>
              </w:rPr>
              <w:t>k=2</w:t>
            </w:r>
            <w:r w:rsidR="00163C23" w:rsidRPr="00D013D9">
              <w:rPr>
                <w:rFonts w:asciiTheme="majorBidi" w:hAnsiTheme="majorBidi" w:cstheme="majorBidi"/>
                <w:b/>
                <w:bCs/>
                <w:color w:val="000000"/>
                <w:sz w:val="18"/>
                <w:szCs w:val="18"/>
                <w:lang w:val="en-US" w:eastAsia="de-DE"/>
              </w:rPr>
              <w:t xml:space="preserve"> </w:t>
            </w:r>
            <w:r w:rsidR="00163C23" w:rsidRPr="00D013D9">
              <w:rPr>
                <w:rFonts w:asciiTheme="majorBidi" w:hAnsiTheme="majorBidi" w:cstheme="majorBidi"/>
                <w:color w:val="000000"/>
                <w:sz w:val="18"/>
                <w:szCs w:val="18"/>
                <w:lang w:val="en-US" w:eastAsia="de-DE"/>
              </w:rPr>
              <w:t xml:space="preserve"> </w:t>
            </w:r>
            <w:r w:rsidRPr="00D013D9">
              <w:rPr>
                <w:rFonts w:asciiTheme="majorBidi" w:hAnsiTheme="majorBidi" w:cstheme="majorBidi"/>
                <w:color w:val="000000"/>
                <w:sz w:val="18"/>
                <w:szCs w:val="18"/>
                <w:lang w:val="en-US" w:eastAsia="de-DE"/>
              </w:rPr>
              <w:t xml:space="preserve">(95%) </w:t>
            </w:r>
          </w:p>
        </w:tc>
        <w:tc>
          <w:tcPr>
            <w:tcW w:w="2110" w:type="dxa"/>
            <w:gridSpan w:val="2"/>
            <w:tcBorders>
              <w:top w:val="nil"/>
              <w:left w:val="nil"/>
              <w:bottom w:val="nil"/>
              <w:right w:val="single" w:sz="4" w:space="0" w:color="000000"/>
            </w:tcBorders>
            <w:shd w:val="clear" w:color="000000" w:fill="000000"/>
            <w:vAlign w:val="center"/>
            <w:hideMark/>
          </w:tcPr>
          <w:p w14:paraId="29A7F6FB" w14:textId="77777777" w:rsidR="00EA4F92" w:rsidRPr="00D013D9" w:rsidRDefault="00EA4F92" w:rsidP="00FC4AE3">
            <w:pPr>
              <w:jc w:val="center"/>
              <w:rPr>
                <w:rFonts w:asciiTheme="majorBidi" w:hAnsiTheme="majorBidi" w:cstheme="majorBidi"/>
                <w:b/>
                <w:bCs/>
                <w:color w:val="FFFFFF"/>
                <w:sz w:val="18"/>
                <w:szCs w:val="18"/>
                <w:lang w:val="en-US" w:eastAsia="de-DE"/>
              </w:rPr>
            </w:pPr>
            <w:r w:rsidRPr="00D013D9">
              <w:rPr>
                <w:rFonts w:asciiTheme="majorBidi" w:hAnsiTheme="majorBidi" w:cstheme="majorBidi"/>
                <w:b/>
                <w:bCs/>
                <w:color w:val="FFFFFF"/>
                <w:sz w:val="18"/>
                <w:szCs w:val="18"/>
                <w:lang w:val="en-US" w:eastAsia="de-DE"/>
              </w:rPr>
              <w:t xml:space="preserve">1,72 </w:t>
            </w:r>
          </w:p>
        </w:tc>
        <w:tc>
          <w:tcPr>
            <w:tcW w:w="2240" w:type="dxa"/>
            <w:gridSpan w:val="2"/>
            <w:tcBorders>
              <w:top w:val="nil"/>
              <w:left w:val="nil"/>
              <w:bottom w:val="nil"/>
              <w:right w:val="nil"/>
            </w:tcBorders>
            <w:shd w:val="clear" w:color="000000" w:fill="000000"/>
            <w:vAlign w:val="center"/>
            <w:hideMark/>
          </w:tcPr>
          <w:p w14:paraId="2BBABC73" w14:textId="77777777" w:rsidR="00EA4F92" w:rsidRPr="00D013D9" w:rsidRDefault="00EA4F92" w:rsidP="00FC4AE3">
            <w:pPr>
              <w:jc w:val="center"/>
              <w:rPr>
                <w:rFonts w:asciiTheme="majorBidi" w:hAnsiTheme="majorBidi" w:cstheme="majorBidi"/>
                <w:b/>
                <w:bCs/>
                <w:color w:val="FFFFFF"/>
                <w:sz w:val="18"/>
                <w:szCs w:val="18"/>
                <w:lang w:val="en-US" w:eastAsia="de-DE"/>
              </w:rPr>
            </w:pPr>
            <w:r w:rsidRPr="00D013D9">
              <w:rPr>
                <w:rFonts w:asciiTheme="majorBidi" w:hAnsiTheme="majorBidi" w:cstheme="majorBidi"/>
                <w:b/>
                <w:bCs/>
                <w:color w:val="FFFFFF"/>
                <w:sz w:val="18"/>
                <w:szCs w:val="18"/>
                <w:lang w:val="en-US" w:eastAsia="de-DE"/>
              </w:rPr>
              <w:t xml:space="preserve">3,44 </w:t>
            </w:r>
          </w:p>
        </w:tc>
      </w:tr>
    </w:tbl>
    <w:p w14:paraId="38C3AC7D" w14:textId="7D1BF9CA"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124</w:t>
      </w:r>
    </w:p>
    <w:p w14:paraId="146C6984" w14:textId="77777777" w:rsidR="00B9683F" w:rsidRPr="004301E7" w:rsidRDefault="00B9683F" w:rsidP="00B9683F">
      <w:pPr>
        <w:spacing w:after="120"/>
        <w:ind w:left="1134"/>
        <w:jc w:val="both"/>
        <w:rPr>
          <w:lang w:val="en-US"/>
        </w:rPr>
      </w:pPr>
      <w:r w:rsidRPr="004301E7">
        <w:rPr>
          <w:lang w:val="en-US"/>
        </w:rPr>
        <w:t>reserved</w:t>
      </w:r>
    </w:p>
    <w:p w14:paraId="45BCFBBF"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138</w:t>
      </w:r>
    </w:p>
    <w:p w14:paraId="7E7A1A4B" w14:textId="77777777" w:rsidR="00B9683F" w:rsidRPr="004301E7" w:rsidRDefault="00B9683F" w:rsidP="00B9683F">
      <w:pPr>
        <w:spacing w:after="120"/>
        <w:ind w:left="1134"/>
        <w:jc w:val="both"/>
        <w:rPr>
          <w:lang w:val="en-US"/>
        </w:rPr>
      </w:pPr>
      <w:r w:rsidRPr="004301E7">
        <w:rPr>
          <w:lang w:val="en-US"/>
        </w:rPr>
        <w:t>reserved</w:t>
      </w:r>
    </w:p>
    <w:p w14:paraId="7E129B09"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141</w:t>
      </w:r>
    </w:p>
    <w:p w14:paraId="148DC9C9" w14:textId="77777777" w:rsidR="00B9683F" w:rsidRPr="004301E7" w:rsidRDefault="00B9683F" w:rsidP="00B9683F">
      <w:pPr>
        <w:spacing w:after="120"/>
        <w:ind w:left="1134"/>
        <w:jc w:val="both"/>
        <w:rPr>
          <w:lang w:val="en-US"/>
        </w:rPr>
      </w:pPr>
      <w:r w:rsidRPr="004301E7">
        <w:rPr>
          <w:lang w:val="en-US"/>
        </w:rPr>
        <w:t>reserved</w:t>
      </w:r>
    </w:p>
    <w:p w14:paraId="2AD2A181"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142</w:t>
      </w:r>
    </w:p>
    <w:p w14:paraId="0A99ED8F" w14:textId="77777777" w:rsidR="00B9683F" w:rsidRPr="004301E7" w:rsidRDefault="00B9683F" w:rsidP="00B9683F">
      <w:pPr>
        <w:spacing w:after="120"/>
        <w:ind w:left="1134"/>
        <w:jc w:val="both"/>
        <w:rPr>
          <w:lang w:val="en-US"/>
        </w:rPr>
      </w:pPr>
      <w:r w:rsidRPr="004301E7">
        <w:rPr>
          <w:lang w:val="en-US"/>
        </w:rPr>
        <w:t>reserved</w:t>
      </w:r>
    </w:p>
    <w:p w14:paraId="6D8AA7CE" w14:textId="77777777" w:rsidR="00EB1CCD"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164</w:t>
      </w:r>
    </w:p>
    <w:p w14:paraId="2403720E" w14:textId="77777777" w:rsidR="00B9683F" w:rsidRPr="004301E7" w:rsidRDefault="00B9683F" w:rsidP="00B9683F">
      <w:pPr>
        <w:spacing w:after="120"/>
        <w:ind w:left="1134"/>
        <w:jc w:val="both"/>
        <w:rPr>
          <w:lang w:val="en-US"/>
        </w:rPr>
      </w:pPr>
      <w:r w:rsidRPr="004301E7">
        <w:rPr>
          <w:lang w:val="en-US"/>
        </w:rPr>
        <w:t>reserved</w:t>
      </w:r>
    </w:p>
    <w:p w14:paraId="06A3B1F6" w14:textId="2391D19A" w:rsidR="00F426E2" w:rsidRPr="004301E7" w:rsidRDefault="00EB1CCD" w:rsidP="003A2A7F">
      <w:pPr>
        <w:pStyle w:val="berschrift1"/>
        <w:numPr>
          <w:ilvl w:val="0"/>
          <w:numId w:val="8"/>
        </w:numPr>
        <w:tabs>
          <w:tab w:val="clear" w:pos="360"/>
          <w:tab w:val="num" w:pos="1134"/>
        </w:tabs>
        <w:spacing w:before="240" w:after="120"/>
        <w:ind w:left="1134" w:hanging="567"/>
        <w:rPr>
          <w:b/>
          <w:bCs/>
          <w:sz w:val="24"/>
          <w:szCs w:val="24"/>
          <w:lang w:val="en-US"/>
        </w:rPr>
      </w:pPr>
      <w:r w:rsidRPr="004301E7">
        <w:rPr>
          <w:b/>
          <w:bCs/>
          <w:sz w:val="24"/>
          <w:szCs w:val="24"/>
          <w:lang w:val="en-US"/>
        </w:rPr>
        <w:t>UN Regulation No. 165</w:t>
      </w:r>
    </w:p>
    <w:p w14:paraId="3FA0B72C" w14:textId="77777777" w:rsidR="00B9683F" w:rsidRPr="004301E7" w:rsidRDefault="00B9683F" w:rsidP="00361B3D">
      <w:pPr>
        <w:spacing w:after="120"/>
        <w:ind w:left="1134"/>
        <w:jc w:val="both"/>
        <w:rPr>
          <w:lang w:val="en-US"/>
        </w:rPr>
      </w:pPr>
      <w:r w:rsidRPr="004301E7">
        <w:rPr>
          <w:lang w:val="en-US"/>
        </w:rPr>
        <w:t>reserved</w:t>
      </w:r>
    </w:p>
    <w:p w14:paraId="04580411" w14:textId="77777777" w:rsidR="00B9683F" w:rsidRPr="004301E7" w:rsidRDefault="00B9683F" w:rsidP="00B9683F">
      <w:pPr>
        <w:pStyle w:val="SingleTxtG"/>
        <w:rPr>
          <w:lang w:val="en-US"/>
        </w:rPr>
      </w:pPr>
    </w:p>
    <w:sectPr w:rsidR="00B9683F" w:rsidRPr="004301E7" w:rsidSect="00817A5D">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67B7" w14:textId="77777777" w:rsidR="00AD0EAA" w:rsidRDefault="00AD0EAA"/>
  </w:endnote>
  <w:endnote w:type="continuationSeparator" w:id="0">
    <w:p w14:paraId="79054C4D" w14:textId="77777777" w:rsidR="00AD0EAA" w:rsidRDefault="00AD0EAA"/>
  </w:endnote>
  <w:endnote w:type="continuationNotice" w:id="1">
    <w:p w14:paraId="36FB3DE9" w14:textId="77777777" w:rsidR="00AD0EAA" w:rsidRDefault="00AD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6EEC" w14:textId="0196E403" w:rsidR="00187303" w:rsidRDefault="00187303" w:rsidP="00524C4F">
    <w:pPr>
      <w:pStyle w:val="Fuzeile"/>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6986" w14:textId="77777777" w:rsidR="00187303" w:rsidRDefault="00187303" w:rsidP="00524C4F">
    <w:pPr>
      <w:pStyle w:val="Fuzeile"/>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9FB3" w14:textId="40F1D147" w:rsidR="00187303" w:rsidRDefault="00187303" w:rsidP="00524C4F">
    <w:pPr>
      <w:pStyle w:val="Fuzeile"/>
      <w:jc w:val="right"/>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FACC" w14:textId="29B05DD7" w:rsidR="00187303" w:rsidRPr="00EB4F80" w:rsidRDefault="00187303" w:rsidP="00EB4F80">
    <w:pPr>
      <w:pStyle w:val="Fuzeile"/>
    </w:pPr>
    <w:r w:rsidRPr="00803BF8">
      <w:rPr>
        <w:b/>
        <w:sz w:val="18"/>
      </w:rPr>
      <w:fldChar w:fldCharType="begin"/>
    </w:r>
    <w:r w:rsidRPr="00803BF8">
      <w:rPr>
        <w:b/>
        <w:sz w:val="18"/>
      </w:rPr>
      <w:instrText xml:space="preserve"> PAGE  \* MERGEFORMAT </w:instrText>
    </w:r>
    <w:r w:rsidRPr="00803BF8">
      <w:rPr>
        <w:b/>
        <w:sz w:val="18"/>
      </w:rPr>
      <w:fldChar w:fldCharType="separate"/>
    </w:r>
    <w:r>
      <w:rPr>
        <w:b/>
        <w:sz w:val="18"/>
      </w:rPr>
      <w:t>2</w:t>
    </w:r>
    <w:r w:rsidRPr="00803BF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3EA9" w14:textId="77777777" w:rsidR="00AD0EAA" w:rsidRPr="00D27D5E" w:rsidRDefault="00AD0EAA" w:rsidP="00D27D5E">
      <w:pPr>
        <w:tabs>
          <w:tab w:val="right" w:pos="2155"/>
        </w:tabs>
        <w:spacing w:after="80"/>
        <w:ind w:left="680"/>
        <w:rPr>
          <w:u w:val="single"/>
        </w:rPr>
      </w:pPr>
      <w:r>
        <w:rPr>
          <w:u w:val="single"/>
        </w:rPr>
        <w:tab/>
      </w:r>
    </w:p>
  </w:footnote>
  <w:footnote w:type="continuationSeparator" w:id="0">
    <w:p w14:paraId="118032B9" w14:textId="77777777" w:rsidR="00AD0EAA" w:rsidRDefault="00AD0EAA">
      <w:r>
        <w:rPr>
          <w:u w:val="single"/>
        </w:rPr>
        <w:tab/>
      </w:r>
      <w:r>
        <w:rPr>
          <w:u w:val="single"/>
        </w:rPr>
        <w:tab/>
      </w:r>
      <w:r>
        <w:rPr>
          <w:u w:val="single"/>
        </w:rPr>
        <w:tab/>
      </w:r>
      <w:r>
        <w:rPr>
          <w:u w:val="single"/>
        </w:rPr>
        <w:tab/>
      </w:r>
    </w:p>
  </w:footnote>
  <w:footnote w:type="continuationNotice" w:id="1">
    <w:p w14:paraId="28B4B1A7" w14:textId="77777777" w:rsidR="00AD0EAA" w:rsidRDefault="00AD0EAA"/>
  </w:footnote>
  <w:footnote w:id="2">
    <w:p w14:paraId="4882BE8E" w14:textId="77777777" w:rsidR="00E8108F" w:rsidRPr="00EA370C" w:rsidRDefault="00E8108F" w:rsidP="00E8108F">
      <w:pPr>
        <w:pStyle w:val="Funotentext"/>
        <w:jc w:val="both"/>
        <w:rPr>
          <w:lang w:val="en-US"/>
        </w:rPr>
      </w:pPr>
      <w:r>
        <w:tab/>
      </w:r>
      <w:r w:rsidRPr="00EA370C">
        <w:rPr>
          <w:rStyle w:val="Funotenzeichen"/>
          <w:sz w:val="20"/>
          <w:lang w:val="en-US"/>
        </w:rPr>
        <w:t>*</w:t>
      </w:r>
      <w:r w:rsidRPr="00EA370C">
        <w:rPr>
          <w:sz w:val="20"/>
          <w:lang w:val="en-US"/>
        </w:rPr>
        <w:tab/>
      </w:r>
      <w:r w:rsidRPr="00CC0197">
        <w:rPr>
          <w:szCs w:val="18"/>
          <w:lang w:val="en-US"/>
        </w:rPr>
        <w:t xml:space="preserve">In accordance with the programme of work of the Inland Transport Committee for </w:t>
      </w:r>
      <w:r w:rsidRPr="00CC0197">
        <w:rPr>
          <w:lang w:val="en-US"/>
        </w:rPr>
        <w:t>202</w:t>
      </w:r>
      <w:r>
        <w:rPr>
          <w:lang w:val="en-US"/>
        </w:rPr>
        <w:t>4</w:t>
      </w:r>
      <w:r w:rsidRPr="00CC0197">
        <w:rPr>
          <w:lang w:val="en-US"/>
        </w:rPr>
        <w:t xml:space="preserve"> as outlined in proposed programme budget for </w:t>
      </w:r>
      <w:r w:rsidRPr="00F56D95">
        <w:rPr>
          <w:lang w:val="en-US"/>
        </w:rPr>
        <w:t xml:space="preserve">2024 (A/78/6 (Sect. 20), table 20.5), </w:t>
      </w:r>
      <w:r>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A5CD" w14:textId="77777777" w:rsidR="00477C3D" w:rsidRDefault="00477C3D" w:rsidP="004B388E">
    <w:pPr>
      <w:pStyle w:val="Kopfzeil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805E" w14:textId="41B3DE9A" w:rsidR="00187303" w:rsidRPr="007B3083" w:rsidRDefault="007B3083" w:rsidP="007B3083">
    <w:pPr>
      <w:pStyle w:val="Kopfzeile"/>
    </w:pPr>
    <w:r w:rsidRPr="008C6887">
      <w:rPr>
        <w:b w:val="0"/>
        <w:bCs/>
        <w:lang w:val="en-US"/>
      </w:rPr>
      <w:t xml:space="preserve">Informal document </w:t>
    </w:r>
    <w:r w:rsidRPr="00744918">
      <w:rPr>
        <w:bCs/>
        <w:sz w:val="24"/>
        <w:szCs w:val="24"/>
        <w:lang w:val="en-US"/>
      </w:rPr>
      <w:t>GRBP-80-</w:t>
    </w:r>
    <w:r w:rsidR="00812430">
      <w:rPr>
        <w:bCs/>
        <w:sz w:val="24"/>
        <w:szCs w:val="24"/>
        <w:lang w:val="en-US"/>
      </w:rPr>
      <w:t>07</w:t>
    </w:r>
    <w:r w:rsidR="00CD213C">
      <w:rPr>
        <w:bCs/>
        <w:sz w:val="24"/>
        <w:szCs w:val="24"/>
        <w:lang w:val="en-US"/>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16DA" w14:textId="118A6D6C" w:rsidR="00187303" w:rsidRPr="000233BB" w:rsidRDefault="008C6887" w:rsidP="008C6887">
    <w:pPr>
      <w:pStyle w:val="Kopfzeile"/>
      <w:jc w:val="right"/>
    </w:pPr>
    <w:r w:rsidRPr="008C6887">
      <w:rPr>
        <w:b w:val="0"/>
        <w:bCs/>
        <w:lang w:val="en-US"/>
      </w:rPr>
      <w:t xml:space="preserve">Informal document </w:t>
    </w:r>
    <w:r w:rsidRPr="00744918">
      <w:rPr>
        <w:bCs/>
        <w:sz w:val="24"/>
        <w:szCs w:val="24"/>
        <w:lang w:val="en-US"/>
      </w:rPr>
      <w:t>GRBP-80-</w:t>
    </w:r>
    <w:r w:rsidR="00812430">
      <w:rPr>
        <w:bCs/>
        <w:sz w:val="24"/>
        <w:szCs w:val="24"/>
        <w:lang w:val="en-US"/>
      </w:rPr>
      <w:t>07</w:t>
    </w:r>
    <w:r w:rsidR="00CD213C">
      <w:rPr>
        <w:bCs/>
        <w:sz w:val="24"/>
        <w:szCs w:val="24"/>
        <w:lang w:val="en-US"/>
      </w:rPr>
      <w:t>-Rev.1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07A6" w14:textId="7AA7E300" w:rsidR="00187303" w:rsidRPr="000233BB" w:rsidRDefault="008C6887" w:rsidP="000233BB">
    <w:pPr>
      <w:pStyle w:val="Kopfzeile"/>
    </w:pPr>
    <w:r w:rsidRPr="008C6887">
      <w:rPr>
        <w:b w:val="0"/>
        <w:bCs/>
        <w:lang w:val="en-US"/>
      </w:rPr>
      <w:t xml:space="preserve">Informal document </w:t>
    </w:r>
    <w:r w:rsidRPr="00744918">
      <w:rPr>
        <w:bCs/>
        <w:sz w:val="24"/>
        <w:szCs w:val="24"/>
        <w:lang w:val="en-US"/>
      </w:rPr>
      <w:t>GRBP-80-</w:t>
    </w:r>
    <w:r w:rsidR="00812430">
      <w:rPr>
        <w:bCs/>
        <w:sz w:val="24"/>
        <w:szCs w:val="24"/>
        <w:lang w:val="en-US"/>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1322"/>
    <w:multiLevelType w:val="multilevel"/>
    <w:tmpl w:val="CFA47060"/>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AC851F8"/>
    <w:multiLevelType w:val="hybridMultilevel"/>
    <w:tmpl w:val="807EDDFE"/>
    <w:lvl w:ilvl="0" w:tplc="E9BEB56C">
      <w:numFmt w:val="bullet"/>
      <w:lvlText w:val="-"/>
      <w:lvlJc w:val="left"/>
      <w:pPr>
        <w:ind w:left="2259" w:hanging="1125"/>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 w15:restartNumberingAfterBreak="0">
    <w:nsid w:val="0D5355C7"/>
    <w:multiLevelType w:val="hybridMultilevel"/>
    <w:tmpl w:val="C1CA058E"/>
    <w:lvl w:ilvl="0" w:tplc="FFFFFFFF">
      <w:numFmt w:val="bullet"/>
      <w:lvlText w:val="-"/>
      <w:lvlJc w:val="left"/>
      <w:pPr>
        <w:ind w:left="3393" w:hanging="1125"/>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E9BEB56C">
      <w:numFmt w:val="bullet"/>
      <w:lvlText w:val="-"/>
      <w:lvlJc w:val="left"/>
      <w:pPr>
        <w:ind w:left="3294" w:hanging="360"/>
      </w:pPr>
      <w:rPr>
        <w:rFonts w:ascii="Times New Roman" w:eastAsia="Times New Roman" w:hAnsi="Times New Roman" w:cs="Times New Roman"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3" w15:restartNumberingAfterBreak="0">
    <w:nsid w:val="11D14060"/>
    <w:multiLevelType w:val="hybridMultilevel"/>
    <w:tmpl w:val="C53C3C0A"/>
    <w:lvl w:ilvl="0" w:tplc="E9BEB56C">
      <w:numFmt w:val="bullet"/>
      <w:lvlText w:val="-"/>
      <w:lvlJc w:val="left"/>
      <w:pPr>
        <w:ind w:left="3393" w:hanging="1125"/>
      </w:pPr>
      <w:rPr>
        <w:rFonts w:ascii="Times New Roman" w:eastAsia="Times New Roman" w:hAnsi="Times New Roman" w:cs="Times New Roman" w:hint="default"/>
      </w:rPr>
    </w:lvl>
    <w:lvl w:ilvl="1" w:tplc="04070003" w:tentative="1">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83A64DE"/>
    <w:multiLevelType w:val="multilevel"/>
    <w:tmpl w:val="5B6823F2"/>
    <w:lvl w:ilvl="0">
      <w:start w:val="1"/>
      <w:numFmt w:val="decimal"/>
      <w:lvlText w:val="%1."/>
      <w:lvlJc w:val="left"/>
      <w:pPr>
        <w:ind w:left="1125" w:hanging="1125"/>
      </w:pPr>
      <w:rPr>
        <w:rFonts w:hint="default"/>
      </w:rPr>
    </w:lvl>
    <w:lvl w:ilvl="1">
      <w:start w:val="1"/>
      <w:numFmt w:val="decimal"/>
      <w:lvlText w:val="%1.%2."/>
      <w:lvlJc w:val="left"/>
      <w:pPr>
        <w:ind w:left="2259" w:hanging="1125"/>
      </w:pPr>
      <w:rPr>
        <w:rFonts w:hint="default"/>
      </w:rPr>
    </w:lvl>
    <w:lvl w:ilvl="2">
      <w:start w:val="1"/>
      <w:numFmt w:val="decimal"/>
      <w:lvlText w:val="%1.%2.%3."/>
      <w:lvlJc w:val="left"/>
      <w:pPr>
        <w:ind w:left="3393" w:hanging="1125"/>
      </w:pPr>
      <w:rPr>
        <w:rFonts w:hint="default"/>
      </w:rPr>
    </w:lvl>
    <w:lvl w:ilvl="3">
      <w:start w:val="1"/>
      <w:numFmt w:val="decimal"/>
      <w:lvlText w:val="%1.%2.%3.%4."/>
      <w:lvlJc w:val="left"/>
      <w:pPr>
        <w:ind w:left="4527" w:hanging="1125"/>
      </w:pPr>
      <w:rPr>
        <w:rFonts w:hint="default"/>
      </w:rPr>
    </w:lvl>
    <w:lvl w:ilvl="4">
      <w:start w:val="1"/>
      <w:numFmt w:val="decimal"/>
      <w:lvlText w:val="%1.%2.%3.%4.%5."/>
      <w:lvlJc w:val="left"/>
      <w:pPr>
        <w:ind w:left="5661" w:hanging="1125"/>
      </w:pPr>
      <w:rPr>
        <w:rFonts w:hint="default"/>
      </w:rPr>
    </w:lvl>
    <w:lvl w:ilvl="5">
      <w:start w:val="1"/>
      <w:numFmt w:val="decimal"/>
      <w:lvlText w:val="%1.%2.%3.%4.%5.%6."/>
      <w:lvlJc w:val="left"/>
      <w:pPr>
        <w:ind w:left="6795" w:hanging="1125"/>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2E291A96"/>
    <w:multiLevelType w:val="multilevel"/>
    <w:tmpl w:val="15B2C72C"/>
    <w:lvl w:ilvl="0">
      <w:start w:val="1"/>
      <w:numFmt w:val="decimal"/>
      <w:lvlText w:val="%1."/>
      <w:lvlJc w:val="left"/>
      <w:pPr>
        <w:ind w:left="2265" w:hanging="1125"/>
      </w:pPr>
      <w:rPr>
        <w:rFonts w:hint="default"/>
      </w:rPr>
    </w:lvl>
    <w:lvl w:ilvl="1">
      <w:start w:val="2"/>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10A57D3"/>
    <w:multiLevelType w:val="multilevel"/>
    <w:tmpl w:val="B818206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2561"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4D685D2C"/>
    <w:multiLevelType w:val="multilevel"/>
    <w:tmpl w:val="BC1E72B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4DB84BA8"/>
    <w:multiLevelType w:val="multilevel"/>
    <w:tmpl w:val="23827BC8"/>
    <w:styleLink w:val="Formatvorlage1"/>
    <w:lvl w:ilvl="0">
      <w:start w:val="1"/>
      <w:numFmt w:val="lowerLetter"/>
      <w:lvlText w:val="(%1)"/>
      <w:lvlJc w:val="left"/>
      <w:pPr>
        <w:ind w:left="2988" w:hanging="360"/>
      </w:pPr>
    </w:lvl>
    <w:lvl w:ilvl="1">
      <w:start w:val="1"/>
      <w:numFmt w:val="lowerLetter"/>
      <w:lvlText w:val="(%2)"/>
      <w:lvlJc w:val="left"/>
      <w:pPr>
        <w:ind w:left="3708" w:hanging="360"/>
      </w:pPr>
    </w:lvl>
    <w:lvl w:ilvl="2">
      <w:numFmt w:val="bullet"/>
      <w:lvlText w:val="-"/>
      <w:lvlJc w:val="left"/>
      <w:pPr>
        <w:ind w:left="4818" w:hanging="570"/>
      </w:pPr>
      <w:rPr>
        <w:rFonts w:ascii="Times New Roman" w:eastAsia="Times New Roman" w:hAnsi="Times New Roman" w:cs="Times New Roman" w:hint="default"/>
      </w:r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1984251"/>
    <w:multiLevelType w:val="multilevel"/>
    <w:tmpl w:val="0409001F"/>
    <w:numStyleLink w:val="111111"/>
  </w:abstractNum>
  <w:abstractNum w:abstractNumId="13" w15:restartNumberingAfterBreak="0">
    <w:nsid w:val="66CB4CA5"/>
    <w:multiLevelType w:val="multilevel"/>
    <w:tmpl w:val="A82C0B90"/>
    <w:lvl w:ilvl="0">
      <w:start w:val="1"/>
      <w:numFmt w:val="decimal"/>
      <w:lvlText w:val="%1."/>
      <w:lvlJc w:val="left"/>
      <w:pPr>
        <w:ind w:left="2265" w:hanging="1125"/>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14"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5" w15:restartNumberingAfterBreak="0">
    <w:nsid w:val="6C914A92"/>
    <w:multiLevelType w:val="hybridMultilevel"/>
    <w:tmpl w:val="8752C0DC"/>
    <w:lvl w:ilvl="0" w:tplc="FFFFFFFF">
      <w:numFmt w:val="bullet"/>
      <w:lvlText w:val="-"/>
      <w:lvlJc w:val="left"/>
      <w:pPr>
        <w:ind w:left="3393" w:hanging="1125"/>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BEE8785E">
      <w:start w:val="1"/>
      <w:numFmt w:val="lowerLetter"/>
      <w:lvlText w:val="(%3)"/>
      <w:lvlJc w:val="left"/>
      <w:pPr>
        <w:ind w:left="3294" w:hanging="360"/>
      </w:pPr>
      <w:rPr>
        <w:rFont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592203461">
    <w:abstractNumId w:val="14"/>
  </w:num>
  <w:num w:numId="2" w16cid:durableId="448352051">
    <w:abstractNumId w:val="7"/>
  </w:num>
  <w:num w:numId="3" w16cid:durableId="1125737359">
    <w:abstractNumId w:val="11"/>
  </w:num>
  <w:num w:numId="4" w16cid:durableId="770054298">
    <w:abstractNumId w:val="4"/>
  </w:num>
  <w:num w:numId="5" w16cid:durableId="704452938">
    <w:abstractNumId w:val="0"/>
  </w:num>
  <w:num w:numId="6" w16cid:durableId="1386173070">
    <w:abstractNumId w:val="10"/>
  </w:num>
  <w:num w:numId="7" w16cid:durableId="888876759">
    <w:abstractNumId w:val="8"/>
  </w:num>
  <w:num w:numId="8" w16cid:durableId="707293762">
    <w:abstractNumId w:val="12"/>
  </w:num>
  <w:num w:numId="9" w16cid:durableId="1443259531">
    <w:abstractNumId w:val="1"/>
  </w:num>
  <w:num w:numId="10" w16cid:durableId="1333289807">
    <w:abstractNumId w:val="8"/>
  </w:num>
  <w:num w:numId="11" w16cid:durableId="706947975">
    <w:abstractNumId w:val="8"/>
  </w:num>
  <w:num w:numId="12" w16cid:durableId="2140226626">
    <w:abstractNumId w:val="8"/>
  </w:num>
  <w:num w:numId="13" w16cid:durableId="650210265">
    <w:abstractNumId w:val="3"/>
  </w:num>
  <w:num w:numId="14" w16cid:durableId="233249360">
    <w:abstractNumId w:val="2"/>
  </w:num>
  <w:num w:numId="15" w16cid:durableId="1543975938">
    <w:abstractNumId w:val="8"/>
  </w:num>
  <w:num w:numId="16" w16cid:durableId="2113357219">
    <w:abstractNumId w:val="8"/>
  </w:num>
  <w:num w:numId="17" w16cid:durableId="1594391236">
    <w:abstractNumId w:val="8"/>
  </w:num>
  <w:num w:numId="18" w16cid:durableId="200434657">
    <w:abstractNumId w:val="15"/>
  </w:num>
  <w:num w:numId="19" w16cid:durableId="557008843">
    <w:abstractNumId w:val="6"/>
  </w:num>
  <w:num w:numId="20" w16cid:durableId="1531262442">
    <w:abstractNumId w:val="13"/>
  </w:num>
  <w:num w:numId="21" w16cid:durableId="1414742230">
    <w:abstractNumId w:val="5"/>
  </w:num>
  <w:num w:numId="22" w16cid:durableId="100731128">
    <w:abstractNumId w:val="8"/>
  </w:num>
  <w:num w:numId="23" w16cid:durableId="2091538333">
    <w:abstractNumId w:val="8"/>
  </w:num>
  <w:num w:numId="24" w16cid:durableId="592513350">
    <w:abstractNumId w:val="8"/>
  </w:num>
  <w:num w:numId="25" w16cid:durableId="482626268">
    <w:abstractNumId w:val="9"/>
  </w:num>
  <w:num w:numId="26" w16cid:durableId="1764761221">
    <w:abstractNumId w:val="8"/>
  </w:num>
  <w:num w:numId="27" w16cid:durableId="5918625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activeWritingStyle w:appName="MSWord" w:lang="en-GB" w:vendorID="64" w:dllVersion="5" w:nlCheck="1" w:checkStyle="1"/>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0"/>
  <w:activeWritingStyle w:appName="MSWord" w:lang="de-DE"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activeWritingStyle w:appName="MSWord" w:lang="fr-BE" w:vendorID="64" w:dllVersion="6" w:nlCheck="1" w:checkStyle="0"/>
  <w:activeWritingStyle w:appName="MSWord" w:lang="en-IE" w:vendorID="64" w:dllVersion="6" w:nlCheck="1" w:checkStyle="1"/>
  <w:activeWritingStyle w:appName="MSWord" w:lang="es-ES" w:vendorID="64" w:dllVersion="0"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ru-RU" w:vendorID="64" w:dllVersion="0" w:nlCheck="1" w:checkStyle="0"/>
  <w:activeWritingStyle w:appName="MSWord" w:lang="nb-NO" w:vendorID="64" w:dllVersion="0" w:nlCheck="1" w:checkStyle="0"/>
  <w:activeWritingStyle w:appName="MSWord" w:lang="en-US" w:vendorID="64" w:dllVersion="4096" w:nlCheck="1" w:checkStyle="0"/>
  <w:activeWritingStyle w:appName="MSWord" w:lang="fr-CH"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CE11"/>
  </w:docVars>
  <w:rsids>
    <w:rsidRoot w:val="009F3A13"/>
    <w:rsid w:val="0000098C"/>
    <w:rsid w:val="0000154B"/>
    <w:rsid w:val="00001746"/>
    <w:rsid w:val="00001E10"/>
    <w:rsid w:val="0000255E"/>
    <w:rsid w:val="00002B90"/>
    <w:rsid w:val="000040BC"/>
    <w:rsid w:val="000047D9"/>
    <w:rsid w:val="00004833"/>
    <w:rsid w:val="00004B6D"/>
    <w:rsid w:val="00004EBE"/>
    <w:rsid w:val="000052B7"/>
    <w:rsid w:val="00006442"/>
    <w:rsid w:val="0000737A"/>
    <w:rsid w:val="000075E8"/>
    <w:rsid w:val="00007DA2"/>
    <w:rsid w:val="00010C77"/>
    <w:rsid w:val="000135FA"/>
    <w:rsid w:val="0001406D"/>
    <w:rsid w:val="00015B61"/>
    <w:rsid w:val="00015D29"/>
    <w:rsid w:val="00016AC5"/>
    <w:rsid w:val="00017D14"/>
    <w:rsid w:val="00017FE7"/>
    <w:rsid w:val="00020252"/>
    <w:rsid w:val="00020AFB"/>
    <w:rsid w:val="00020CA7"/>
    <w:rsid w:val="0002123E"/>
    <w:rsid w:val="0002172E"/>
    <w:rsid w:val="00021F1E"/>
    <w:rsid w:val="00022DEE"/>
    <w:rsid w:val="000233BB"/>
    <w:rsid w:val="00025688"/>
    <w:rsid w:val="00025FE9"/>
    <w:rsid w:val="00026C06"/>
    <w:rsid w:val="00026E61"/>
    <w:rsid w:val="00026F14"/>
    <w:rsid w:val="0002742E"/>
    <w:rsid w:val="00027EB8"/>
    <w:rsid w:val="00030A4D"/>
    <w:rsid w:val="00030ADE"/>
    <w:rsid w:val="000312C0"/>
    <w:rsid w:val="00031CA3"/>
    <w:rsid w:val="00031EFC"/>
    <w:rsid w:val="000322EF"/>
    <w:rsid w:val="000332FF"/>
    <w:rsid w:val="00033E81"/>
    <w:rsid w:val="00033F1F"/>
    <w:rsid w:val="000358BF"/>
    <w:rsid w:val="00035F50"/>
    <w:rsid w:val="00036BE7"/>
    <w:rsid w:val="000403DA"/>
    <w:rsid w:val="000404AB"/>
    <w:rsid w:val="00040A28"/>
    <w:rsid w:val="000417DD"/>
    <w:rsid w:val="00042A72"/>
    <w:rsid w:val="00043353"/>
    <w:rsid w:val="000434E1"/>
    <w:rsid w:val="000458E2"/>
    <w:rsid w:val="00046050"/>
    <w:rsid w:val="00046C6E"/>
    <w:rsid w:val="0004762B"/>
    <w:rsid w:val="00047F1C"/>
    <w:rsid w:val="00050C15"/>
    <w:rsid w:val="000514AB"/>
    <w:rsid w:val="00051ABE"/>
    <w:rsid w:val="0005278B"/>
    <w:rsid w:val="00053AD5"/>
    <w:rsid w:val="000543A3"/>
    <w:rsid w:val="00055CBB"/>
    <w:rsid w:val="00055DE9"/>
    <w:rsid w:val="00055F21"/>
    <w:rsid w:val="000564C6"/>
    <w:rsid w:val="000571C0"/>
    <w:rsid w:val="000571D7"/>
    <w:rsid w:val="00057396"/>
    <w:rsid w:val="00060A41"/>
    <w:rsid w:val="00060C0C"/>
    <w:rsid w:val="00061255"/>
    <w:rsid w:val="000628BD"/>
    <w:rsid w:val="00063F6E"/>
    <w:rsid w:val="00064F84"/>
    <w:rsid w:val="00065210"/>
    <w:rsid w:val="000671A3"/>
    <w:rsid w:val="00067B8E"/>
    <w:rsid w:val="0007123C"/>
    <w:rsid w:val="00071E50"/>
    <w:rsid w:val="0007452F"/>
    <w:rsid w:val="0007584C"/>
    <w:rsid w:val="000759C4"/>
    <w:rsid w:val="00081EC3"/>
    <w:rsid w:val="000834EE"/>
    <w:rsid w:val="00083660"/>
    <w:rsid w:val="0008393C"/>
    <w:rsid w:val="00083AE6"/>
    <w:rsid w:val="00083D24"/>
    <w:rsid w:val="00083D8E"/>
    <w:rsid w:val="00083ECE"/>
    <w:rsid w:val="00083F5E"/>
    <w:rsid w:val="00083FCB"/>
    <w:rsid w:val="0008424F"/>
    <w:rsid w:val="00086860"/>
    <w:rsid w:val="000878B8"/>
    <w:rsid w:val="00090A80"/>
    <w:rsid w:val="00090B9F"/>
    <w:rsid w:val="00091A57"/>
    <w:rsid w:val="00091EA3"/>
    <w:rsid w:val="00092407"/>
    <w:rsid w:val="00092479"/>
    <w:rsid w:val="00092CF8"/>
    <w:rsid w:val="00093957"/>
    <w:rsid w:val="00093ECB"/>
    <w:rsid w:val="0009437C"/>
    <w:rsid w:val="00094F13"/>
    <w:rsid w:val="000977B0"/>
    <w:rsid w:val="00097A0F"/>
    <w:rsid w:val="000A06AE"/>
    <w:rsid w:val="000A1461"/>
    <w:rsid w:val="000A1A4A"/>
    <w:rsid w:val="000A2D72"/>
    <w:rsid w:val="000A4656"/>
    <w:rsid w:val="000A4B06"/>
    <w:rsid w:val="000A4D84"/>
    <w:rsid w:val="000A500E"/>
    <w:rsid w:val="000A59AC"/>
    <w:rsid w:val="000A5CFE"/>
    <w:rsid w:val="000A5D61"/>
    <w:rsid w:val="000A6B2B"/>
    <w:rsid w:val="000A7009"/>
    <w:rsid w:val="000B0833"/>
    <w:rsid w:val="000B19C4"/>
    <w:rsid w:val="000B234B"/>
    <w:rsid w:val="000B422A"/>
    <w:rsid w:val="000B5943"/>
    <w:rsid w:val="000B59BC"/>
    <w:rsid w:val="000B735D"/>
    <w:rsid w:val="000B7812"/>
    <w:rsid w:val="000B783B"/>
    <w:rsid w:val="000C3588"/>
    <w:rsid w:val="000C542C"/>
    <w:rsid w:val="000C66DF"/>
    <w:rsid w:val="000C6ABB"/>
    <w:rsid w:val="000C7F1B"/>
    <w:rsid w:val="000D1630"/>
    <w:rsid w:val="000D1951"/>
    <w:rsid w:val="000D2B09"/>
    <w:rsid w:val="000D3280"/>
    <w:rsid w:val="000D7B7F"/>
    <w:rsid w:val="000D7F6D"/>
    <w:rsid w:val="000E1047"/>
    <w:rsid w:val="000E1CD7"/>
    <w:rsid w:val="000E2F53"/>
    <w:rsid w:val="000E40FD"/>
    <w:rsid w:val="000E4F8B"/>
    <w:rsid w:val="000E5D29"/>
    <w:rsid w:val="000E5D7D"/>
    <w:rsid w:val="000E677E"/>
    <w:rsid w:val="000E6DDB"/>
    <w:rsid w:val="000F2A46"/>
    <w:rsid w:val="000F2FE1"/>
    <w:rsid w:val="000F3C75"/>
    <w:rsid w:val="000F41F2"/>
    <w:rsid w:val="000F459F"/>
    <w:rsid w:val="000F4A77"/>
    <w:rsid w:val="000F4E8E"/>
    <w:rsid w:val="000F51B9"/>
    <w:rsid w:val="000F5D27"/>
    <w:rsid w:val="000F7F74"/>
    <w:rsid w:val="0010036C"/>
    <w:rsid w:val="0010343E"/>
    <w:rsid w:val="00103BD0"/>
    <w:rsid w:val="0010544E"/>
    <w:rsid w:val="0010550F"/>
    <w:rsid w:val="00105E1B"/>
    <w:rsid w:val="0010601F"/>
    <w:rsid w:val="001069EF"/>
    <w:rsid w:val="0010750B"/>
    <w:rsid w:val="00111928"/>
    <w:rsid w:val="00113446"/>
    <w:rsid w:val="001138F1"/>
    <w:rsid w:val="0011447A"/>
    <w:rsid w:val="00114B66"/>
    <w:rsid w:val="00115FBF"/>
    <w:rsid w:val="001177F9"/>
    <w:rsid w:val="00121759"/>
    <w:rsid w:val="00121F35"/>
    <w:rsid w:val="0012204A"/>
    <w:rsid w:val="00122214"/>
    <w:rsid w:val="0012225D"/>
    <w:rsid w:val="00123B2A"/>
    <w:rsid w:val="00123CAA"/>
    <w:rsid w:val="001249D5"/>
    <w:rsid w:val="00125937"/>
    <w:rsid w:val="001271D9"/>
    <w:rsid w:val="001273D1"/>
    <w:rsid w:val="00127CBD"/>
    <w:rsid w:val="00127D55"/>
    <w:rsid w:val="001305C5"/>
    <w:rsid w:val="001307F3"/>
    <w:rsid w:val="001308D5"/>
    <w:rsid w:val="00131EFD"/>
    <w:rsid w:val="001322C1"/>
    <w:rsid w:val="00133848"/>
    <w:rsid w:val="00133A48"/>
    <w:rsid w:val="001347DC"/>
    <w:rsid w:val="0013496C"/>
    <w:rsid w:val="00135807"/>
    <w:rsid w:val="00135C0D"/>
    <w:rsid w:val="00136077"/>
    <w:rsid w:val="0014020F"/>
    <w:rsid w:val="0014043C"/>
    <w:rsid w:val="0014194E"/>
    <w:rsid w:val="00141EE2"/>
    <w:rsid w:val="00142F6D"/>
    <w:rsid w:val="00144DCC"/>
    <w:rsid w:val="00146168"/>
    <w:rsid w:val="001465A0"/>
    <w:rsid w:val="00146C98"/>
    <w:rsid w:val="0014730C"/>
    <w:rsid w:val="00147BB9"/>
    <w:rsid w:val="00147ED7"/>
    <w:rsid w:val="001500C0"/>
    <w:rsid w:val="001505B4"/>
    <w:rsid w:val="00152765"/>
    <w:rsid w:val="00152864"/>
    <w:rsid w:val="00153756"/>
    <w:rsid w:val="001544E5"/>
    <w:rsid w:val="001554B8"/>
    <w:rsid w:val="00155B1C"/>
    <w:rsid w:val="0015623F"/>
    <w:rsid w:val="00156619"/>
    <w:rsid w:val="00156E97"/>
    <w:rsid w:val="00157800"/>
    <w:rsid w:val="0016049B"/>
    <w:rsid w:val="00160540"/>
    <w:rsid w:val="00161795"/>
    <w:rsid w:val="00161A5C"/>
    <w:rsid w:val="00162760"/>
    <w:rsid w:val="0016343D"/>
    <w:rsid w:val="00163C23"/>
    <w:rsid w:val="001649B6"/>
    <w:rsid w:val="00164B1E"/>
    <w:rsid w:val="001656DE"/>
    <w:rsid w:val="0016749C"/>
    <w:rsid w:val="001715AC"/>
    <w:rsid w:val="00171607"/>
    <w:rsid w:val="0017182C"/>
    <w:rsid w:val="00173035"/>
    <w:rsid w:val="00175CF0"/>
    <w:rsid w:val="001767B5"/>
    <w:rsid w:val="00177007"/>
    <w:rsid w:val="00181186"/>
    <w:rsid w:val="00181D8E"/>
    <w:rsid w:val="00181FD1"/>
    <w:rsid w:val="001825E8"/>
    <w:rsid w:val="00184151"/>
    <w:rsid w:val="00184334"/>
    <w:rsid w:val="001846B8"/>
    <w:rsid w:val="0018512F"/>
    <w:rsid w:val="00186C01"/>
    <w:rsid w:val="00186CE5"/>
    <w:rsid w:val="00186EE9"/>
    <w:rsid w:val="00187303"/>
    <w:rsid w:val="001901A6"/>
    <w:rsid w:val="0019106B"/>
    <w:rsid w:val="001923C8"/>
    <w:rsid w:val="00192EEB"/>
    <w:rsid w:val="00192FB8"/>
    <w:rsid w:val="0019306A"/>
    <w:rsid w:val="00193077"/>
    <w:rsid w:val="001958E4"/>
    <w:rsid w:val="00197808"/>
    <w:rsid w:val="001A073C"/>
    <w:rsid w:val="001A1371"/>
    <w:rsid w:val="001A20FB"/>
    <w:rsid w:val="001A26EA"/>
    <w:rsid w:val="001A293E"/>
    <w:rsid w:val="001A2C07"/>
    <w:rsid w:val="001A2FFC"/>
    <w:rsid w:val="001A622F"/>
    <w:rsid w:val="001A78AB"/>
    <w:rsid w:val="001B05AE"/>
    <w:rsid w:val="001B08E6"/>
    <w:rsid w:val="001B1261"/>
    <w:rsid w:val="001B4A63"/>
    <w:rsid w:val="001B5ABB"/>
    <w:rsid w:val="001B5FB6"/>
    <w:rsid w:val="001B69FB"/>
    <w:rsid w:val="001B6F40"/>
    <w:rsid w:val="001C0B90"/>
    <w:rsid w:val="001C2E31"/>
    <w:rsid w:val="001C519D"/>
    <w:rsid w:val="001C5249"/>
    <w:rsid w:val="001C580E"/>
    <w:rsid w:val="001C5E6F"/>
    <w:rsid w:val="001C60AE"/>
    <w:rsid w:val="001D0A66"/>
    <w:rsid w:val="001D0B92"/>
    <w:rsid w:val="001D2453"/>
    <w:rsid w:val="001D2936"/>
    <w:rsid w:val="001D3C67"/>
    <w:rsid w:val="001D3CB4"/>
    <w:rsid w:val="001D54AC"/>
    <w:rsid w:val="001D54F5"/>
    <w:rsid w:val="001D55E8"/>
    <w:rsid w:val="001D5DD0"/>
    <w:rsid w:val="001D67C2"/>
    <w:rsid w:val="001D7B06"/>
    <w:rsid w:val="001D7F8A"/>
    <w:rsid w:val="001E0175"/>
    <w:rsid w:val="001E3B84"/>
    <w:rsid w:val="001E3E9E"/>
    <w:rsid w:val="001E3FEB"/>
    <w:rsid w:val="001E4A02"/>
    <w:rsid w:val="001E73ED"/>
    <w:rsid w:val="001E7AE7"/>
    <w:rsid w:val="001E7B92"/>
    <w:rsid w:val="001F1B5A"/>
    <w:rsid w:val="001F2230"/>
    <w:rsid w:val="001F29D7"/>
    <w:rsid w:val="001F34EA"/>
    <w:rsid w:val="001F3AA3"/>
    <w:rsid w:val="001F419A"/>
    <w:rsid w:val="001F4516"/>
    <w:rsid w:val="001F5BDA"/>
    <w:rsid w:val="001F724B"/>
    <w:rsid w:val="002013C5"/>
    <w:rsid w:val="00201CFA"/>
    <w:rsid w:val="00204590"/>
    <w:rsid w:val="002047CC"/>
    <w:rsid w:val="00205148"/>
    <w:rsid w:val="00205EDD"/>
    <w:rsid w:val="00205F80"/>
    <w:rsid w:val="00206999"/>
    <w:rsid w:val="00207580"/>
    <w:rsid w:val="00207A50"/>
    <w:rsid w:val="0021021C"/>
    <w:rsid w:val="002109BE"/>
    <w:rsid w:val="00211132"/>
    <w:rsid w:val="00211D20"/>
    <w:rsid w:val="002131E6"/>
    <w:rsid w:val="002148C4"/>
    <w:rsid w:val="00214F07"/>
    <w:rsid w:val="00215437"/>
    <w:rsid w:val="00216978"/>
    <w:rsid w:val="00217A86"/>
    <w:rsid w:val="00220E35"/>
    <w:rsid w:val="0022128A"/>
    <w:rsid w:val="00221BDC"/>
    <w:rsid w:val="002232AF"/>
    <w:rsid w:val="00223B89"/>
    <w:rsid w:val="0022420E"/>
    <w:rsid w:val="00225A8C"/>
    <w:rsid w:val="002269A3"/>
    <w:rsid w:val="00227ADD"/>
    <w:rsid w:val="00230620"/>
    <w:rsid w:val="0023204A"/>
    <w:rsid w:val="00232359"/>
    <w:rsid w:val="00232EE1"/>
    <w:rsid w:val="0023478E"/>
    <w:rsid w:val="00234A05"/>
    <w:rsid w:val="00235173"/>
    <w:rsid w:val="00235C8B"/>
    <w:rsid w:val="00236D40"/>
    <w:rsid w:val="00236E37"/>
    <w:rsid w:val="002375DC"/>
    <w:rsid w:val="002409B2"/>
    <w:rsid w:val="00240D36"/>
    <w:rsid w:val="00242D2E"/>
    <w:rsid w:val="00242F8B"/>
    <w:rsid w:val="00243DE5"/>
    <w:rsid w:val="00244494"/>
    <w:rsid w:val="00245A23"/>
    <w:rsid w:val="00245F0D"/>
    <w:rsid w:val="00246463"/>
    <w:rsid w:val="00246505"/>
    <w:rsid w:val="00247143"/>
    <w:rsid w:val="00247ADB"/>
    <w:rsid w:val="00250B6F"/>
    <w:rsid w:val="00251038"/>
    <w:rsid w:val="002529D6"/>
    <w:rsid w:val="00254382"/>
    <w:rsid w:val="0025438E"/>
    <w:rsid w:val="00257239"/>
    <w:rsid w:val="0026058A"/>
    <w:rsid w:val="0026068A"/>
    <w:rsid w:val="002612CA"/>
    <w:rsid w:val="00262FDE"/>
    <w:rsid w:val="002635F1"/>
    <w:rsid w:val="00264178"/>
    <w:rsid w:val="002641FA"/>
    <w:rsid w:val="00265550"/>
    <w:rsid w:val="002659F1"/>
    <w:rsid w:val="00267CBA"/>
    <w:rsid w:val="0027050A"/>
    <w:rsid w:val="0027073F"/>
    <w:rsid w:val="00270B86"/>
    <w:rsid w:val="0027135A"/>
    <w:rsid w:val="00271C7C"/>
    <w:rsid w:val="00272478"/>
    <w:rsid w:val="00272F60"/>
    <w:rsid w:val="002738C4"/>
    <w:rsid w:val="0027494A"/>
    <w:rsid w:val="00274A3B"/>
    <w:rsid w:val="0027574B"/>
    <w:rsid w:val="0027578A"/>
    <w:rsid w:val="00280DE1"/>
    <w:rsid w:val="00281C1F"/>
    <w:rsid w:val="0028278C"/>
    <w:rsid w:val="002842BB"/>
    <w:rsid w:val="0028516F"/>
    <w:rsid w:val="00285232"/>
    <w:rsid w:val="002873BA"/>
    <w:rsid w:val="00287B39"/>
    <w:rsid w:val="00287E79"/>
    <w:rsid w:val="0029070F"/>
    <w:rsid w:val="00291021"/>
    <w:rsid w:val="00291D90"/>
    <w:rsid w:val="0029200D"/>
    <w:rsid w:val="0029229A"/>
    <w:rsid w:val="002928F9"/>
    <w:rsid w:val="0029304E"/>
    <w:rsid w:val="00293572"/>
    <w:rsid w:val="002936C3"/>
    <w:rsid w:val="00293F81"/>
    <w:rsid w:val="002947C4"/>
    <w:rsid w:val="00294A5A"/>
    <w:rsid w:val="002961F4"/>
    <w:rsid w:val="00296785"/>
    <w:rsid w:val="00296B2B"/>
    <w:rsid w:val="00297E71"/>
    <w:rsid w:val="002A073F"/>
    <w:rsid w:val="002A0864"/>
    <w:rsid w:val="002A0D84"/>
    <w:rsid w:val="002A304A"/>
    <w:rsid w:val="002A5D07"/>
    <w:rsid w:val="002A6922"/>
    <w:rsid w:val="002A6C82"/>
    <w:rsid w:val="002B0C48"/>
    <w:rsid w:val="002B3577"/>
    <w:rsid w:val="002B3FBF"/>
    <w:rsid w:val="002C020B"/>
    <w:rsid w:val="002C09B0"/>
    <w:rsid w:val="002C0CBE"/>
    <w:rsid w:val="002C1500"/>
    <w:rsid w:val="002C16C3"/>
    <w:rsid w:val="002C1C0F"/>
    <w:rsid w:val="002C2BCA"/>
    <w:rsid w:val="002C325F"/>
    <w:rsid w:val="002C6BAE"/>
    <w:rsid w:val="002C6D5C"/>
    <w:rsid w:val="002C78D9"/>
    <w:rsid w:val="002C793B"/>
    <w:rsid w:val="002D0A3C"/>
    <w:rsid w:val="002D0A46"/>
    <w:rsid w:val="002D0C17"/>
    <w:rsid w:val="002D0C5B"/>
    <w:rsid w:val="002D2488"/>
    <w:rsid w:val="002D4003"/>
    <w:rsid w:val="002D4487"/>
    <w:rsid w:val="002D4DF9"/>
    <w:rsid w:val="002D558F"/>
    <w:rsid w:val="002D5F57"/>
    <w:rsid w:val="002D6F5E"/>
    <w:rsid w:val="002D773B"/>
    <w:rsid w:val="002D7B1B"/>
    <w:rsid w:val="002E0FD9"/>
    <w:rsid w:val="002E42EE"/>
    <w:rsid w:val="002E4C2B"/>
    <w:rsid w:val="002E5294"/>
    <w:rsid w:val="002E6ED7"/>
    <w:rsid w:val="002E7E3F"/>
    <w:rsid w:val="002F0070"/>
    <w:rsid w:val="002F32A9"/>
    <w:rsid w:val="002F421A"/>
    <w:rsid w:val="002F49E7"/>
    <w:rsid w:val="002F4B17"/>
    <w:rsid w:val="002F69A1"/>
    <w:rsid w:val="002F7163"/>
    <w:rsid w:val="003010F6"/>
    <w:rsid w:val="003016B7"/>
    <w:rsid w:val="00301C73"/>
    <w:rsid w:val="003024E8"/>
    <w:rsid w:val="003033E2"/>
    <w:rsid w:val="00304F6C"/>
    <w:rsid w:val="00305009"/>
    <w:rsid w:val="00310241"/>
    <w:rsid w:val="00313361"/>
    <w:rsid w:val="00315988"/>
    <w:rsid w:val="00316610"/>
    <w:rsid w:val="00316BB7"/>
    <w:rsid w:val="00317109"/>
    <w:rsid w:val="00317CE1"/>
    <w:rsid w:val="003204E7"/>
    <w:rsid w:val="00321E15"/>
    <w:rsid w:val="00322206"/>
    <w:rsid w:val="00322FDA"/>
    <w:rsid w:val="00323DDA"/>
    <w:rsid w:val="00324943"/>
    <w:rsid w:val="0032688E"/>
    <w:rsid w:val="00327367"/>
    <w:rsid w:val="003278BE"/>
    <w:rsid w:val="003301B4"/>
    <w:rsid w:val="00330AAA"/>
    <w:rsid w:val="00330F9C"/>
    <w:rsid w:val="00331659"/>
    <w:rsid w:val="00332678"/>
    <w:rsid w:val="0033268C"/>
    <w:rsid w:val="00332B96"/>
    <w:rsid w:val="0033572B"/>
    <w:rsid w:val="003360FB"/>
    <w:rsid w:val="00336E96"/>
    <w:rsid w:val="00337669"/>
    <w:rsid w:val="00340771"/>
    <w:rsid w:val="00340C35"/>
    <w:rsid w:val="003411AE"/>
    <w:rsid w:val="00341BEC"/>
    <w:rsid w:val="003422B6"/>
    <w:rsid w:val="003427E7"/>
    <w:rsid w:val="00342A46"/>
    <w:rsid w:val="00342FE6"/>
    <w:rsid w:val="003431DE"/>
    <w:rsid w:val="00343B8A"/>
    <w:rsid w:val="0034416C"/>
    <w:rsid w:val="00344FD9"/>
    <w:rsid w:val="00347AF0"/>
    <w:rsid w:val="003504FB"/>
    <w:rsid w:val="003515AA"/>
    <w:rsid w:val="00352282"/>
    <w:rsid w:val="00352E5D"/>
    <w:rsid w:val="00352FDB"/>
    <w:rsid w:val="00355962"/>
    <w:rsid w:val="003570F9"/>
    <w:rsid w:val="00360921"/>
    <w:rsid w:val="003616B4"/>
    <w:rsid w:val="00361B3D"/>
    <w:rsid w:val="00361BE3"/>
    <w:rsid w:val="003647DF"/>
    <w:rsid w:val="003657B2"/>
    <w:rsid w:val="00365DDE"/>
    <w:rsid w:val="00365F33"/>
    <w:rsid w:val="003666F6"/>
    <w:rsid w:val="00370E0F"/>
    <w:rsid w:val="0037301A"/>
    <w:rsid w:val="003731A3"/>
    <w:rsid w:val="0037322D"/>
    <w:rsid w:val="00374106"/>
    <w:rsid w:val="00374108"/>
    <w:rsid w:val="00375773"/>
    <w:rsid w:val="003770B0"/>
    <w:rsid w:val="00377584"/>
    <w:rsid w:val="0038159E"/>
    <w:rsid w:val="00381C41"/>
    <w:rsid w:val="003822EB"/>
    <w:rsid w:val="00382A22"/>
    <w:rsid w:val="00383013"/>
    <w:rsid w:val="003837D2"/>
    <w:rsid w:val="0038381F"/>
    <w:rsid w:val="00384063"/>
    <w:rsid w:val="00384D67"/>
    <w:rsid w:val="00384E68"/>
    <w:rsid w:val="00386C15"/>
    <w:rsid w:val="00387337"/>
    <w:rsid w:val="003876AF"/>
    <w:rsid w:val="00390BC8"/>
    <w:rsid w:val="00390D79"/>
    <w:rsid w:val="00390E61"/>
    <w:rsid w:val="00390FF6"/>
    <w:rsid w:val="00391621"/>
    <w:rsid w:val="0039236C"/>
    <w:rsid w:val="00392BE8"/>
    <w:rsid w:val="00393308"/>
    <w:rsid w:val="003933A8"/>
    <w:rsid w:val="00393EDD"/>
    <w:rsid w:val="00395DFE"/>
    <w:rsid w:val="003962AB"/>
    <w:rsid w:val="00396559"/>
    <w:rsid w:val="003976D5"/>
    <w:rsid w:val="00397FEF"/>
    <w:rsid w:val="003A0435"/>
    <w:rsid w:val="003A0A44"/>
    <w:rsid w:val="003A0FE8"/>
    <w:rsid w:val="003A113E"/>
    <w:rsid w:val="003A2A7F"/>
    <w:rsid w:val="003A3482"/>
    <w:rsid w:val="003A3D80"/>
    <w:rsid w:val="003A4C67"/>
    <w:rsid w:val="003A6AB3"/>
    <w:rsid w:val="003A7B5A"/>
    <w:rsid w:val="003A7DFC"/>
    <w:rsid w:val="003B1553"/>
    <w:rsid w:val="003B1596"/>
    <w:rsid w:val="003B1850"/>
    <w:rsid w:val="003B1F83"/>
    <w:rsid w:val="003B304B"/>
    <w:rsid w:val="003B3944"/>
    <w:rsid w:val="003B3D77"/>
    <w:rsid w:val="003B498D"/>
    <w:rsid w:val="003B4E7F"/>
    <w:rsid w:val="003B561C"/>
    <w:rsid w:val="003B6D87"/>
    <w:rsid w:val="003B71BA"/>
    <w:rsid w:val="003C02C4"/>
    <w:rsid w:val="003C5BB2"/>
    <w:rsid w:val="003C7CB9"/>
    <w:rsid w:val="003D0EBA"/>
    <w:rsid w:val="003D108F"/>
    <w:rsid w:val="003D1DF3"/>
    <w:rsid w:val="003D27DE"/>
    <w:rsid w:val="003D2AE2"/>
    <w:rsid w:val="003D4183"/>
    <w:rsid w:val="003D46A7"/>
    <w:rsid w:val="003D4E1E"/>
    <w:rsid w:val="003D6C68"/>
    <w:rsid w:val="003D7400"/>
    <w:rsid w:val="003D77CD"/>
    <w:rsid w:val="003E0000"/>
    <w:rsid w:val="003E037D"/>
    <w:rsid w:val="003E0C86"/>
    <w:rsid w:val="003E12BF"/>
    <w:rsid w:val="003E2175"/>
    <w:rsid w:val="003E259C"/>
    <w:rsid w:val="003E2B6D"/>
    <w:rsid w:val="003E3EA5"/>
    <w:rsid w:val="003E3FC2"/>
    <w:rsid w:val="003E40B4"/>
    <w:rsid w:val="003E4480"/>
    <w:rsid w:val="003E4A29"/>
    <w:rsid w:val="003E637F"/>
    <w:rsid w:val="003E7A5E"/>
    <w:rsid w:val="003E7ED2"/>
    <w:rsid w:val="003F0826"/>
    <w:rsid w:val="003F0D09"/>
    <w:rsid w:val="003F143E"/>
    <w:rsid w:val="003F278B"/>
    <w:rsid w:val="003F486C"/>
    <w:rsid w:val="003F4C99"/>
    <w:rsid w:val="003F4E9D"/>
    <w:rsid w:val="003F6314"/>
    <w:rsid w:val="003F730A"/>
    <w:rsid w:val="003F789F"/>
    <w:rsid w:val="003F7B88"/>
    <w:rsid w:val="00400059"/>
    <w:rsid w:val="00400F46"/>
    <w:rsid w:val="00401DB8"/>
    <w:rsid w:val="00401EAA"/>
    <w:rsid w:val="00402E34"/>
    <w:rsid w:val="0040335E"/>
    <w:rsid w:val="004042AD"/>
    <w:rsid w:val="00404305"/>
    <w:rsid w:val="004048F9"/>
    <w:rsid w:val="00406D93"/>
    <w:rsid w:val="004076B7"/>
    <w:rsid w:val="004078F6"/>
    <w:rsid w:val="004100C7"/>
    <w:rsid w:val="0041037D"/>
    <w:rsid w:val="0041082D"/>
    <w:rsid w:val="00411680"/>
    <w:rsid w:val="0041175A"/>
    <w:rsid w:val="00411A77"/>
    <w:rsid w:val="00411FA2"/>
    <w:rsid w:val="004124F4"/>
    <w:rsid w:val="00413E77"/>
    <w:rsid w:val="0041447C"/>
    <w:rsid w:val="004159D0"/>
    <w:rsid w:val="00416017"/>
    <w:rsid w:val="00416AE9"/>
    <w:rsid w:val="00416F05"/>
    <w:rsid w:val="00420A31"/>
    <w:rsid w:val="00420C58"/>
    <w:rsid w:val="00420CAE"/>
    <w:rsid w:val="00420E04"/>
    <w:rsid w:val="00421608"/>
    <w:rsid w:val="004238F1"/>
    <w:rsid w:val="004242C2"/>
    <w:rsid w:val="004249E7"/>
    <w:rsid w:val="00426C6C"/>
    <w:rsid w:val="004301E7"/>
    <w:rsid w:val="004302BF"/>
    <w:rsid w:val="0043072D"/>
    <w:rsid w:val="00430E44"/>
    <w:rsid w:val="00434657"/>
    <w:rsid w:val="00434F04"/>
    <w:rsid w:val="004356C4"/>
    <w:rsid w:val="004363E9"/>
    <w:rsid w:val="004364A7"/>
    <w:rsid w:val="0043670A"/>
    <w:rsid w:val="00437C28"/>
    <w:rsid w:val="00437C63"/>
    <w:rsid w:val="00440D4C"/>
    <w:rsid w:val="00441F72"/>
    <w:rsid w:val="00442F86"/>
    <w:rsid w:val="00444898"/>
    <w:rsid w:val="00444ACD"/>
    <w:rsid w:val="0044560D"/>
    <w:rsid w:val="004456D6"/>
    <w:rsid w:val="004468FA"/>
    <w:rsid w:val="00447B01"/>
    <w:rsid w:val="00447CDB"/>
    <w:rsid w:val="00447F6C"/>
    <w:rsid w:val="00450E48"/>
    <w:rsid w:val="004510FB"/>
    <w:rsid w:val="00452931"/>
    <w:rsid w:val="004530AB"/>
    <w:rsid w:val="004538FB"/>
    <w:rsid w:val="00454943"/>
    <w:rsid w:val="00457F70"/>
    <w:rsid w:val="00461248"/>
    <w:rsid w:val="00461BE3"/>
    <w:rsid w:val="0046392E"/>
    <w:rsid w:val="00464079"/>
    <w:rsid w:val="004644DB"/>
    <w:rsid w:val="00465AFF"/>
    <w:rsid w:val="00465D78"/>
    <w:rsid w:val="00466E2F"/>
    <w:rsid w:val="00471CDB"/>
    <w:rsid w:val="004720B1"/>
    <w:rsid w:val="004725F5"/>
    <w:rsid w:val="00472A65"/>
    <w:rsid w:val="0047357B"/>
    <w:rsid w:val="004738B2"/>
    <w:rsid w:val="00473A8F"/>
    <w:rsid w:val="00473D03"/>
    <w:rsid w:val="00474614"/>
    <w:rsid w:val="00475E62"/>
    <w:rsid w:val="00476222"/>
    <w:rsid w:val="004763ED"/>
    <w:rsid w:val="00476532"/>
    <w:rsid w:val="00476E5D"/>
    <w:rsid w:val="00477C3D"/>
    <w:rsid w:val="00477D31"/>
    <w:rsid w:val="00480187"/>
    <w:rsid w:val="004804E8"/>
    <w:rsid w:val="00480C4C"/>
    <w:rsid w:val="00481FCE"/>
    <w:rsid w:val="0048239C"/>
    <w:rsid w:val="00482F5D"/>
    <w:rsid w:val="00483E73"/>
    <w:rsid w:val="004846C7"/>
    <w:rsid w:val="00485624"/>
    <w:rsid w:val="004857A6"/>
    <w:rsid w:val="00485AF5"/>
    <w:rsid w:val="00490450"/>
    <w:rsid w:val="00492E85"/>
    <w:rsid w:val="00494B06"/>
    <w:rsid w:val="004969A3"/>
    <w:rsid w:val="00497862"/>
    <w:rsid w:val="00497E93"/>
    <w:rsid w:val="004A0282"/>
    <w:rsid w:val="004A04E0"/>
    <w:rsid w:val="004A24F2"/>
    <w:rsid w:val="004A26B7"/>
    <w:rsid w:val="004A3BBB"/>
    <w:rsid w:val="004A6661"/>
    <w:rsid w:val="004A73F2"/>
    <w:rsid w:val="004A7442"/>
    <w:rsid w:val="004B0C9E"/>
    <w:rsid w:val="004B11FB"/>
    <w:rsid w:val="004B19ED"/>
    <w:rsid w:val="004B388E"/>
    <w:rsid w:val="004B3B97"/>
    <w:rsid w:val="004B4400"/>
    <w:rsid w:val="004B4C82"/>
    <w:rsid w:val="004B6484"/>
    <w:rsid w:val="004B7965"/>
    <w:rsid w:val="004B7A41"/>
    <w:rsid w:val="004C0929"/>
    <w:rsid w:val="004C0D3F"/>
    <w:rsid w:val="004C125C"/>
    <w:rsid w:val="004C273A"/>
    <w:rsid w:val="004C300C"/>
    <w:rsid w:val="004C3782"/>
    <w:rsid w:val="004C3970"/>
    <w:rsid w:val="004C437A"/>
    <w:rsid w:val="004C45E9"/>
    <w:rsid w:val="004C705D"/>
    <w:rsid w:val="004C746B"/>
    <w:rsid w:val="004D04C9"/>
    <w:rsid w:val="004D07B6"/>
    <w:rsid w:val="004D2005"/>
    <w:rsid w:val="004D2434"/>
    <w:rsid w:val="004D3124"/>
    <w:rsid w:val="004D553D"/>
    <w:rsid w:val="004D60AF"/>
    <w:rsid w:val="004D69B7"/>
    <w:rsid w:val="004D6F75"/>
    <w:rsid w:val="004D74CF"/>
    <w:rsid w:val="004E0769"/>
    <w:rsid w:val="004E3CF1"/>
    <w:rsid w:val="004E47E2"/>
    <w:rsid w:val="004E58F9"/>
    <w:rsid w:val="004E5BF0"/>
    <w:rsid w:val="004E6132"/>
    <w:rsid w:val="004E64A9"/>
    <w:rsid w:val="004E6BD1"/>
    <w:rsid w:val="004E7131"/>
    <w:rsid w:val="004E78D9"/>
    <w:rsid w:val="004F077A"/>
    <w:rsid w:val="004F1089"/>
    <w:rsid w:val="004F147A"/>
    <w:rsid w:val="004F2B87"/>
    <w:rsid w:val="004F3108"/>
    <w:rsid w:val="004F338B"/>
    <w:rsid w:val="004F358D"/>
    <w:rsid w:val="004F5728"/>
    <w:rsid w:val="004F707E"/>
    <w:rsid w:val="00501365"/>
    <w:rsid w:val="00501791"/>
    <w:rsid w:val="00501D15"/>
    <w:rsid w:val="00502C01"/>
    <w:rsid w:val="00502C64"/>
    <w:rsid w:val="00503783"/>
    <w:rsid w:val="00503B02"/>
    <w:rsid w:val="00505018"/>
    <w:rsid w:val="00505D2D"/>
    <w:rsid w:val="0050659C"/>
    <w:rsid w:val="00506D3E"/>
    <w:rsid w:val="00506E8B"/>
    <w:rsid w:val="00510C2C"/>
    <w:rsid w:val="00510FAC"/>
    <w:rsid w:val="005128C5"/>
    <w:rsid w:val="00513635"/>
    <w:rsid w:val="00513D7E"/>
    <w:rsid w:val="00514047"/>
    <w:rsid w:val="00514C08"/>
    <w:rsid w:val="00514DBB"/>
    <w:rsid w:val="005168B7"/>
    <w:rsid w:val="00516A23"/>
    <w:rsid w:val="00517F4E"/>
    <w:rsid w:val="005209F5"/>
    <w:rsid w:val="0052139F"/>
    <w:rsid w:val="0052189F"/>
    <w:rsid w:val="00521C43"/>
    <w:rsid w:val="0052352B"/>
    <w:rsid w:val="00523E28"/>
    <w:rsid w:val="00524335"/>
    <w:rsid w:val="0052484D"/>
    <w:rsid w:val="00524C4F"/>
    <w:rsid w:val="00530FCE"/>
    <w:rsid w:val="00531318"/>
    <w:rsid w:val="00531F9C"/>
    <w:rsid w:val="005324B6"/>
    <w:rsid w:val="00532BEC"/>
    <w:rsid w:val="00534188"/>
    <w:rsid w:val="00536F23"/>
    <w:rsid w:val="005376FA"/>
    <w:rsid w:val="00542549"/>
    <w:rsid w:val="00542995"/>
    <w:rsid w:val="0054385B"/>
    <w:rsid w:val="00543D5E"/>
    <w:rsid w:val="0054402F"/>
    <w:rsid w:val="00546845"/>
    <w:rsid w:val="0054781C"/>
    <w:rsid w:val="00550885"/>
    <w:rsid w:val="00550D0B"/>
    <w:rsid w:val="00555262"/>
    <w:rsid w:val="005552D8"/>
    <w:rsid w:val="005561F0"/>
    <w:rsid w:val="00556A0F"/>
    <w:rsid w:val="005614D0"/>
    <w:rsid w:val="00561C65"/>
    <w:rsid w:val="005621CB"/>
    <w:rsid w:val="00563142"/>
    <w:rsid w:val="00563DD3"/>
    <w:rsid w:val="00563EA7"/>
    <w:rsid w:val="00564692"/>
    <w:rsid w:val="005656B1"/>
    <w:rsid w:val="0056724D"/>
    <w:rsid w:val="005675EA"/>
    <w:rsid w:val="00571F41"/>
    <w:rsid w:val="00571FCA"/>
    <w:rsid w:val="005740D6"/>
    <w:rsid w:val="00575BDF"/>
    <w:rsid w:val="00576137"/>
    <w:rsid w:val="00576788"/>
    <w:rsid w:val="00580967"/>
    <w:rsid w:val="00580AB0"/>
    <w:rsid w:val="00581FA7"/>
    <w:rsid w:val="005834DB"/>
    <w:rsid w:val="005837D4"/>
    <w:rsid w:val="00583F11"/>
    <w:rsid w:val="00584332"/>
    <w:rsid w:val="00586113"/>
    <w:rsid w:val="0058650C"/>
    <w:rsid w:val="00586A2D"/>
    <w:rsid w:val="005872B7"/>
    <w:rsid w:val="005903B1"/>
    <w:rsid w:val="00590E59"/>
    <w:rsid w:val="00590F6D"/>
    <w:rsid w:val="005942C3"/>
    <w:rsid w:val="00594626"/>
    <w:rsid w:val="00594672"/>
    <w:rsid w:val="00595576"/>
    <w:rsid w:val="00595BE4"/>
    <w:rsid w:val="00596AA2"/>
    <w:rsid w:val="005979BD"/>
    <w:rsid w:val="005A038E"/>
    <w:rsid w:val="005A1BBD"/>
    <w:rsid w:val="005A3CDD"/>
    <w:rsid w:val="005A636F"/>
    <w:rsid w:val="005A7D62"/>
    <w:rsid w:val="005B1133"/>
    <w:rsid w:val="005B196B"/>
    <w:rsid w:val="005B27C4"/>
    <w:rsid w:val="005B2AA7"/>
    <w:rsid w:val="005B40C8"/>
    <w:rsid w:val="005B5842"/>
    <w:rsid w:val="005B76A3"/>
    <w:rsid w:val="005C0270"/>
    <w:rsid w:val="005C2127"/>
    <w:rsid w:val="005C23CC"/>
    <w:rsid w:val="005C2905"/>
    <w:rsid w:val="005C577C"/>
    <w:rsid w:val="005C7D63"/>
    <w:rsid w:val="005D03CC"/>
    <w:rsid w:val="005D0441"/>
    <w:rsid w:val="005D09CF"/>
    <w:rsid w:val="005D3C9E"/>
    <w:rsid w:val="005D481E"/>
    <w:rsid w:val="005D560E"/>
    <w:rsid w:val="005D5C2D"/>
    <w:rsid w:val="005D6E69"/>
    <w:rsid w:val="005D7787"/>
    <w:rsid w:val="005D7F42"/>
    <w:rsid w:val="005E2C85"/>
    <w:rsid w:val="005E2FF0"/>
    <w:rsid w:val="005E3127"/>
    <w:rsid w:val="005E3F03"/>
    <w:rsid w:val="005E4E0F"/>
    <w:rsid w:val="005E5D1F"/>
    <w:rsid w:val="005E6778"/>
    <w:rsid w:val="005F09A2"/>
    <w:rsid w:val="005F0D33"/>
    <w:rsid w:val="005F1A4C"/>
    <w:rsid w:val="005F2523"/>
    <w:rsid w:val="005F4321"/>
    <w:rsid w:val="005F486D"/>
    <w:rsid w:val="005F486F"/>
    <w:rsid w:val="005F4C6B"/>
    <w:rsid w:val="005F5902"/>
    <w:rsid w:val="005F5C4D"/>
    <w:rsid w:val="005F68C9"/>
    <w:rsid w:val="005F69A2"/>
    <w:rsid w:val="005F70C5"/>
    <w:rsid w:val="005F7C99"/>
    <w:rsid w:val="00602BBB"/>
    <w:rsid w:val="00602C78"/>
    <w:rsid w:val="006032BD"/>
    <w:rsid w:val="00603391"/>
    <w:rsid w:val="006036F8"/>
    <w:rsid w:val="006046B4"/>
    <w:rsid w:val="00604C7F"/>
    <w:rsid w:val="0060517B"/>
    <w:rsid w:val="006057E4"/>
    <w:rsid w:val="00606827"/>
    <w:rsid w:val="00607DA5"/>
    <w:rsid w:val="0061193D"/>
    <w:rsid w:val="00611D26"/>
    <w:rsid w:val="00611D43"/>
    <w:rsid w:val="00612D48"/>
    <w:rsid w:val="00614877"/>
    <w:rsid w:val="006151E2"/>
    <w:rsid w:val="00615307"/>
    <w:rsid w:val="00615597"/>
    <w:rsid w:val="006169EE"/>
    <w:rsid w:val="00616B45"/>
    <w:rsid w:val="00621401"/>
    <w:rsid w:val="00622320"/>
    <w:rsid w:val="00623520"/>
    <w:rsid w:val="00623BC4"/>
    <w:rsid w:val="00624003"/>
    <w:rsid w:val="00625242"/>
    <w:rsid w:val="00626492"/>
    <w:rsid w:val="00627719"/>
    <w:rsid w:val="00630D91"/>
    <w:rsid w:val="00630D9B"/>
    <w:rsid w:val="006310BE"/>
    <w:rsid w:val="006315C7"/>
    <w:rsid w:val="00631953"/>
    <w:rsid w:val="00634E1A"/>
    <w:rsid w:val="0063630E"/>
    <w:rsid w:val="00636847"/>
    <w:rsid w:val="0064017A"/>
    <w:rsid w:val="0064220F"/>
    <w:rsid w:val="0064286B"/>
    <w:rsid w:val="00643600"/>
    <w:rsid w:val="006439EC"/>
    <w:rsid w:val="006442D6"/>
    <w:rsid w:val="00644577"/>
    <w:rsid w:val="00646081"/>
    <w:rsid w:val="0064776E"/>
    <w:rsid w:val="0065099E"/>
    <w:rsid w:val="00650ACD"/>
    <w:rsid w:val="00651F59"/>
    <w:rsid w:val="00653693"/>
    <w:rsid w:val="00655F5E"/>
    <w:rsid w:val="00656EDB"/>
    <w:rsid w:val="00657121"/>
    <w:rsid w:val="006571C2"/>
    <w:rsid w:val="006608B3"/>
    <w:rsid w:val="00661205"/>
    <w:rsid w:val="00661275"/>
    <w:rsid w:val="00662A4A"/>
    <w:rsid w:val="00663DB9"/>
    <w:rsid w:val="00664FCB"/>
    <w:rsid w:val="00665A24"/>
    <w:rsid w:val="00667F88"/>
    <w:rsid w:val="00670ED2"/>
    <w:rsid w:val="0067128F"/>
    <w:rsid w:val="006726DA"/>
    <w:rsid w:val="00672B41"/>
    <w:rsid w:val="00673D87"/>
    <w:rsid w:val="00674D5B"/>
    <w:rsid w:val="00677BA6"/>
    <w:rsid w:val="00681AF5"/>
    <w:rsid w:val="0068242C"/>
    <w:rsid w:val="0068252A"/>
    <w:rsid w:val="006829AD"/>
    <w:rsid w:val="006834EA"/>
    <w:rsid w:val="00685240"/>
    <w:rsid w:val="00685843"/>
    <w:rsid w:val="006863E9"/>
    <w:rsid w:val="00686520"/>
    <w:rsid w:val="00686835"/>
    <w:rsid w:val="006905AE"/>
    <w:rsid w:val="00690C64"/>
    <w:rsid w:val="006939C4"/>
    <w:rsid w:val="00694F02"/>
    <w:rsid w:val="00696827"/>
    <w:rsid w:val="00696BE9"/>
    <w:rsid w:val="00696CF9"/>
    <w:rsid w:val="00697755"/>
    <w:rsid w:val="006A12E1"/>
    <w:rsid w:val="006A1446"/>
    <w:rsid w:val="006A187B"/>
    <w:rsid w:val="006A2741"/>
    <w:rsid w:val="006A5D28"/>
    <w:rsid w:val="006A7147"/>
    <w:rsid w:val="006A71B0"/>
    <w:rsid w:val="006A73C1"/>
    <w:rsid w:val="006A7452"/>
    <w:rsid w:val="006B0D40"/>
    <w:rsid w:val="006B1399"/>
    <w:rsid w:val="006B2602"/>
    <w:rsid w:val="006B2DE8"/>
    <w:rsid w:val="006B378E"/>
    <w:rsid w:val="006B4590"/>
    <w:rsid w:val="006B4C14"/>
    <w:rsid w:val="006B4DB6"/>
    <w:rsid w:val="006B59C7"/>
    <w:rsid w:val="006C340C"/>
    <w:rsid w:val="006C53DB"/>
    <w:rsid w:val="006C5D1D"/>
    <w:rsid w:val="006C62CF"/>
    <w:rsid w:val="006C74AE"/>
    <w:rsid w:val="006D070F"/>
    <w:rsid w:val="006D1D1C"/>
    <w:rsid w:val="006D238C"/>
    <w:rsid w:val="006D30F9"/>
    <w:rsid w:val="006D3348"/>
    <w:rsid w:val="006D38B0"/>
    <w:rsid w:val="006D411D"/>
    <w:rsid w:val="006D510F"/>
    <w:rsid w:val="006D6013"/>
    <w:rsid w:val="006D666F"/>
    <w:rsid w:val="006D6C76"/>
    <w:rsid w:val="006D7078"/>
    <w:rsid w:val="006E0123"/>
    <w:rsid w:val="006E08AE"/>
    <w:rsid w:val="006E1570"/>
    <w:rsid w:val="006E2765"/>
    <w:rsid w:val="006E36AE"/>
    <w:rsid w:val="006E392C"/>
    <w:rsid w:val="006E3EFC"/>
    <w:rsid w:val="006E422E"/>
    <w:rsid w:val="006E43E2"/>
    <w:rsid w:val="006E599A"/>
    <w:rsid w:val="006E5B74"/>
    <w:rsid w:val="006E5DE0"/>
    <w:rsid w:val="006E5FC7"/>
    <w:rsid w:val="006E7E48"/>
    <w:rsid w:val="006E7FBE"/>
    <w:rsid w:val="006F01D3"/>
    <w:rsid w:val="006F1669"/>
    <w:rsid w:val="006F1C06"/>
    <w:rsid w:val="006F2792"/>
    <w:rsid w:val="006F3FA6"/>
    <w:rsid w:val="006F47E9"/>
    <w:rsid w:val="006F4BA1"/>
    <w:rsid w:val="006F53D7"/>
    <w:rsid w:val="006F6616"/>
    <w:rsid w:val="006F6B43"/>
    <w:rsid w:val="006F6C7A"/>
    <w:rsid w:val="006F707A"/>
    <w:rsid w:val="006F73F4"/>
    <w:rsid w:val="006F7CD1"/>
    <w:rsid w:val="006F7F03"/>
    <w:rsid w:val="00700888"/>
    <w:rsid w:val="00700EF6"/>
    <w:rsid w:val="007031DE"/>
    <w:rsid w:val="0070347C"/>
    <w:rsid w:val="00703F4E"/>
    <w:rsid w:val="007040D3"/>
    <w:rsid w:val="0070429E"/>
    <w:rsid w:val="00704DFC"/>
    <w:rsid w:val="00705001"/>
    <w:rsid w:val="007057A1"/>
    <w:rsid w:val="00706101"/>
    <w:rsid w:val="00706331"/>
    <w:rsid w:val="00710302"/>
    <w:rsid w:val="00710B94"/>
    <w:rsid w:val="00711A16"/>
    <w:rsid w:val="0071255E"/>
    <w:rsid w:val="007133B7"/>
    <w:rsid w:val="007176C1"/>
    <w:rsid w:val="00721914"/>
    <w:rsid w:val="00721F48"/>
    <w:rsid w:val="0072240D"/>
    <w:rsid w:val="00722E11"/>
    <w:rsid w:val="00723F8C"/>
    <w:rsid w:val="00724CBB"/>
    <w:rsid w:val="00724DA7"/>
    <w:rsid w:val="00725926"/>
    <w:rsid w:val="00730966"/>
    <w:rsid w:val="007315EC"/>
    <w:rsid w:val="00731976"/>
    <w:rsid w:val="00732B3C"/>
    <w:rsid w:val="007338CE"/>
    <w:rsid w:val="00734385"/>
    <w:rsid w:val="00735AD9"/>
    <w:rsid w:val="00737032"/>
    <w:rsid w:val="00740F70"/>
    <w:rsid w:val="007410AD"/>
    <w:rsid w:val="00741530"/>
    <w:rsid w:val="00743F08"/>
    <w:rsid w:val="0074404B"/>
    <w:rsid w:val="00744918"/>
    <w:rsid w:val="007452D8"/>
    <w:rsid w:val="007464B7"/>
    <w:rsid w:val="00746808"/>
    <w:rsid w:val="00746F5E"/>
    <w:rsid w:val="00747101"/>
    <w:rsid w:val="0074741C"/>
    <w:rsid w:val="00747CE8"/>
    <w:rsid w:val="0075071B"/>
    <w:rsid w:val="00751DF1"/>
    <w:rsid w:val="00752101"/>
    <w:rsid w:val="00752A79"/>
    <w:rsid w:val="00752E98"/>
    <w:rsid w:val="00754406"/>
    <w:rsid w:val="007560C5"/>
    <w:rsid w:val="007562D7"/>
    <w:rsid w:val="00756AB2"/>
    <w:rsid w:val="00756BB3"/>
    <w:rsid w:val="00756FE9"/>
    <w:rsid w:val="007570D3"/>
    <w:rsid w:val="007576FA"/>
    <w:rsid w:val="00760135"/>
    <w:rsid w:val="00762229"/>
    <w:rsid w:val="0076271C"/>
    <w:rsid w:val="007629C6"/>
    <w:rsid w:val="00763B0A"/>
    <w:rsid w:val="00763C21"/>
    <w:rsid w:val="00763DFE"/>
    <w:rsid w:val="00764048"/>
    <w:rsid w:val="00764136"/>
    <w:rsid w:val="00764245"/>
    <w:rsid w:val="007645D3"/>
    <w:rsid w:val="00766709"/>
    <w:rsid w:val="00766D06"/>
    <w:rsid w:val="00766E2D"/>
    <w:rsid w:val="00766FFC"/>
    <w:rsid w:val="00770873"/>
    <w:rsid w:val="00770A13"/>
    <w:rsid w:val="00773093"/>
    <w:rsid w:val="007742B2"/>
    <w:rsid w:val="007761EA"/>
    <w:rsid w:val="00776E3F"/>
    <w:rsid w:val="007774AE"/>
    <w:rsid w:val="0077765F"/>
    <w:rsid w:val="00780473"/>
    <w:rsid w:val="00780C49"/>
    <w:rsid w:val="00781558"/>
    <w:rsid w:val="00781A42"/>
    <w:rsid w:val="00781B1B"/>
    <w:rsid w:val="00782E4A"/>
    <w:rsid w:val="007833BE"/>
    <w:rsid w:val="00785A17"/>
    <w:rsid w:val="007862C6"/>
    <w:rsid w:val="00787D26"/>
    <w:rsid w:val="00790A7E"/>
    <w:rsid w:val="00790F2F"/>
    <w:rsid w:val="007933FA"/>
    <w:rsid w:val="0079379B"/>
    <w:rsid w:val="00793CD2"/>
    <w:rsid w:val="007948F5"/>
    <w:rsid w:val="00794A4F"/>
    <w:rsid w:val="00795192"/>
    <w:rsid w:val="007A00A4"/>
    <w:rsid w:val="007A0440"/>
    <w:rsid w:val="007A0CD4"/>
    <w:rsid w:val="007A126E"/>
    <w:rsid w:val="007A12A0"/>
    <w:rsid w:val="007A1330"/>
    <w:rsid w:val="007A1B95"/>
    <w:rsid w:val="007A1DC4"/>
    <w:rsid w:val="007A2FAC"/>
    <w:rsid w:val="007A43B7"/>
    <w:rsid w:val="007A4735"/>
    <w:rsid w:val="007A4A2C"/>
    <w:rsid w:val="007A4F14"/>
    <w:rsid w:val="007A5884"/>
    <w:rsid w:val="007A74E8"/>
    <w:rsid w:val="007A75DC"/>
    <w:rsid w:val="007A7E94"/>
    <w:rsid w:val="007B0934"/>
    <w:rsid w:val="007B157D"/>
    <w:rsid w:val="007B3083"/>
    <w:rsid w:val="007B3ECC"/>
    <w:rsid w:val="007B46AA"/>
    <w:rsid w:val="007B6126"/>
    <w:rsid w:val="007B666D"/>
    <w:rsid w:val="007C1706"/>
    <w:rsid w:val="007C43A7"/>
    <w:rsid w:val="007C559C"/>
    <w:rsid w:val="007D1A04"/>
    <w:rsid w:val="007D27E3"/>
    <w:rsid w:val="007D2CCC"/>
    <w:rsid w:val="007D4E20"/>
    <w:rsid w:val="007D56D0"/>
    <w:rsid w:val="007D5999"/>
    <w:rsid w:val="007D6D51"/>
    <w:rsid w:val="007D7882"/>
    <w:rsid w:val="007E003F"/>
    <w:rsid w:val="007E040A"/>
    <w:rsid w:val="007E1623"/>
    <w:rsid w:val="007E186A"/>
    <w:rsid w:val="007E1B56"/>
    <w:rsid w:val="007E2C1D"/>
    <w:rsid w:val="007E35E7"/>
    <w:rsid w:val="007E3D41"/>
    <w:rsid w:val="007E410A"/>
    <w:rsid w:val="007E4708"/>
    <w:rsid w:val="007E5665"/>
    <w:rsid w:val="007E6185"/>
    <w:rsid w:val="007E7676"/>
    <w:rsid w:val="007F0EC1"/>
    <w:rsid w:val="007F13BF"/>
    <w:rsid w:val="007F166F"/>
    <w:rsid w:val="007F1B67"/>
    <w:rsid w:val="007F3451"/>
    <w:rsid w:val="007F4174"/>
    <w:rsid w:val="007F4224"/>
    <w:rsid w:val="007F4FEF"/>
    <w:rsid w:val="007F5198"/>
    <w:rsid w:val="007F55CB"/>
    <w:rsid w:val="007F65BF"/>
    <w:rsid w:val="007F6F71"/>
    <w:rsid w:val="007F7552"/>
    <w:rsid w:val="007F799E"/>
    <w:rsid w:val="007F7BB5"/>
    <w:rsid w:val="007F7C67"/>
    <w:rsid w:val="007F7D71"/>
    <w:rsid w:val="007F7EE9"/>
    <w:rsid w:val="007F7F7F"/>
    <w:rsid w:val="007F7FE2"/>
    <w:rsid w:val="008016EE"/>
    <w:rsid w:val="00801C7A"/>
    <w:rsid w:val="00801F74"/>
    <w:rsid w:val="00802B6F"/>
    <w:rsid w:val="0080481B"/>
    <w:rsid w:val="00805445"/>
    <w:rsid w:val="00811E1D"/>
    <w:rsid w:val="00812430"/>
    <w:rsid w:val="00812C1A"/>
    <w:rsid w:val="00814511"/>
    <w:rsid w:val="00814573"/>
    <w:rsid w:val="00815095"/>
    <w:rsid w:val="00815B9F"/>
    <w:rsid w:val="00817092"/>
    <w:rsid w:val="00817A5D"/>
    <w:rsid w:val="00817FF0"/>
    <w:rsid w:val="008208C4"/>
    <w:rsid w:val="00820BC8"/>
    <w:rsid w:val="00820CA4"/>
    <w:rsid w:val="00821838"/>
    <w:rsid w:val="00821AE9"/>
    <w:rsid w:val="0082359F"/>
    <w:rsid w:val="00823A30"/>
    <w:rsid w:val="00824B30"/>
    <w:rsid w:val="00826602"/>
    <w:rsid w:val="008276C4"/>
    <w:rsid w:val="0082784E"/>
    <w:rsid w:val="00827F37"/>
    <w:rsid w:val="0083140A"/>
    <w:rsid w:val="00831506"/>
    <w:rsid w:val="008317F6"/>
    <w:rsid w:val="00831A40"/>
    <w:rsid w:val="00831B11"/>
    <w:rsid w:val="0083248E"/>
    <w:rsid w:val="008353D3"/>
    <w:rsid w:val="00836708"/>
    <w:rsid w:val="00837584"/>
    <w:rsid w:val="00841FF1"/>
    <w:rsid w:val="00842179"/>
    <w:rsid w:val="00842E7B"/>
    <w:rsid w:val="00843B00"/>
    <w:rsid w:val="00844750"/>
    <w:rsid w:val="008447FC"/>
    <w:rsid w:val="0084488A"/>
    <w:rsid w:val="008458F5"/>
    <w:rsid w:val="00847240"/>
    <w:rsid w:val="00852A52"/>
    <w:rsid w:val="00852A9E"/>
    <w:rsid w:val="00853415"/>
    <w:rsid w:val="00856B6B"/>
    <w:rsid w:val="00856D39"/>
    <w:rsid w:val="0085701B"/>
    <w:rsid w:val="00857D4E"/>
    <w:rsid w:val="00860332"/>
    <w:rsid w:val="008610D6"/>
    <w:rsid w:val="00862738"/>
    <w:rsid w:val="008627DA"/>
    <w:rsid w:val="00863DE5"/>
    <w:rsid w:val="00864E03"/>
    <w:rsid w:val="00865A2D"/>
    <w:rsid w:val="00866073"/>
    <w:rsid w:val="00866A05"/>
    <w:rsid w:val="00866DC7"/>
    <w:rsid w:val="00867D05"/>
    <w:rsid w:val="00871976"/>
    <w:rsid w:val="00871A2A"/>
    <w:rsid w:val="00871EF4"/>
    <w:rsid w:val="00873ADC"/>
    <w:rsid w:val="0087460B"/>
    <w:rsid w:val="00875590"/>
    <w:rsid w:val="00875D22"/>
    <w:rsid w:val="008777E9"/>
    <w:rsid w:val="00880328"/>
    <w:rsid w:val="0088106D"/>
    <w:rsid w:val="008811E9"/>
    <w:rsid w:val="00881626"/>
    <w:rsid w:val="008828AF"/>
    <w:rsid w:val="00882BDA"/>
    <w:rsid w:val="00883AC8"/>
    <w:rsid w:val="00885B85"/>
    <w:rsid w:val="00886AF2"/>
    <w:rsid w:val="00890363"/>
    <w:rsid w:val="00891388"/>
    <w:rsid w:val="00891F11"/>
    <w:rsid w:val="00892C84"/>
    <w:rsid w:val="00893025"/>
    <w:rsid w:val="008939F4"/>
    <w:rsid w:val="008948FE"/>
    <w:rsid w:val="00894A46"/>
    <w:rsid w:val="008962BF"/>
    <w:rsid w:val="00896353"/>
    <w:rsid w:val="00896CCB"/>
    <w:rsid w:val="008A1754"/>
    <w:rsid w:val="008A28A9"/>
    <w:rsid w:val="008A2B09"/>
    <w:rsid w:val="008A3248"/>
    <w:rsid w:val="008A425C"/>
    <w:rsid w:val="008A42E1"/>
    <w:rsid w:val="008A7484"/>
    <w:rsid w:val="008A7D43"/>
    <w:rsid w:val="008B0281"/>
    <w:rsid w:val="008B0450"/>
    <w:rsid w:val="008B3228"/>
    <w:rsid w:val="008B4076"/>
    <w:rsid w:val="008B44C4"/>
    <w:rsid w:val="008B4F17"/>
    <w:rsid w:val="008B5ACE"/>
    <w:rsid w:val="008B70CE"/>
    <w:rsid w:val="008B7879"/>
    <w:rsid w:val="008C0018"/>
    <w:rsid w:val="008C090B"/>
    <w:rsid w:val="008C1DD8"/>
    <w:rsid w:val="008C28AD"/>
    <w:rsid w:val="008C2D2F"/>
    <w:rsid w:val="008C346D"/>
    <w:rsid w:val="008C3758"/>
    <w:rsid w:val="008C39AC"/>
    <w:rsid w:val="008C3CE6"/>
    <w:rsid w:val="008C52FB"/>
    <w:rsid w:val="008C54B7"/>
    <w:rsid w:val="008C5876"/>
    <w:rsid w:val="008C604C"/>
    <w:rsid w:val="008C6148"/>
    <w:rsid w:val="008C6887"/>
    <w:rsid w:val="008C6C13"/>
    <w:rsid w:val="008C70EA"/>
    <w:rsid w:val="008C7962"/>
    <w:rsid w:val="008C7FAD"/>
    <w:rsid w:val="008D1ADC"/>
    <w:rsid w:val="008D2420"/>
    <w:rsid w:val="008D2F28"/>
    <w:rsid w:val="008D3473"/>
    <w:rsid w:val="008D36DD"/>
    <w:rsid w:val="008D3919"/>
    <w:rsid w:val="008D3E62"/>
    <w:rsid w:val="008D4DE7"/>
    <w:rsid w:val="008D6AB6"/>
    <w:rsid w:val="008D7AD5"/>
    <w:rsid w:val="008D7B7E"/>
    <w:rsid w:val="008E09D1"/>
    <w:rsid w:val="008E10C8"/>
    <w:rsid w:val="008E1D55"/>
    <w:rsid w:val="008E3E16"/>
    <w:rsid w:val="008E4410"/>
    <w:rsid w:val="008E7E52"/>
    <w:rsid w:val="008E7FAE"/>
    <w:rsid w:val="008F0F36"/>
    <w:rsid w:val="008F1416"/>
    <w:rsid w:val="008F3100"/>
    <w:rsid w:val="008F4E46"/>
    <w:rsid w:val="008F7760"/>
    <w:rsid w:val="0090098F"/>
    <w:rsid w:val="00901332"/>
    <w:rsid w:val="00901556"/>
    <w:rsid w:val="00901E59"/>
    <w:rsid w:val="009028F3"/>
    <w:rsid w:val="0090498A"/>
    <w:rsid w:val="00904E96"/>
    <w:rsid w:val="00904EC4"/>
    <w:rsid w:val="0090527D"/>
    <w:rsid w:val="00905FBF"/>
    <w:rsid w:val="009070FC"/>
    <w:rsid w:val="009105B4"/>
    <w:rsid w:val="0091178E"/>
    <w:rsid w:val="009117E5"/>
    <w:rsid w:val="00911A33"/>
    <w:rsid w:val="00911BF7"/>
    <w:rsid w:val="00912093"/>
    <w:rsid w:val="00912869"/>
    <w:rsid w:val="009128BC"/>
    <w:rsid w:val="0091398E"/>
    <w:rsid w:val="00913CA2"/>
    <w:rsid w:val="00914EC7"/>
    <w:rsid w:val="00915AEE"/>
    <w:rsid w:val="00916792"/>
    <w:rsid w:val="00916B32"/>
    <w:rsid w:val="00917113"/>
    <w:rsid w:val="009204D2"/>
    <w:rsid w:val="00920659"/>
    <w:rsid w:val="009211D4"/>
    <w:rsid w:val="00921F52"/>
    <w:rsid w:val="009227B6"/>
    <w:rsid w:val="00922B7C"/>
    <w:rsid w:val="00923E18"/>
    <w:rsid w:val="009267F1"/>
    <w:rsid w:val="009279E7"/>
    <w:rsid w:val="00930892"/>
    <w:rsid w:val="00931042"/>
    <w:rsid w:val="0093108A"/>
    <w:rsid w:val="0093159D"/>
    <w:rsid w:val="009320E0"/>
    <w:rsid w:val="00933E3D"/>
    <w:rsid w:val="0093401C"/>
    <w:rsid w:val="009342AD"/>
    <w:rsid w:val="00934799"/>
    <w:rsid w:val="00934D4C"/>
    <w:rsid w:val="00936388"/>
    <w:rsid w:val="00936F5A"/>
    <w:rsid w:val="00937128"/>
    <w:rsid w:val="00940750"/>
    <w:rsid w:val="00940967"/>
    <w:rsid w:val="00941056"/>
    <w:rsid w:val="00941BAD"/>
    <w:rsid w:val="009421DE"/>
    <w:rsid w:val="00942EC6"/>
    <w:rsid w:val="00944BFA"/>
    <w:rsid w:val="009463ED"/>
    <w:rsid w:val="009470BD"/>
    <w:rsid w:val="00950720"/>
    <w:rsid w:val="00950FD3"/>
    <w:rsid w:val="00952A6D"/>
    <w:rsid w:val="00952FDB"/>
    <w:rsid w:val="00954692"/>
    <w:rsid w:val="00955275"/>
    <w:rsid w:val="009556DB"/>
    <w:rsid w:val="0095574D"/>
    <w:rsid w:val="00955BEC"/>
    <w:rsid w:val="009560B5"/>
    <w:rsid w:val="0095667F"/>
    <w:rsid w:val="00957A14"/>
    <w:rsid w:val="00960691"/>
    <w:rsid w:val="009618D5"/>
    <w:rsid w:val="00961A12"/>
    <w:rsid w:val="00962C19"/>
    <w:rsid w:val="00963E6C"/>
    <w:rsid w:val="0096487B"/>
    <w:rsid w:val="00964B4C"/>
    <w:rsid w:val="00964F18"/>
    <w:rsid w:val="00965C1B"/>
    <w:rsid w:val="00970F6B"/>
    <w:rsid w:val="00971562"/>
    <w:rsid w:val="009720E7"/>
    <w:rsid w:val="00975F2A"/>
    <w:rsid w:val="00975FF3"/>
    <w:rsid w:val="00977903"/>
    <w:rsid w:val="00977EC8"/>
    <w:rsid w:val="00980780"/>
    <w:rsid w:val="00981825"/>
    <w:rsid w:val="00981B47"/>
    <w:rsid w:val="00981ED3"/>
    <w:rsid w:val="00982C46"/>
    <w:rsid w:val="00983DA0"/>
    <w:rsid w:val="00984C95"/>
    <w:rsid w:val="00986604"/>
    <w:rsid w:val="009878A4"/>
    <w:rsid w:val="00992E91"/>
    <w:rsid w:val="00992F89"/>
    <w:rsid w:val="0099350F"/>
    <w:rsid w:val="009936D7"/>
    <w:rsid w:val="00993A8D"/>
    <w:rsid w:val="009948E3"/>
    <w:rsid w:val="00994A78"/>
    <w:rsid w:val="00995D02"/>
    <w:rsid w:val="00996049"/>
    <w:rsid w:val="00996777"/>
    <w:rsid w:val="00997058"/>
    <w:rsid w:val="009A09FE"/>
    <w:rsid w:val="009A1141"/>
    <w:rsid w:val="009A115D"/>
    <w:rsid w:val="009A1570"/>
    <w:rsid w:val="009A2224"/>
    <w:rsid w:val="009A2360"/>
    <w:rsid w:val="009A2C4E"/>
    <w:rsid w:val="009A3138"/>
    <w:rsid w:val="009A321F"/>
    <w:rsid w:val="009A3A97"/>
    <w:rsid w:val="009A3D55"/>
    <w:rsid w:val="009A45C7"/>
    <w:rsid w:val="009A4ECA"/>
    <w:rsid w:val="009A53E5"/>
    <w:rsid w:val="009A68C1"/>
    <w:rsid w:val="009A6A9E"/>
    <w:rsid w:val="009A7017"/>
    <w:rsid w:val="009A7827"/>
    <w:rsid w:val="009A7A3E"/>
    <w:rsid w:val="009B0AE7"/>
    <w:rsid w:val="009B229F"/>
    <w:rsid w:val="009B280E"/>
    <w:rsid w:val="009B32F4"/>
    <w:rsid w:val="009B3665"/>
    <w:rsid w:val="009B38EA"/>
    <w:rsid w:val="009B3972"/>
    <w:rsid w:val="009B4452"/>
    <w:rsid w:val="009B48A4"/>
    <w:rsid w:val="009B515F"/>
    <w:rsid w:val="009B627F"/>
    <w:rsid w:val="009B7AE1"/>
    <w:rsid w:val="009C00A3"/>
    <w:rsid w:val="009C057A"/>
    <w:rsid w:val="009C22A1"/>
    <w:rsid w:val="009C2718"/>
    <w:rsid w:val="009C4606"/>
    <w:rsid w:val="009D07E6"/>
    <w:rsid w:val="009D1C76"/>
    <w:rsid w:val="009D1E5B"/>
    <w:rsid w:val="009D3A8C"/>
    <w:rsid w:val="009D481F"/>
    <w:rsid w:val="009D5C5F"/>
    <w:rsid w:val="009D60B4"/>
    <w:rsid w:val="009D64C4"/>
    <w:rsid w:val="009E1674"/>
    <w:rsid w:val="009E352A"/>
    <w:rsid w:val="009E40CB"/>
    <w:rsid w:val="009E4BFE"/>
    <w:rsid w:val="009E5160"/>
    <w:rsid w:val="009E7956"/>
    <w:rsid w:val="009E7F5F"/>
    <w:rsid w:val="009F00EB"/>
    <w:rsid w:val="009F02FE"/>
    <w:rsid w:val="009F0985"/>
    <w:rsid w:val="009F1089"/>
    <w:rsid w:val="009F1B84"/>
    <w:rsid w:val="009F2AD9"/>
    <w:rsid w:val="009F3A13"/>
    <w:rsid w:val="009F3C70"/>
    <w:rsid w:val="009F3FAD"/>
    <w:rsid w:val="009F6BF5"/>
    <w:rsid w:val="009F7105"/>
    <w:rsid w:val="009F78FD"/>
    <w:rsid w:val="009F7DCC"/>
    <w:rsid w:val="00A00BB7"/>
    <w:rsid w:val="00A0313F"/>
    <w:rsid w:val="00A03BC2"/>
    <w:rsid w:val="00A04F31"/>
    <w:rsid w:val="00A050FA"/>
    <w:rsid w:val="00A056EB"/>
    <w:rsid w:val="00A05976"/>
    <w:rsid w:val="00A06EC3"/>
    <w:rsid w:val="00A102E3"/>
    <w:rsid w:val="00A103AF"/>
    <w:rsid w:val="00A10F5F"/>
    <w:rsid w:val="00A133A9"/>
    <w:rsid w:val="00A1345E"/>
    <w:rsid w:val="00A135B8"/>
    <w:rsid w:val="00A14E46"/>
    <w:rsid w:val="00A157F1"/>
    <w:rsid w:val="00A16533"/>
    <w:rsid w:val="00A1791D"/>
    <w:rsid w:val="00A21731"/>
    <w:rsid w:val="00A219B9"/>
    <w:rsid w:val="00A21A8C"/>
    <w:rsid w:val="00A22F84"/>
    <w:rsid w:val="00A2409B"/>
    <w:rsid w:val="00A2435C"/>
    <w:rsid w:val="00A2492E"/>
    <w:rsid w:val="00A24CAA"/>
    <w:rsid w:val="00A24D1F"/>
    <w:rsid w:val="00A24FEE"/>
    <w:rsid w:val="00A26FAB"/>
    <w:rsid w:val="00A319C7"/>
    <w:rsid w:val="00A326FA"/>
    <w:rsid w:val="00A33846"/>
    <w:rsid w:val="00A3488B"/>
    <w:rsid w:val="00A34891"/>
    <w:rsid w:val="00A349B9"/>
    <w:rsid w:val="00A3597A"/>
    <w:rsid w:val="00A35E18"/>
    <w:rsid w:val="00A363C2"/>
    <w:rsid w:val="00A37569"/>
    <w:rsid w:val="00A3791E"/>
    <w:rsid w:val="00A37B57"/>
    <w:rsid w:val="00A40C86"/>
    <w:rsid w:val="00A4137C"/>
    <w:rsid w:val="00A41487"/>
    <w:rsid w:val="00A42102"/>
    <w:rsid w:val="00A426F9"/>
    <w:rsid w:val="00A435BA"/>
    <w:rsid w:val="00A439FC"/>
    <w:rsid w:val="00A447F2"/>
    <w:rsid w:val="00A455E2"/>
    <w:rsid w:val="00A472EE"/>
    <w:rsid w:val="00A47D22"/>
    <w:rsid w:val="00A508D9"/>
    <w:rsid w:val="00A50BA1"/>
    <w:rsid w:val="00A51240"/>
    <w:rsid w:val="00A51823"/>
    <w:rsid w:val="00A52538"/>
    <w:rsid w:val="00A53C17"/>
    <w:rsid w:val="00A545C7"/>
    <w:rsid w:val="00A5497B"/>
    <w:rsid w:val="00A5529C"/>
    <w:rsid w:val="00A55C74"/>
    <w:rsid w:val="00A55D63"/>
    <w:rsid w:val="00A566C8"/>
    <w:rsid w:val="00A56AF4"/>
    <w:rsid w:val="00A56DE6"/>
    <w:rsid w:val="00A57313"/>
    <w:rsid w:val="00A6018E"/>
    <w:rsid w:val="00A61F33"/>
    <w:rsid w:val="00A6282D"/>
    <w:rsid w:val="00A62D08"/>
    <w:rsid w:val="00A62FF4"/>
    <w:rsid w:val="00A63120"/>
    <w:rsid w:val="00A64329"/>
    <w:rsid w:val="00A65C2E"/>
    <w:rsid w:val="00A65E1D"/>
    <w:rsid w:val="00A6629C"/>
    <w:rsid w:val="00A663CA"/>
    <w:rsid w:val="00A667AB"/>
    <w:rsid w:val="00A67496"/>
    <w:rsid w:val="00A67E2B"/>
    <w:rsid w:val="00A70163"/>
    <w:rsid w:val="00A70C26"/>
    <w:rsid w:val="00A70EF3"/>
    <w:rsid w:val="00A70F3A"/>
    <w:rsid w:val="00A71547"/>
    <w:rsid w:val="00A73A07"/>
    <w:rsid w:val="00A751B4"/>
    <w:rsid w:val="00A754DB"/>
    <w:rsid w:val="00A75507"/>
    <w:rsid w:val="00A76F9F"/>
    <w:rsid w:val="00A80F82"/>
    <w:rsid w:val="00A82C48"/>
    <w:rsid w:val="00A847B0"/>
    <w:rsid w:val="00A85D98"/>
    <w:rsid w:val="00A90131"/>
    <w:rsid w:val="00A907BC"/>
    <w:rsid w:val="00A90CDF"/>
    <w:rsid w:val="00A9169C"/>
    <w:rsid w:val="00A91A89"/>
    <w:rsid w:val="00A926CB"/>
    <w:rsid w:val="00A963FB"/>
    <w:rsid w:val="00A9646C"/>
    <w:rsid w:val="00A971A9"/>
    <w:rsid w:val="00A97264"/>
    <w:rsid w:val="00A97414"/>
    <w:rsid w:val="00A974C3"/>
    <w:rsid w:val="00A97DE0"/>
    <w:rsid w:val="00AA1429"/>
    <w:rsid w:val="00AA169F"/>
    <w:rsid w:val="00AA1932"/>
    <w:rsid w:val="00AA1DB5"/>
    <w:rsid w:val="00AA3C33"/>
    <w:rsid w:val="00AA4174"/>
    <w:rsid w:val="00AA477F"/>
    <w:rsid w:val="00AA4811"/>
    <w:rsid w:val="00AA67FD"/>
    <w:rsid w:val="00AB0493"/>
    <w:rsid w:val="00AB0626"/>
    <w:rsid w:val="00AB080B"/>
    <w:rsid w:val="00AB0BCE"/>
    <w:rsid w:val="00AB21D5"/>
    <w:rsid w:val="00AB279F"/>
    <w:rsid w:val="00AB42A6"/>
    <w:rsid w:val="00AB5C15"/>
    <w:rsid w:val="00AB62DE"/>
    <w:rsid w:val="00AB6520"/>
    <w:rsid w:val="00AB6D3F"/>
    <w:rsid w:val="00AC00AD"/>
    <w:rsid w:val="00AC1605"/>
    <w:rsid w:val="00AC163E"/>
    <w:rsid w:val="00AC17D7"/>
    <w:rsid w:val="00AC1980"/>
    <w:rsid w:val="00AC22AC"/>
    <w:rsid w:val="00AC39A0"/>
    <w:rsid w:val="00AC48E7"/>
    <w:rsid w:val="00AC4A31"/>
    <w:rsid w:val="00AC67A1"/>
    <w:rsid w:val="00AC74B8"/>
    <w:rsid w:val="00AC7977"/>
    <w:rsid w:val="00AD01FF"/>
    <w:rsid w:val="00AD0732"/>
    <w:rsid w:val="00AD0EAA"/>
    <w:rsid w:val="00AD1652"/>
    <w:rsid w:val="00AD1F04"/>
    <w:rsid w:val="00AD2D7A"/>
    <w:rsid w:val="00AD2FB6"/>
    <w:rsid w:val="00AD4644"/>
    <w:rsid w:val="00AD4754"/>
    <w:rsid w:val="00AD4AE1"/>
    <w:rsid w:val="00AD4CB4"/>
    <w:rsid w:val="00AD506E"/>
    <w:rsid w:val="00AD56A1"/>
    <w:rsid w:val="00AD5DC5"/>
    <w:rsid w:val="00AD79AF"/>
    <w:rsid w:val="00AE0D21"/>
    <w:rsid w:val="00AE1636"/>
    <w:rsid w:val="00AE16CE"/>
    <w:rsid w:val="00AE1A84"/>
    <w:rsid w:val="00AE2051"/>
    <w:rsid w:val="00AE28E3"/>
    <w:rsid w:val="00AE2C45"/>
    <w:rsid w:val="00AE352C"/>
    <w:rsid w:val="00AE656F"/>
    <w:rsid w:val="00AE698F"/>
    <w:rsid w:val="00AE6DBE"/>
    <w:rsid w:val="00AE794F"/>
    <w:rsid w:val="00AF3617"/>
    <w:rsid w:val="00AF3F1F"/>
    <w:rsid w:val="00AF462F"/>
    <w:rsid w:val="00AF5C5D"/>
    <w:rsid w:val="00AF7B3E"/>
    <w:rsid w:val="00B000BA"/>
    <w:rsid w:val="00B00816"/>
    <w:rsid w:val="00B009BC"/>
    <w:rsid w:val="00B00F9B"/>
    <w:rsid w:val="00B014EB"/>
    <w:rsid w:val="00B01CE9"/>
    <w:rsid w:val="00B02105"/>
    <w:rsid w:val="00B0320A"/>
    <w:rsid w:val="00B06CBA"/>
    <w:rsid w:val="00B0786E"/>
    <w:rsid w:val="00B10900"/>
    <w:rsid w:val="00B113D2"/>
    <w:rsid w:val="00B115EC"/>
    <w:rsid w:val="00B11D0C"/>
    <w:rsid w:val="00B11FA9"/>
    <w:rsid w:val="00B11FED"/>
    <w:rsid w:val="00B12AB4"/>
    <w:rsid w:val="00B13CFE"/>
    <w:rsid w:val="00B15BC3"/>
    <w:rsid w:val="00B16048"/>
    <w:rsid w:val="00B178C0"/>
    <w:rsid w:val="00B17E70"/>
    <w:rsid w:val="00B20204"/>
    <w:rsid w:val="00B20C7B"/>
    <w:rsid w:val="00B20E76"/>
    <w:rsid w:val="00B21B20"/>
    <w:rsid w:val="00B22DC5"/>
    <w:rsid w:val="00B23053"/>
    <w:rsid w:val="00B24B4F"/>
    <w:rsid w:val="00B2541E"/>
    <w:rsid w:val="00B25600"/>
    <w:rsid w:val="00B25A6C"/>
    <w:rsid w:val="00B279B9"/>
    <w:rsid w:val="00B27D3A"/>
    <w:rsid w:val="00B300A4"/>
    <w:rsid w:val="00B302C9"/>
    <w:rsid w:val="00B3162B"/>
    <w:rsid w:val="00B31F8D"/>
    <w:rsid w:val="00B325BC"/>
    <w:rsid w:val="00B3277F"/>
    <w:rsid w:val="00B3280D"/>
    <w:rsid w:val="00B32E2D"/>
    <w:rsid w:val="00B32EA3"/>
    <w:rsid w:val="00B34FF7"/>
    <w:rsid w:val="00B36265"/>
    <w:rsid w:val="00B367AE"/>
    <w:rsid w:val="00B3721A"/>
    <w:rsid w:val="00B40613"/>
    <w:rsid w:val="00B412F8"/>
    <w:rsid w:val="00B4144F"/>
    <w:rsid w:val="00B41FF4"/>
    <w:rsid w:val="00B433ED"/>
    <w:rsid w:val="00B4466B"/>
    <w:rsid w:val="00B44820"/>
    <w:rsid w:val="00B50AD7"/>
    <w:rsid w:val="00B532D6"/>
    <w:rsid w:val="00B533EA"/>
    <w:rsid w:val="00B53D3E"/>
    <w:rsid w:val="00B54A7C"/>
    <w:rsid w:val="00B54F65"/>
    <w:rsid w:val="00B55129"/>
    <w:rsid w:val="00B56B07"/>
    <w:rsid w:val="00B57160"/>
    <w:rsid w:val="00B573C6"/>
    <w:rsid w:val="00B61990"/>
    <w:rsid w:val="00B61D66"/>
    <w:rsid w:val="00B638AD"/>
    <w:rsid w:val="00B639FA"/>
    <w:rsid w:val="00B653CC"/>
    <w:rsid w:val="00B65508"/>
    <w:rsid w:val="00B70508"/>
    <w:rsid w:val="00B706B3"/>
    <w:rsid w:val="00B71650"/>
    <w:rsid w:val="00B72902"/>
    <w:rsid w:val="00B73F31"/>
    <w:rsid w:val="00B74F76"/>
    <w:rsid w:val="00B7570F"/>
    <w:rsid w:val="00B778BF"/>
    <w:rsid w:val="00B80BE3"/>
    <w:rsid w:val="00B82108"/>
    <w:rsid w:val="00B83AD7"/>
    <w:rsid w:val="00B83BE4"/>
    <w:rsid w:val="00B84400"/>
    <w:rsid w:val="00B8486B"/>
    <w:rsid w:val="00B85D99"/>
    <w:rsid w:val="00B867C5"/>
    <w:rsid w:val="00B869AF"/>
    <w:rsid w:val="00B87B97"/>
    <w:rsid w:val="00B91991"/>
    <w:rsid w:val="00B927C7"/>
    <w:rsid w:val="00B93033"/>
    <w:rsid w:val="00B93E72"/>
    <w:rsid w:val="00B9683F"/>
    <w:rsid w:val="00B96C98"/>
    <w:rsid w:val="00B9764D"/>
    <w:rsid w:val="00B97A4D"/>
    <w:rsid w:val="00BA0B84"/>
    <w:rsid w:val="00BA18CF"/>
    <w:rsid w:val="00BA20F0"/>
    <w:rsid w:val="00BA2AFD"/>
    <w:rsid w:val="00BA2B3B"/>
    <w:rsid w:val="00BA2F7C"/>
    <w:rsid w:val="00BA3A7E"/>
    <w:rsid w:val="00BA3EC2"/>
    <w:rsid w:val="00BA5166"/>
    <w:rsid w:val="00BA5C78"/>
    <w:rsid w:val="00BB0CEA"/>
    <w:rsid w:val="00BB1AFA"/>
    <w:rsid w:val="00BB1F39"/>
    <w:rsid w:val="00BB2721"/>
    <w:rsid w:val="00BB3251"/>
    <w:rsid w:val="00BB41A8"/>
    <w:rsid w:val="00BB43AB"/>
    <w:rsid w:val="00BB5994"/>
    <w:rsid w:val="00BB6840"/>
    <w:rsid w:val="00BB69D0"/>
    <w:rsid w:val="00BC12A3"/>
    <w:rsid w:val="00BC150F"/>
    <w:rsid w:val="00BC205E"/>
    <w:rsid w:val="00BC4943"/>
    <w:rsid w:val="00BC6713"/>
    <w:rsid w:val="00BC6718"/>
    <w:rsid w:val="00BC7C4F"/>
    <w:rsid w:val="00BD1D5E"/>
    <w:rsid w:val="00BD46E0"/>
    <w:rsid w:val="00BD4C3C"/>
    <w:rsid w:val="00BD4F5D"/>
    <w:rsid w:val="00BD6F1A"/>
    <w:rsid w:val="00BD71C8"/>
    <w:rsid w:val="00BD771C"/>
    <w:rsid w:val="00BD791E"/>
    <w:rsid w:val="00BD7960"/>
    <w:rsid w:val="00BD7A93"/>
    <w:rsid w:val="00BD7E1A"/>
    <w:rsid w:val="00BE0841"/>
    <w:rsid w:val="00BE0A14"/>
    <w:rsid w:val="00BE15E7"/>
    <w:rsid w:val="00BE180A"/>
    <w:rsid w:val="00BE19B8"/>
    <w:rsid w:val="00BE2526"/>
    <w:rsid w:val="00BE2ABF"/>
    <w:rsid w:val="00BE34CB"/>
    <w:rsid w:val="00BE45C8"/>
    <w:rsid w:val="00BE4BCF"/>
    <w:rsid w:val="00BE6EE7"/>
    <w:rsid w:val="00BE78EB"/>
    <w:rsid w:val="00BE7B88"/>
    <w:rsid w:val="00BF0556"/>
    <w:rsid w:val="00BF121A"/>
    <w:rsid w:val="00BF122E"/>
    <w:rsid w:val="00BF2655"/>
    <w:rsid w:val="00BF267B"/>
    <w:rsid w:val="00BF2A89"/>
    <w:rsid w:val="00BF4041"/>
    <w:rsid w:val="00BF4C3A"/>
    <w:rsid w:val="00BF62D7"/>
    <w:rsid w:val="00BF679C"/>
    <w:rsid w:val="00BF6A48"/>
    <w:rsid w:val="00C00EAC"/>
    <w:rsid w:val="00C01583"/>
    <w:rsid w:val="00C01966"/>
    <w:rsid w:val="00C01D99"/>
    <w:rsid w:val="00C021FE"/>
    <w:rsid w:val="00C03F4A"/>
    <w:rsid w:val="00C040AC"/>
    <w:rsid w:val="00C04A87"/>
    <w:rsid w:val="00C06CEE"/>
    <w:rsid w:val="00C0739E"/>
    <w:rsid w:val="00C077B2"/>
    <w:rsid w:val="00C07B09"/>
    <w:rsid w:val="00C11802"/>
    <w:rsid w:val="00C131F3"/>
    <w:rsid w:val="00C13EF8"/>
    <w:rsid w:val="00C145BF"/>
    <w:rsid w:val="00C15B36"/>
    <w:rsid w:val="00C15DEE"/>
    <w:rsid w:val="00C16BB7"/>
    <w:rsid w:val="00C17138"/>
    <w:rsid w:val="00C21B82"/>
    <w:rsid w:val="00C22B8B"/>
    <w:rsid w:val="00C22E64"/>
    <w:rsid w:val="00C24B53"/>
    <w:rsid w:val="00C24E22"/>
    <w:rsid w:val="00C25547"/>
    <w:rsid w:val="00C261F8"/>
    <w:rsid w:val="00C2665A"/>
    <w:rsid w:val="00C30775"/>
    <w:rsid w:val="00C30EAF"/>
    <w:rsid w:val="00C3265D"/>
    <w:rsid w:val="00C329CE"/>
    <w:rsid w:val="00C33100"/>
    <w:rsid w:val="00C3460E"/>
    <w:rsid w:val="00C3499D"/>
    <w:rsid w:val="00C3516D"/>
    <w:rsid w:val="00C36786"/>
    <w:rsid w:val="00C3680E"/>
    <w:rsid w:val="00C36EC2"/>
    <w:rsid w:val="00C3748E"/>
    <w:rsid w:val="00C37519"/>
    <w:rsid w:val="00C37521"/>
    <w:rsid w:val="00C414C5"/>
    <w:rsid w:val="00C44A48"/>
    <w:rsid w:val="00C450C2"/>
    <w:rsid w:val="00C4571C"/>
    <w:rsid w:val="00C46A63"/>
    <w:rsid w:val="00C47920"/>
    <w:rsid w:val="00C504E7"/>
    <w:rsid w:val="00C528F3"/>
    <w:rsid w:val="00C52995"/>
    <w:rsid w:val="00C53223"/>
    <w:rsid w:val="00C5325A"/>
    <w:rsid w:val="00C53BAF"/>
    <w:rsid w:val="00C53CCE"/>
    <w:rsid w:val="00C54AA6"/>
    <w:rsid w:val="00C559C1"/>
    <w:rsid w:val="00C56ECF"/>
    <w:rsid w:val="00C60530"/>
    <w:rsid w:val="00C60DF0"/>
    <w:rsid w:val="00C63328"/>
    <w:rsid w:val="00C63C61"/>
    <w:rsid w:val="00C64CE2"/>
    <w:rsid w:val="00C6508A"/>
    <w:rsid w:val="00C6664E"/>
    <w:rsid w:val="00C67AD2"/>
    <w:rsid w:val="00C70623"/>
    <w:rsid w:val="00C70CA1"/>
    <w:rsid w:val="00C7350D"/>
    <w:rsid w:val="00C74550"/>
    <w:rsid w:val="00C749D5"/>
    <w:rsid w:val="00C74E2D"/>
    <w:rsid w:val="00C75383"/>
    <w:rsid w:val="00C75525"/>
    <w:rsid w:val="00C757C6"/>
    <w:rsid w:val="00C75C94"/>
    <w:rsid w:val="00C76381"/>
    <w:rsid w:val="00C766CA"/>
    <w:rsid w:val="00C774C0"/>
    <w:rsid w:val="00C80964"/>
    <w:rsid w:val="00C80CB7"/>
    <w:rsid w:val="00C8165A"/>
    <w:rsid w:val="00C81DB5"/>
    <w:rsid w:val="00C8319F"/>
    <w:rsid w:val="00C83AC3"/>
    <w:rsid w:val="00C85C16"/>
    <w:rsid w:val="00C860F8"/>
    <w:rsid w:val="00C91ACD"/>
    <w:rsid w:val="00C92863"/>
    <w:rsid w:val="00C940E9"/>
    <w:rsid w:val="00C94120"/>
    <w:rsid w:val="00C94AB7"/>
    <w:rsid w:val="00C94C19"/>
    <w:rsid w:val="00C95322"/>
    <w:rsid w:val="00C95729"/>
    <w:rsid w:val="00C95960"/>
    <w:rsid w:val="00C95AAD"/>
    <w:rsid w:val="00C95E88"/>
    <w:rsid w:val="00C95EA0"/>
    <w:rsid w:val="00C96972"/>
    <w:rsid w:val="00C971C3"/>
    <w:rsid w:val="00C97CD6"/>
    <w:rsid w:val="00CA0C6D"/>
    <w:rsid w:val="00CA13E3"/>
    <w:rsid w:val="00CA23DA"/>
    <w:rsid w:val="00CA2B00"/>
    <w:rsid w:val="00CA4776"/>
    <w:rsid w:val="00CA4991"/>
    <w:rsid w:val="00CA49A6"/>
    <w:rsid w:val="00CA55E6"/>
    <w:rsid w:val="00CA7DEB"/>
    <w:rsid w:val="00CB0737"/>
    <w:rsid w:val="00CB086A"/>
    <w:rsid w:val="00CB1F1C"/>
    <w:rsid w:val="00CB2007"/>
    <w:rsid w:val="00CB2918"/>
    <w:rsid w:val="00CB2AA7"/>
    <w:rsid w:val="00CB2B15"/>
    <w:rsid w:val="00CB4498"/>
    <w:rsid w:val="00CB4C25"/>
    <w:rsid w:val="00CB60E1"/>
    <w:rsid w:val="00CB6267"/>
    <w:rsid w:val="00CB6DFC"/>
    <w:rsid w:val="00CB732E"/>
    <w:rsid w:val="00CB7E36"/>
    <w:rsid w:val="00CC1B9C"/>
    <w:rsid w:val="00CC27E2"/>
    <w:rsid w:val="00CC349C"/>
    <w:rsid w:val="00CC390D"/>
    <w:rsid w:val="00CC53FE"/>
    <w:rsid w:val="00CC5881"/>
    <w:rsid w:val="00CC623D"/>
    <w:rsid w:val="00CC69B4"/>
    <w:rsid w:val="00CC7328"/>
    <w:rsid w:val="00CC7498"/>
    <w:rsid w:val="00CC7A67"/>
    <w:rsid w:val="00CD0B47"/>
    <w:rsid w:val="00CD1A71"/>
    <w:rsid w:val="00CD1FBB"/>
    <w:rsid w:val="00CD213C"/>
    <w:rsid w:val="00CD35AF"/>
    <w:rsid w:val="00CD4058"/>
    <w:rsid w:val="00CD540D"/>
    <w:rsid w:val="00CD5B18"/>
    <w:rsid w:val="00CD711F"/>
    <w:rsid w:val="00CD7169"/>
    <w:rsid w:val="00CD74EB"/>
    <w:rsid w:val="00CD7C0E"/>
    <w:rsid w:val="00CD7CCC"/>
    <w:rsid w:val="00CE16A9"/>
    <w:rsid w:val="00CE21E5"/>
    <w:rsid w:val="00CE261B"/>
    <w:rsid w:val="00CE32FE"/>
    <w:rsid w:val="00CE341F"/>
    <w:rsid w:val="00CE39EA"/>
    <w:rsid w:val="00CE5A9C"/>
    <w:rsid w:val="00CE60A9"/>
    <w:rsid w:val="00CE7227"/>
    <w:rsid w:val="00CF22B0"/>
    <w:rsid w:val="00CF3FD0"/>
    <w:rsid w:val="00CF51FA"/>
    <w:rsid w:val="00CF5A0C"/>
    <w:rsid w:val="00CF6AA2"/>
    <w:rsid w:val="00CF7972"/>
    <w:rsid w:val="00CF7B91"/>
    <w:rsid w:val="00D013D9"/>
    <w:rsid w:val="00D013EA"/>
    <w:rsid w:val="00D016B5"/>
    <w:rsid w:val="00D01A31"/>
    <w:rsid w:val="00D01CC1"/>
    <w:rsid w:val="00D03493"/>
    <w:rsid w:val="00D034F1"/>
    <w:rsid w:val="00D044D0"/>
    <w:rsid w:val="00D04A50"/>
    <w:rsid w:val="00D06186"/>
    <w:rsid w:val="00D06DEF"/>
    <w:rsid w:val="00D10949"/>
    <w:rsid w:val="00D11B17"/>
    <w:rsid w:val="00D11DC3"/>
    <w:rsid w:val="00D11FC9"/>
    <w:rsid w:val="00D139C9"/>
    <w:rsid w:val="00D142CE"/>
    <w:rsid w:val="00D14DEA"/>
    <w:rsid w:val="00D15919"/>
    <w:rsid w:val="00D17AAA"/>
    <w:rsid w:val="00D17B35"/>
    <w:rsid w:val="00D201D9"/>
    <w:rsid w:val="00D218F8"/>
    <w:rsid w:val="00D24BE7"/>
    <w:rsid w:val="00D25100"/>
    <w:rsid w:val="00D255CF"/>
    <w:rsid w:val="00D274F4"/>
    <w:rsid w:val="00D276E5"/>
    <w:rsid w:val="00D277C8"/>
    <w:rsid w:val="00D27D5E"/>
    <w:rsid w:val="00D30ABC"/>
    <w:rsid w:val="00D3199E"/>
    <w:rsid w:val="00D32044"/>
    <w:rsid w:val="00D3305A"/>
    <w:rsid w:val="00D339D6"/>
    <w:rsid w:val="00D34E0B"/>
    <w:rsid w:val="00D34F90"/>
    <w:rsid w:val="00D35438"/>
    <w:rsid w:val="00D35905"/>
    <w:rsid w:val="00D35ADB"/>
    <w:rsid w:val="00D35D59"/>
    <w:rsid w:val="00D36BF3"/>
    <w:rsid w:val="00D36DDC"/>
    <w:rsid w:val="00D371F4"/>
    <w:rsid w:val="00D37F95"/>
    <w:rsid w:val="00D40FC2"/>
    <w:rsid w:val="00D42542"/>
    <w:rsid w:val="00D427BF"/>
    <w:rsid w:val="00D4480F"/>
    <w:rsid w:val="00D44EF3"/>
    <w:rsid w:val="00D459A2"/>
    <w:rsid w:val="00D47A16"/>
    <w:rsid w:val="00D520B5"/>
    <w:rsid w:val="00D5283A"/>
    <w:rsid w:val="00D52F36"/>
    <w:rsid w:val="00D53C56"/>
    <w:rsid w:val="00D54BE1"/>
    <w:rsid w:val="00D55716"/>
    <w:rsid w:val="00D564D3"/>
    <w:rsid w:val="00D566DA"/>
    <w:rsid w:val="00D56A9E"/>
    <w:rsid w:val="00D56E67"/>
    <w:rsid w:val="00D57082"/>
    <w:rsid w:val="00D5719F"/>
    <w:rsid w:val="00D57610"/>
    <w:rsid w:val="00D57C1E"/>
    <w:rsid w:val="00D57F15"/>
    <w:rsid w:val="00D60301"/>
    <w:rsid w:val="00D604F1"/>
    <w:rsid w:val="00D60D2B"/>
    <w:rsid w:val="00D621CA"/>
    <w:rsid w:val="00D62714"/>
    <w:rsid w:val="00D63183"/>
    <w:rsid w:val="00D6376E"/>
    <w:rsid w:val="00D6454D"/>
    <w:rsid w:val="00D65E0F"/>
    <w:rsid w:val="00D715F3"/>
    <w:rsid w:val="00D749EF"/>
    <w:rsid w:val="00D74C4B"/>
    <w:rsid w:val="00D753ED"/>
    <w:rsid w:val="00D756F2"/>
    <w:rsid w:val="00D76268"/>
    <w:rsid w:val="00D76640"/>
    <w:rsid w:val="00D777C4"/>
    <w:rsid w:val="00D803BB"/>
    <w:rsid w:val="00D80859"/>
    <w:rsid w:val="00D81837"/>
    <w:rsid w:val="00D82B89"/>
    <w:rsid w:val="00D83205"/>
    <w:rsid w:val="00D834ED"/>
    <w:rsid w:val="00D84C93"/>
    <w:rsid w:val="00D85A6E"/>
    <w:rsid w:val="00D8776E"/>
    <w:rsid w:val="00D904E5"/>
    <w:rsid w:val="00D9078E"/>
    <w:rsid w:val="00D9454D"/>
    <w:rsid w:val="00D94B6E"/>
    <w:rsid w:val="00D967C7"/>
    <w:rsid w:val="00D96BEB"/>
    <w:rsid w:val="00D97750"/>
    <w:rsid w:val="00DA069B"/>
    <w:rsid w:val="00DA07E2"/>
    <w:rsid w:val="00DA153B"/>
    <w:rsid w:val="00DA164D"/>
    <w:rsid w:val="00DA2422"/>
    <w:rsid w:val="00DA2909"/>
    <w:rsid w:val="00DA30FE"/>
    <w:rsid w:val="00DA33D0"/>
    <w:rsid w:val="00DA363C"/>
    <w:rsid w:val="00DA3B70"/>
    <w:rsid w:val="00DA4CEF"/>
    <w:rsid w:val="00DA57D4"/>
    <w:rsid w:val="00DA7672"/>
    <w:rsid w:val="00DA7B70"/>
    <w:rsid w:val="00DA7E1F"/>
    <w:rsid w:val="00DB2190"/>
    <w:rsid w:val="00DB317A"/>
    <w:rsid w:val="00DB42F7"/>
    <w:rsid w:val="00DB4793"/>
    <w:rsid w:val="00DB61C6"/>
    <w:rsid w:val="00DB6E20"/>
    <w:rsid w:val="00DB7425"/>
    <w:rsid w:val="00DC15D6"/>
    <w:rsid w:val="00DC21E7"/>
    <w:rsid w:val="00DC31CF"/>
    <w:rsid w:val="00DC3460"/>
    <w:rsid w:val="00DC4411"/>
    <w:rsid w:val="00DC441F"/>
    <w:rsid w:val="00DC4D7F"/>
    <w:rsid w:val="00DC549D"/>
    <w:rsid w:val="00DC6FF4"/>
    <w:rsid w:val="00DC73C4"/>
    <w:rsid w:val="00DC7940"/>
    <w:rsid w:val="00DC7958"/>
    <w:rsid w:val="00DC79CB"/>
    <w:rsid w:val="00DD0B7D"/>
    <w:rsid w:val="00DD221C"/>
    <w:rsid w:val="00DD29C0"/>
    <w:rsid w:val="00DD3462"/>
    <w:rsid w:val="00DD5B20"/>
    <w:rsid w:val="00DD62FC"/>
    <w:rsid w:val="00DD6E2C"/>
    <w:rsid w:val="00DD6FBB"/>
    <w:rsid w:val="00DD7D17"/>
    <w:rsid w:val="00DD7DAE"/>
    <w:rsid w:val="00DE01E3"/>
    <w:rsid w:val="00DE02E9"/>
    <w:rsid w:val="00DE0B9F"/>
    <w:rsid w:val="00DE17DD"/>
    <w:rsid w:val="00DE2D26"/>
    <w:rsid w:val="00DE38EA"/>
    <w:rsid w:val="00DE50C1"/>
    <w:rsid w:val="00DE6023"/>
    <w:rsid w:val="00DE6488"/>
    <w:rsid w:val="00DE6B0E"/>
    <w:rsid w:val="00DE6D90"/>
    <w:rsid w:val="00DE76E1"/>
    <w:rsid w:val="00DE7795"/>
    <w:rsid w:val="00DF002F"/>
    <w:rsid w:val="00DF0EDA"/>
    <w:rsid w:val="00DF16D5"/>
    <w:rsid w:val="00DF1833"/>
    <w:rsid w:val="00DF314C"/>
    <w:rsid w:val="00DF34B4"/>
    <w:rsid w:val="00DF4491"/>
    <w:rsid w:val="00DF665D"/>
    <w:rsid w:val="00DF668B"/>
    <w:rsid w:val="00DF7403"/>
    <w:rsid w:val="00DF7F90"/>
    <w:rsid w:val="00E00FA1"/>
    <w:rsid w:val="00E0170A"/>
    <w:rsid w:val="00E01A1C"/>
    <w:rsid w:val="00E01C81"/>
    <w:rsid w:val="00E01E15"/>
    <w:rsid w:val="00E0244D"/>
    <w:rsid w:val="00E026A8"/>
    <w:rsid w:val="00E02A4F"/>
    <w:rsid w:val="00E02DB7"/>
    <w:rsid w:val="00E03A64"/>
    <w:rsid w:val="00E03E9A"/>
    <w:rsid w:val="00E03EB7"/>
    <w:rsid w:val="00E0413C"/>
    <w:rsid w:val="00E047CB"/>
    <w:rsid w:val="00E04CA6"/>
    <w:rsid w:val="00E0546B"/>
    <w:rsid w:val="00E068D2"/>
    <w:rsid w:val="00E079ED"/>
    <w:rsid w:val="00E103FE"/>
    <w:rsid w:val="00E11C51"/>
    <w:rsid w:val="00E11E1A"/>
    <w:rsid w:val="00E12FAA"/>
    <w:rsid w:val="00E13E59"/>
    <w:rsid w:val="00E14106"/>
    <w:rsid w:val="00E15250"/>
    <w:rsid w:val="00E156F4"/>
    <w:rsid w:val="00E158BD"/>
    <w:rsid w:val="00E16C22"/>
    <w:rsid w:val="00E16EAA"/>
    <w:rsid w:val="00E212F0"/>
    <w:rsid w:val="00E24FC4"/>
    <w:rsid w:val="00E258E6"/>
    <w:rsid w:val="00E259A2"/>
    <w:rsid w:val="00E25B9F"/>
    <w:rsid w:val="00E25CEE"/>
    <w:rsid w:val="00E26679"/>
    <w:rsid w:val="00E26B01"/>
    <w:rsid w:val="00E26C31"/>
    <w:rsid w:val="00E27241"/>
    <w:rsid w:val="00E2750D"/>
    <w:rsid w:val="00E31AB4"/>
    <w:rsid w:val="00E32427"/>
    <w:rsid w:val="00E35D77"/>
    <w:rsid w:val="00E366EE"/>
    <w:rsid w:val="00E3702F"/>
    <w:rsid w:val="00E4109D"/>
    <w:rsid w:val="00E417DE"/>
    <w:rsid w:val="00E428CD"/>
    <w:rsid w:val="00E42D23"/>
    <w:rsid w:val="00E42F9B"/>
    <w:rsid w:val="00E4491D"/>
    <w:rsid w:val="00E44E7C"/>
    <w:rsid w:val="00E457C7"/>
    <w:rsid w:val="00E46601"/>
    <w:rsid w:val="00E467D9"/>
    <w:rsid w:val="00E47131"/>
    <w:rsid w:val="00E478D0"/>
    <w:rsid w:val="00E528F1"/>
    <w:rsid w:val="00E5304E"/>
    <w:rsid w:val="00E534E5"/>
    <w:rsid w:val="00E5392C"/>
    <w:rsid w:val="00E5414A"/>
    <w:rsid w:val="00E55963"/>
    <w:rsid w:val="00E55BB7"/>
    <w:rsid w:val="00E55C2C"/>
    <w:rsid w:val="00E55C50"/>
    <w:rsid w:val="00E55D71"/>
    <w:rsid w:val="00E562E5"/>
    <w:rsid w:val="00E57371"/>
    <w:rsid w:val="00E579FB"/>
    <w:rsid w:val="00E6036D"/>
    <w:rsid w:val="00E6068E"/>
    <w:rsid w:val="00E60EAA"/>
    <w:rsid w:val="00E61A2F"/>
    <w:rsid w:val="00E61A4E"/>
    <w:rsid w:val="00E61B79"/>
    <w:rsid w:val="00E62282"/>
    <w:rsid w:val="00E63421"/>
    <w:rsid w:val="00E643F2"/>
    <w:rsid w:val="00E646C3"/>
    <w:rsid w:val="00E654CF"/>
    <w:rsid w:val="00E65D2D"/>
    <w:rsid w:val="00E6756E"/>
    <w:rsid w:val="00E67BC5"/>
    <w:rsid w:val="00E67FDB"/>
    <w:rsid w:val="00E7016C"/>
    <w:rsid w:val="00E716A2"/>
    <w:rsid w:val="00E72753"/>
    <w:rsid w:val="00E72DBF"/>
    <w:rsid w:val="00E731F5"/>
    <w:rsid w:val="00E73CAF"/>
    <w:rsid w:val="00E74213"/>
    <w:rsid w:val="00E74A8A"/>
    <w:rsid w:val="00E74EC8"/>
    <w:rsid w:val="00E75398"/>
    <w:rsid w:val="00E769F6"/>
    <w:rsid w:val="00E806AF"/>
    <w:rsid w:val="00E8108F"/>
    <w:rsid w:val="00E81E94"/>
    <w:rsid w:val="00E81F87"/>
    <w:rsid w:val="00E82607"/>
    <w:rsid w:val="00E833AF"/>
    <w:rsid w:val="00E84BBA"/>
    <w:rsid w:val="00E84E79"/>
    <w:rsid w:val="00E85436"/>
    <w:rsid w:val="00E854B2"/>
    <w:rsid w:val="00E85DB5"/>
    <w:rsid w:val="00E904A7"/>
    <w:rsid w:val="00E910F9"/>
    <w:rsid w:val="00E92ADE"/>
    <w:rsid w:val="00E92C36"/>
    <w:rsid w:val="00E931AE"/>
    <w:rsid w:val="00E931D6"/>
    <w:rsid w:val="00E9338B"/>
    <w:rsid w:val="00E951C4"/>
    <w:rsid w:val="00E9581D"/>
    <w:rsid w:val="00E95973"/>
    <w:rsid w:val="00E978A0"/>
    <w:rsid w:val="00EA31C2"/>
    <w:rsid w:val="00EA440B"/>
    <w:rsid w:val="00EA4B20"/>
    <w:rsid w:val="00EA4F92"/>
    <w:rsid w:val="00EA773A"/>
    <w:rsid w:val="00EB0196"/>
    <w:rsid w:val="00EB04A0"/>
    <w:rsid w:val="00EB1531"/>
    <w:rsid w:val="00EB1CCD"/>
    <w:rsid w:val="00EB271D"/>
    <w:rsid w:val="00EB2792"/>
    <w:rsid w:val="00EB349B"/>
    <w:rsid w:val="00EB34CE"/>
    <w:rsid w:val="00EB4F80"/>
    <w:rsid w:val="00EB55A8"/>
    <w:rsid w:val="00EB6263"/>
    <w:rsid w:val="00EB7551"/>
    <w:rsid w:val="00EB7C7C"/>
    <w:rsid w:val="00EB7F14"/>
    <w:rsid w:val="00EC2CF9"/>
    <w:rsid w:val="00EC2E14"/>
    <w:rsid w:val="00EC6B8B"/>
    <w:rsid w:val="00ED0A27"/>
    <w:rsid w:val="00ED0AA7"/>
    <w:rsid w:val="00ED2844"/>
    <w:rsid w:val="00ED2EDD"/>
    <w:rsid w:val="00ED3E37"/>
    <w:rsid w:val="00ED799D"/>
    <w:rsid w:val="00ED7FBA"/>
    <w:rsid w:val="00EE2EA3"/>
    <w:rsid w:val="00EE586E"/>
    <w:rsid w:val="00EE5DDE"/>
    <w:rsid w:val="00EE608B"/>
    <w:rsid w:val="00EE633B"/>
    <w:rsid w:val="00EE6490"/>
    <w:rsid w:val="00EE64FE"/>
    <w:rsid w:val="00EE6DC4"/>
    <w:rsid w:val="00EE72CB"/>
    <w:rsid w:val="00EE783B"/>
    <w:rsid w:val="00EF1BC9"/>
    <w:rsid w:val="00EF339A"/>
    <w:rsid w:val="00EF3A5B"/>
    <w:rsid w:val="00EF59F4"/>
    <w:rsid w:val="00EF6183"/>
    <w:rsid w:val="00EF73A7"/>
    <w:rsid w:val="00F00678"/>
    <w:rsid w:val="00F01516"/>
    <w:rsid w:val="00F0187C"/>
    <w:rsid w:val="00F01E1A"/>
    <w:rsid w:val="00F01FF2"/>
    <w:rsid w:val="00F04C57"/>
    <w:rsid w:val="00F04FF7"/>
    <w:rsid w:val="00F056EC"/>
    <w:rsid w:val="00F060A8"/>
    <w:rsid w:val="00F06C2A"/>
    <w:rsid w:val="00F07887"/>
    <w:rsid w:val="00F1030C"/>
    <w:rsid w:val="00F1071C"/>
    <w:rsid w:val="00F108B4"/>
    <w:rsid w:val="00F11494"/>
    <w:rsid w:val="00F1175A"/>
    <w:rsid w:val="00F125DB"/>
    <w:rsid w:val="00F14CEC"/>
    <w:rsid w:val="00F15C00"/>
    <w:rsid w:val="00F15E15"/>
    <w:rsid w:val="00F1611F"/>
    <w:rsid w:val="00F16AC6"/>
    <w:rsid w:val="00F20C8B"/>
    <w:rsid w:val="00F20CAB"/>
    <w:rsid w:val="00F2188A"/>
    <w:rsid w:val="00F2242C"/>
    <w:rsid w:val="00F2438C"/>
    <w:rsid w:val="00F24B9F"/>
    <w:rsid w:val="00F25D37"/>
    <w:rsid w:val="00F25F2C"/>
    <w:rsid w:val="00F27033"/>
    <w:rsid w:val="00F270FD"/>
    <w:rsid w:val="00F2749D"/>
    <w:rsid w:val="00F27BC0"/>
    <w:rsid w:val="00F30D47"/>
    <w:rsid w:val="00F317D6"/>
    <w:rsid w:val="00F3201D"/>
    <w:rsid w:val="00F329FC"/>
    <w:rsid w:val="00F34DB3"/>
    <w:rsid w:val="00F36E9E"/>
    <w:rsid w:val="00F37265"/>
    <w:rsid w:val="00F400C1"/>
    <w:rsid w:val="00F40135"/>
    <w:rsid w:val="00F413C9"/>
    <w:rsid w:val="00F421CB"/>
    <w:rsid w:val="00F426E2"/>
    <w:rsid w:val="00F436E6"/>
    <w:rsid w:val="00F447F6"/>
    <w:rsid w:val="00F47712"/>
    <w:rsid w:val="00F50DDA"/>
    <w:rsid w:val="00F51CBB"/>
    <w:rsid w:val="00F51F96"/>
    <w:rsid w:val="00F52711"/>
    <w:rsid w:val="00F54503"/>
    <w:rsid w:val="00F5473B"/>
    <w:rsid w:val="00F54E2D"/>
    <w:rsid w:val="00F56037"/>
    <w:rsid w:val="00F5626C"/>
    <w:rsid w:val="00F56D20"/>
    <w:rsid w:val="00F57129"/>
    <w:rsid w:val="00F60122"/>
    <w:rsid w:val="00F60C3A"/>
    <w:rsid w:val="00F60DCA"/>
    <w:rsid w:val="00F60F81"/>
    <w:rsid w:val="00F610A1"/>
    <w:rsid w:val="00F614CA"/>
    <w:rsid w:val="00F616B6"/>
    <w:rsid w:val="00F627AE"/>
    <w:rsid w:val="00F6284B"/>
    <w:rsid w:val="00F62C72"/>
    <w:rsid w:val="00F633F6"/>
    <w:rsid w:val="00F63624"/>
    <w:rsid w:val="00F6679D"/>
    <w:rsid w:val="00F66822"/>
    <w:rsid w:val="00F70B70"/>
    <w:rsid w:val="00F70D48"/>
    <w:rsid w:val="00F71E2D"/>
    <w:rsid w:val="00F71E77"/>
    <w:rsid w:val="00F7284B"/>
    <w:rsid w:val="00F73AD4"/>
    <w:rsid w:val="00F7527C"/>
    <w:rsid w:val="00F811F4"/>
    <w:rsid w:val="00F822AD"/>
    <w:rsid w:val="00F82C31"/>
    <w:rsid w:val="00F82DF9"/>
    <w:rsid w:val="00F84679"/>
    <w:rsid w:val="00F85F5F"/>
    <w:rsid w:val="00F870FA"/>
    <w:rsid w:val="00F87165"/>
    <w:rsid w:val="00F8732D"/>
    <w:rsid w:val="00F87BC6"/>
    <w:rsid w:val="00F901F1"/>
    <w:rsid w:val="00F906FA"/>
    <w:rsid w:val="00F90850"/>
    <w:rsid w:val="00F90F20"/>
    <w:rsid w:val="00F90FEC"/>
    <w:rsid w:val="00F911D4"/>
    <w:rsid w:val="00F91301"/>
    <w:rsid w:val="00F9197A"/>
    <w:rsid w:val="00F92A2E"/>
    <w:rsid w:val="00F92AAE"/>
    <w:rsid w:val="00F92C05"/>
    <w:rsid w:val="00F93F79"/>
    <w:rsid w:val="00F941D2"/>
    <w:rsid w:val="00F9442B"/>
    <w:rsid w:val="00F95161"/>
    <w:rsid w:val="00F95CCB"/>
    <w:rsid w:val="00F96B3F"/>
    <w:rsid w:val="00F96FB9"/>
    <w:rsid w:val="00F972F1"/>
    <w:rsid w:val="00F97955"/>
    <w:rsid w:val="00F97B27"/>
    <w:rsid w:val="00F97F6A"/>
    <w:rsid w:val="00FA0C84"/>
    <w:rsid w:val="00FA2D40"/>
    <w:rsid w:val="00FA37CF"/>
    <w:rsid w:val="00FA42E9"/>
    <w:rsid w:val="00FA4803"/>
    <w:rsid w:val="00FA5A18"/>
    <w:rsid w:val="00FA5A79"/>
    <w:rsid w:val="00FA69E4"/>
    <w:rsid w:val="00FA6DDE"/>
    <w:rsid w:val="00FB00CB"/>
    <w:rsid w:val="00FB023B"/>
    <w:rsid w:val="00FB02B0"/>
    <w:rsid w:val="00FB0BFE"/>
    <w:rsid w:val="00FB122F"/>
    <w:rsid w:val="00FB1286"/>
    <w:rsid w:val="00FB13C5"/>
    <w:rsid w:val="00FB17A0"/>
    <w:rsid w:val="00FB25FD"/>
    <w:rsid w:val="00FB2B8E"/>
    <w:rsid w:val="00FB3B2C"/>
    <w:rsid w:val="00FB43DE"/>
    <w:rsid w:val="00FB4C51"/>
    <w:rsid w:val="00FB4DB2"/>
    <w:rsid w:val="00FB5392"/>
    <w:rsid w:val="00FB630C"/>
    <w:rsid w:val="00FB7B46"/>
    <w:rsid w:val="00FC0C10"/>
    <w:rsid w:val="00FC0CE2"/>
    <w:rsid w:val="00FC0F63"/>
    <w:rsid w:val="00FC17F8"/>
    <w:rsid w:val="00FC2747"/>
    <w:rsid w:val="00FC3F0C"/>
    <w:rsid w:val="00FC47BF"/>
    <w:rsid w:val="00FC50B0"/>
    <w:rsid w:val="00FC531F"/>
    <w:rsid w:val="00FC7555"/>
    <w:rsid w:val="00FD0163"/>
    <w:rsid w:val="00FD04D2"/>
    <w:rsid w:val="00FD1458"/>
    <w:rsid w:val="00FD2942"/>
    <w:rsid w:val="00FD2C8A"/>
    <w:rsid w:val="00FD3F34"/>
    <w:rsid w:val="00FD3F6E"/>
    <w:rsid w:val="00FD4B6C"/>
    <w:rsid w:val="00FD56E6"/>
    <w:rsid w:val="00FE10A7"/>
    <w:rsid w:val="00FE19D6"/>
    <w:rsid w:val="00FE233C"/>
    <w:rsid w:val="00FE239C"/>
    <w:rsid w:val="00FE23B8"/>
    <w:rsid w:val="00FE2B2F"/>
    <w:rsid w:val="00FE3527"/>
    <w:rsid w:val="00FE3619"/>
    <w:rsid w:val="00FE3986"/>
    <w:rsid w:val="00FE3BCE"/>
    <w:rsid w:val="00FE5BC2"/>
    <w:rsid w:val="00FE62DC"/>
    <w:rsid w:val="00FF1DBD"/>
    <w:rsid w:val="00FF2A3F"/>
    <w:rsid w:val="00FF2CAE"/>
    <w:rsid w:val="00FF3842"/>
    <w:rsid w:val="00FF4328"/>
    <w:rsid w:val="00FF4A09"/>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B2D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6331"/>
    <w:pPr>
      <w:suppressAutoHyphens/>
      <w:spacing w:line="240" w:lineRule="atLeast"/>
    </w:pPr>
    <w:rPr>
      <w:lang w:val="fr-CH" w:eastAsia="en-US"/>
    </w:rPr>
  </w:style>
  <w:style w:type="paragraph" w:styleId="berschrift1">
    <w:name w:val="heading 1"/>
    <w:aliases w:val="Table_G"/>
    <w:basedOn w:val="SingleTxtG"/>
    <w:next w:val="SingleTxtG"/>
    <w:link w:val="berschrift1Zchn"/>
    <w:qFormat/>
    <w:rsid w:val="00223B89"/>
    <w:pPr>
      <w:keepNext/>
      <w:keepLines/>
      <w:numPr>
        <w:numId w:val="7"/>
      </w:numPr>
      <w:spacing w:after="0" w:line="240" w:lineRule="auto"/>
      <w:ind w:right="0"/>
      <w:jc w:val="left"/>
      <w:outlineLvl w:val="0"/>
    </w:pPr>
  </w:style>
  <w:style w:type="paragraph" w:styleId="berschrift2">
    <w:name w:val="heading 2"/>
    <w:basedOn w:val="Standard"/>
    <w:next w:val="Standard"/>
    <w:link w:val="berschrift2Zchn"/>
    <w:autoRedefine/>
    <w:qFormat/>
    <w:rsid w:val="0029304E"/>
    <w:pPr>
      <w:numPr>
        <w:ilvl w:val="1"/>
        <w:numId w:val="7"/>
      </w:numPr>
      <w:spacing w:after="120"/>
      <w:ind w:left="1134" w:right="1134" w:firstLine="0"/>
      <w:jc w:val="both"/>
      <w:outlineLvl w:val="1"/>
    </w:pPr>
    <w:rPr>
      <w:sz w:val="24"/>
      <w:szCs w:val="24"/>
      <w:lang w:val="en-GB"/>
    </w:rPr>
  </w:style>
  <w:style w:type="paragraph" w:styleId="berschrift3">
    <w:name w:val="heading 3"/>
    <w:basedOn w:val="Standard"/>
    <w:next w:val="Standard"/>
    <w:qFormat/>
    <w:rsid w:val="00D11B17"/>
    <w:pPr>
      <w:numPr>
        <w:ilvl w:val="2"/>
        <w:numId w:val="7"/>
      </w:numPr>
      <w:outlineLvl w:val="2"/>
    </w:pPr>
  </w:style>
  <w:style w:type="paragraph" w:styleId="berschrift4">
    <w:name w:val="heading 4"/>
    <w:basedOn w:val="Standard"/>
    <w:next w:val="Standard"/>
    <w:qFormat/>
    <w:rsid w:val="00D11B17"/>
    <w:pPr>
      <w:numPr>
        <w:ilvl w:val="3"/>
        <w:numId w:val="7"/>
      </w:numPr>
      <w:outlineLvl w:val="3"/>
    </w:pPr>
  </w:style>
  <w:style w:type="paragraph" w:styleId="berschrift5">
    <w:name w:val="heading 5"/>
    <w:basedOn w:val="Standard"/>
    <w:next w:val="Standard"/>
    <w:qFormat/>
    <w:rsid w:val="00D11B17"/>
    <w:pPr>
      <w:numPr>
        <w:ilvl w:val="4"/>
        <w:numId w:val="7"/>
      </w:numPr>
      <w:outlineLvl w:val="4"/>
    </w:pPr>
  </w:style>
  <w:style w:type="paragraph" w:styleId="berschrift6">
    <w:name w:val="heading 6"/>
    <w:basedOn w:val="Standard"/>
    <w:next w:val="Standard"/>
    <w:qFormat/>
    <w:rsid w:val="00D11B17"/>
    <w:pPr>
      <w:numPr>
        <w:ilvl w:val="5"/>
        <w:numId w:val="7"/>
      </w:numPr>
      <w:outlineLvl w:val="5"/>
    </w:pPr>
  </w:style>
  <w:style w:type="paragraph" w:styleId="berschrift7">
    <w:name w:val="heading 7"/>
    <w:basedOn w:val="Standard"/>
    <w:next w:val="Standard"/>
    <w:qFormat/>
    <w:rsid w:val="00D11B17"/>
    <w:pPr>
      <w:numPr>
        <w:ilvl w:val="6"/>
        <w:numId w:val="7"/>
      </w:numPr>
      <w:outlineLvl w:val="6"/>
    </w:pPr>
  </w:style>
  <w:style w:type="paragraph" w:styleId="berschrift8">
    <w:name w:val="heading 8"/>
    <w:basedOn w:val="Standard"/>
    <w:next w:val="Standard"/>
    <w:qFormat/>
    <w:rsid w:val="00D11B17"/>
    <w:pPr>
      <w:numPr>
        <w:ilvl w:val="7"/>
        <w:numId w:val="7"/>
      </w:numPr>
      <w:outlineLvl w:val="7"/>
    </w:pPr>
  </w:style>
  <w:style w:type="paragraph" w:styleId="berschrift9">
    <w:name w:val="heading 9"/>
    <w:basedOn w:val="Standard"/>
    <w:next w:val="Standard"/>
    <w:qFormat/>
    <w:rsid w:val="00D11B17"/>
    <w:pPr>
      <w:numPr>
        <w:ilvl w:val="8"/>
        <w:numId w:val="7"/>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Standard"/>
    <w:next w:val="Standard"/>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Standard"/>
    <w:next w:val="Standard"/>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Standard"/>
    <w:next w:val="Standard"/>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Standard"/>
    <w:next w:val="Standard"/>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Standard"/>
    <w:next w:val="Standard"/>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Standard"/>
    <w:link w:val="SingleTxtGChar"/>
    <w:qFormat/>
    <w:rsid w:val="00D11B17"/>
    <w:pPr>
      <w:spacing w:after="120"/>
      <w:ind w:left="1134" w:right="1134"/>
      <w:jc w:val="both"/>
    </w:pPr>
  </w:style>
  <w:style w:type="paragraph" w:customStyle="1" w:styleId="SLG">
    <w:name w:val="__S_L_G"/>
    <w:basedOn w:val="Standard"/>
    <w:next w:val="Standard"/>
    <w:rsid w:val="00D11B17"/>
    <w:pPr>
      <w:keepNext/>
      <w:keepLines/>
      <w:spacing w:before="240" w:after="240" w:line="580" w:lineRule="exact"/>
      <w:ind w:left="1134" w:right="1134"/>
    </w:pPr>
    <w:rPr>
      <w:b/>
      <w:sz w:val="56"/>
    </w:rPr>
  </w:style>
  <w:style w:type="paragraph" w:customStyle="1" w:styleId="SMG">
    <w:name w:val="__S_M_G"/>
    <w:basedOn w:val="Standard"/>
    <w:next w:val="Standard"/>
    <w:rsid w:val="00D11B17"/>
    <w:pPr>
      <w:keepNext/>
      <w:keepLines/>
      <w:spacing w:before="240" w:after="240" w:line="420" w:lineRule="exact"/>
      <w:ind w:left="1134" w:right="1134"/>
    </w:pPr>
    <w:rPr>
      <w:b/>
      <w:sz w:val="40"/>
    </w:rPr>
  </w:style>
  <w:style w:type="paragraph" w:customStyle="1" w:styleId="SSG">
    <w:name w:val="__S_S_G"/>
    <w:basedOn w:val="Standard"/>
    <w:next w:val="Standard"/>
    <w:rsid w:val="00D11B17"/>
    <w:pPr>
      <w:keepNext/>
      <w:keepLines/>
      <w:spacing w:before="240" w:after="240" w:line="300" w:lineRule="exact"/>
      <w:ind w:left="1134" w:right="1134"/>
    </w:pPr>
    <w:rPr>
      <w:b/>
      <w:sz w:val="28"/>
    </w:rPr>
  </w:style>
  <w:style w:type="paragraph" w:customStyle="1" w:styleId="XLargeG">
    <w:name w:val="__XLarge_G"/>
    <w:basedOn w:val="Standard"/>
    <w:next w:val="Standard"/>
    <w:rsid w:val="00D11B17"/>
    <w:pPr>
      <w:keepNext/>
      <w:keepLines/>
      <w:spacing w:before="240" w:after="240" w:line="420" w:lineRule="exact"/>
      <w:ind w:left="1134" w:right="1134"/>
    </w:pPr>
    <w:rPr>
      <w:b/>
      <w:sz w:val="40"/>
    </w:rPr>
  </w:style>
  <w:style w:type="paragraph" w:customStyle="1" w:styleId="Bullet1G">
    <w:name w:val="_Bullet 1_G"/>
    <w:basedOn w:val="Standard"/>
    <w:rsid w:val="00D11B17"/>
    <w:pPr>
      <w:numPr>
        <w:numId w:val="1"/>
      </w:numPr>
      <w:spacing w:after="120"/>
      <w:ind w:right="1134"/>
      <w:jc w:val="both"/>
    </w:pPr>
  </w:style>
  <w:style w:type="paragraph" w:customStyle="1" w:styleId="Bullet2G">
    <w:name w:val="_Bullet 2_G"/>
    <w:basedOn w:val="Standard"/>
    <w:rsid w:val="00D11B17"/>
    <w:pPr>
      <w:numPr>
        <w:numId w:val="2"/>
      </w:numPr>
      <w:spacing w:after="120"/>
      <w:ind w:right="1134"/>
      <w:jc w:val="both"/>
    </w:pPr>
  </w:style>
  <w:style w:type="character" w:styleId="Funotenzeichen">
    <w:name w:val="footnote reference"/>
    <w:aliases w:val="4_G,(Footnote Reference),-E Fußnotenzeichen,BVI fnr, BVI fnr,Footnote symbol,Footnote,Footnote Reference Superscript,SUPERS"/>
    <w:uiPriority w:val="99"/>
    <w:qFormat/>
    <w:rsid w:val="00D11B17"/>
    <w:rPr>
      <w:rFonts w:ascii="Times New Roman" w:hAnsi="Times New Roman"/>
      <w:sz w:val="18"/>
      <w:vertAlign w:val="superscript"/>
      <w:lang w:val="fr-CH"/>
    </w:rPr>
  </w:style>
  <w:style w:type="character" w:styleId="Endnotenzeichen">
    <w:name w:val="endnote reference"/>
    <w:aliases w:val="1_G"/>
    <w:basedOn w:val="Funotenzeichen"/>
    <w:rsid w:val="00D11B17"/>
    <w:rPr>
      <w:rFonts w:ascii="Times New Roman" w:hAnsi="Times New Roman"/>
      <w:sz w:val="18"/>
      <w:vertAlign w:val="superscript"/>
      <w:lang w:val="fr-CH"/>
    </w:rPr>
  </w:style>
  <w:style w:type="paragraph" w:styleId="Kopfzeile">
    <w:name w:val="header"/>
    <w:aliases w:val="6_G"/>
    <w:basedOn w:val="Standard"/>
    <w:next w:val="Standard"/>
    <w:link w:val="KopfzeileZchn"/>
    <w:rsid w:val="00D11B17"/>
    <w:pPr>
      <w:pBdr>
        <w:bottom w:val="single" w:sz="4" w:space="4" w:color="auto"/>
      </w:pBdr>
      <w:spacing w:line="240" w:lineRule="auto"/>
    </w:pPr>
    <w:rPr>
      <w:b/>
      <w:sz w:val="18"/>
    </w:rPr>
  </w:style>
  <w:style w:type="paragraph" w:styleId="Funotentext">
    <w:name w:val="footnote text"/>
    <w:aliases w:val="5_G,PP,5_G_6,Footnote Text Char,5_GR,-E Fußnotentext,footnote text,Fußnotentext Ursprung,Footnote Text Char Char Char Char,Footnote Text1,Footnote Text Char Char Char,Fußnotentext Char1,Fußnotentext Char Char"/>
    <w:basedOn w:val="Standard"/>
    <w:link w:val="FunotentextZchn"/>
    <w:qFormat/>
    <w:rsid w:val="00E55D71"/>
    <w:pPr>
      <w:tabs>
        <w:tab w:val="right" w:pos="1021"/>
      </w:tabs>
      <w:spacing w:line="220" w:lineRule="exact"/>
      <w:ind w:left="1134" w:right="1134" w:hanging="1134"/>
    </w:pPr>
    <w:rPr>
      <w:sz w:val="18"/>
    </w:rPr>
  </w:style>
  <w:style w:type="paragraph" w:styleId="Endnotentext">
    <w:name w:val="endnote text"/>
    <w:aliases w:val="2_G"/>
    <w:basedOn w:val="Funotentext"/>
    <w:rsid w:val="00E55D71"/>
  </w:style>
  <w:style w:type="character" w:styleId="Seitenzahl">
    <w:name w:val="page number"/>
    <w:aliases w:val="7_G"/>
    <w:rsid w:val="00D11B17"/>
    <w:rPr>
      <w:rFonts w:ascii="Times New Roman" w:hAnsi="Times New Roman"/>
      <w:b/>
      <w:sz w:val="18"/>
      <w:lang w:val="fr-CH"/>
    </w:rPr>
  </w:style>
  <w:style w:type="paragraph" w:styleId="Fuzeile">
    <w:name w:val="footer"/>
    <w:aliases w:val="3_G"/>
    <w:basedOn w:val="Standard"/>
    <w:next w:val="Standard"/>
    <w:link w:val="FuzeileZchn"/>
    <w:rsid w:val="00D11B17"/>
    <w:pPr>
      <w:spacing w:line="240" w:lineRule="auto"/>
    </w:pPr>
    <w:rPr>
      <w:sz w:val="16"/>
    </w:rPr>
  </w:style>
  <w:style w:type="table" w:styleId="Tabellenraster">
    <w:name w:val="Table Grid"/>
    <w:basedOn w:val="NormaleTabelle"/>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29070F"/>
    <w:rPr>
      <w:sz w:val="16"/>
      <w:szCs w:val="16"/>
    </w:rPr>
  </w:style>
  <w:style w:type="paragraph" w:styleId="Kommentartext">
    <w:name w:val="annotation text"/>
    <w:basedOn w:val="Standard"/>
    <w:link w:val="KommentartextZchn"/>
    <w:uiPriority w:val="99"/>
    <w:semiHidden/>
    <w:rsid w:val="0029070F"/>
  </w:style>
  <w:style w:type="paragraph" w:styleId="Kommentarthema">
    <w:name w:val="annotation subject"/>
    <w:basedOn w:val="Kommentartext"/>
    <w:next w:val="Kommentartext"/>
    <w:semiHidden/>
    <w:rsid w:val="0029070F"/>
    <w:rPr>
      <w:b/>
      <w:bCs/>
    </w:rPr>
  </w:style>
  <w:style w:type="paragraph" w:styleId="Sprechblasentext">
    <w:name w:val="Balloon Text"/>
    <w:basedOn w:val="Standard"/>
    <w:semiHidden/>
    <w:rsid w:val="0029070F"/>
    <w:rPr>
      <w:rFonts w:ascii="Tahoma" w:hAnsi="Tahoma" w:cs="Tahoma"/>
      <w:sz w:val="16"/>
      <w:szCs w:val="16"/>
    </w:rPr>
  </w:style>
  <w:style w:type="paragraph" w:customStyle="1" w:styleId="a">
    <w:name w:val="Содержимое таблицы"/>
    <w:basedOn w:val="Textkrper"/>
    <w:rsid w:val="0029070F"/>
    <w:pPr>
      <w:suppressLineNumbers/>
      <w:spacing w:line="240" w:lineRule="auto"/>
    </w:pPr>
    <w:rPr>
      <w:sz w:val="24"/>
      <w:szCs w:val="24"/>
      <w:lang w:val="ru-RU" w:eastAsia="ar-SA"/>
    </w:rPr>
  </w:style>
  <w:style w:type="paragraph" w:styleId="Textkrper">
    <w:name w:val="Body Text"/>
    <w:basedOn w:val="Standard"/>
    <w:link w:val="TextkrperZchn"/>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Textkrper-Einzug2">
    <w:name w:val="Body Text Indent 2"/>
    <w:basedOn w:val="Standard"/>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unotentextZchn">
    <w:name w:val="Fußnotentext Zchn"/>
    <w:aliases w:val="5_G Zchn,PP Zchn,5_G_6 Zchn,Footnote Text Char Zchn,5_GR Zchn,-E Fußnotentext Zchn,footnote text Zchn,Fußnotentext Ursprung Zchn,Footnote Text Char Char Char Char Zchn,Footnote Text1 Zchn,Footnote Text Char Char Char Zchn"/>
    <w:link w:val="Funotentext"/>
    <w:qFormat/>
    <w:rsid w:val="00F20C8B"/>
    <w:rPr>
      <w:sz w:val="18"/>
      <w:lang w:val="fr-CH" w:eastAsia="en-US" w:bidi="ar-SA"/>
    </w:rPr>
  </w:style>
  <w:style w:type="paragraph" w:styleId="Textkrper-Zeileneinzug">
    <w:name w:val="Body Text Indent"/>
    <w:basedOn w:val="Standard"/>
    <w:link w:val="Textkrper-ZeileneinzugZchn"/>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KopfzeileZchn">
    <w:name w:val="Kopfzeile Zchn"/>
    <w:aliases w:val="6_G Zchn"/>
    <w:link w:val="Kopfzeile"/>
    <w:rsid w:val="007774AE"/>
    <w:rPr>
      <w:b/>
      <w:sz w:val="18"/>
      <w:lang w:val="fr-CH" w:eastAsia="en-US" w:bidi="ar-SA"/>
    </w:rPr>
  </w:style>
  <w:style w:type="paragraph" w:customStyle="1" w:styleId="para">
    <w:name w:val="para"/>
    <w:basedOn w:val="Standard"/>
    <w:link w:val="paraChar"/>
    <w:qFormat/>
    <w:rsid w:val="00F00678"/>
    <w:pPr>
      <w:spacing w:after="120"/>
      <w:ind w:left="2268" w:right="1134" w:hanging="1134"/>
      <w:jc w:val="both"/>
    </w:pPr>
    <w:rPr>
      <w:lang w:val="en-GB"/>
    </w:rPr>
  </w:style>
  <w:style w:type="character" w:customStyle="1" w:styleId="TextkrperZchn">
    <w:name w:val="Textkörper Zchn"/>
    <w:link w:val="Textkrper"/>
    <w:rsid w:val="00F00678"/>
    <w:rPr>
      <w:lang w:val="fr-CH" w:eastAsia="en-US"/>
    </w:rPr>
  </w:style>
  <w:style w:type="character" w:customStyle="1" w:styleId="Textkrper-ZeileneinzugZchn">
    <w:name w:val="Textkörper-Zeileneinzug Zchn"/>
    <w:link w:val="Textkrper-Zeileneinzug"/>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character" w:styleId="Hyperlink">
    <w:name w:val="Hyperlink"/>
    <w:uiPriority w:val="99"/>
    <w:rsid w:val="00732B3C"/>
    <w:rPr>
      <w:color w:val="0000FF"/>
      <w:u w:val="single"/>
    </w:rPr>
  </w:style>
  <w:style w:type="character" w:styleId="BesuchterLink">
    <w:name w:val="FollowedHyperlink"/>
    <w:rsid w:val="00732B3C"/>
    <w:rPr>
      <w:color w:val="800080"/>
      <w:u w:val="single"/>
    </w:rPr>
  </w:style>
  <w:style w:type="paragraph" w:styleId="NurText">
    <w:name w:val="Plain Text"/>
    <w:basedOn w:val="Standard"/>
    <w:link w:val="NurTextZchn"/>
    <w:rsid w:val="00E03A64"/>
    <w:rPr>
      <w:rFonts w:cs="Courier New"/>
      <w:lang w:val="en-GB"/>
    </w:rPr>
  </w:style>
  <w:style w:type="character" w:customStyle="1" w:styleId="NurTextZchn">
    <w:name w:val="Nur Text Zchn"/>
    <w:link w:val="NurText"/>
    <w:rsid w:val="00E03A64"/>
    <w:rPr>
      <w:rFonts w:cs="Courier New"/>
      <w:lang w:eastAsia="en-US"/>
    </w:rPr>
  </w:style>
  <w:style w:type="paragraph" w:styleId="Blocktext">
    <w:name w:val="Block Text"/>
    <w:basedOn w:val="Standard"/>
    <w:rsid w:val="00E03A64"/>
    <w:pPr>
      <w:ind w:left="1440" w:right="1440"/>
    </w:pPr>
    <w:rPr>
      <w:lang w:val="en-GB"/>
    </w:rPr>
  </w:style>
  <w:style w:type="character" w:styleId="Zeilennummer">
    <w:name w:val="line number"/>
    <w:rsid w:val="00E03A64"/>
    <w:rPr>
      <w:sz w:val="14"/>
    </w:rPr>
  </w:style>
  <w:style w:type="numbering" w:styleId="111111">
    <w:name w:val="Outline List 2"/>
    <w:basedOn w:val="KeineListe"/>
    <w:rsid w:val="00E03A64"/>
    <w:pPr>
      <w:numPr>
        <w:numId w:val="3"/>
      </w:numPr>
    </w:pPr>
  </w:style>
  <w:style w:type="numbering" w:styleId="1ai">
    <w:name w:val="Outline List 1"/>
    <w:basedOn w:val="KeineListe"/>
    <w:rsid w:val="00E03A64"/>
    <w:pPr>
      <w:numPr>
        <w:numId w:val="4"/>
      </w:numPr>
    </w:pPr>
  </w:style>
  <w:style w:type="numbering" w:styleId="ArtikelAbschnitt">
    <w:name w:val="Outline List 3"/>
    <w:basedOn w:val="KeineListe"/>
    <w:rsid w:val="00E03A64"/>
    <w:pPr>
      <w:numPr>
        <w:numId w:val="5"/>
      </w:numPr>
    </w:pPr>
  </w:style>
  <w:style w:type="paragraph" w:styleId="Textkrper2">
    <w:name w:val="Body Text 2"/>
    <w:basedOn w:val="Standard"/>
    <w:link w:val="Textkrper2Zchn"/>
    <w:rsid w:val="00E03A64"/>
    <w:pPr>
      <w:spacing w:after="120" w:line="480" w:lineRule="auto"/>
    </w:pPr>
    <w:rPr>
      <w:lang w:val="en-GB"/>
    </w:rPr>
  </w:style>
  <w:style w:type="character" w:customStyle="1" w:styleId="Textkrper2Zchn">
    <w:name w:val="Textkörper 2 Zchn"/>
    <w:link w:val="Textkrper2"/>
    <w:rsid w:val="00E03A64"/>
    <w:rPr>
      <w:lang w:eastAsia="en-US"/>
    </w:rPr>
  </w:style>
  <w:style w:type="paragraph" w:styleId="Textkrper3">
    <w:name w:val="Body Text 3"/>
    <w:basedOn w:val="Standard"/>
    <w:link w:val="Textkrper3Zchn"/>
    <w:rsid w:val="00E03A64"/>
    <w:pPr>
      <w:spacing w:after="120"/>
    </w:pPr>
    <w:rPr>
      <w:sz w:val="16"/>
      <w:szCs w:val="16"/>
      <w:lang w:val="en-GB"/>
    </w:rPr>
  </w:style>
  <w:style w:type="character" w:customStyle="1" w:styleId="Textkrper3Zchn">
    <w:name w:val="Textkörper 3 Zchn"/>
    <w:link w:val="Textkrper3"/>
    <w:rsid w:val="00E03A64"/>
    <w:rPr>
      <w:sz w:val="16"/>
      <w:szCs w:val="16"/>
      <w:lang w:eastAsia="en-US"/>
    </w:rPr>
  </w:style>
  <w:style w:type="paragraph" w:styleId="Textkrper-Erstzeileneinzug">
    <w:name w:val="Body Text First Indent"/>
    <w:basedOn w:val="Textkrper"/>
    <w:link w:val="Textkrper-ErstzeileneinzugZchn"/>
    <w:rsid w:val="00E03A64"/>
    <w:pPr>
      <w:ind w:firstLine="210"/>
    </w:pPr>
    <w:rPr>
      <w:lang w:val="en-GB"/>
    </w:rPr>
  </w:style>
  <w:style w:type="character" w:customStyle="1" w:styleId="Textkrper-ErstzeileneinzugZchn">
    <w:name w:val="Textkörper-Erstzeileneinzug Zchn"/>
    <w:basedOn w:val="TextkrperZchn"/>
    <w:link w:val="Textkrper-Erstzeileneinzug"/>
    <w:rsid w:val="00E03A64"/>
    <w:rPr>
      <w:lang w:val="fr-CH" w:eastAsia="en-US"/>
    </w:rPr>
  </w:style>
  <w:style w:type="paragraph" w:styleId="Textkrper-Erstzeileneinzug2">
    <w:name w:val="Body Text First Indent 2"/>
    <w:basedOn w:val="Textkrper-Zeileneinzug"/>
    <w:link w:val="Textkrper-Erstzeileneinzug2Zchn"/>
    <w:rsid w:val="00E03A64"/>
    <w:pPr>
      <w:ind w:firstLine="210"/>
    </w:pPr>
    <w:rPr>
      <w:lang w:val="en-GB"/>
    </w:rPr>
  </w:style>
  <w:style w:type="character" w:customStyle="1" w:styleId="Textkrper-Erstzeileneinzug2Zchn">
    <w:name w:val="Textkörper-Erstzeileneinzug 2 Zchn"/>
    <w:basedOn w:val="Textkrper-ZeileneinzugZchn"/>
    <w:link w:val="Textkrper-Erstzeileneinzug2"/>
    <w:rsid w:val="00E03A64"/>
    <w:rPr>
      <w:lang w:val="fr-CH" w:eastAsia="en-US"/>
    </w:rPr>
  </w:style>
  <w:style w:type="paragraph" w:styleId="Textkrper-Einzug3">
    <w:name w:val="Body Text Indent 3"/>
    <w:basedOn w:val="Standard"/>
    <w:link w:val="Textkrper-Einzug3Zchn"/>
    <w:rsid w:val="00E03A64"/>
    <w:pPr>
      <w:spacing w:after="120"/>
      <w:ind w:left="283"/>
    </w:pPr>
    <w:rPr>
      <w:sz w:val="16"/>
      <w:szCs w:val="16"/>
      <w:lang w:val="en-GB"/>
    </w:rPr>
  </w:style>
  <w:style w:type="character" w:customStyle="1" w:styleId="Textkrper-Einzug3Zchn">
    <w:name w:val="Textkörper-Einzug 3 Zchn"/>
    <w:link w:val="Textkrper-Einzug3"/>
    <w:rsid w:val="00E03A64"/>
    <w:rPr>
      <w:sz w:val="16"/>
      <w:szCs w:val="16"/>
      <w:lang w:eastAsia="en-US"/>
    </w:rPr>
  </w:style>
  <w:style w:type="paragraph" w:styleId="Gruformel">
    <w:name w:val="Closing"/>
    <w:basedOn w:val="Standard"/>
    <w:link w:val="GruformelZchn"/>
    <w:rsid w:val="00E03A64"/>
    <w:pPr>
      <w:ind w:left="4252"/>
    </w:pPr>
    <w:rPr>
      <w:lang w:val="en-GB"/>
    </w:rPr>
  </w:style>
  <w:style w:type="character" w:customStyle="1" w:styleId="GruformelZchn">
    <w:name w:val="Grußformel Zchn"/>
    <w:link w:val="Gruformel"/>
    <w:rsid w:val="00E03A64"/>
    <w:rPr>
      <w:lang w:eastAsia="en-US"/>
    </w:rPr>
  </w:style>
  <w:style w:type="paragraph" w:styleId="Datum">
    <w:name w:val="Date"/>
    <w:basedOn w:val="Standard"/>
    <w:next w:val="Standard"/>
    <w:link w:val="DatumZchn"/>
    <w:rsid w:val="00E03A64"/>
    <w:rPr>
      <w:lang w:val="en-GB"/>
    </w:rPr>
  </w:style>
  <w:style w:type="character" w:customStyle="1" w:styleId="DatumZchn">
    <w:name w:val="Datum Zchn"/>
    <w:link w:val="Datum"/>
    <w:rsid w:val="00E03A64"/>
    <w:rPr>
      <w:lang w:eastAsia="en-US"/>
    </w:rPr>
  </w:style>
  <w:style w:type="paragraph" w:styleId="E-Mail-Signatur">
    <w:name w:val="E-mail Signature"/>
    <w:basedOn w:val="Standard"/>
    <w:link w:val="E-Mail-SignaturZchn"/>
    <w:rsid w:val="00E03A64"/>
    <w:rPr>
      <w:lang w:val="en-GB"/>
    </w:rPr>
  </w:style>
  <w:style w:type="character" w:customStyle="1" w:styleId="E-Mail-SignaturZchn">
    <w:name w:val="E-Mail-Signatur Zchn"/>
    <w:link w:val="E-Mail-Signatur"/>
    <w:rsid w:val="00E03A64"/>
    <w:rPr>
      <w:lang w:eastAsia="en-US"/>
    </w:rPr>
  </w:style>
  <w:style w:type="character" w:styleId="Hervorhebung">
    <w:name w:val="Emphasis"/>
    <w:qFormat/>
    <w:rsid w:val="00E03A64"/>
    <w:rPr>
      <w:i/>
      <w:iCs/>
    </w:rPr>
  </w:style>
  <w:style w:type="paragraph" w:styleId="Umschlagabsenderadresse">
    <w:name w:val="envelope return"/>
    <w:basedOn w:val="Standard"/>
    <w:rsid w:val="00E03A64"/>
    <w:rPr>
      <w:rFonts w:ascii="Arial" w:hAnsi="Arial" w:cs="Arial"/>
      <w:lang w:val="en-GB"/>
    </w:rPr>
  </w:style>
  <w:style w:type="character" w:styleId="HTMLAkronym">
    <w:name w:val="HTML Acronym"/>
    <w:rsid w:val="00E03A64"/>
  </w:style>
  <w:style w:type="paragraph" w:styleId="HTMLAdresse">
    <w:name w:val="HTML Address"/>
    <w:basedOn w:val="Standard"/>
    <w:link w:val="HTMLAdresseZchn"/>
    <w:rsid w:val="00E03A64"/>
    <w:rPr>
      <w:i/>
      <w:iCs/>
      <w:lang w:val="en-GB"/>
    </w:rPr>
  </w:style>
  <w:style w:type="character" w:customStyle="1" w:styleId="HTMLAdresseZchn">
    <w:name w:val="HTML Adresse Zchn"/>
    <w:link w:val="HTMLAdresse"/>
    <w:rsid w:val="00E03A64"/>
    <w:rPr>
      <w:i/>
      <w:iCs/>
      <w:lang w:eastAsia="en-US"/>
    </w:rPr>
  </w:style>
  <w:style w:type="character" w:styleId="HTMLZitat">
    <w:name w:val="HTML Cite"/>
    <w:rsid w:val="00E03A64"/>
    <w:rPr>
      <w:i/>
      <w:iCs/>
    </w:rPr>
  </w:style>
  <w:style w:type="character" w:styleId="HTMLCode">
    <w:name w:val="HTML Code"/>
    <w:rsid w:val="00E03A64"/>
    <w:rPr>
      <w:rFonts w:ascii="Courier New" w:hAnsi="Courier New" w:cs="Courier New"/>
      <w:sz w:val="20"/>
      <w:szCs w:val="20"/>
    </w:rPr>
  </w:style>
  <w:style w:type="character" w:styleId="HTMLDefinition">
    <w:name w:val="HTML Definition"/>
    <w:rsid w:val="00E03A64"/>
    <w:rPr>
      <w:i/>
      <w:iCs/>
    </w:rPr>
  </w:style>
  <w:style w:type="character" w:styleId="HTMLTastatur">
    <w:name w:val="HTML Keyboard"/>
    <w:rsid w:val="00E03A64"/>
    <w:rPr>
      <w:rFonts w:ascii="Courier New" w:hAnsi="Courier New" w:cs="Courier New"/>
      <w:sz w:val="20"/>
      <w:szCs w:val="20"/>
    </w:rPr>
  </w:style>
  <w:style w:type="paragraph" w:styleId="HTMLVorformatiert">
    <w:name w:val="HTML Preformatted"/>
    <w:basedOn w:val="Standard"/>
    <w:link w:val="HTMLVorformatiertZchn"/>
    <w:rsid w:val="00E03A64"/>
    <w:rPr>
      <w:rFonts w:ascii="Courier New" w:hAnsi="Courier New" w:cs="Courier New"/>
      <w:lang w:val="en-GB"/>
    </w:rPr>
  </w:style>
  <w:style w:type="character" w:customStyle="1" w:styleId="HTMLVorformatiertZchn">
    <w:name w:val="HTML Vorformatiert Zchn"/>
    <w:link w:val="HTMLVorformatiert"/>
    <w:rsid w:val="00E03A64"/>
    <w:rPr>
      <w:rFonts w:ascii="Courier New" w:hAnsi="Courier New" w:cs="Courier New"/>
      <w:lang w:eastAsia="en-US"/>
    </w:rPr>
  </w:style>
  <w:style w:type="character" w:styleId="HTMLBeispiel">
    <w:name w:val="HTML Sample"/>
    <w:rsid w:val="00E03A64"/>
    <w:rPr>
      <w:rFonts w:ascii="Courier New" w:hAnsi="Courier New" w:cs="Courier New"/>
    </w:rPr>
  </w:style>
  <w:style w:type="character" w:styleId="HTMLSchreibmaschine">
    <w:name w:val="HTML Typewriter"/>
    <w:rsid w:val="00E03A64"/>
    <w:rPr>
      <w:rFonts w:ascii="Courier New" w:hAnsi="Courier New" w:cs="Courier New"/>
      <w:sz w:val="20"/>
      <w:szCs w:val="20"/>
    </w:rPr>
  </w:style>
  <w:style w:type="character" w:styleId="HTMLVariable">
    <w:name w:val="HTML Variable"/>
    <w:rsid w:val="00E03A64"/>
    <w:rPr>
      <w:i/>
      <w:iCs/>
    </w:rPr>
  </w:style>
  <w:style w:type="paragraph" w:styleId="Liste">
    <w:name w:val="List"/>
    <w:basedOn w:val="Standard"/>
    <w:rsid w:val="00E03A64"/>
    <w:pPr>
      <w:ind w:left="283" w:hanging="283"/>
    </w:pPr>
    <w:rPr>
      <w:lang w:val="en-GB"/>
    </w:rPr>
  </w:style>
  <w:style w:type="paragraph" w:styleId="Liste2">
    <w:name w:val="List 2"/>
    <w:basedOn w:val="Standard"/>
    <w:rsid w:val="00E03A64"/>
    <w:pPr>
      <w:ind w:left="566" w:hanging="283"/>
    </w:pPr>
    <w:rPr>
      <w:lang w:val="en-GB"/>
    </w:rPr>
  </w:style>
  <w:style w:type="paragraph" w:styleId="Liste3">
    <w:name w:val="List 3"/>
    <w:basedOn w:val="Standard"/>
    <w:rsid w:val="00E03A64"/>
    <w:pPr>
      <w:ind w:left="849" w:hanging="283"/>
    </w:pPr>
    <w:rPr>
      <w:lang w:val="en-GB"/>
    </w:rPr>
  </w:style>
  <w:style w:type="paragraph" w:styleId="Liste4">
    <w:name w:val="List 4"/>
    <w:basedOn w:val="Standard"/>
    <w:rsid w:val="00E03A64"/>
    <w:pPr>
      <w:ind w:left="1132" w:hanging="283"/>
    </w:pPr>
    <w:rPr>
      <w:lang w:val="en-GB"/>
    </w:rPr>
  </w:style>
  <w:style w:type="paragraph" w:styleId="Liste5">
    <w:name w:val="List 5"/>
    <w:basedOn w:val="Standard"/>
    <w:rsid w:val="00E03A64"/>
    <w:pPr>
      <w:ind w:left="1415" w:hanging="283"/>
    </w:pPr>
    <w:rPr>
      <w:lang w:val="en-GB"/>
    </w:rPr>
  </w:style>
  <w:style w:type="paragraph" w:styleId="Aufzhlungszeichen">
    <w:name w:val="List Bullet"/>
    <w:basedOn w:val="Standard"/>
    <w:rsid w:val="00E03A64"/>
    <w:pPr>
      <w:tabs>
        <w:tab w:val="num" w:pos="360"/>
      </w:tabs>
      <w:ind w:left="360" w:hanging="360"/>
    </w:pPr>
    <w:rPr>
      <w:lang w:val="en-GB"/>
    </w:rPr>
  </w:style>
  <w:style w:type="paragraph" w:styleId="Aufzhlungszeichen2">
    <w:name w:val="List Bullet 2"/>
    <w:basedOn w:val="Standard"/>
    <w:rsid w:val="00E03A64"/>
    <w:pPr>
      <w:tabs>
        <w:tab w:val="num" w:pos="643"/>
      </w:tabs>
      <w:ind w:left="643" w:hanging="360"/>
    </w:pPr>
    <w:rPr>
      <w:lang w:val="en-GB"/>
    </w:rPr>
  </w:style>
  <w:style w:type="paragraph" w:styleId="Aufzhlungszeichen3">
    <w:name w:val="List Bullet 3"/>
    <w:basedOn w:val="Standard"/>
    <w:rsid w:val="00E03A64"/>
    <w:pPr>
      <w:tabs>
        <w:tab w:val="num" w:pos="926"/>
      </w:tabs>
      <w:ind w:left="926" w:hanging="360"/>
    </w:pPr>
    <w:rPr>
      <w:lang w:val="en-GB"/>
    </w:rPr>
  </w:style>
  <w:style w:type="paragraph" w:styleId="Aufzhlungszeichen4">
    <w:name w:val="List Bullet 4"/>
    <w:basedOn w:val="Standard"/>
    <w:rsid w:val="00E03A64"/>
    <w:pPr>
      <w:tabs>
        <w:tab w:val="num" w:pos="1209"/>
      </w:tabs>
      <w:ind w:left="1209" w:hanging="360"/>
    </w:pPr>
    <w:rPr>
      <w:lang w:val="en-GB"/>
    </w:rPr>
  </w:style>
  <w:style w:type="paragraph" w:styleId="Aufzhlungszeichen5">
    <w:name w:val="List Bullet 5"/>
    <w:basedOn w:val="Standard"/>
    <w:rsid w:val="00E03A64"/>
    <w:pPr>
      <w:tabs>
        <w:tab w:val="num" w:pos="1492"/>
      </w:tabs>
      <w:ind w:left="1492" w:hanging="360"/>
    </w:pPr>
    <w:rPr>
      <w:lang w:val="en-GB"/>
    </w:rPr>
  </w:style>
  <w:style w:type="paragraph" w:styleId="Listenfortsetzung">
    <w:name w:val="List Continue"/>
    <w:basedOn w:val="Standard"/>
    <w:rsid w:val="00E03A64"/>
    <w:pPr>
      <w:spacing w:after="120"/>
      <w:ind w:left="283"/>
    </w:pPr>
    <w:rPr>
      <w:lang w:val="en-GB"/>
    </w:rPr>
  </w:style>
  <w:style w:type="paragraph" w:styleId="Listenfortsetzung2">
    <w:name w:val="List Continue 2"/>
    <w:basedOn w:val="Standard"/>
    <w:rsid w:val="00E03A64"/>
    <w:pPr>
      <w:spacing w:after="120"/>
      <w:ind w:left="566"/>
    </w:pPr>
    <w:rPr>
      <w:lang w:val="en-GB"/>
    </w:rPr>
  </w:style>
  <w:style w:type="paragraph" w:styleId="Listenfortsetzung3">
    <w:name w:val="List Continue 3"/>
    <w:basedOn w:val="Standard"/>
    <w:rsid w:val="00E03A64"/>
    <w:pPr>
      <w:spacing w:after="120"/>
      <w:ind w:left="849"/>
    </w:pPr>
    <w:rPr>
      <w:lang w:val="en-GB"/>
    </w:rPr>
  </w:style>
  <w:style w:type="paragraph" w:styleId="Listenfortsetzung4">
    <w:name w:val="List Continue 4"/>
    <w:basedOn w:val="Standard"/>
    <w:rsid w:val="00E03A64"/>
    <w:pPr>
      <w:spacing w:after="120"/>
      <w:ind w:left="1132"/>
    </w:pPr>
    <w:rPr>
      <w:lang w:val="en-GB"/>
    </w:rPr>
  </w:style>
  <w:style w:type="paragraph" w:styleId="Listenfortsetzung5">
    <w:name w:val="List Continue 5"/>
    <w:basedOn w:val="Standard"/>
    <w:rsid w:val="00E03A64"/>
    <w:pPr>
      <w:spacing w:after="120"/>
      <w:ind w:left="1415"/>
    </w:pPr>
    <w:rPr>
      <w:lang w:val="en-GB"/>
    </w:rPr>
  </w:style>
  <w:style w:type="paragraph" w:styleId="Listennummer">
    <w:name w:val="List Number"/>
    <w:basedOn w:val="Standard"/>
    <w:rsid w:val="00E03A64"/>
    <w:pPr>
      <w:tabs>
        <w:tab w:val="num" w:pos="360"/>
      </w:tabs>
      <w:ind w:left="360" w:hanging="360"/>
    </w:pPr>
    <w:rPr>
      <w:lang w:val="en-GB"/>
    </w:rPr>
  </w:style>
  <w:style w:type="paragraph" w:styleId="Listennummer2">
    <w:name w:val="List Number 2"/>
    <w:basedOn w:val="Standard"/>
    <w:rsid w:val="00E03A64"/>
    <w:pPr>
      <w:tabs>
        <w:tab w:val="num" w:pos="643"/>
      </w:tabs>
      <w:ind w:left="643" w:hanging="360"/>
    </w:pPr>
    <w:rPr>
      <w:lang w:val="en-GB"/>
    </w:rPr>
  </w:style>
  <w:style w:type="paragraph" w:styleId="Listennummer3">
    <w:name w:val="List Number 3"/>
    <w:basedOn w:val="Standard"/>
    <w:rsid w:val="00E03A64"/>
    <w:pPr>
      <w:tabs>
        <w:tab w:val="num" w:pos="926"/>
      </w:tabs>
      <w:ind w:left="926" w:hanging="360"/>
    </w:pPr>
    <w:rPr>
      <w:lang w:val="en-GB"/>
    </w:rPr>
  </w:style>
  <w:style w:type="paragraph" w:styleId="Listennummer4">
    <w:name w:val="List Number 4"/>
    <w:basedOn w:val="Standard"/>
    <w:rsid w:val="00E03A64"/>
    <w:pPr>
      <w:tabs>
        <w:tab w:val="num" w:pos="1209"/>
      </w:tabs>
      <w:ind w:left="1209" w:hanging="360"/>
    </w:pPr>
    <w:rPr>
      <w:lang w:val="en-GB"/>
    </w:rPr>
  </w:style>
  <w:style w:type="paragraph" w:styleId="Listennummer5">
    <w:name w:val="List Number 5"/>
    <w:basedOn w:val="Standard"/>
    <w:rsid w:val="00E03A64"/>
    <w:pPr>
      <w:tabs>
        <w:tab w:val="num" w:pos="1492"/>
      </w:tabs>
      <w:ind w:left="1492" w:hanging="360"/>
    </w:pPr>
    <w:rPr>
      <w:lang w:val="en-GB"/>
    </w:rPr>
  </w:style>
  <w:style w:type="paragraph" w:styleId="Nachrichtenkopf">
    <w:name w:val="Message Header"/>
    <w:basedOn w:val="Standard"/>
    <w:link w:val="NachrichtenkopfZchn"/>
    <w:rsid w:val="00E03A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NachrichtenkopfZchn">
    <w:name w:val="Nachrichtenkopf Zchn"/>
    <w:link w:val="Nachrichtenkopf"/>
    <w:rsid w:val="00E03A64"/>
    <w:rPr>
      <w:rFonts w:ascii="Arial" w:hAnsi="Arial" w:cs="Arial"/>
      <w:sz w:val="24"/>
      <w:szCs w:val="24"/>
      <w:shd w:val="pct20" w:color="auto" w:fill="auto"/>
      <w:lang w:eastAsia="en-US"/>
    </w:rPr>
  </w:style>
  <w:style w:type="paragraph" w:styleId="StandardWeb">
    <w:name w:val="Normal (Web)"/>
    <w:basedOn w:val="Standard"/>
    <w:link w:val="StandardWebZchn"/>
    <w:uiPriority w:val="99"/>
    <w:rsid w:val="00E03A64"/>
    <w:rPr>
      <w:sz w:val="24"/>
      <w:szCs w:val="24"/>
      <w:lang w:val="en-GB"/>
    </w:rPr>
  </w:style>
  <w:style w:type="paragraph" w:styleId="Standardeinzug">
    <w:name w:val="Normal Indent"/>
    <w:basedOn w:val="Standard"/>
    <w:rsid w:val="00E03A64"/>
    <w:pPr>
      <w:ind w:left="567"/>
    </w:pPr>
    <w:rPr>
      <w:lang w:val="en-GB"/>
    </w:rPr>
  </w:style>
  <w:style w:type="paragraph" w:styleId="Fu-Endnotenberschrift">
    <w:name w:val="Note Heading"/>
    <w:basedOn w:val="Standard"/>
    <w:next w:val="Standard"/>
    <w:link w:val="Fu-EndnotenberschriftZchn"/>
    <w:rsid w:val="00E03A64"/>
    <w:rPr>
      <w:lang w:val="en-GB"/>
    </w:rPr>
  </w:style>
  <w:style w:type="character" w:customStyle="1" w:styleId="Fu-EndnotenberschriftZchn">
    <w:name w:val="Fuß/-Endnotenüberschrift Zchn"/>
    <w:link w:val="Fu-Endnotenberschrift"/>
    <w:rsid w:val="00E03A64"/>
    <w:rPr>
      <w:lang w:eastAsia="en-US"/>
    </w:rPr>
  </w:style>
  <w:style w:type="paragraph" w:styleId="Anrede">
    <w:name w:val="Salutation"/>
    <w:basedOn w:val="Standard"/>
    <w:next w:val="Standard"/>
    <w:link w:val="AnredeZchn"/>
    <w:rsid w:val="00E03A64"/>
    <w:rPr>
      <w:lang w:val="en-GB"/>
    </w:rPr>
  </w:style>
  <w:style w:type="character" w:customStyle="1" w:styleId="AnredeZchn">
    <w:name w:val="Anrede Zchn"/>
    <w:link w:val="Anrede"/>
    <w:rsid w:val="00E03A64"/>
    <w:rPr>
      <w:lang w:eastAsia="en-US"/>
    </w:rPr>
  </w:style>
  <w:style w:type="paragraph" w:styleId="Unterschrift">
    <w:name w:val="Signature"/>
    <w:basedOn w:val="Standard"/>
    <w:link w:val="UnterschriftZchn"/>
    <w:rsid w:val="00E03A64"/>
    <w:pPr>
      <w:ind w:left="4252"/>
    </w:pPr>
    <w:rPr>
      <w:lang w:val="en-GB"/>
    </w:rPr>
  </w:style>
  <w:style w:type="character" w:customStyle="1" w:styleId="UnterschriftZchn">
    <w:name w:val="Unterschrift Zchn"/>
    <w:link w:val="Unterschrift"/>
    <w:rsid w:val="00E03A64"/>
    <w:rPr>
      <w:lang w:eastAsia="en-US"/>
    </w:rPr>
  </w:style>
  <w:style w:type="character" w:styleId="Fett">
    <w:name w:val="Strong"/>
    <w:qFormat/>
    <w:rsid w:val="00E03A64"/>
    <w:rPr>
      <w:b/>
      <w:bCs/>
    </w:rPr>
  </w:style>
  <w:style w:type="paragraph" w:styleId="Untertitel">
    <w:name w:val="Subtitle"/>
    <w:basedOn w:val="Standard"/>
    <w:link w:val="UntertitelZchn"/>
    <w:qFormat/>
    <w:rsid w:val="00E03A64"/>
    <w:pPr>
      <w:spacing w:after="60"/>
      <w:jc w:val="center"/>
      <w:outlineLvl w:val="1"/>
    </w:pPr>
    <w:rPr>
      <w:rFonts w:ascii="Arial" w:hAnsi="Arial" w:cs="Arial"/>
      <w:sz w:val="24"/>
      <w:szCs w:val="24"/>
      <w:lang w:val="en-GB"/>
    </w:rPr>
  </w:style>
  <w:style w:type="character" w:customStyle="1" w:styleId="UntertitelZchn">
    <w:name w:val="Untertitel Zchn"/>
    <w:link w:val="Untertitel"/>
    <w:rsid w:val="00E03A64"/>
    <w:rPr>
      <w:rFonts w:ascii="Arial" w:hAnsi="Arial" w:cs="Arial"/>
      <w:sz w:val="24"/>
      <w:szCs w:val="24"/>
      <w:lang w:eastAsia="en-US"/>
    </w:rPr>
  </w:style>
  <w:style w:type="table" w:styleId="Tabelle3D-Effekt1">
    <w:name w:val="Table 3D effects 1"/>
    <w:basedOn w:val="NormaleTabelle"/>
    <w:rsid w:val="00E03A64"/>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E03A64"/>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E03A64"/>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E03A64"/>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E03A64"/>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E03A64"/>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rsid w:val="00E03A64"/>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E03A64"/>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E03A64"/>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rsid w:val="00E03A64"/>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E03A64"/>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E03A64"/>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E03A64"/>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E03A64"/>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rsid w:val="00E03A64"/>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rsid w:val="00E03A64"/>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NormaleTabelle"/>
    <w:next w:val="Tabellenraster"/>
    <w:semiHidden/>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leRaster1">
    <w:name w:val="Table Grid 1"/>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E03A64"/>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E03A64"/>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E03A64"/>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E03A64"/>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E03A64"/>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rsid w:val="00E03A64"/>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E03A64"/>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E03A64"/>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E03A64"/>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E03A64"/>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E03A64"/>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rsid w:val="00E03A64"/>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E03A64"/>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E03A64"/>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rsid w:val="00E03A64"/>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E03A64"/>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rsid w:val="00E03A6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rsid w:val="00E03A64"/>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E03A64"/>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E03A64"/>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link w:val="TitelZchn"/>
    <w:qFormat/>
    <w:rsid w:val="00E03A64"/>
    <w:pPr>
      <w:spacing w:before="240" w:after="60"/>
      <w:jc w:val="center"/>
      <w:outlineLvl w:val="0"/>
    </w:pPr>
    <w:rPr>
      <w:rFonts w:ascii="Arial" w:hAnsi="Arial" w:cs="Arial"/>
      <w:b/>
      <w:bCs/>
      <w:kern w:val="28"/>
      <w:sz w:val="32"/>
      <w:szCs w:val="32"/>
      <w:lang w:val="en-GB"/>
    </w:rPr>
  </w:style>
  <w:style w:type="character" w:customStyle="1" w:styleId="TitelZchn">
    <w:name w:val="Titel Zchn"/>
    <w:link w:val="Titel"/>
    <w:rsid w:val="00E03A64"/>
    <w:rPr>
      <w:rFonts w:ascii="Arial" w:hAnsi="Arial" w:cs="Arial"/>
      <w:b/>
      <w:bCs/>
      <w:kern w:val="28"/>
      <w:sz w:val="32"/>
      <w:szCs w:val="32"/>
      <w:lang w:eastAsia="en-US"/>
    </w:rPr>
  </w:style>
  <w:style w:type="paragraph" w:styleId="Umschlagadresse">
    <w:name w:val="envelope address"/>
    <w:basedOn w:val="Standard"/>
    <w:rsid w:val="00E03A64"/>
    <w:pPr>
      <w:framePr w:w="7920" w:h="1980" w:hRule="exact" w:hSpace="180" w:wrap="auto" w:hAnchor="page" w:xAlign="center" w:yAlign="bottom"/>
      <w:ind w:left="2880"/>
    </w:pPr>
    <w:rPr>
      <w:rFonts w:ascii="Arial" w:hAnsi="Arial" w:cs="Arial"/>
      <w:sz w:val="24"/>
      <w:szCs w:val="24"/>
      <w:lang w:val="en-GB"/>
    </w:rPr>
  </w:style>
  <w:style w:type="character" w:customStyle="1" w:styleId="H23GChar">
    <w:name w:val="_ H_2/3_G Char"/>
    <w:link w:val="H23G"/>
    <w:rsid w:val="00E03A64"/>
    <w:rPr>
      <w:b/>
      <w:lang w:val="fr-CH" w:eastAsia="en-US"/>
    </w:rPr>
  </w:style>
  <w:style w:type="character" w:customStyle="1" w:styleId="berschrift1Zchn">
    <w:name w:val="Überschrift 1 Zchn"/>
    <w:aliases w:val="Table_G Zchn"/>
    <w:link w:val="berschrift1"/>
    <w:rsid w:val="00E03A64"/>
    <w:rPr>
      <w:lang w:val="fr-CH" w:eastAsia="en-US"/>
    </w:rPr>
  </w:style>
  <w:style w:type="character" w:customStyle="1" w:styleId="CharChar4">
    <w:name w:val="Char Char4"/>
    <w:semiHidden/>
    <w:rsid w:val="00E03A64"/>
    <w:rPr>
      <w:sz w:val="18"/>
      <w:lang w:val="en-GB" w:eastAsia="en-US" w:bidi="ar-SA"/>
    </w:rPr>
  </w:style>
  <w:style w:type="character" w:customStyle="1" w:styleId="FuzeileZchn">
    <w:name w:val="Fußzeile Zchn"/>
    <w:aliases w:val="3_G Zchn"/>
    <w:link w:val="Fuzeile"/>
    <w:rsid w:val="00240D36"/>
    <w:rPr>
      <w:sz w:val="16"/>
      <w:lang w:val="fr-CH" w:eastAsia="en-US"/>
    </w:rPr>
  </w:style>
  <w:style w:type="paragraph" w:customStyle="1" w:styleId="tablefootnote">
    <w:name w:val="table footnote"/>
    <w:basedOn w:val="SingleTxtG"/>
    <w:qFormat/>
    <w:rsid w:val="00C96972"/>
    <w:pPr>
      <w:spacing w:after="0" w:line="220" w:lineRule="exact"/>
      <w:ind w:firstLine="170"/>
      <w:jc w:val="left"/>
    </w:pPr>
    <w:rPr>
      <w:sz w:val="18"/>
      <w:szCs w:val="18"/>
      <w:lang w:val="en-GB"/>
    </w:rPr>
  </w:style>
  <w:style w:type="character" w:customStyle="1" w:styleId="StandardWebZchn">
    <w:name w:val="Standard (Web) Zchn"/>
    <w:link w:val="StandardWeb"/>
    <w:rsid w:val="00A9646C"/>
    <w:rPr>
      <w:sz w:val="24"/>
      <w:szCs w:val="24"/>
      <w:lang w:val="en-GB" w:eastAsia="en-US"/>
    </w:rPr>
  </w:style>
  <w:style w:type="paragraph" w:customStyle="1" w:styleId="paragraph">
    <w:name w:val="paragraph"/>
    <w:basedOn w:val="Standard"/>
    <w:rsid w:val="00A9646C"/>
    <w:pPr>
      <w:suppressAutoHyphens w:val="0"/>
      <w:spacing w:line="240" w:lineRule="auto"/>
    </w:pPr>
    <w:rPr>
      <w:sz w:val="24"/>
      <w:szCs w:val="24"/>
      <w:lang w:val="nl-NL" w:eastAsia="nl-NL"/>
    </w:rPr>
  </w:style>
  <w:style w:type="paragraph" w:styleId="Listenabsatz">
    <w:name w:val="List Paragraph"/>
    <w:basedOn w:val="Standard"/>
    <w:uiPriority w:val="34"/>
    <w:qFormat/>
    <w:rsid w:val="00A9646C"/>
    <w:pPr>
      <w:ind w:left="720"/>
      <w:contextualSpacing/>
    </w:pPr>
  </w:style>
  <w:style w:type="character" w:customStyle="1" w:styleId="KommentartextZchn">
    <w:name w:val="Kommentartext Zchn"/>
    <w:link w:val="Kommentartext"/>
    <w:uiPriority w:val="99"/>
    <w:semiHidden/>
    <w:rsid w:val="00A9646C"/>
    <w:rPr>
      <w:lang w:val="fr-CH" w:eastAsia="en-US"/>
    </w:rPr>
  </w:style>
  <w:style w:type="character" w:styleId="Platzhaltertext">
    <w:name w:val="Placeholder Text"/>
    <w:basedOn w:val="Absatz-Standardschriftart"/>
    <w:uiPriority w:val="99"/>
    <w:semiHidden/>
    <w:rsid w:val="0038381F"/>
    <w:rPr>
      <w:color w:val="808080"/>
    </w:rPr>
  </w:style>
  <w:style w:type="numbering" w:customStyle="1" w:styleId="Formatvorlage1">
    <w:name w:val="Formatvorlage1"/>
    <w:uiPriority w:val="99"/>
    <w:rsid w:val="003504FB"/>
    <w:pPr>
      <w:numPr>
        <w:numId w:val="6"/>
      </w:numPr>
    </w:pPr>
  </w:style>
  <w:style w:type="paragraph" w:customStyle="1" w:styleId="memo">
    <w:name w:val="memo"/>
    <w:basedOn w:val="Standard"/>
    <w:rsid w:val="001B08E6"/>
    <w:pPr>
      <w:tabs>
        <w:tab w:val="left" w:pos="1701"/>
      </w:tabs>
      <w:suppressAutoHyphens w:val="0"/>
      <w:spacing w:before="120" w:after="120" w:line="240" w:lineRule="auto"/>
    </w:pPr>
    <w:rPr>
      <w:rFonts w:ascii="Arial" w:hAnsi="Arial"/>
      <w:sz w:val="22"/>
      <w:lang w:val="en-GB" w:eastAsia="nl-NL"/>
    </w:rPr>
  </w:style>
  <w:style w:type="table" w:customStyle="1" w:styleId="Tabellenraster1">
    <w:name w:val="Tabellenraster1"/>
    <w:basedOn w:val="NormaleTabelle"/>
    <w:next w:val="Tabellenraster"/>
    <w:uiPriority w:val="39"/>
    <w:rsid w:val="0039236C"/>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eText">
    <w:name w:val="Base_Text"/>
    <w:link w:val="BaseTextChar"/>
    <w:qFormat/>
    <w:rsid w:val="00D35D59"/>
    <w:pPr>
      <w:spacing w:after="240" w:line="240" w:lineRule="atLeast"/>
      <w:jc w:val="both"/>
    </w:pPr>
    <w:rPr>
      <w:rFonts w:ascii="Cambria" w:eastAsia="Calibri" w:hAnsi="Cambria"/>
      <w:sz w:val="22"/>
      <w:szCs w:val="22"/>
      <w:lang w:val="en-GB" w:eastAsia="en-US"/>
    </w:rPr>
  </w:style>
  <w:style w:type="paragraph" w:customStyle="1" w:styleId="Tablebody">
    <w:name w:val="Table body"/>
    <w:basedOn w:val="BaseText"/>
    <w:rsid w:val="00D35D59"/>
    <w:pPr>
      <w:spacing w:before="60" w:after="60" w:line="210" w:lineRule="atLeast"/>
      <w:jc w:val="left"/>
    </w:pPr>
    <w:rPr>
      <w:sz w:val="20"/>
    </w:rPr>
  </w:style>
  <w:style w:type="paragraph" w:customStyle="1" w:styleId="Tableheader">
    <w:name w:val="Table header"/>
    <w:basedOn w:val="Tablebody"/>
    <w:rsid w:val="00D35D59"/>
  </w:style>
  <w:style w:type="character" w:customStyle="1" w:styleId="BaseTextChar">
    <w:name w:val="Base_Text Char"/>
    <w:link w:val="BaseText"/>
    <w:rsid w:val="00D35D59"/>
    <w:rPr>
      <w:rFonts w:ascii="Cambria" w:eastAsia="Calibri" w:hAnsi="Cambria"/>
      <w:sz w:val="22"/>
      <w:szCs w:val="22"/>
      <w:lang w:val="en-GB" w:eastAsia="en-US"/>
    </w:rPr>
  </w:style>
  <w:style w:type="paragraph" w:styleId="Inhaltsverzeichnisberschrift">
    <w:name w:val="TOC Heading"/>
    <w:basedOn w:val="berschrift1"/>
    <w:next w:val="Standard"/>
    <w:uiPriority w:val="39"/>
    <w:unhideWhenUsed/>
    <w:qFormat/>
    <w:rsid w:val="00AC00AD"/>
    <w:pPr>
      <w:numPr>
        <w:numId w:val="0"/>
      </w:numPr>
      <w:suppressAutoHyphens w:val="0"/>
      <w:spacing w:before="240" w:line="259" w:lineRule="auto"/>
      <w:outlineLvl w:val="9"/>
    </w:pPr>
    <w:rPr>
      <w:rFonts w:asciiTheme="majorHAnsi" w:eastAsiaTheme="majorEastAsia" w:hAnsiTheme="majorHAnsi" w:cstheme="majorBidi"/>
      <w:color w:val="2F5496" w:themeColor="accent1" w:themeShade="BF"/>
      <w:sz w:val="32"/>
      <w:szCs w:val="32"/>
      <w:lang w:val="de-DE" w:eastAsia="de-DE"/>
    </w:rPr>
  </w:style>
  <w:style w:type="paragraph" w:styleId="Verzeichnis2">
    <w:name w:val="toc 2"/>
    <w:basedOn w:val="Standard"/>
    <w:next w:val="Standard"/>
    <w:autoRedefine/>
    <w:uiPriority w:val="39"/>
    <w:unhideWhenUsed/>
    <w:rsid w:val="00AC00AD"/>
    <w:pPr>
      <w:suppressAutoHyphens w:val="0"/>
      <w:spacing w:after="100" w:line="259" w:lineRule="auto"/>
      <w:ind w:left="220"/>
    </w:pPr>
    <w:rPr>
      <w:rFonts w:asciiTheme="minorHAnsi" w:eastAsiaTheme="minorEastAsia" w:hAnsiTheme="minorHAnsi"/>
      <w:sz w:val="22"/>
      <w:szCs w:val="22"/>
      <w:lang w:val="de-DE" w:eastAsia="de-DE"/>
    </w:rPr>
  </w:style>
  <w:style w:type="paragraph" w:styleId="Verzeichnis1">
    <w:name w:val="toc 1"/>
    <w:basedOn w:val="Standard"/>
    <w:next w:val="Standard"/>
    <w:autoRedefine/>
    <w:uiPriority w:val="39"/>
    <w:unhideWhenUsed/>
    <w:rsid w:val="006D6013"/>
    <w:pPr>
      <w:tabs>
        <w:tab w:val="right" w:pos="851"/>
        <w:tab w:val="right" w:leader="dot" w:pos="9629"/>
      </w:tabs>
      <w:suppressAutoHyphens w:val="0"/>
      <w:spacing w:after="100" w:line="259" w:lineRule="auto"/>
      <w:ind w:left="1134" w:hanging="567"/>
    </w:pPr>
    <w:rPr>
      <w:rFonts w:eastAsiaTheme="minorEastAsia"/>
      <w:sz w:val="28"/>
      <w:szCs w:val="28"/>
      <w:lang w:val="de-DE" w:eastAsia="de-DE"/>
    </w:rPr>
  </w:style>
  <w:style w:type="paragraph" w:styleId="Verzeichnis3">
    <w:name w:val="toc 3"/>
    <w:basedOn w:val="Standard"/>
    <w:next w:val="Standard"/>
    <w:autoRedefine/>
    <w:uiPriority w:val="39"/>
    <w:unhideWhenUsed/>
    <w:rsid w:val="00AC00AD"/>
    <w:pPr>
      <w:suppressAutoHyphens w:val="0"/>
      <w:spacing w:after="100" w:line="259" w:lineRule="auto"/>
      <w:ind w:left="440"/>
    </w:pPr>
    <w:rPr>
      <w:rFonts w:asciiTheme="minorHAnsi" w:eastAsiaTheme="minorEastAsia" w:hAnsiTheme="minorHAnsi"/>
      <w:sz w:val="22"/>
      <w:szCs w:val="22"/>
      <w:lang w:val="de-DE" w:eastAsia="de-DE"/>
    </w:rPr>
  </w:style>
  <w:style w:type="paragraph" w:styleId="berarbeitung">
    <w:name w:val="Revision"/>
    <w:hidden/>
    <w:uiPriority w:val="99"/>
    <w:semiHidden/>
    <w:rsid w:val="00852A52"/>
    <w:rPr>
      <w:lang w:val="fr-CH" w:eastAsia="en-US"/>
    </w:rPr>
  </w:style>
  <w:style w:type="character" w:customStyle="1" w:styleId="berschrift2Zchn">
    <w:name w:val="Überschrift 2 Zchn"/>
    <w:basedOn w:val="Absatz-Standardschriftart"/>
    <w:link w:val="berschrift2"/>
    <w:rsid w:val="0029304E"/>
    <w:rPr>
      <w:sz w:val="24"/>
      <w:szCs w:val="24"/>
      <w:lang w:val="en-GB" w:eastAsia="en-US"/>
    </w:rPr>
  </w:style>
  <w:style w:type="table" w:customStyle="1" w:styleId="TabelleRaster11">
    <w:name w:val="Tabelle Raster 11"/>
    <w:basedOn w:val="NormaleTabelle"/>
    <w:next w:val="TabelleRaster1"/>
    <w:rsid w:val="00E951C4"/>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i-provider">
    <w:name w:val="ui-provider"/>
    <w:basedOn w:val="Absatz-Standardschriftart"/>
    <w:rsid w:val="00454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477">
      <w:bodyDiv w:val="1"/>
      <w:marLeft w:val="0"/>
      <w:marRight w:val="0"/>
      <w:marTop w:val="0"/>
      <w:marBottom w:val="0"/>
      <w:divBdr>
        <w:top w:val="none" w:sz="0" w:space="0" w:color="auto"/>
        <w:left w:val="none" w:sz="0" w:space="0" w:color="auto"/>
        <w:bottom w:val="none" w:sz="0" w:space="0" w:color="auto"/>
        <w:right w:val="none" w:sz="0" w:space="0" w:color="auto"/>
      </w:divBdr>
    </w:div>
    <w:div w:id="89813722">
      <w:bodyDiv w:val="1"/>
      <w:marLeft w:val="0"/>
      <w:marRight w:val="0"/>
      <w:marTop w:val="0"/>
      <w:marBottom w:val="0"/>
      <w:divBdr>
        <w:top w:val="none" w:sz="0" w:space="0" w:color="auto"/>
        <w:left w:val="none" w:sz="0" w:space="0" w:color="auto"/>
        <w:bottom w:val="none" w:sz="0" w:space="0" w:color="auto"/>
        <w:right w:val="none" w:sz="0" w:space="0" w:color="auto"/>
      </w:divBdr>
    </w:div>
    <w:div w:id="138112103">
      <w:bodyDiv w:val="1"/>
      <w:marLeft w:val="0"/>
      <w:marRight w:val="0"/>
      <w:marTop w:val="0"/>
      <w:marBottom w:val="0"/>
      <w:divBdr>
        <w:top w:val="none" w:sz="0" w:space="0" w:color="auto"/>
        <w:left w:val="none" w:sz="0" w:space="0" w:color="auto"/>
        <w:bottom w:val="none" w:sz="0" w:space="0" w:color="auto"/>
        <w:right w:val="none" w:sz="0" w:space="0" w:color="auto"/>
      </w:divBdr>
    </w:div>
    <w:div w:id="176699665">
      <w:bodyDiv w:val="1"/>
      <w:marLeft w:val="0"/>
      <w:marRight w:val="0"/>
      <w:marTop w:val="0"/>
      <w:marBottom w:val="0"/>
      <w:divBdr>
        <w:top w:val="none" w:sz="0" w:space="0" w:color="auto"/>
        <w:left w:val="none" w:sz="0" w:space="0" w:color="auto"/>
        <w:bottom w:val="none" w:sz="0" w:space="0" w:color="auto"/>
        <w:right w:val="none" w:sz="0" w:space="0" w:color="auto"/>
      </w:divBdr>
    </w:div>
    <w:div w:id="242763331">
      <w:bodyDiv w:val="1"/>
      <w:marLeft w:val="0"/>
      <w:marRight w:val="0"/>
      <w:marTop w:val="0"/>
      <w:marBottom w:val="0"/>
      <w:divBdr>
        <w:top w:val="none" w:sz="0" w:space="0" w:color="auto"/>
        <w:left w:val="none" w:sz="0" w:space="0" w:color="auto"/>
        <w:bottom w:val="none" w:sz="0" w:space="0" w:color="auto"/>
        <w:right w:val="none" w:sz="0" w:space="0" w:color="auto"/>
      </w:divBdr>
    </w:div>
    <w:div w:id="267661178">
      <w:bodyDiv w:val="1"/>
      <w:marLeft w:val="0"/>
      <w:marRight w:val="0"/>
      <w:marTop w:val="0"/>
      <w:marBottom w:val="0"/>
      <w:divBdr>
        <w:top w:val="none" w:sz="0" w:space="0" w:color="auto"/>
        <w:left w:val="none" w:sz="0" w:space="0" w:color="auto"/>
        <w:bottom w:val="none" w:sz="0" w:space="0" w:color="auto"/>
        <w:right w:val="none" w:sz="0" w:space="0" w:color="auto"/>
      </w:divBdr>
    </w:div>
    <w:div w:id="386222511">
      <w:bodyDiv w:val="1"/>
      <w:marLeft w:val="0"/>
      <w:marRight w:val="0"/>
      <w:marTop w:val="0"/>
      <w:marBottom w:val="0"/>
      <w:divBdr>
        <w:top w:val="none" w:sz="0" w:space="0" w:color="auto"/>
        <w:left w:val="none" w:sz="0" w:space="0" w:color="auto"/>
        <w:bottom w:val="none" w:sz="0" w:space="0" w:color="auto"/>
        <w:right w:val="none" w:sz="0" w:space="0" w:color="auto"/>
      </w:divBdr>
    </w:div>
    <w:div w:id="483084017">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
    <w:div w:id="682978016">
      <w:bodyDiv w:val="1"/>
      <w:marLeft w:val="0"/>
      <w:marRight w:val="0"/>
      <w:marTop w:val="0"/>
      <w:marBottom w:val="0"/>
      <w:divBdr>
        <w:top w:val="none" w:sz="0" w:space="0" w:color="auto"/>
        <w:left w:val="none" w:sz="0" w:space="0" w:color="auto"/>
        <w:bottom w:val="none" w:sz="0" w:space="0" w:color="auto"/>
        <w:right w:val="none" w:sz="0" w:space="0" w:color="auto"/>
      </w:divBdr>
    </w:div>
    <w:div w:id="792867708">
      <w:bodyDiv w:val="1"/>
      <w:marLeft w:val="0"/>
      <w:marRight w:val="0"/>
      <w:marTop w:val="0"/>
      <w:marBottom w:val="0"/>
      <w:divBdr>
        <w:top w:val="none" w:sz="0" w:space="0" w:color="auto"/>
        <w:left w:val="none" w:sz="0" w:space="0" w:color="auto"/>
        <w:bottom w:val="none" w:sz="0" w:space="0" w:color="auto"/>
        <w:right w:val="none" w:sz="0" w:space="0" w:color="auto"/>
      </w:divBdr>
    </w:div>
    <w:div w:id="830218773">
      <w:bodyDiv w:val="1"/>
      <w:marLeft w:val="0"/>
      <w:marRight w:val="0"/>
      <w:marTop w:val="0"/>
      <w:marBottom w:val="0"/>
      <w:divBdr>
        <w:top w:val="none" w:sz="0" w:space="0" w:color="auto"/>
        <w:left w:val="none" w:sz="0" w:space="0" w:color="auto"/>
        <w:bottom w:val="none" w:sz="0" w:space="0" w:color="auto"/>
        <w:right w:val="none" w:sz="0" w:space="0" w:color="auto"/>
      </w:divBdr>
    </w:div>
    <w:div w:id="864517206">
      <w:bodyDiv w:val="1"/>
      <w:marLeft w:val="0"/>
      <w:marRight w:val="0"/>
      <w:marTop w:val="0"/>
      <w:marBottom w:val="0"/>
      <w:divBdr>
        <w:top w:val="none" w:sz="0" w:space="0" w:color="auto"/>
        <w:left w:val="none" w:sz="0" w:space="0" w:color="auto"/>
        <w:bottom w:val="none" w:sz="0" w:space="0" w:color="auto"/>
        <w:right w:val="none" w:sz="0" w:space="0" w:color="auto"/>
      </w:divBdr>
    </w:div>
    <w:div w:id="1049494788">
      <w:bodyDiv w:val="1"/>
      <w:marLeft w:val="0"/>
      <w:marRight w:val="0"/>
      <w:marTop w:val="0"/>
      <w:marBottom w:val="0"/>
      <w:divBdr>
        <w:top w:val="none" w:sz="0" w:space="0" w:color="auto"/>
        <w:left w:val="none" w:sz="0" w:space="0" w:color="auto"/>
        <w:bottom w:val="none" w:sz="0" w:space="0" w:color="auto"/>
        <w:right w:val="none" w:sz="0" w:space="0" w:color="auto"/>
      </w:divBdr>
    </w:div>
    <w:div w:id="1090151897">
      <w:bodyDiv w:val="1"/>
      <w:marLeft w:val="0"/>
      <w:marRight w:val="0"/>
      <w:marTop w:val="0"/>
      <w:marBottom w:val="0"/>
      <w:divBdr>
        <w:top w:val="none" w:sz="0" w:space="0" w:color="auto"/>
        <w:left w:val="none" w:sz="0" w:space="0" w:color="auto"/>
        <w:bottom w:val="none" w:sz="0" w:space="0" w:color="auto"/>
        <w:right w:val="none" w:sz="0" w:space="0" w:color="auto"/>
      </w:divBdr>
    </w:div>
    <w:div w:id="1237548201">
      <w:bodyDiv w:val="1"/>
      <w:marLeft w:val="0"/>
      <w:marRight w:val="0"/>
      <w:marTop w:val="0"/>
      <w:marBottom w:val="0"/>
      <w:divBdr>
        <w:top w:val="none" w:sz="0" w:space="0" w:color="auto"/>
        <w:left w:val="none" w:sz="0" w:space="0" w:color="auto"/>
        <w:bottom w:val="none" w:sz="0" w:space="0" w:color="auto"/>
        <w:right w:val="none" w:sz="0" w:space="0" w:color="auto"/>
      </w:divBdr>
    </w:div>
    <w:div w:id="1242105475">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505432547">
      <w:bodyDiv w:val="1"/>
      <w:marLeft w:val="0"/>
      <w:marRight w:val="0"/>
      <w:marTop w:val="0"/>
      <w:marBottom w:val="0"/>
      <w:divBdr>
        <w:top w:val="none" w:sz="0" w:space="0" w:color="auto"/>
        <w:left w:val="none" w:sz="0" w:space="0" w:color="auto"/>
        <w:bottom w:val="none" w:sz="0" w:space="0" w:color="auto"/>
        <w:right w:val="none" w:sz="0" w:space="0" w:color="auto"/>
      </w:divBdr>
    </w:div>
    <w:div w:id="1541433345">
      <w:bodyDiv w:val="1"/>
      <w:marLeft w:val="0"/>
      <w:marRight w:val="0"/>
      <w:marTop w:val="0"/>
      <w:marBottom w:val="0"/>
      <w:divBdr>
        <w:top w:val="none" w:sz="0" w:space="0" w:color="auto"/>
        <w:left w:val="none" w:sz="0" w:space="0" w:color="auto"/>
        <w:bottom w:val="none" w:sz="0" w:space="0" w:color="auto"/>
        <w:right w:val="none" w:sz="0" w:space="0" w:color="auto"/>
      </w:divBdr>
    </w:div>
    <w:div w:id="1597401564">
      <w:bodyDiv w:val="1"/>
      <w:marLeft w:val="0"/>
      <w:marRight w:val="0"/>
      <w:marTop w:val="0"/>
      <w:marBottom w:val="0"/>
      <w:divBdr>
        <w:top w:val="none" w:sz="0" w:space="0" w:color="auto"/>
        <w:left w:val="none" w:sz="0" w:space="0" w:color="auto"/>
        <w:bottom w:val="none" w:sz="0" w:space="0" w:color="auto"/>
        <w:right w:val="none" w:sz="0" w:space="0" w:color="auto"/>
      </w:divBdr>
    </w:div>
    <w:div w:id="1603223041">
      <w:bodyDiv w:val="1"/>
      <w:marLeft w:val="0"/>
      <w:marRight w:val="0"/>
      <w:marTop w:val="0"/>
      <w:marBottom w:val="0"/>
      <w:divBdr>
        <w:top w:val="none" w:sz="0" w:space="0" w:color="auto"/>
        <w:left w:val="none" w:sz="0" w:space="0" w:color="auto"/>
        <w:bottom w:val="none" w:sz="0" w:space="0" w:color="auto"/>
        <w:right w:val="none" w:sz="0" w:space="0" w:color="auto"/>
      </w:divBdr>
    </w:div>
    <w:div w:id="1620140922">
      <w:bodyDiv w:val="1"/>
      <w:marLeft w:val="0"/>
      <w:marRight w:val="0"/>
      <w:marTop w:val="0"/>
      <w:marBottom w:val="0"/>
      <w:divBdr>
        <w:top w:val="none" w:sz="0" w:space="0" w:color="auto"/>
        <w:left w:val="none" w:sz="0" w:space="0" w:color="auto"/>
        <w:bottom w:val="none" w:sz="0" w:space="0" w:color="auto"/>
        <w:right w:val="none" w:sz="0" w:space="0" w:color="auto"/>
      </w:divBdr>
    </w:div>
    <w:div w:id="1747068783">
      <w:bodyDiv w:val="1"/>
      <w:marLeft w:val="0"/>
      <w:marRight w:val="0"/>
      <w:marTop w:val="0"/>
      <w:marBottom w:val="0"/>
      <w:divBdr>
        <w:top w:val="none" w:sz="0" w:space="0" w:color="auto"/>
        <w:left w:val="none" w:sz="0" w:space="0" w:color="auto"/>
        <w:bottom w:val="none" w:sz="0" w:space="0" w:color="auto"/>
        <w:right w:val="none" w:sz="0" w:space="0" w:color="auto"/>
      </w:divBdr>
    </w:div>
    <w:div w:id="1747341928">
      <w:bodyDiv w:val="1"/>
      <w:marLeft w:val="0"/>
      <w:marRight w:val="0"/>
      <w:marTop w:val="0"/>
      <w:marBottom w:val="0"/>
      <w:divBdr>
        <w:top w:val="none" w:sz="0" w:space="0" w:color="auto"/>
        <w:left w:val="none" w:sz="0" w:space="0" w:color="auto"/>
        <w:bottom w:val="none" w:sz="0" w:space="0" w:color="auto"/>
        <w:right w:val="none" w:sz="0" w:space="0" w:color="auto"/>
      </w:divBdr>
    </w:div>
    <w:div w:id="1771966268">
      <w:bodyDiv w:val="1"/>
      <w:marLeft w:val="0"/>
      <w:marRight w:val="0"/>
      <w:marTop w:val="0"/>
      <w:marBottom w:val="0"/>
      <w:divBdr>
        <w:top w:val="none" w:sz="0" w:space="0" w:color="auto"/>
        <w:left w:val="none" w:sz="0" w:space="0" w:color="auto"/>
        <w:bottom w:val="none" w:sz="0" w:space="0" w:color="auto"/>
        <w:right w:val="none" w:sz="0" w:space="0" w:color="auto"/>
      </w:divBdr>
    </w:div>
    <w:div w:id="1811092992">
      <w:bodyDiv w:val="1"/>
      <w:marLeft w:val="0"/>
      <w:marRight w:val="0"/>
      <w:marTop w:val="0"/>
      <w:marBottom w:val="0"/>
      <w:divBdr>
        <w:top w:val="none" w:sz="0" w:space="0" w:color="auto"/>
        <w:left w:val="none" w:sz="0" w:space="0" w:color="auto"/>
        <w:bottom w:val="none" w:sz="0" w:space="0" w:color="auto"/>
        <w:right w:val="none" w:sz="0" w:space="0" w:color="auto"/>
      </w:divBdr>
    </w:div>
    <w:div w:id="1844932209">
      <w:bodyDiv w:val="1"/>
      <w:marLeft w:val="0"/>
      <w:marRight w:val="0"/>
      <w:marTop w:val="0"/>
      <w:marBottom w:val="0"/>
      <w:divBdr>
        <w:top w:val="none" w:sz="0" w:space="0" w:color="auto"/>
        <w:left w:val="none" w:sz="0" w:space="0" w:color="auto"/>
        <w:bottom w:val="none" w:sz="0" w:space="0" w:color="auto"/>
        <w:right w:val="none" w:sz="0" w:space="0" w:color="auto"/>
      </w:divBdr>
    </w:div>
    <w:div w:id="1949191962">
      <w:bodyDiv w:val="1"/>
      <w:marLeft w:val="0"/>
      <w:marRight w:val="0"/>
      <w:marTop w:val="0"/>
      <w:marBottom w:val="0"/>
      <w:divBdr>
        <w:top w:val="none" w:sz="0" w:space="0" w:color="auto"/>
        <w:left w:val="none" w:sz="0" w:space="0" w:color="auto"/>
        <w:bottom w:val="none" w:sz="0" w:space="0" w:color="auto"/>
        <w:right w:val="none" w:sz="0" w:space="0" w:color="auto"/>
      </w:divBdr>
    </w:div>
    <w:div w:id="2067727706">
      <w:bodyDiv w:val="1"/>
      <w:marLeft w:val="0"/>
      <w:marRight w:val="0"/>
      <w:marTop w:val="0"/>
      <w:marBottom w:val="0"/>
      <w:divBdr>
        <w:top w:val="none" w:sz="0" w:space="0" w:color="auto"/>
        <w:left w:val="none" w:sz="0" w:space="0" w:color="auto"/>
        <w:bottom w:val="none" w:sz="0" w:space="0" w:color="auto"/>
        <w:right w:val="none" w:sz="0" w:space="0" w:color="auto"/>
      </w:divBdr>
    </w:div>
    <w:div w:id="2097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46826-D1FC-463E-9704-A61562693776}">
  <ds:schemaRefs>
    <ds:schemaRef ds:uri="http://schemas.openxmlformats.org/officeDocument/2006/bibliography"/>
  </ds:schemaRefs>
</ds:datastoreItem>
</file>

<file path=customXml/itemProps2.xml><?xml version="1.0" encoding="utf-8"?>
<ds:datastoreItem xmlns:ds="http://schemas.openxmlformats.org/officeDocument/2006/customXml" ds:itemID="{53FB5428-8F5C-4D02-A640-21577F4593D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D6D02F6-C52C-48A6-A3B9-E49D2D66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3D0AB-60E1-461A-97FE-F90A7418E7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20406</Characters>
  <Application>Microsoft Office Word</Application>
  <DocSecurity>0</DocSecurity>
  <Lines>170</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ECE/TRANS/WP.29/GRBP/2024/8</vt:lpstr>
      <vt:lpstr>ECE/TRANS/WP.29/GRBP/2024/8</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ECE/TRANS/WP.29/GRBP/2024/8</dc:title>
  <dc:subject>2323249</dc:subject>
  <dc:creator/>
  <cp:keywords/>
  <dc:description/>
  <cp:lastModifiedBy/>
  <cp:revision>1</cp:revision>
  <dcterms:created xsi:type="dcterms:W3CDTF">2024-09-18T04:22:00Z</dcterms:created>
  <dcterms:modified xsi:type="dcterms:W3CDTF">2024-09-18T04:22:00Z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_NewReviewCycle">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_x0020_of_x0020_Origin">
    <vt:lpwstr/>
  </property>
  <property fmtid="{D5CDD505-2E9C-101B-9397-08002B2CF9AE}" pid="7" name="Office of Origin">
    <vt:lpwstr/>
  </property>
  <property fmtid="{D5CDD505-2E9C-101B-9397-08002B2CF9AE}" pid="8" name="MSIP_Label_19540963-e559-4020-8a90-fe8a502c2801_Enabled">
    <vt:lpwstr>true</vt:lpwstr>
  </property>
  <property fmtid="{D5CDD505-2E9C-101B-9397-08002B2CF9AE}" pid="9" name="MSIP_Label_19540963-e559-4020-8a90-fe8a502c2801_SetDate">
    <vt:lpwstr>2024-05-28T09:10:31Z</vt:lpwstr>
  </property>
  <property fmtid="{D5CDD505-2E9C-101B-9397-08002B2CF9AE}" pid="10" name="MSIP_Label_19540963-e559-4020-8a90-fe8a502c2801_Method">
    <vt:lpwstr>Standard</vt:lpwstr>
  </property>
  <property fmtid="{D5CDD505-2E9C-101B-9397-08002B2CF9AE}" pid="11" name="MSIP_Label_19540963-e559-4020-8a90-fe8a502c2801_Name">
    <vt:lpwstr>19540963-e559-4020-8a90-fe8a502c2801</vt:lpwstr>
  </property>
  <property fmtid="{D5CDD505-2E9C-101B-9397-08002B2CF9AE}" pid="12" name="MSIP_Label_19540963-e559-4020-8a90-fe8a502c2801_SiteId">
    <vt:lpwstr>f25493ae-1c98-41d7-8a33-0be75f5fe603</vt:lpwstr>
  </property>
  <property fmtid="{D5CDD505-2E9C-101B-9397-08002B2CF9AE}" pid="13" name="MSIP_Label_19540963-e559-4020-8a90-fe8a502c2801_ActionId">
    <vt:lpwstr>d9bad636-7933-40ce-8c05-d4c3708fa1fb</vt:lpwstr>
  </property>
  <property fmtid="{D5CDD505-2E9C-101B-9397-08002B2CF9AE}" pid="14" name="MSIP_Label_19540963-e559-4020-8a90-fe8a502c2801_ContentBits">
    <vt:lpwstr>0</vt:lpwstr>
  </property>
</Properties>
</file>