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0F04655F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53179D59" w14:textId="77777777" w:rsidR="002D5AAC" w:rsidRDefault="002D5AAC" w:rsidP="003A1A5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4BFC4E73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295A79EE" w14:textId="4E4E2EAD" w:rsidR="002D5AAC" w:rsidRDefault="003A1A59" w:rsidP="003A1A59">
            <w:pPr>
              <w:jc w:val="right"/>
            </w:pPr>
            <w:r w:rsidRPr="003A1A59">
              <w:rPr>
                <w:sz w:val="40"/>
              </w:rPr>
              <w:t>ECE</w:t>
            </w:r>
            <w:r>
              <w:t>/TRANS/WP.11/2024/8</w:t>
            </w:r>
          </w:p>
        </w:tc>
      </w:tr>
      <w:tr w:rsidR="002D5AAC" w14:paraId="54C98968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6B1B30C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73F3362D" wp14:editId="54723FA0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A2E9C6A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68C573FF" w14:textId="77777777" w:rsidR="002D5AAC" w:rsidRDefault="003A1A59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5503A890" w14:textId="77777777" w:rsidR="003A1A59" w:rsidRDefault="003A1A59" w:rsidP="003A1A59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9 August 2024</w:t>
            </w:r>
          </w:p>
          <w:p w14:paraId="3A2534DE" w14:textId="77777777" w:rsidR="003A1A59" w:rsidRDefault="003A1A59" w:rsidP="003A1A59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49336C2B" w14:textId="3A287289" w:rsidR="003A1A59" w:rsidRPr="008D53B6" w:rsidRDefault="003A1A59" w:rsidP="003A1A59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52A9482D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0CEA2D16" w14:textId="77777777" w:rsidR="003A1A59" w:rsidRPr="006D0AF6" w:rsidRDefault="003A1A59" w:rsidP="003A1A59">
      <w:pPr>
        <w:spacing w:before="120"/>
        <w:rPr>
          <w:rFonts w:asciiTheme="majorBidi" w:hAnsiTheme="majorBidi" w:cstheme="majorBidi"/>
          <w:sz w:val="28"/>
          <w:szCs w:val="28"/>
        </w:rPr>
      </w:pPr>
      <w:r w:rsidRPr="006D0AF6">
        <w:rPr>
          <w:rFonts w:asciiTheme="majorBidi" w:hAnsiTheme="majorBidi" w:cstheme="majorBidi"/>
          <w:sz w:val="28"/>
          <w:szCs w:val="28"/>
        </w:rPr>
        <w:t>Комитет по внутреннему транспорту</w:t>
      </w:r>
    </w:p>
    <w:p w14:paraId="0ED05A45" w14:textId="77777777" w:rsidR="003A1A59" w:rsidRDefault="003A1A59" w:rsidP="003A1A59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  <w:lang w:val="fr-CH"/>
        </w:rPr>
      </w:pPr>
      <w:r w:rsidRPr="006D0AF6">
        <w:rPr>
          <w:rFonts w:asciiTheme="majorBidi" w:hAnsiTheme="majorBidi" w:cstheme="majorBidi"/>
          <w:b/>
          <w:bCs/>
          <w:sz w:val="24"/>
          <w:szCs w:val="24"/>
        </w:rPr>
        <w:t xml:space="preserve">Рабочая группа по перевозкам скоропортящихся </w:t>
      </w:r>
      <w:r w:rsidRPr="006D0AF6">
        <w:rPr>
          <w:rFonts w:asciiTheme="majorBidi" w:hAnsiTheme="majorBidi" w:cstheme="majorBidi"/>
          <w:b/>
          <w:bCs/>
          <w:sz w:val="24"/>
          <w:szCs w:val="24"/>
        </w:rPr>
        <w:br/>
        <w:t>пищевых продуктов</w:t>
      </w:r>
    </w:p>
    <w:p w14:paraId="78DC8877" w14:textId="77777777" w:rsidR="003A1A59" w:rsidRDefault="003A1A59" w:rsidP="003A1A59">
      <w:pPr>
        <w:rPr>
          <w:lang w:val="fr-CH"/>
        </w:rPr>
      </w:pPr>
      <w:r>
        <w:rPr>
          <w:b/>
          <w:bCs/>
        </w:rPr>
        <w:t>Восемьдесят первая сессия</w:t>
      </w:r>
      <w:r>
        <w:rPr>
          <w:b/>
          <w:bCs/>
        </w:rPr>
        <w:br/>
      </w:r>
      <w:r>
        <w:t xml:space="preserve">Женева, 29 октября — 1 ноября 2024 года </w:t>
      </w:r>
    </w:p>
    <w:p w14:paraId="3F6C3AD0" w14:textId="77777777" w:rsidR="003A1A59" w:rsidRPr="006D0AF6" w:rsidRDefault="003A1A59" w:rsidP="003A1A59">
      <w:pPr>
        <w:rPr>
          <w:rFonts w:asciiTheme="majorBidi" w:hAnsiTheme="majorBidi" w:cstheme="majorBidi"/>
        </w:rPr>
      </w:pPr>
      <w:r w:rsidRPr="006D0AF6">
        <w:rPr>
          <w:rFonts w:asciiTheme="majorBidi" w:hAnsiTheme="majorBidi" w:cstheme="majorBidi"/>
        </w:rPr>
        <w:t xml:space="preserve">Пункт 5 </w:t>
      </w:r>
      <w:r>
        <w:rPr>
          <w:rFonts w:asciiTheme="majorBidi" w:hAnsiTheme="majorBidi" w:cstheme="majorBidi"/>
        </w:rPr>
        <w:t>b</w:t>
      </w:r>
      <w:r w:rsidRPr="006D0AF6">
        <w:rPr>
          <w:rFonts w:asciiTheme="majorBidi" w:hAnsiTheme="majorBidi" w:cstheme="majorBidi"/>
        </w:rPr>
        <w:t>) предварительной повестки дня</w:t>
      </w:r>
    </w:p>
    <w:p w14:paraId="785C41DA" w14:textId="599EF019" w:rsidR="003A1A59" w:rsidRPr="00B37832" w:rsidRDefault="003A1A59" w:rsidP="003A1A59">
      <w:pPr>
        <w:rPr>
          <w:b/>
          <w:bCs/>
        </w:rPr>
      </w:pPr>
      <w:r>
        <w:rPr>
          <w:b/>
          <w:bCs/>
        </w:rPr>
        <w:t>Предложения по поправкам к СПС:</w:t>
      </w:r>
      <w:r>
        <w:rPr>
          <w:b/>
          <w:bCs/>
          <w:lang w:val="en-US"/>
        </w:rPr>
        <w:br/>
      </w:r>
      <w:r>
        <w:rPr>
          <w:b/>
          <w:bCs/>
        </w:rPr>
        <w:t>новые предложения</w:t>
      </w:r>
    </w:p>
    <w:p w14:paraId="06572FAD" w14:textId="2F14B121" w:rsidR="003A1A59" w:rsidRPr="000D2ADE" w:rsidRDefault="003A1A59" w:rsidP="003A1A59">
      <w:pPr>
        <w:pStyle w:val="HChG"/>
      </w:pPr>
      <w:r>
        <w:tab/>
      </w:r>
      <w:r>
        <w:tab/>
      </w:r>
      <w:r>
        <w:rPr>
          <w:bCs/>
        </w:rPr>
        <w:t xml:space="preserve">Поправка к подпункту 6 c) </w:t>
      </w:r>
      <w:proofErr w:type="spellStart"/>
      <w:r>
        <w:rPr>
          <w:bCs/>
        </w:rPr>
        <w:t>iii</w:t>
      </w:r>
      <w:proofErr w:type="spellEnd"/>
      <w:r>
        <w:rPr>
          <w:bCs/>
        </w:rPr>
        <w:t>) b) добавления 1 к</w:t>
      </w:r>
      <w:r>
        <w:rPr>
          <w:bCs/>
          <w:lang w:val="en-US"/>
        </w:rPr>
        <w:t> </w:t>
      </w:r>
      <w:r>
        <w:rPr>
          <w:bCs/>
        </w:rPr>
        <w:t>приложению 1</w:t>
      </w:r>
    </w:p>
    <w:p w14:paraId="59CCAD7A" w14:textId="77777777" w:rsidR="003A1A59" w:rsidRPr="00DB4C7D" w:rsidRDefault="003A1A59" w:rsidP="003A1A59">
      <w:pPr>
        <w:pStyle w:val="H1G"/>
      </w:pPr>
      <w:r>
        <w:tab/>
      </w:r>
      <w:r>
        <w:tab/>
      </w:r>
      <w:r>
        <w:rPr>
          <w:bCs/>
        </w:rPr>
        <w:t>Передано правительством Соединенного Королевства Великобритании и Северной Ирландии</w:t>
      </w:r>
    </w:p>
    <w:p w14:paraId="1C2812EA" w14:textId="77777777" w:rsidR="003A1A59" w:rsidRPr="00F41C98" w:rsidRDefault="003A1A59" w:rsidP="003A1A59">
      <w:pPr>
        <w:pStyle w:val="HChG"/>
      </w:pPr>
      <w:r>
        <w:tab/>
      </w:r>
      <w:r>
        <w:tab/>
      </w:r>
      <w:r>
        <w:rPr>
          <w:bCs/>
        </w:rPr>
        <w:t>Введение</w:t>
      </w:r>
    </w:p>
    <w:p w14:paraId="486A5C92" w14:textId="77777777" w:rsidR="003A1A59" w:rsidRDefault="003A1A59" w:rsidP="003A1A59">
      <w:pPr>
        <w:pStyle w:val="SingleTxtG"/>
      </w:pPr>
      <w:r>
        <w:t>1.</w:t>
      </w:r>
      <w:r>
        <w:tab/>
        <w:t xml:space="preserve">В настоящее время согласно пункту 6 c) </w:t>
      </w:r>
      <w:proofErr w:type="spellStart"/>
      <w:r>
        <w:t>iii</w:t>
      </w:r>
      <w:proofErr w:type="spellEnd"/>
      <w:r>
        <w:t xml:space="preserve">) b) добавления 1 к приложению 1 испытания и сертификацию изотермических транспортных средств можно проводить без установленного на них термического оборудования. </w:t>
      </w:r>
    </w:p>
    <w:p w14:paraId="336E2468" w14:textId="77777777" w:rsidR="003A1A59" w:rsidRDefault="003A1A59" w:rsidP="003A1A59">
      <w:pPr>
        <w:pStyle w:val="SingleTxtG"/>
      </w:pPr>
      <w:r>
        <w:t>2.</w:t>
      </w:r>
      <w:r>
        <w:tab/>
        <w:t>Как уже обсуждалось на совещании Подкомиссии МИХ по перевозкам холодильным транспортом (CEРTE) в 2023 году, а также по мнению ряда испытательных станций, это дает несправедливое преимущество тем изготовителям изотермических транспортных средств, которые предоставляют для испытаний не оснащенные термическим оборудованием транспортные средства.</w:t>
      </w:r>
    </w:p>
    <w:p w14:paraId="23777BAE" w14:textId="77777777" w:rsidR="003A1A59" w:rsidRDefault="003A1A59" w:rsidP="003A1A59">
      <w:pPr>
        <w:pStyle w:val="SingleTxtG"/>
      </w:pPr>
      <w:r>
        <w:t>3.</w:t>
      </w:r>
      <w:r>
        <w:tab/>
        <w:t>На совещании CEРTE была достигнута общая договоренность о том, что оборудование имеет более высокий коэффициент К, чем отверстие, заполненное плотно прилегающим уплотнительным щитом, соответствующим по общей толщине и изотермическому типу щиту, которым оборудована передняя стенка.</w:t>
      </w:r>
    </w:p>
    <w:p w14:paraId="39D08A25" w14:textId="77777777" w:rsidR="003A1A59" w:rsidRDefault="003A1A59" w:rsidP="003A1A59">
      <w:pPr>
        <w:pStyle w:val="SingleTxtG"/>
      </w:pPr>
      <w:r>
        <w:t>4.</w:t>
      </w:r>
      <w:r>
        <w:tab/>
        <w:t>Таким образом, возможна ситуация, при которой сертификацию может пройти транспортное средство-рефрижератор, не отвечающее предписаниям пункта 1 приложения 1.</w:t>
      </w:r>
    </w:p>
    <w:p w14:paraId="10506F4E" w14:textId="47DBF9CF" w:rsidR="003A1A59" w:rsidRPr="00F23A98" w:rsidRDefault="003A1A59" w:rsidP="003A1A59">
      <w:pPr>
        <w:pStyle w:val="SingleTxtG"/>
      </w:pPr>
      <w:r>
        <w:t>5.</w:t>
      </w:r>
      <w:r>
        <w:tab/>
        <w:t>На восемнадцатой сессии WP.11 было разъяснено, что в основу требования, согласно которому значение коэффициента К должно быть как минимум на 5</w:t>
      </w:r>
      <w:r>
        <w:rPr>
          <w:lang w:val="en-US"/>
        </w:rPr>
        <w:t> </w:t>
      </w:r>
      <w:r>
        <w:t>% меньше значения, указанного в пункте 1 приложения 1, легли соответствующие меры, принятые в Соединенном Королевстве для того, чтобы у изготовителей установок без холодильной машины не было несправедливого преимущества. Была достигнута договоренность решить этот вопрос, поскольку требования СПС не должны приводить к появлению несправедливых преимуществ в условиях рынка.</w:t>
      </w:r>
    </w:p>
    <w:p w14:paraId="78CAD036" w14:textId="14455098" w:rsidR="003A1A59" w:rsidRPr="00F23A98" w:rsidRDefault="003A1A59" w:rsidP="003A1A59">
      <w:pPr>
        <w:pStyle w:val="SingleTxtG"/>
      </w:pPr>
      <w:r>
        <w:lastRenderedPageBreak/>
        <w:t>6.</w:t>
      </w:r>
      <w:r>
        <w:tab/>
        <w:t>Было также отмечено, что обеспечение уменьшенного значения коэффициента</w:t>
      </w:r>
      <w:r>
        <w:rPr>
          <w:lang w:val="en-US"/>
        </w:rPr>
        <w:t> </w:t>
      </w:r>
      <w:r>
        <w:t xml:space="preserve">K может оказаться весьма трудной задачей, решение которой зависит от размеров кузова и размеров отверстия в изотермическом транспортном средстве, причем сочетание этих параметров в каждом конкретном случае может быть разным. </w:t>
      </w:r>
    </w:p>
    <w:p w14:paraId="17A28F65" w14:textId="77777777" w:rsidR="003A1A59" w:rsidRPr="00F23A98" w:rsidRDefault="003A1A59" w:rsidP="003A1A59">
      <w:pPr>
        <w:pStyle w:val="SingleTxtG"/>
      </w:pPr>
      <w:r>
        <w:t>7.</w:t>
      </w:r>
      <w:r>
        <w:tab/>
        <w:t>WP.11 пришла к заключению, что, поскольку есть заинтересованность в продолжении работы над этим вопросом, его обсуждение будет продолжено на следующей сессии на основе пересмотренного предложения.</w:t>
      </w:r>
    </w:p>
    <w:p w14:paraId="5263DF32" w14:textId="77777777" w:rsidR="003A1A59" w:rsidRPr="00F41C98" w:rsidRDefault="003A1A59" w:rsidP="003A1A59">
      <w:pPr>
        <w:pStyle w:val="HChG"/>
      </w:pPr>
      <w:r>
        <w:tab/>
      </w:r>
      <w:r>
        <w:tab/>
      </w:r>
      <w:r>
        <w:rPr>
          <w:bCs/>
        </w:rPr>
        <w:t>Предлагаемая поправка</w:t>
      </w:r>
    </w:p>
    <w:p w14:paraId="5C766245" w14:textId="77777777" w:rsidR="003A1A59" w:rsidRPr="00F41C98" w:rsidRDefault="003A1A59" w:rsidP="003A1A59">
      <w:pPr>
        <w:pStyle w:val="SingleTxtG"/>
      </w:pPr>
      <w:r>
        <w:t>8.</w:t>
      </w:r>
      <w:r>
        <w:tab/>
        <w:t>Предлагаемая поправка позволит устранить техническую ошибку, допущенную в СПС.</w:t>
      </w:r>
    </w:p>
    <w:p w14:paraId="44A4DA7E" w14:textId="77777777" w:rsidR="003A1A59" w:rsidRPr="00FB6EDC" w:rsidRDefault="003A1A59" w:rsidP="003A1A59">
      <w:pPr>
        <w:pStyle w:val="SingleTxtG"/>
      </w:pPr>
      <w:r>
        <w:t>9.</w:t>
      </w:r>
      <w:r>
        <w:tab/>
        <w:t xml:space="preserve">Пункт 6 c) </w:t>
      </w:r>
      <w:proofErr w:type="spellStart"/>
      <w:r>
        <w:t>iii</w:t>
      </w:r>
      <w:proofErr w:type="spellEnd"/>
      <w:r>
        <w:t>) b) добавления 1 к приложению 1 изменить следующим образом (новый текст выделен жирным шрифтом):</w:t>
      </w:r>
    </w:p>
    <w:p w14:paraId="035EDD0F" w14:textId="6D7D9CE6" w:rsidR="003A1A59" w:rsidRPr="00FB6EDC" w:rsidRDefault="003A1A59" w:rsidP="003A1A59">
      <w:pPr>
        <w:pStyle w:val="SingleTxtG"/>
        <w:tabs>
          <w:tab w:val="clear" w:pos="1701"/>
        </w:tabs>
        <w:ind w:left="2268" w:hanging="567"/>
      </w:pPr>
      <w:r>
        <w:t>«</w:t>
      </w:r>
      <w:r>
        <w:t>b)</w:t>
      </w:r>
      <w:r>
        <w:tab/>
        <w:t>изотермическое транспортное средство, которое является полностью комплектным, за исключением холодильной установки, которая будет установлена на нем позднее.</w:t>
      </w:r>
    </w:p>
    <w:p w14:paraId="69532E49" w14:textId="77777777" w:rsidR="003A1A59" w:rsidRPr="00FB6EDC" w:rsidRDefault="003A1A59" w:rsidP="003A1A59">
      <w:pPr>
        <w:pStyle w:val="SingleTxtG"/>
        <w:tabs>
          <w:tab w:val="clear" w:pos="1701"/>
        </w:tabs>
        <w:ind w:left="2268" w:hanging="567"/>
      </w:pPr>
      <w:r>
        <w:tab/>
        <w:t>Полученное таким образом отверстие заполняется при измерении коэффициента К плотно прилегающим уплотнительным щитом, соответствующим по общей толщине и изотермическому типу щиту, которым оборудована передняя стенка. В этом случае:</w:t>
      </w:r>
      <w:bookmarkStart w:id="0" w:name="_Hlk141355642"/>
    </w:p>
    <w:bookmarkEnd w:id="0"/>
    <w:p w14:paraId="37239C4F" w14:textId="77777777" w:rsidR="003A1A59" w:rsidRPr="00FB6EDC" w:rsidRDefault="003A1A59" w:rsidP="003A1A59">
      <w:pPr>
        <w:pStyle w:val="Bullet1G"/>
        <w:tabs>
          <w:tab w:val="clear" w:pos="1701"/>
          <w:tab w:val="num" w:pos="2268"/>
        </w:tabs>
        <w:suppressAutoHyphens w:val="0"/>
        <w:ind w:left="2552" w:hanging="284"/>
      </w:pPr>
      <w:r>
        <w:t>должны быть соблюдены условия, указанные в подпункте i) выше; и</w:t>
      </w:r>
    </w:p>
    <w:p w14:paraId="6C304ADA" w14:textId="77777777" w:rsidR="003A1A59" w:rsidRPr="00FB6EDC" w:rsidRDefault="003A1A59" w:rsidP="003A1A59">
      <w:pPr>
        <w:pStyle w:val="Bullet1G"/>
        <w:tabs>
          <w:tab w:val="clear" w:pos="1701"/>
          <w:tab w:val="num" w:pos="2268"/>
        </w:tabs>
        <w:suppressAutoHyphens w:val="0"/>
        <w:ind w:left="2552" w:hanging="284"/>
      </w:pPr>
      <w:r>
        <w:t>полезная холодопроизводительность холодильной установки, которой оборудовано изотермическое транспортное средство, служащее в качестве образца, должна соответствовать величине, указанной в пункте 3.2.6 добавления 2 к приложению 1;</w:t>
      </w:r>
    </w:p>
    <w:p w14:paraId="13B48A54" w14:textId="25126E01" w:rsidR="003A1A59" w:rsidRPr="00FB6EDC" w:rsidRDefault="003A1A59" w:rsidP="003A1A59">
      <w:pPr>
        <w:pStyle w:val="Bullet1G"/>
        <w:tabs>
          <w:tab w:val="clear" w:pos="1701"/>
          <w:tab w:val="num" w:pos="2268"/>
        </w:tabs>
        <w:suppressAutoHyphens w:val="0"/>
        <w:ind w:left="2552" w:hanging="284"/>
        <w:rPr>
          <w:b/>
        </w:rPr>
      </w:pPr>
      <w:r>
        <w:rPr>
          <w:b/>
          <w:bCs/>
        </w:rPr>
        <w:t>если порожний объем V превышает 60</w:t>
      </w:r>
      <w:r>
        <w:rPr>
          <w:b/>
          <w:bCs/>
          <w:lang w:val="en-US"/>
        </w:rPr>
        <w:t> </w:t>
      </w:r>
      <w:r>
        <w:rPr>
          <w:b/>
          <w:bCs/>
        </w:rPr>
        <w:t>м</w:t>
      </w:r>
      <w:r w:rsidRPr="005133A0">
        <w:rPr>
          <w:b/>
          <w:bCs/>
          <w:vertAlign w:val="superscript"/>
        </w:rPr>
        <w:t>3</w:t>
      </w:r>
      <w:r>
        <w:rPr>
          <w:b/>
          <w:bCs/>
        </w:rPr>
        <w:t xml:space="preserve">, то значение коэффициента </w:t>
      </w:r>
      <w:r w:rsidRPr="005133A0">
        <w:rPr>
          <w:b/>
          <w:bCs/>
        </w:rPr>
        <w:t>K</w:t>
      </w:r>
      <w:r>
        <w:rPr>
          <w:b/>
          <w:bCs/>
        </w:rPr>
        <w:t xml:space="preserve"> должно быть как минимум на 2,5</w:t>
      </w:r>
      <w:r>
        <w:rPr>
          <w:b/>
          <w:bCs/>
          <w:lang w:val="en-US"/>
        </w:rPr>
        <w:t> </w:t>
      </w:r>
      <w:r>
        <w:rPr>
          <w:b/>
          <w:bCs/>
        </w:rPr>
        <w:t>% меньше значения, указанного в пункте 1 приложения 1;</w:t>
      </w:r>
    </w:p>
    <w:p w14:paraId="102B792F" w14:textId="3BE1A174" w:rsidR="003A1A59" w:rsidRPr="00FB6EDC" w:rsidRDefault="003A1A59" w:rsidP="003A1A59">
      <w:pPr>
        <w:pStyle w:val="Bullet1G"/>
        <w:tabs>
          <w:tab w:val="clear" w:pos="1701"/>
          <w:tab w:val="num" w:pos="2268"/>
        </w:tabs>
        <w:suppressAutoHyphens w:val="0"/>
        <w:ind w:left="2552" w:hanging="284"/>
        <w:rPr>
          <w:b/>
        </w:rPr>
      </w:pPr>
      <w:r>
        <w:rPr>
          <w:b/>
          <w:bCs/>
        </w:rPr>
        <w:t>если порожний объем V превышает 100</w:t>
      </w:r>
      <w:r>
        <w:rPr>
          <w:b/>
          <w:bCs/>
          <w:lang w:val="en-US"/>
        </w:rPr>
        <w:t> </w:t>
      </w:r>
      <w:r>
        <w:rPr>
          <w:b/>
          <w:bCs/>
        </w:rPr>
        <w:t>м</w:t>
      </w:r>
      <w:r w:rsidRPr="005133A0">
        <w:rPr>
          <w:b/>
          <w:bCs/>
          <w:vertAlign w:val="superscript"/>
        </w:rPr>
        <w:t>3</w:t>
      </w:r>
      <w:r>
        <w:rPr>
          <w:b/>
          <w:bCs/>
        </w:rPr>
        <w:t>, то значение коэффициента K должно быть как минимум на 5</w:t>
      </w:r>
      <w:r>
        <w:rPr>
          <w:b/>
          <w:bCs/>
          <w:lang w:val="en-US"/>
        </w:rPr>
        <w:t> </w:t>
      </w:r>
      <w:r>
        <w:rPr>
          <w:b/>
          <w:bCs/>
        </w:rPr>
        <w:t>% меньше значения, указанного в пункте 1 приложения 1</w:t>
      </w:r>
      <w:r w:rsidRPr="003A1A59">
        <w:t>».</w:t>
      </w:r>
    </w:p>
    <w:p w14:paraId="6ED4AA2E" w14:textId="77777777" w:rsidR="003A1A59" w:rsidRPr="00854888" w:rsidRDefault="003A1A59" w:rsidP="003A1A59">
      <w:pPr>
        <w:pStyle w:val="HChG"/>
      </w:pPr>
      <w:r>
        <w:tab/>
      </w:r>
      <w:r>
        <w:tab/>
      </w:r>
      <w:r>
        <w:rPr>
          <w:bCs/>
        </w:rPr>
        <w:t>Технические последствия</w:t>
      </w:r>
    </w:p>
    <w:p w14:paraId="6F91AA0F" w14:textId="77777777" w:rsidR="003A1A59" w:rsidRPr="00854888" w:rsidRDefault="003A1A59" w:rsidP="003A1A59">
      <w:pPr>
        <w:pStyle w:val="SingleTxtG"/>
      </w:pPr>
      <w:r>
        <w:t>10.</w:t>
      </w:r>
      <w:r>
        <w:tab/>
        <w:t xml:space="preserve">Данная поправка будет способствовать модернизации и повышению справедливости СПС и обеспечит положительный эффект в плане улучшения безопасности и качества пищевых продуктов. </w:t>
      </w:r>
    </w:p>
    <w:p w14:paraId="4235EB53" w14:textId="77777777" w:rsidR="003A1A59" w:rsidRPr="00854888" w:rsidRDefault="003A1A59" w:rsidP="003A1A59">
      <w:pPr>
        <w:pStyle w:val="HChG"/>
      </w:pPr>
      <w:r>
        <w:tab/>
      </w:r>
      <w:r>
        <w:tab/>
      </w:r>
      <w:r>
        <w:rPr>
          <w:bCs/>
        </w:rPr>
        <w:t>Экономические последствия</w:t>
      </w:r>
    </w:p>
    <w:p w14:paraId="29919BF5" w14:textId="77777777" w:rsidR="003A1A59" w:rsidRPr="00854888" w:rsidRDefault="003A1A59" w:rsidP="003A1A59">
      <w:pPr>
        <w:pStyle w:val="SingleTxtG"/>
      </w:pPr>
      <w:r>
        <w:t>11.</w:t>
      </w:r>
      <w:r>
        <w:tab/>
        <w:t>Хотя первоначальная стоимость оборудования может незначительно возрасти, это должно быть с лихвой компенсировано снижением эксплуатационных расходов при его использовании. Сокращение часов работы будет также способствовать уменьшению износа его компонентов, что приведет к увеличению срока службы оборудования и снижению потребности в запасных частях.</w:t>
      </w:r>
    </w:p>
    <w:p w14:paraId="5218C072" w14:textId="77777777" w:rsidR="003A1A59" w:rsidRPr="00854888" w:rsidRDefault="003A1A59" w:rsidP="003A1A59">
      <w:pPr>
        <w:pStyle w:val="HChG"/>
      </w:pPr>
      <w:r>
        <w:lastRenderedPageBreak/>
        <w:tab/>
      </w:r>
      <w:r>
        <w:tab/>
      </w:r>
      <w:r>
        <w:rPr>
          <w:bCs/>
        </w:rPr>
        <w:t>Последствия для окружающей среды</w:t>
      </w:r>
    </w:p>
    <w:p w14:paraId="1A9BC955" w14:textId="77777777" w:rsidR="003A1A59" w:rsidRDefault="003A1A59" w:rsidP="003A1A59">
      <w:pPr>
        <w:pStyle w:val="SingleTxtG"/>
        <w:keepLines/>
      </w:pPr>
      <w:r>
        <w:t>12.</w:t>
      </w:r>
      <w:r>
        <w:tab/>
        <w:t>Более низкое энергопотребление и, как следствие, сокращение общего объема выбросов. Уменьшение износа оборудования ведет к снижению количества необходимых сменных деталей и, таким образом, к уменьшению количества производимых изделий, что положительно скажется на окружающей среде.</w:t>
      </w:r>
    </w:p>
    <w:p w14:paraId="6E2DC87A" w14:textId="53F48A5D" w:rsidR="00E12C5F" w:rsidRPr="003A1A59" w:rsidRDefault="003A1A59" w:rsidP="003A1A59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E12C5F" w:rsidRPr="003A1A59" w:rsidSect="003A1A59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92507" w14:textId="77777777" w:rsidR="00E363B8" w:rsidRPr="00A312BC" w:rsidRDefault="00E363B8" w:rsidP="00A312BC"/>
  </w:endnote>
  <w:endnote w:type="continuationSeparator" w:id="0">
    <w:p w14:paraId="3AD34BCF" w14:textId="77777777" w:rsidR="00E363B8" w:rsidRPr="00A312BC" w:rsidRDefault="00E363B8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75A77" w14:textId="4197BBCB" w:rsidR="003A1A59" w:rsidRPr="003A1A59" w:rsidRDefault="003A1A59">
    <w:pPr>
      <w:pStyle w:val="a8"/>
    </w:pPr>
    <w:r w:rsidRPr="003A1A59">
      <w:rPr>
        <w:b/>
        <w:sz w:val="18"/>
      </w:rPr>
      <w:fldChar w:fldCharType="begin"/>
    </w:r>
    <w:r w:rsidRPr="003A1A59">
      <w:rPr>
        <w:b/>
        <w:sz w:val="18"/>
      </w:rPr>
      <w:instrText xml:space="preserve"> PAGE  \* MERGEFORMAT </w:instrText>
    </w:r>
    <w:r w:rsidRPr="003A1A59">
      <w:rPr>
        <w:b/>
        <w:sz w:val="18"/>
      </w:rPr>
      <w:fldChar w:fldCharType="separate"/>
    </w:r>
    <w:r w:rsidRPr="003A1A59">
      <w:rPr>
        <w:b/>
        <w:noProof/>
        <w:sz w:val="18"/>
      </w:rPr>
      <w:t>2</w:t>
    </w:r>
    <w:r w:rsidRPr="003A1A59">
      <w:rPr>
        <w:b/>
        <w:sz w:val="18"/>
      </w:rPr>
      <w:fldChar w:fldCharType="end"/>
    </w:r>
    <w:r>
      <w:rPr>
        <w:b/>
        <w:sz w:val="18"/>
      </w:rPr>
      <w:tab/>
    </w:r>
    <w:r>
      <w:t>GE.24-14458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D936C" w14:textId="5A171F73" w:rsidR="003A1A59" w:rsidRPr="003A1A59" w:rsidRDefault="003A1A59" w:rsidP="003A1A59">
    <w:pPr>
      <w:pStyle w:val="a8"/>
      <w:tabs>
        <w:tab w:val="clear" w:pos="9639"/>
        <w:tab w:val="right" w:pos="9638"/>
      </w:tabs>
      <w:rPr>
        <w:b/>
        <w:sz w:val="18"/>
      </w:rPr>
    </w:pPr>
    <w:r>
      <w:t>GE.24-14458</w:t>
    </w:r>
    <w:r>
      <w:tab/>
    </w:r>
    <w:r w:rsidRPr="003A1A59">
      <w:rPr>
        <w:b/>
        <w:sz w:val="18"/>
      </w:rPr>
      <w:fldChar w:fldCharType="begin"/>
    </w:r>
    <w:r w:rsidRPr="003A1A59">
      <w:rPr>
        <w:b/>
        <w:sz w:val="18"/>
      </w:rPr>
      <w:instrText xml:space="preserve"> PAGE  \* MERGEFORMAT </w:instrText>
    </w:r>
    <w:r w:rsidRPr="003A1A59">
      <w:rPr>
        <w:b/>
        <w:sz w:val="18"/>
      </w:rPr>
      <w:fldChar w:fldCharType="separate"/>
    </w:r>
    <w:r w:rsidRPr="003A1A59">
      <w:rPr>
        <w:b/>
        <w:noProof/>
        <w:sz w:val="18"/>
      </w:rPr>
      <w:t>3</w:t>
    </w:r>
    <w:r w:rsidRPr="003A1A59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DB3B0" w14:textId="6738828C" w:rsidR="00042B72" w:rsidRPr="000B5FA2" w:rsidRDefault="003A1A59" w:rsidP="003A1A59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206A6932" wp14:editId="41AD0D91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24-14458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0C4B9CD8" wp14:editId="10319B88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28650" cy="62865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5FA2">
      <w:t xml:space="preserve">   </w:t>
    </w:r>
    <w:r w:rsidR="000B5FA2">
      <w:rPr>
        <w:lang w:val="en-US"/>
      </w:rPr>
      <w:t>230824   260824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FD0E4" w14:textId="77777777" w:rsidR="00E363B8" w:rsidRPr="001075E9" w:rsidRDefault="00E363B8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2E23ADFA" w14:textId="77777777" w:rsidR="00E363B8" w:rsidRDefault="00E363B8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33964" w14:textId="55BD0598" w:rsidR="003A1A59" w:rsidRPr="003A1A59" w:rsidRDefault="003A1A59">
    <w:pPr>
      <w:pStyle w:val="a5"/>
    </w:pPr>
    <w:fldSimple w:instr=" TITLE  \* MERGEFORMAT ">
      <w:r w:rsidR="00B1534B">
        <w:t>ECE/TRANS/WP.11/2024/8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C4C3B" w14:textId="5A3CD867" w:rsidR="003A1A59" w:rsidRPr="003A1A59" w:rsidRDefault="003A1A59" w:rsidP="003A1A59">
    <w:pPr>
      <w:pStyle w:val="a5"/>
      <w:jc w:val="right"/>
    </w:pPr>
    <w:fldSimple w:instr=" TITLE  \* MERGEFORMAT ">
      <w:r w:rsidR="00B1534B">
        <w:t>ECE/TRANS/WP.11/2024/8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56733885">
    <w:abstractNumId w:val="17"/>
  </w:num>
  <w:num w:numId="2" w16cid:durableId="966817556">
    <w:abstractNumId w:val="12"/>
  </w:num>
  <w:num w:numId="3" w16cid:durableId="1816291531">
    <w:abstractNumId w:val="11"/>
  </w:num>
  <w:num w:numId="4" w16cid:durableId="1492480875">
    <w:abstractNumId w:val="18"/>
  </w:num>
  <w:num w:numId="5" w16cid:durableId="1298685170">
    <w:abstractNumId w:val="14"/>
  </w:num>
  <w:num w:numId="6" w16cid:durableId="1283070902">
    <w:abstractNumId w:val="8"/>
  </w:num>
  <w:num w:numId="7" w16cid:durableId="1699626965">
    <w:abstractNumId w:val="3"/>
  </w:num>
  <w:num w:numId="8" w16cid:durableId="1329138966">
    <w:abstractNumId w:val="2"/>
  </w:num>
  <w:num w:numId="9" w16cid:durableId="972639926">
    <w:abstractNumId w:val="1"/>
  </w:num>
  <w:num w:numId="10" w16cid:durableId="1379890997">
    <w:abstractNumId w:val="0"/>
  </w:num>
  <w:num w:numId="11" w16cid:durableId="395789326">
    <w:abstractNumId w:val="9"/>
  </w:num>
  <w:num w:numId="12" w16cid:durableId="767236370">
    <w:abstractNumId w:val="7"/>
  </w:num>
  <w:num w:numId="13" w16cid:durableId="1427002435">
    <w:abstractNumId w:val="6"/>
  </w:num>
  <w:num w:numId="14" w16cid:durableId="731152056">
    <w:abstractNumId w:val="5"/>
  </w:num>
  <w:num w:numId="15" w16cid:durableId="2099473488">
    <w:abstractNumId w:val="4"/>
  </w:num>
  <w:num w:numId="16" w16cid:durableId="746810400">
    <w:abstractNumId w:val="16"/>
  </w:num>
  <w:num w:numId="17" w16cid:durableId="53941411">
    <w:abstractNumId w:val="13"/>
  </w:num>
  <w:num w:numId="18" w16cid:durableId="961153681">
    <w:abstractNumId w:val="15"/>
  </w:num>
  <w:num w:numId="19" w16cid:durableId="1272468768">
    <w:abstractNumId w:val="16"/>
  </w:num>
  <w:num w:numId="20" w16cid:durableId="807743971">
    <w:abstractNumId w:val="13"/>
  </w:num>
  <w:num w:numId="21" w16cid:durableId="1591162185">
    <w:abstractNumId w:val="15"/>
  </w:num>
  <w:num w:numId="22" w16cid:durableId="201795083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3B8"/>
    <w:rsid w:val="00033EE1"/>
    <w:rsid w:val="00042B72"/>
    <w:rsid w:val="000558BD"/>
    <w:rsid w:val="000A75C5"/>
    <w:rsid w:val="000B57E7"/>
    <w:rsid w:val="000B5FA2"/>
    <w:rsid w:val="000B6373"/>
    <w:rsid w:val="000E4E5B"/>
    <w:rsid w:val="000F09DF"/>
    <w:rsid w:val="000F61B2"/>
    <w:rsid w:val="001075E9"/>
    <w:rsid w:val="0014152F"/>
    <w:rsid w:val="00180183"/>
    <w:rsid w:val="0018024D"/>
    <w:rsid w:val="0018649F"/>
    <w:rsid w:val="00196389"/>
    <w:rsid w:val="001B3EF6"/>
    <w:rsid w:val="001C7A89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1A59"/>
    <w:rsid w:val="003A48CE"/>
    <w:rsid w:val="003B00E5"/>
    <w:rsid w:val="003E0B46"/>
    <w:rsid w:val="00407B78"/>
    <w:rsid w:val="00424203"/>
    <w:rsid w:val="00452493"/>
    <w:rsid w:val="00453318"/>
    <w:rsid w:val="00454AF2"/>
    <w:rsid w:val="00454E07"/>
    <w:rsid w:val="00472C5C"/>
    <w:rsid w:val="00485F8A"/>
    <w:rsid w:val="004E05B7"/>
    <w:rsid w:val="0050108D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D7914"/>
    <w:rsid w:val="005E2B41"/>
    <w:rsid w:val="005F0B42"/>
    <w:rsid w:val="00617A43"/>
    <w:rsid w:val="006345DB"/>
    <w:rsid w:val="00640F49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7357"/>
    <w:rsid w:val="00792497"/>
    <w:rsid w:val="00806737"/>
    <w:rsid w:val="00825F8D"/>
    <w:rsid w:val="00834B71"/>
    <w:rsid w:val="0086445C"/>
    <w:rsid w:val="00894693"/>
    <w:rsid w:val="008A08D7"/>
    <w:rsid w:val="008A37C8"/>
    <w:rsid w:val="008B6909"/>
    <w:rsid w:val="008D53B6"/>
    <w:rsid w:val="008F7609"/>
    <w:rsid w:val="00906890"/>
    <w:rsid w:val="00911BE4"/>
    <w:rsid w:val="00951972"/>
    <w:rsid w:val="009608F3"/>
    <w:rsid w:val="009A24AC"/>
    <w:rsid w:val="009C59D7"/>
    <w:rsid w:val="009C6FE6"/>
    <w:rsid w:val="009D7E7D"/>
    <w:rsid w:val="00A14DA8"/>
    <w:rsid w:val="00A312BC"/>
    <w:rsid w:val="00A84021"/>
    <w:rsid w:val="00A84D35"/>
    <w:rsid w:val="00A917B3"/>
    <w:rsid w:val="00AB4B51"/>
    <w:rsid w:val="00B10CC7"/>
    <w:rsid w:val="00B1534B"/>
    <w:rsid w:val="00B36DF7"/>
    <w:rsid w:val="00B539E7"/>
    <w:rsid w:val="00B62458"/>
    <w:rsid w:val="00BC18B2"/>
    <w:rsid w:val="00BD33EE"/>
    <w:rsid w:val="00BE1CC7"/>
    <w:rsid w:val="00C106D6"/>
    <w:rsid w:val="00C119AE"/>
    <w:rsid w:val="00C60F0C"/>
    <w:rsid w:val="00C71E84"/>
    <w:rsid w:val="00C805C9"/>
    <w:rsid w:val="00C92939"/>
    <w:rsid w:val="00CA1679"/>
    <w:rsid w:val="00CB151C"/>
    <w:rsid w:val="00CE5A1A"/>
    <w:rsid w:val="00CF55F6"/>
    <w:rsid w:val="00D33D63"/>
    <w:rsid w:val="00D5253A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363B8"/>
    <w:rsid w:val="00E73F76"/>
    <w:rsid w:val="00E91A4A"/>
    <w:rsid w:val="00EA2C9F"/>
    <w:rsid w:val="00EA420E"/>
    <w:rsid w:val="00ED0BDA"/>
    <w:rsid w:val="00EE142A"/>
    <w:rsid w:val="00EF1360"/>
    <w:rsid w:val="00EF3220"/>
    <w:rsid w:val="00F2523A"/>
    <w:rsid w:val="00F43903"/>
    <w:rsid w:val="00F73C9D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3EA413"/>
  <w15:docId w15:val="{B6E5C5E5-1C49-4B53-8DB8-2918E66A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SingleTxtGChar">
    <w:name w:val="_ Single Txt_G Char"/>
    <w:link w:val="SingleTxtG"/>
    <w:locked/>
    <w:rsid w:val="003A1A59"/>
    <w:rPr>
      <w:lang w:val="ru-RU" w:eastAsia="en-US"/>
    </w:rPr>
  </w:style>
  <w:style w:type="paragraph" w:customStyle="1" w:styleId="ParNoG">
    <w:name w:val="_ParNo_G"/>
    <w:basedOn w:val="a"/>
    <w:qFormat/>
    <w:rsid w:val="003A1A59"/>
    <w:pPr>
      <w:numPr>
        <w:numId w:val="22"/>
      </w:numPr>
      <w:tabs>
        <w:tab w:val="left" w:pos="1701"/>
        <w:tab w:val="left" w:pos="2268"/>
        <w:tab w:val="left" w:pos="2835"/>
      </w:tabs>
      <w:suppressAutoHyphens w:val="0"/>
      <w:spacing w:after="120"/>
      <w:ind w:right="1134"/>
      <w:jc w:val="both"/>
    </w:pPr>
    <w:rPr>
      <w:rFonts w:eastAsia="Times New Roman" w:cs="Times New Roman"/>
      <w:szCs w:val="20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D402AD-B01E-4C05-A103-24398C9A8AFD}"/>
</file>

<file path=customXml/itemProps2.xml><?xml version="1.0" encoding="utf-8"?>
<ds:datastoreItem xmlns:ds="http://schemas.openxmlformats.org/officeDocument/2006/customXml" ds:itemID="{82BCF9AC-CB4F-4A8A-B68C-E840A31B2F0B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1</TotalTime>
  <Pages>3</Pages>
  <Words>607</Words>
  <Characters>4119</Characters>
  <Application>Microsoft Office Word</Application>
  <DocSecurity>0</DocSecurity>
  <Lines>92</Lines>
  <Paragraphs>38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A/</vt:lpstr>
      <vt:lpstr>A/</vt:lpstr>
      <vt:lpstr>A/</vt:lpstr>
    </vt:vector>
  </TitlesOfParts>
  <Company>DCM</Company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ECE/TRANS/WP.11/2024/8</dc:title>
  <dc:subject/>
  <dc:creator>Larisa MAYKOVSKAYA</dc:creator>
  <cp:keywords/>
  <cp:lastModifiedBy>Larisa MAYKOVSKAYA</cp:lastModifiedBy>
  <cp:revision>3</cp:revision>
  <cp:lastPrinted>2024-08-26T13:44:00Z</cp:lastPrinted>
  <dcterms:created xsi:type="dcterms:W3CDTF">2024-08-26T13:43:00Z</dcterms:created>
  <dcterms:modified xsi:type="dcterms:W3CDTF">2024-08-26T13:44:00Z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