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4F675609" w14:textId="77777777" w:rsidTr="00C97039">
        <w:trPr>
          <w:trHeight w:hRule="exact" w:val="851"/>
        </w:trPr>
        <w:tc>
          <w:tcPr>
            <w:tcW w:w="1276" w:type="dxa"/>
            <w:tcBorders>
              <w:bottom w:val="single" w:sz="4" w:space="0" w:color="auto"/>
            </w:tcBorders>
          </w:tcPr>
          <w:p w14:paraId="6AEAA5F9" w14:textId="77777777" w:rsidR="00F35BAF" w:rsidRPr="00DB58B5" w:rsidRDefault="00F35BAF" w:rsidP="0013098A"/>
        </w:tc>
        <w:tc>
          <w:tcPr>
            <w:tcW w:w="2268" w:type="dxa"/>
            <w:tcBorders>
              <w:bottom w:val="single" w:sz="4" w:space="0" w:color="auto"/>
            </w:tcBorders>
            <w:vAlign w:val="bottom"/>
          </w:tcPr>
          <w:p w14:paraId="46EE3632"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BA1F601" w14:textId="43346C3E" w:rsidR="00F35BAF" w:rsidRPr="00DB58B5" w:rsidRDefault="0013098A" w:rsidP="0013098A">
            <w:pPr>
              <w:jc w:val="right"/>
            </w:pPr>
            <w:r w:rsidRPr="0013098A">
              <w:rPr>
                <w:sz w:val="40"/>
              </w:rPr>
              <w:t>ECE</w:t>
            </w:r>
            <w:r>
              <w:t>/TRANS/WP.11/2024/14</w:t>
            </w:r>
          </w:p>
        </w:tc>
      </w:tr>
      <w:tr w:rsidR="00F35BAF" w:rsidRPr="00DB58B5" w14:paraId="78A36FED" w14:textId="77777777" w:rsidTr="00C97039">
        <w:trPr>
          <w:trHeight w:hRule="exact" w:val="2835"/>
        </w:trPr>
        <w:tc>
          <w:tcPr>
            <w:tcW w:w="1276" w:type="dxa"/>
            <w:tcBorders>
              <w:top w:val="single" w:sz="4" w:space="0" w:color="auto"/>
              <w:bottom w:val="single" w:sz="12" w:space="0" w:color="auto"/>
            </w:tcBorders>
          </w:tcPr>
          <w:p w14:paraId="4A5C70A9" w14:textId="77777777" w:rsidR="00F35BAF" w:rsidRPr="00DB58B5" w:rsidRDefault="00F35BAF" w:rsidP="00C97039">
            <w:pPr>
              <w:spacing w:before="120"/>
              <w:jc w:val="center"/>
            </w:pPr>
            <w:r>
              <w:rPr>
                <w:noProof/>
                <w:lang w:eastAsia="fr-CH"/>
              </w:rPr>
              <w:drawing>
                <wp:inline distT="0" distB="0" distL="0" distR="0" wp14:anchorId="3055750E" wp14:editId="5978747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75AD19E"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2801CEF" w14:textId="77777777" w:rsidR="00F35BAF" w:rsidRDefault="0013098A" w:rsidP="00C97039">
            <w:pPr>
              <w:spacing w:before="240"/>
            </w:pPr>
            <w:proofErr w:type="spellStart"/>
            <w:r>
              <w:t>Distr</w:t>
            </w:r>
            <w:proofErr w:type="spellEnd"/>
            <w:r>
              <w:t>. générale</w:t>
            </w:r>
          </w:p>
          <w:p w14:paraId="44E3F31E" w14:textId="77777777" w:rsidR="0013098A" w:rsidRDefault="0013098A" w:rsidP="0013098A">
            <w:pPr>
              <w:spacing w:line="240" w:lineRule="exact"/>
            </w:pPr>
            <w:r>
              <w:t>13 août 2024</w:t>
            </w:r>
          </w:p>
          <w:p w14:paraId="5182189A" w14:textId="77777777" w:rsidR="0013098A" w:rsidRDefault="0013098A" w:rsidP="0013098A">
            <w:pPr>
              <w:spacing w:line="240" w:lineRule="exact"/>
            </w:pPr>
            <w:r>
              <w:t>Français</w:t>
            </w:r>
          </w:p>
          <w:p w14:paraId="52288C83" w14:textId="40BB70C0" w:rsidR="0013098A" w:rsidRPr="00DB58B5" w:rsidRDefault="0013098A" w:rsidP="0013098A">
            <w:pPr>
              <w:spacing w:line="240" w:lineRule="exact"/>
            </w:pPr>
            <w:r>
              <w:t>Original : anglais</w:t>
            </w:r>
          </w:p>
        </w:tc>
      </w:tr>
    </w:tbl>
    <w:p w14:paraId="3109DE58" w14:textId="77777777" w:rsidR="007F20FA" w:rsidRPr="000312C0" w:rsidRDefault="007F20FA" w:rsidP="007F20FA">
      <w:pPr>
        <w:spacing w:before="120"/>
        <w:rPr>
          <w:b/>
          <w:sz w:val="28"/>
          <w:szCs w:val="28"/>
        </w:rPr>
      </w:pPr>
      <w:r w:rsidRPr="000312C0">
        <w:rPr>
          <w:b/>
          <w:sz w:val="28"/>
          <w:szCs w:val="28"/>
        </w:rPr>
        <w:t>Commission économique pour l’Europe</w:t>
      </w:r>
    </w:p>
    <w:p w14:paraId="62A3AA90" w14:textId="77777777" w:rsidR="007F20FA" w:rsidRDefault="007F20FA" w:rsidP="007F20FA">
      <w:pPr>
        <w:spacing w:before="120"/>
        <w:rPr>
          <w:sz w:val="28"/>
          <w:szCs w:val="28"/>
        </w:rPr>
      </w:pPr>
      <w:r w:rsidRPr="00685843">
        <w:rPr>
          <w:sz w:val="28"/>
          <w:szCs w:val="28"/>
        </w:rPr>
        <w:t>Comité des transports intérieurs</w:t>
      </w:r>
    </w:p>
    <w:p w14:paraId="4AD2C327" w14:textId="77777777" w:rsidR="0013098A" w:rsidRPr="0013098A" w:rsidRDefault="0013098A" w:rsidP="0013098A">
      <w:pPr>
        <w:spacing w:before="120"/>
        <w:rPr>
          <w:b/>
          <w:sz w:val="24"/>
          <w:szCs w:val="24"/>
        </w:rPr>
      </w:pPr>
      <w:r w:rsidRPr="0013098A">
        <w:rPr>
          <w:b/>
          <w:bCs/>
          <w:sz w:val="24"/>
          <w:szCs w:val="24"/>
          <w:lang w:val="fr-FR"/>
        </w:rPr>
        <w:t>Groupe de travail du transport des denrées périssables</w:t>
      </w:r>
    </w:p>
    <w:p w14:paraId="129584AA" w14:textId="77777777" w:rsidR="0013098A" w:rsidRPr="004C7975" w:rsidRDefault="0013098A" w:rsidP="0013098A">
      <w:pPr>
        <w:spacing w:before="120"/>
        <w:rPr>
          <w:b/>
          <w:lang w:val="fr-FR"/>
        </w:rPr>
      </w:pPr>
      <w:r>
        <w:rPr>
          <w:b/>
          <w:bCs/>
          <w:lang w:val="fr-FR"/>
        </w:rPr>
        <w:t>Quatre-vingt-unième session</w:t>
      </w:r>
    </w:p>
    <w:p w14:paraId="0D0F2AE7" w14:textId="7F46C591" w:rsidR="0013098A" w:rsidRPr="004C7975" w:rsidRDefault="0013098A" w:rsidP="0013098A">
      <w:pPr>
        <w:rPr>
          <w:lang w:val="fr-FR"/>
        </w:rPr>
      </w:pPr>
      <w:r>
        <w:rPr>
          <w:lang w:val="fr-FR"/>
        </w:rPr>
        <w:t>Genève, 29 octobre</w:t>
      </w:r>
      <w:r w:rsidR="00502D64">
        <w:rPr>
          <w:lang w:val="fr-FR"/>
        </w:rPr>
        <w:t>-</w:t>
      </w:r>
      <w:r>
        <w:rPr>
          <w:lang w:val="fr-FR"/>
        </w:rPr>
        <w:t>1</w:t>
      </w:r>
      <w:r>
        <w:rPr>
          <w:vertAlign w:val="superscript"/>
          <w:lang w:val="fr-FR"/>
        </w:rPr>
        <w:t xml:space="preserve">er </w:t>
      </w:r>
      <w:r>
        <w:rPr>
          <w:lang w:val="fr-FR"/>
        </w:rPr>
        <w:t>novembre 2024</w:t>
      </w:r>
    </w:p>
    <w:p w14:paraId="19ED9BCA" w14:textId="77777777" w:rsidR="0013098A" w:rsidRPr="004C7975" w:rsidRDefault="0013098A" w:rsidP="0013098A">
      <w:pPr>
        <w:rPr>
          <w:lang w:val="fr-FR"/>
        </w:rPr>
      </w:pPr>
      <w:r>
        <w:rPr>
          <w:lang w:val="fr-FR"/>
        </w:rPr>
        <w:t>Point 6 de l’ordre du jour provisoire</w:t>
      </w:r>
    </w:p>
    <w:p w14:paraId="4B7E4CE1" w14:textId="77777777" w:rsidR="0013098A" w:rsidRPr="004C7975" w:rsidRDefault="0013098A" w:rsidP="0013098A">
      <w:pPr>
        <w:rPr>
          <w:lang w:val="fr-FR"/>
        </w:rPr>
      </w:pPr>
      <w:r>
        <w:rPr>
          <w:b/>
          <w:bCs/>
          <w:lang w:val="fr-FR"/>
        </w:rPr>
        <w:t>Manuel ATP</w:t>
      </w:r>
      <w:r>
        <w:rPr>
          <w:lang w:val="fr-FR"/>
        </w:rPr>
        <w:t xml:space="preserve"> </w:t>
      </w:r>
    </w:p>
    <w:p w14:paraId="47582BEE" w14:textId="436744C4" w:rsidR="0013098A" w:rsidRPr="004C7975" w:rsidRDefault="0013098A" w:rsidP="0013098A">
      <w:pPr>
        <w:pStyle w:val="HChG"/>
        <w:rPr>
          <w:lang w:val="fr-FR"/>
        </w:rPr>
      </w:pPr>
      <w:r>
        <w:rPr>
          <w:lang w:val="fr-FR"/>
        </w:rPr>
        <w:tab/>
      </w:r>
      <w:r>
        <w:rPr>
          <w:lang w:val="fr-FR"/>
        </w:rPr>
        <w:tab/>
        <w:t xml:space="preserve">Proposition visant à ajouter, dans le Manuel ATP, </w:t>
      </w:r>
      <w:r>
        <w:rPr>
          <w:lang w:val="fr-FR"/>
        </w:rPr>
        <w:br/>
      </w:r>
      <w:r>
        <w:rPr>
          <w:lang w:val="fr-FR"/>
        </w:rPr>
        <w:t xml:space="preserve">une observation relative au paragraphe 3.2.8 </w:t>
      </w:r>
      <w:r>
        <w:rPr>
          <w:lang w:val="fr-FR"/>
        </w:rPr>
        <w:br/>
      </w:r>
      <w:r>
        <w:rPr>
          <w:lang w:val="fr-FR"/>
        </w:rPr>
        <w:t xml:space="preserve">de l’appendice 2 de l’annexe 1 concernant </w:t>
      </w:r>
      <w:r>
        <w:rPr>
          <w:lang w:val="fr-FR"/>
        </w:rPr>
        <w:br/>
      </w:r>
      <w:r>
        <w:rPr>
          <w:lang w:val="fr-FR"/>
        </w:rPr>
        <w:t>le débit d’air minimal requis</w:t>
      </w:r>
    </w:p>
    <w:p w14:paraId="1C9A1B49" w14:textId="77777777" w:rsidR="0013098A" w:rsidRDefault="0013098A" w:rsidP="0013098A">
      <w:pPr>
        <w:pStyle w:val="H1G"/>
        <w:rPr>
          <w:lang w:val="fr-FR"/>
        </w:rPr>
      </w:pPr>
      <w:r>
        <w:rPr>
          <w:lang w:val="fr-FR"/>
        </w:rPr>
        <w:tab/>
      </w:r>
      <w:r>
        <w:rPr>
          <w:lang w:val="fr-FR"/>
        </w:rPr>
        <w:tab/>
        <w:t xml:space="preserve">Communication de </w:t>
      </w:r>
      <w:proofErr w:type="spellStart"/>
      <w:r>
        <w:rPr>
          <w:lang w:val="fr-FR"/>
        </w:rPr>
        <w:t>Transfrigoroute</w:t>
      </w:r>
      <w:proofErr w:type="spellEnd"/>
      <w:r>
        <w:rPr>
          <w:lang w:val="fr-FR"/>
        </w:rPr>
        <w:t xml:space="preserve"> International</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13098A" w14:paraId="0C3BDADE" w14:textId="77777777">
        <w:trPr>
          <w:jc w:val="center"/>
        </w:trPr>
        <w:tc>
          <w:tcPr>
            <w:tcW w:w="9637" w:type="dxa"/>
            <w:shd w:val="clear" w:color="auto" w:fill="auto"/>
          </w:tcPr>
          <w:p w14:paraId="0F676289" w14:textId="77777777" w:rsidR="0013098A" w:rsidRDefault="0013098A">
            <w:pPr>
              <w:spacing w:before="240" w:after="120"/>
              <w:ind w:left="255"/>
              <w:rPr>
                <w:i/>
                <w:sz w:val="24"/>
              </w:rPr>
            </w:pPr>
            <w:r>
              <w:rPr>
                <w:i/>
                <w:sz w:val="24"/>
              </w:rPr>
              <w:t>Résumé</w:t>
            </w:r>
          </w:p>
        </w:tc>
      </w:tr>
      <w:tr w:rsidR="0013098A" w14:paraId="40E08424" w14:textId="77777777">
        <w:trPr>
          <w:jc w:val="center"/>
        </w:trPr>
        <w:tc>
          <w:tcPr>
            <w:tcW w:w="9637" w:type="dxa"/>
            <w:shd w:val="clear" w:color="auto" w:fill="auto"/>
          </w:tcPr>
          <w:p w14:paraId="6F4839DB" w14:textId="15A38EE7" w:rsidR="0013098A" w:rsidRDefault="0013098A" w:rsidP="0013098A">
            <w:pPr>
              <w:pStyle w:val="SingleTxtG"/>
              <w:ind w:left="3402" w:hanging="2268"/>
            </w:pPr>
            <w:r>
              <w:rPr>
                <w:b/>
                <w:bCs/>
                <w:lang w:val="fr-FR"/>
              </w:rPr>
              <w:t>Résumé analytique :</w:t>
            </w:r>
            <w:r>
              <w:rPr>
                <w:lang w:val="fr-FR"/>
              </w:rPr>
              <w:tab/>
              <w:t>Une nouvelle prescription concernant le «</w:t>
            </w:r>
            <w:r w:rsidR="00502D64">
              <w:rPr>
                <w:lang w:val="fr-FR"/>
              </w:rPr>
              <w:t> </w:t>
            </w:r>
            <w:r>
              <w:rPr>
                <w:lang w:val="fr-FR"/>
              </w:rPr>
              <w:t>débit d’air minimal</w:t>
            </w:r>
            <w:r w:rsidR="00502D64">
              <w:rPr>
                <w:lang w:val="fr-FR"/>
              </w:rPr>
              <w:t> </w:t>
            </w:r>
            <w:r>
              <w:rPr>
                <w:lang w:val="fr-FR"/>
              </w:rPr>
              <w:t>», adoptée</w:t>
            </w:r>
            <w:r w:rsidRPr="00D20DC2">
              <w:rPr>
                <w:lang w:val="fr-FR"/>
              </w:rPr>
              <w:t xml:space="preserve"> en octobre 2022 (</w:t>
            </w:r>
            <w:r>
              <w:rPr>
                <w:lang w:val="fr-FR"/>
              </w:rPr>
              <w:t xml:space="preserve">à la </w:t>
            </w:r>
            <w:r w:rsidRPr="00D20DC2">
              <w:rPr>
                <w:lang w:val="fr-FR"/>
              </w:rPr>
              <w:t xml:space="preserve">soixante-dix-neuvième session du Groupe de travail du transport des denrées périssables), </w:t>
            </w:r>
            <w:r>
              <w:rPr>
                <w:lang w:val="fr-FR"/>
              </w:rPr>
              <w:t>est entrée en vigueur le 22 juin 2024, dans le cadre de la publication de la dernière version de l’ATP. Elle figure dans l’appendice</w:t>
            </w:r>
            <w:r w:rsidR="00502D64">
              <w:rPr>
                <w:lang w:val="fr-FR"/>
              </w:rPr>
              <w:t> </w:t>
            </w:r>
            <w:r>
              <w:rPr>
                <w:lang w:val="fr-FR"/>
              </w:rPr>
              <w:t>2 de l’annexe 1 en tant que nouveau paragraphe 3.2.8.</w:t>
            </w:r>
          </w:p>
        </w:tc>
      </w:tr>
      <w:tr w:rsidR="0013098A" w14:paraId="2CFD60F5" w14:textId="77777777">
        <w:trPr>
          <w:jc w:val="center"/>
        </w:trPr>
        <w:tc>
          <w:tcPr>
            <w:tcW w:w="9637" w:type="dxa"/>
            <w:shd w:val="clear" w:color="auto" w:fill="auto"/>
          </w:tcPr>
          <w:p w14:paraId="15991668" w14:textId="2FA729F8" w:rsidR="0013098A" w:rsidRDefault="0013098A" w:rsidP="0013098A">
            <w:pPr>
              <w:pStyle w:val="SingleTxtG"/>
              <w:ind w:left="3402"/>
            </w:pPr>
            <w:r>
              <w:rPr>
                <w:lang w:val="fr-FR"/>
              </w:rPr>
              <w:t>Étant donné que la notion de volume à vide pourrait s’avérer complexe dans une configuration à compartiments multiples, il</w:t>
            </w:r>
            <w:r w:rsidR="00502D64">
              <w:rPr>
                <w:lang w:val="fr-FR"/>
              </w:rPr>
              <w:t> </w:t>
            </w:r>
            <w:r>
              <w:rPr>
                <w:lang w:val="fr-FR"/>
              </w:rPr>
              <w:t>est proposé d’ajouter une définition et une explication dans le Manuel ATP.</w:t>
            </w:r>
          </w:p>
        </w:tc>
      </w:tr>
      <w:tr w:rsidR="0013098A" w14:paraId="2D0CA4D1" w14:textId="77777777">
        <w:trPr>
          <w:jc w:val="center"/>
        </w:trPr>
        <w:tc>
          <w:tcPr>
            <w:tcW w:w="9637" w:type="dxa"/>
            <w:shd w:val="clear" w:color="auto" w:fill="auto"/>
          </w:tcPr>
          <w:p w14:paraId="4BDE5FC3" w14:textId="5F106FE1" w:rsidR="0013098A" w:rsidRPr="0013098A" w:rsidRDefault="0013098A" w:rsidP="0013098A">
            <w:pPr>
              <w:pStyle w:val="SingleTxtG"/>
              <w:ind w:left="3402" w:hanging="2268"/>
              <w:rPr>
                <w:bCs/>
                <w:lang w:val="fr-FR"/>
              </w:rPr>
            </w:pPr>
            <w:r>
              <w:rPr>
                <w:b/>
                <w:bCs/>
                <w:lang w:val="fr-FR"/>
              </w:rPr>
              <w:t>Mesures à prendre :</w:t>
            </w:r>
            <w:r>
              <w:rPr>
                <w:lang w:val="fr-FR"/>
              </w:rPr>
              <w:tab/>
            </w:r>
            <w:r>
              <w:rPr>
                <w:lang w:val="fr-FR"/>
              </w:rPr>
              <w:tab/>
              <w:t>Paragraphe 3.2.8 de l’appendice 2 de l’annexe 1</w:t>
            </w:r>
          </w:p>
        </w:tc>
      </w:tr>
      <w:tr w:rsidR="0013098A" w14:paraId="3BF0372D" w14:textId="77777777">
        <w:trPr>
          <w:jc w:val="center"/>
        </w:trPr>
        <w:tc>
          <w:tcPr>
            <w:tcW w:w="9637" w:type="dxa"/>
            <w:shd w:val="clear" w:color="auto" w:fill="auto"/>
          </w:tcPr>
          <w:p w14:paraId="21B871BD" w14:textId="14A10EDB" w:rsidR="0013098A" w:rsidRDefault="0013098A">
            <w:pPr>
              <w:pStyle w:val="SingleTxtG"/>
            </w:pPr>
            <w:r>
              <w:rPr>
                <w:b/>
                <w:bCs/>
                <w:lang w:val="fr-FR"/>
              </w:rPr>
              <w:t>Documents connexes :</w:t>
            </w:r>
            <w:r>
              <w:rPr>
                <w:lang w:val="fr-FR"/>
              </w:rPr>
              <w:tab/>
              <w:t>ATP tel que modifié au 22 juin 2024 (dernière version)</w:t>
            </w:r>
          </w:p>
        </w:tc>
      </w:tr>
      <w:tr w:rsidR="0013098A" w14:paraId="5078D8CE" w14:textId="77777777">
        <w:trPr>
          <w:jc w:val="center"/>
        </w:trPr>
        <w:tc>
          <w:tcPr>
            <w:tcW w:w="9637" w:type="dxa"/>
            <w:shd w:val="clear" w:color="auto" w:fill="auto"/>
          </w:tcPr>
          <w:p w14:paraId="003A1D0B" w14:textId="77777777" w:rsidR="0013098A" w:rsidRDefault="0013098A"/>
        </w:tc>
      </w:tr>
    </w:tbl>
    <w:p w14:paraId="23712D2E" w14:textId="77777777" w:rsidR="0013098A" w:rsidRDefault="0013098A" w:rsidP="0013098A">
      <w:pPr>
        <w:rPr>
          <w:lang w:val="fr-FR"/>
        </w:rPr>
      </w:pPr>
    </w:p>
    <w:p w14:paraId="65B24195" w14:textId="77777777" w:rsidR="0013098A" w:rsidRDefault="0013098A">
      <w:pPr>
        <w:suppressAutoHyphens w:val="0"/>
        <w:kinsoku/>
        <w:overflowPunct/>
        <w:autoSpaceDE/>
        <w:autoSpaceDN/>
        <w:adjustRightInd/>
        <w:snapToGrid/>
        <w:spacing w:after="200" w:line="276" w:lineRule="auto"/>
        <w:rPr>
          <w:b/>
          <w:sz w:val="28"/>
          <w:lang w:val="fr-FR"/>
        </w:rPr>
      </w:pPr>
      <w:r>
        <w:rPr>
          <w:lang w:val="fr-FR"/>
        </w:rPr>
        <w:br w:type="page"/>
      </w:r>
    </w:p>
    <w:p w14:paraId="5AC86B91" w14:textId="2E0DE260" w:rsidR="0013098A" w:rsidRPr="004C7975" w:rsidRDefault="0013098A" w:rsidP="00502D64">
      <w:pPr>
        <w:pStyle w:val="HChG"/>
        <w:rPr>
          <w:lang w:val="fr-FR"/>
        </w:rPr>
      </w:pPr>
      <w:r>
        <w:rPr>
          <w:lang w:val="fr-FR"/>
        </w:rPr>
        <w:lastRenderedPageBreak/>
        <w:tab/>
      </w:r>
      <w:r>
        <w:rPr>
          <w:lang w:val="fr-FR"/>
        </w:rPr>
        <w:tab/>
        <w:t>Introduction</w:t>
      </w:r>
    </w:p>
    <w:p w14:paraId="55D36F65" w14:textId="432065B5" w:rsidR="0013098A" w:rsidRPr="004C7975" w:rsidRDefault="0013098A" w:rsidP="0013098A">
      <w:pPr>
        <w:pStyle w:val="SingleTxtG"/>
        <w:rPr>
          <w:lang w:val="fr-FR"/>
        </w:rPr>
      </w:pPr>
      <w:r>
        <w:rPr>
          <w:lang w:val="fr-FR"/>
        </w:rPr>
        <w:t>1.</w:t>
      </w:r>
      <w:r>
        <w:rPr>
          <w:lang w:val="fr-FR"/>
        </w:rPr>
        <w:tab/>
        <w:t>Une nouvelle prescription concernant le «</w:t>
      </w:r>
      <w:r w:rsidR="00502D64">
        <w:rPr>
          <w:lang w:val="fr-FR"/>
        </w:rPr>
        <w:t> </w:t>
      </w:r>
      <w:r>
        <w:rPr>
          <w:lang w:val="fr-FR"/>
        </w:rPr>
        <w:t>débit d’air minimal</w:t>
      </w:r>
      <w:r w:rsidR="00502D64">
        <w:rPr>
          <w:lang w:val="fr-FR"/>
        </w:rPr>
        <w:t> </w:t>
      </w:r>
      <w:r>
        <w:rPr>
          <w:lang w:val="fr-FR"/>
        </w:rPr>
        <w:t>», adoptée</w:t>
      </w:r>
      <w:r w:rsidRPr="00BB43F4">
        <w:rPr>
          <w:lang w:val="fr-FR"/>
        </w:rPr>
        <w:t xml:space="preserve"> en octobre 2022 (</w:t>
      </w:r>
      <w:r>
        <w:rPr>
          <w:lang w:val="fr-FR"/>
        </w:rPr>
        <w:t xml:space="preserve">à la </w:t>
      </w:r>
      <w:r w:rsidRPr="00BB43F4">
        <w:rPr>
          <w:lang w:val="fr-FR"/>
        </w:rPr>
        <w:t xml:space="preserve">soixante-dix-neuvième session du Groupe de travail du transport des denrées périssables), </w:t>
      </w:r>
      <w:r>
        <w:rPr>
          <w:lang w:val="fr-FR"/>
        </w:rPr>
        <w:t>est entrée en vigueur le 22 juin 2024, dans le cadre de la publication de la dernière version de l’ATP. Elle figure dans l’appendice 2 de l’annexe 1 en tant que nouveau paragraphe</w:t>
      </w:r>
      <w:r w:rsidR="00502D64">
        <w:rPr>
          <w:lang w:val="fr-FR"/>
        </w:rPr>
        <w:t> </w:t>
      </w:r>
      <w:r>
        <w:rPr>
          <w:lang w:val="fr-FR"/>
        </w:rPr>
        <w:t>3.2.8.</w:t>
      </w:r>
    </w:p>
    <w:p w14:paraId="2B6547BD" w14:textId="77777777" w:rsidR="0013098A" w:rsidRPr="004C7975" w:rsidRDefault="0013098A" w:rsidP="0013098A">
      <w:pPr>
        <w:pStyle w:val="SingleTxtG"/>
        <w:rPr>
          <w:lang w:val="fr-FR"/>
        </w:rPr>
      </w:pPr>
      <w:r>
        <w:rPr>
          <w:lang w:val="fr-FR"/>
        </w:rPr>
        <w:t>2.</w:t>
      </w:r>
      <w:r>
        <w:rPr>
          <w:lang w:val="fr-FR"/>
        </w:rPr>
        <w:tab/>
        <w:t>Étant donné que la notion de volume à vide pourrait s’avérer complexe dans une configuration à compartiments multiples, il est proposé de donner des précisions sur la définition du volume du compartiment selon la configuration du véhicule.</w:t>
      </w:r>
    </w:p>
    <w:p w14:paraId="677DF387" w14:textId="77777777" w:rsidR="0013098A" w:rsidRPr="004C7975" w:rsidRDefault="0013098A" w:rsidP="0013098A">
      <w:pPr>
        <w:pStyle w:val="SingleTxtG"/>
        <w:rPr>
          <w:lang w:val="fr-FR"/>
        </w:rPr>
      </w:pPr>
      <w:r>
        <w:rPr>
          <w:lang w:val="fr-FR"/>
        </w:rPr>
        <w:t>3.</w:t>
      </w:r>
      <w:r>
        <w:rPr>
          <w:lang w:val="fr-FR"/>
        </w:rPr>
        <w:tab/>
        <w:t>Le texte ci-après pourrait être ajouté au Manuel ATP.</w:t>
      </w:r>
    </w:p>
    <w:p w14:paraId="65F46206" w14:textId="77777777" w:rsidR="0013098A" w:rsidRPr="004C7975" w:rsidRDefault="0013098A" w:rsidP="00502D64">
      <w:pPr>
        <w:pStyle w:val="HChG"/>
        <w:rPr>
          <w:lang w:val="fr-FR"/>
        </w:rPr>
      </w:pPr>
      <w:r>
        <w:rPr>
          <w:lang w:val="fr-FR"/>
        </w:rPr>
        <w:tab/>
      </w:r>
      <w:r>
        <w:rPr>
          <w:lang w:val="fr-FR"/>
        </w:rPr>
        <w:tab/>
        <w:t>Proposition</w:t>
      </w:r>
    </w:p>
    <w:p w14:paraId="6B61742B" w14:textId="77777777" w:rsidR="0013098A" w:rsidRPr="004C7975" w:rsidRDefault="0013098A" w:rsidP="00502D64">
      <w:pPr>
        <w:pStyle w:val="SingleTxtG"/>
        <w:keepNext/>
        <w:rPr>
          <w:lang w:val="fr-FR"/>
        </w:rPr>
      </w:pPr>
      <w:bookmarkStart w:id="0" w:name="_Hlk83058523"/>
      <w:r>
        <w:rPr>
          <w:lang w:val="fr-FR"/>
        </w:rPr>
        <w:t>4.</w:t>
      </w:r>
      <w:r>
        <w:rPr>
          <w:lang w:val="fr-FR"/>
        </w:rPr>
        <w:tab/>
        <w:t>Au paragraphe 3.2.8 de l’appendice 2 de l’annexe 1 du Manuel ATP, ajouter une nouvelle observation, libellée comme suit :</w:t>
      </w:r>
      <w:bookmarkStart w:id="1" w:name="_Hlk83058953"/>
      <w:bookmarkEnd w:id="0"/>
    </w:p>
    <w:bookmarkEnd w:id="1"/>
    <w:p w14:paraId="14B2765B" w14:textId="5EF339AB" w:rsidR="0013098A" w:rsidRPr="004C7975" w:rsidRDefault="0013098A" w:rsidP="0013098A">
      <w:pPr>
        <w:pStyle w:val="SingleTxtG"/>
        <w:ind w:left="1701"/>
        <w:rPr>
          <w:lang w:val="fr-FR"/>
        </w:rPr>
      </w:pPr>
      <w:r>
        <w:rPr>
          <w:lang w:val="fr-FR"/>
        </w:rPr>
        <w:t>«</w:t>
      </w:r>
      <w:r w:rsidR="00502D64">
        <w:rPr>
          <w:lang w:val="fr-FR"/>
        </w:rPr>
        <w:t> </w:t>
      </w:r>
      <w:r>
        <w:rPr>
          <w:lang w:val="fr-FR"/>
        </w:rPr>
        <w:t>Véhicule à compartiment unique : volume intérieur du véhicule.</w:t>
      </w:r>
    </w:p>
    <w:p w14:paraId="1D7347B8" w14:textId="77777777" w:rsidR="0013098A" w:rsidRPr="004C7975" w:rsidRDefault="0013098A" w:rsidP="0013098A">
      <w:pPr>
        <w:pStyle w:val="SingleTxtG"/>
        <w:ind w:left="1701"/>
        <w:rPr>
          <w:lang w:val="fr-FR"/>
        </w:rPr>
      </w:pPr>
      <w:r>
        <w:rPr>
          <w:lang w:val="fr-FR"/>
        </w:rPr>
        <w:t>Véhicule à compartiments multiples avec cloisons fixes : volume intérieur de chaque compartiment du véhicule.</w:t>
      </w:r>
    </w:p>
    <w:p w14:paraId="6A931C55" w14:textId="77777777" w:rsidR="0013098A" w:rsidRPr="004C7975" w:rsidRDefault="0013098A" w:rsidP="0013098A">
      <w:pPr>
        <w:pStyle w:val="SingleTxtG"/>
        <w:ind w:left="1701"/>
        <w:rPr>
          <w:lang w:val="fr-FR"/>
        </w:rPr>
      </w:pPr>
      <w:r>
        <w:rPr>
          <w:lang w:val="fr-FR"/>
        </w:rPr>
        <w:t>Véhicule à compartiments multiples avec parois mobiles : pour chaque compartiment pris individuellement, volume maximal du compartiment qu’il est possible d’obtenir lorsque la cloison mobile est en position bloquée.</w:t>
      </w:r>
    </w:p>
    <w:p w14:paraId="28B2D574" w14:textId="77777777" w:rsidR="0013098A" w:rsidRPr="004C7975" w:rsidRDefault="0013098A" w:rsidP="00502D64">
      <w:pPr>
        <w:pStyle w:val="SingleTxtG"/>
        <w:keepNext/>
        <w:ind w:left="1701"/>
        <w:rPr>
          <w:lang w:val="fr-FR"/>
        </w:rPr>
      </w:pPr>
      <w:r>
        <w:rPr>
          <w:lang w:val="fr-FR"/>
        </w:rPr>
        <w:t>Si l’engin peut être utilisé dans une configuration à compartiment unique ou avec un nombre réduit de compartiments, après ouverture d’une ou de plusieurs cloisons, les règles énoncées au paragraphe 3.2.8 doivent être respectées. Pour chaque configuration possible, le débit d’air à l’intérieur du compartiment doit être fourni par :</w:t>
      </w:r>
    </w:p>
    <w:p w14:paraId="6FB37E2E" w14:textId="5A2DC7D2" w:rsidR="0013098A" w:rsidRPr="00AE6BD9" w:rsidRDefault="0013098A" w:rsidP="0013098A">
      <w:pPr>
        <w:pStyle w:val="Bullet1G"/>
        <w:numPr>
          <w:ilvl w:val="0"/>
          <w:numId w:val="0"/>
        </w:numPr>
        <w:ind w:left="1985" w:hanging="284"/>
      </w:pPr>
      <w:r w:rsidRPr="00AE6BD9">
        <w:t>•</w:t>
      </w:r>
      <w:r w:rsidRPr="00AE6BD9">
        <w:tab/>
      </w:r>
      <w:r w:rsidR="00502D64">
        <w:rPr>
          <w:lang w:val="fr-FR"/>
        </w:rPr>
        <w:t>U</w:t>
      </w:r>
      <w:r>
        <w:rPr>
          <w:lang w:val="fr-FR"/>
        </w:rPr>
        <w:t>n évaporateur</w:t>
      </w:r>
      <w:r w:rsidR="00502D64">
        <w:rPr>
          <w:lang w:val="fr-FR"/>
        </w:rPr>
        <w:t> ; ou</w:t>
      </w:r>
    </w:p>
    <w:p w14:paraId="53FCB002" w14:textId="7E551DAE" w:rsidR="0013098A" w:rsidRPr="004C7975" w:rsidRDefault="0013098A" w:rsidP="0013098A">
      <w:pPr>
        <w:pStyle w:val="Bullet1G"/>
        <w:numPr>
          <w:ilvl w:val="0"/>
          <w:numId w:val="0"/>
        </w:numPr>
        <w:ind w:left="1985" w:hanging="284"/>
        <w:rPr>
          <w:lang w:val="fr-FR"/>
        </w:rPr>
      </w:pPr>
      <w:r w:rsidRPr="004C7975">
        <w:rPr>
          <w:lang w:val="fr-FR"/>
        </w:rPr>
        <w:t>•</w:t>
      </w:r>
      <w:r w:rsidRPr="004C7975">
        <w:rPr>
          <w:lang w:val="fr-FR"/>
        </w:rPr>
        <w:tab/>
      </w:r>
      <w:r w:rsidR="00502D64">
        <w:rPr>
          <w:lang w:val="fr-FR"/>
        </w:rPr>
        <w:t>Un</w:t>
      </w:r>
      <w:r>
        <w:rPr>
          <w:lang w:val="fr-FR"/>
        </w:rPr>
        <w:t xml:space="preserve"> groupe d’évaporateurs soufflant dans la même direction.</w:t>
      </w:r>
    </w:p>
    <w:p w14:paraId="1FF91BF6" w14:textId="77777777" w:rsidR="0013098A" w:rsidRPr="004C7975" w:rsidRDefault="0013098A" w:rsidP="0013098A">
      <w:pPr>
        <w:pStyle w:val="SingleTxtG"/>
        <w:ind w:left="1701"/>
        <w:rPr>
          <w:lang w:val="fr-FR"/>
        </w:rPr>
      </w:pPr>
      <w:r>
        <w:rPr>
          <w:lang w:val="fr-FR"/>
        </w:rPr>
        <w:t>Il est préférable d’éviter une configuration dans laquelle plusieurs évaporateurs en fonctionnement ou un groupe d’évaporateurs soufflent dans des directions opposées ou perpendiculaires à l’intérieur d’un même compartiment. ».</w:t>
      </w:r>
    </w:p>
    <w:p w14:paraId="32B2810A" w14:textId="77777777" w:rsidR="0013098A" w:rsidRDefault="0013098A" w:rsidP="00502D64">
      <w:pPr>
        <w:pStyle w:val="HChG"/>
      </w:pPr>
      <w:r>
        <w:rPr>
          <w:lang w:val="fr-FR"/>
        </w:rPr>
        <w:tab/>
      </w:r>
      <w:r>
        <w:rPr>
          <w:lang w:val="fr-FR"/>
        </w:rPr>
        <w:tab/>
        <w:t>Justification</w:t>
      </w:r>
    </w:p>
    <w:tbl>
      <w:tblPr>
        <w:tblW w:w="7371" w:type="dxa"/>
        <w:tblInd w:w="1134" w:type="dxa"/>
        <w:tblLayout w:type="fixed"/>
        <w:tblCellMar>
          <w:left w:w="0" w:type="dxa"/>
          <w:right w:w="0" w:type="dxa"/>
        </w:tblCellMar>
        <w:tblLook w:val="01E0" w:firstRow="1" w:lastRow="1" w:firstColumn="1" w:lastColumn="1" w:noHBand="0" w:noVBand="0"/>
      </w:tblPr>
      <w:tblGrid>
        <w:gridCol w:w="1468"/>
        <w:gridCol w:w="5903"/>
      </w:tblGrid>
      <w:tr w:rsidR="0013098A" w14:paraId="02A0A4A6" w14:textId="77777777" w:rsidTr="00502D64">
        <w:tc>
          <w:tcPr>
            <w:tcW w:w="1418" w:type="dxa"/>
            <w:shd w:val="clear" w:color="auto" w:fill="auto"/>
          </w:tcPr>
          <w:p w14:paraId="050D19DA" w14:textId="77777777" w:rsidR="0013098A" w:rsidRDefault="0013098A" w:rsidP="009036B7">
            <w:pPr>
              <w:pStyle w:val="SingleTxtG"/>
              <w:ind w:left="0" w:right="0"/>
            </w:pPr>
            <w:r>
              <w:rPr>
                <w:lang w:val="fr-FR"/>
              </w:rPr>
              <w:t>Coût :</w:t>
            </w:r>
          </w:p>
        </w:tc>
        <w:tc>
          <w:tcPr>
            <w:tcW w:w="5703" w:type="dxa"/>
            <w:shd w:val="clear" w:color="auto" w:fill="auto"/>
          </w:tcPr>
          <w:p w14:paraId="62A58308" w14:textId="77777777" w:rsidR="0013098A" w:rsidRDefault="0013098A" w:rsidP="009036B7">
            <w:pPr>
              <w:pStyle w:val="SingleTxtG"/>
              <w:ind w:left="0"/>
            </w:pPr>
            <w:r>
              <w:rPr>
                <w:lang w:val="fr-FR"/>
              </w:rPr>
              <w:t>Aucun</w:t>
            </w:r>
          </w:p>
        </w:tc>
      </w:tr>
      <w:tr w:rsidR="0013098A" w:rsidRPr="00976C52" w14:paraId="79B8675A" w14:textId="77777777" w:rsidTr="00502D64">
        <w:tc>
          <w:tcPr>
            <w:tcW w:w="1418" w:type="dxa"/>
            <w:shd w:val="clear" w:color="auto" w:fill="auto"/>
          </w:tcPr>
          <w:p w14:paraId="67D92681" w14:textId="77777777" w:rsidR="0013098A" w:rsidRDefault="0013098A" w:rsidP="009036B7">
            <w:pPr>
              <w:pStyle w:val="SingleTxtG"/>
              <w:ind w:left="0" w:right="0"/>
            </w:pPr>
            <w:r>
              <w:rPr>
                <w:lang w:val="fr-FR"/>
              </w:rPr>
              <w:t>Faisabilité :</w:t>
            </w:r>
          </w:p>
        </w:tc>
        <w:tc>
          <w:tcPr>
            <w:tcW w:w="5703" w:type="dxa"/>
            <w:shd w:val="clear" w:color="auto" w:fill="auto"/>
          </w:tcPr>
          <w:p w14:paraId="10A71788" w14:textId="77777777" w:rsidR="0013098A" w:rsidRPr="004C7975" w:rsidRDefault="0013098A" w:rsidP="009036B7">
            <w:pPr>
              <w:pStyle w:val="SingleTxtG"/>
              <w:ind w:left="0" w:right="0"/>
              <w:rPr>
                <w:lang w:val="fr-FR"/>
              </w:rPr>
            </w:pPr>
            <w:r>
              <w:rPr>
                <w:lang w:val="fr-FR"/>
              </w:rPr>
              <w:t xml:space="preserve">L’ajout proposé peut aisément être opéré dans le Manuel ATP. </w:t>
            </w:r>
          </w:p>
          <w:p w14:paraId="753E7FC4" w14:textId="77777777" w:rsidR="0013098A" w:rsidRPr="004C7975" w:rsidRDefault="0013098A" w:rsidP="009036B7">
            <w:pPr>
              <w:pStyle w:val="SingleTxtG"/>
              <w:ind w:left="0" w:right="0"/>
              <w:rPr>
                <w:lang w:val="fr-FR"/>
              </w:rPr>
            </w:pPr>
            <w:r>
              <w:rPr>
                <w:lang w:val="fr-FR"/>
              </w:rPr>
              <w:t>Il n’est pas nécessaire de prévoir une période de transition.</w:t>
            </w:r>
          </w:p>
        </w:tc>
      </w:tr>
      <w:tr w:rsidR="0013098A" w:rsidRPr="00976C52" w14:paraId="6E53A215" w14:textId="77777777" w:rsidTr="00502D64">
        <w:tc>
          <w:tcPr>
            <w:tcW w:w="1418" w:type="dxa"/>
            <w:shd w:val="clear" w:color="auto" w:fill="auto"/>
          </w:tcPr>
          <w:p w14:paraId="3261F04A" w14:textId="77777777" w:rsidR="0013098A" w:rsidRDefault="0013098A" w:rsidP="009036B7">
            <w:pPr>
              <w:pStyle w:val="SingleTxtG"/>
              <w:ind w:left="0" w:right="3"/>
            </w:pPr>
            <w:r>
              <w:rPr>
                <w:lang w:val="fr-FR"/>
              </w:rPr>
              <w:t>Résultats :</w:t>
            </w:r>
          </w:p>
        </w:tc>
        <w:tc>
          <w:tcPr>
            <w:tcW w:w="5703" w:type="dxa"/>
            <w:shd w:val="clear" w:color="auto" w:fill="auto"/>
          </w:tcPr>
          <w:p w14:paraId="724C25D0" w14:textId="77777777" w:rsidR="0013098A" w:rsidRPr="004C7975" w:rsidRDefault="0013098A" w:rsidP="009036B7">
            <w:pPr>
              <w:pStyle w:val="SingleTxtG"/>
              <w:ind w:left="0" w:right="0"/>
              <w:rPr>
                <w:lang w:val="fr-FR"/>
              </w:rPr>
            </w:pPr>
            <w:r>
              <w:rPr>
                <w:lang w:val="fr-FR"/>
              </w:rPr>
              <w:t>Il pourrait être plus facile d’appliquer l’ATP et le risque de confusion pourrait être réduit.</w:t>
            </w:r>
          </w:p>
        </w:tc>
      </w:tr>
      <w:tr w:rsidR="0013098A" w:rsidRPr="00976C52" w14:paraId="7C8E5D79" w14:textId="77777777" w:rsidTr="00502D64">
        <w:tc>
          <w:tcPr>
            <w:tcW w:w="1418" w:type="dxa"/>
            <w:shd w:val="clear" w:color="auto" w:fill="auto"/>
          </w:tcPr>
          <w:p w14:paraId="197DF3D8" w14:textId="77777777" w:rsidR="0013098A" w:rsidRDefault="0013098A" w:rsidP="009036B7">
            <w:pPr>
              <w:pStyle w:val="SingleTxtG"/>
              <w:ind w:left="0" w:right="0"/>
            </w:pPr>
            <w:r>
              <w:rPr>
                <w:lang w:val="fr-FR"/>
              </w:rPr>
              <w:t>Applicabilité :</w:t>
            </w:r>
          </w:p>
        </w:tc>
        <w:tc>
          <w:tcPr>
            <w:tcW w:w="5703" w:type="dxa"/>
            <w:shd w:val="clear" w:color="auto" w:fill="auto"/>
          </w:tcPr>
          <w:p w14:paraId="100074D2" w14:textId="18BC52CB" w:rsidR="0013098A" w:rsidRPr="004C7975" w:rsidRDefault="0013098A" w:rsidP="009036B7">
            <w:pPr>
              <w:pStyle w:val="SingleTxtG"/>
              <w:ind w:left="0" w:right="0"/>
              <w:rPr>
                <w:lang w:val="fr-FR"/>
              </w:rPr>
            </w:pPr>
            <w:r>
              <w:rPr>
                <w:lang w:val="fr-FR"/>
              </w:rPr>
              <w:t>Observation actualisée au paragraphe 3.2.8 de l’appendice 2 de l’annexe</w:t>
            </w:r>
            <w:r w:rsidR="00D162FC">
              <w:rPr>
                <w:lang w:val="fr-FR"/>
              </w:rPr>
              <w:t> </w:t>
            </w:r>
            <w:r>
              <w:rPr>
                <w:lang w:val="fr-FR"/>
              </w:rPr>
              <w:t>1 du Manuel ATP.</w:t>
            </w:r>
          </w:p>
        </w:tc>
      </w:tr>
    </w:tbl>
    <w:p w14:paraId="32F4717C" w14:textId="55ADF6C2" w:rsidR="00F9573C" w:rsidRPr="0013098A" w:rsidRDefault="0013098A" w:rsidP="0013098A">
      <w:pPr>
        <w:pStyle w:val="SingleTxtG"/>
        <w:spacing w:before="240" w:after="0"/>
        <w:jc w:val="center"/>
        <w:rPr>
          <w:u w:val="single"/>
        </w:rPr>
      </w:pPr>
      <w:r>
        <w:rPr>
          <w:u w:val="single"/>
        </w:rPr>
        <w:tab/>
      </w:r>
      <w:r>
        <w:rPr>
          <w:u w:val="single"/>
        </w:rPr>
        <w:tab/>
      </w:r>
      <w:r>
        <w:rPr>
          <w:u w:val="single"/>
        </w:rPr>
        <w:tab/>
      </w:r>
    </w:p>
    <w:sectPr w:rsidR="00F9573C" w:rsidRPr="0013098A" w:rsidSect="0013098A">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9F75A" w14:textId="77777777" w:rsidR="008A210B" w:rsidRDefault="008A210B" w:rsidP="00F95C08">
      <w:pPr>
        <w:spacing w:line="240" w:lineRule="auto"/>
      </w:pPr>
    </w:p>
  </w:endnote>
  <w:endnote w:type="continuationSeparator" w:id="0">
    <w:p w14:paraId="4EA19A45" w14:textId="77777777" w:rsidR="008A210B" w:rsidRPr="00AC3823" w:rsidRDefault="008A210B" w:rsidP="00AC3823">
      <w:pPr>
        <w:pStyle w:val="Pieddepage"/>
      </w:pPr>
    </w:p>
  </w:endnote>
  <w:endnote w:type="continuationNotice" w:id="1">
    <w:p w14:paraId="53AF22B4" w14:textId="77777777" w:rsidR="008A210B" w:rsidRDefault="008A21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6B119" w14:textId="02F2CCCD" w:rsidR="0013098A" w:rsidRPr="0013098A" w:rsidRDefault="0013098A" w:rsidP="0013098A">
    <w:pPr>
      <w:pStyle w:val="Pieddepage"/>
      <w:tabs>
        <w:tab w:val="right" w:pos="9638"/>
      </w:tabs>
    </w:pPr>
    <w:r w:rsidRPr="0013098A">
      <w:rPr>
        <w:b/>
        <w:sz w:val="18"/>
      </w:rPr>
      <w:fldChar w:fldCharType="begin"/>
    </w:r>
    <w:r w:rsidRPr="0013098A">
      <w:rPr>
        <w:b/>
        <w:sz w:val="18"/>
      </w:rPr>
      <w:instrText xml:space="preserve"> PAGE  \* MERGEFORMAT </w:instrText>
    </w:r>
    <w:r w:rsidRPr="0013098A">
      <w:rPr>
        <w:b/>
        <w:sz w:val="18"/>
      </w:rPr>
      <w:fldChar w:fldCharType="separate"/>
    </w:r>
    <w:r w:rsidRPr="0013098A">
      <w:rPr>
        <w:b/>
        <w:noProof/>
        <w:sz w:val="18"/>
      </w:rPr>
      <w:t>2</w:t>
    </w:r>
    <w:r w:rsidRPr="0013098A">
      <w:rPr>
        <w:b/>
        <w:sz w:val="18"/>
      </w:rPr>
      <w:fldChar w:fldCharType="end"/>
    </w:r>
    <w:r>
      <w:rPr>
        <w:b/>
        <w:sz w:val="18"/>
      </w:rPr>
      <w:tab/>
    </w:r>
    <w:r>
      <w:t>GE.24-14614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63B61" w14:textId="4D619880" w:rsidR="0013098A" w:rsidRPr="0013098A" w:rsidRDefault="0013098A" w:rsidP="0013098A">
    <w:pPr>
      <w:pStyle w:val="Pieddepage"/>
      <w:tabs>
        <w:tab w:val="right" w:pos="9638"/>
      </w:tabs>
      <w:rPr>
        <w:b/>
        <w:sz w:val="18"/>
      </w:rPr>
    </w:pPr>
    <w:r>
      <w:t>GE.24-14614</w:t>
    </w:r>
    <w:r>
      <w:tab/>
    </w:r>
    <w:r w:rsidRPr="0013098A">
      <w:rPr>
        <w:b/>
        <w:sz w:val="18"/>
      </w:rPr>
      <w:fldChar w:fldCharType="begin"/>
    </w:r>
    <w:r w:rsidRPr="0013098A">
      <w:rPr>
        <w:b/>
        <w:sz w:val="18"/>
      </w:rPr>
      <w:instrText xml:space="preserve"> PAGE  \* MERGEFORMAT </w:instrText>
    </w:r>
    <w:r w:rsidRPr="0013098A">
      <w:rPr>
        <w:b/>
        <w:sz w:val="18"/>
      </w:rPr>
      <w:fldChar w:fldCharType="separate"/>
    </w:r>
    <w:r w:rsidRPr="0013098A">
      <w:rPr>
        <w:b/>
        <w:noProof/>
        <w:sz w:val="18"/>
      </w:rPr>
      <w:t>3</w:t>
    </w:r>
    <w:r w:rsidRPr="0013098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BCBB" w14:textId="0D64F6C1" w:rsidR="007F20FA" w:rsidRPr="0013098A" w:rsidRDefault="0013098A" w:rsidP="0013098A">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0E19E6B9" wp14:editId="010DD4DD">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24-14614  (F)</w:t>
    </w:r>
    <w:r>
      <w:rPr>
        <w:noProof/>
        <w:sz w:val="20"/>
      </w:rPr>
      <w:drawing>
        <wp:anchor distT="0" distB="0" distL="114300" distR="114300" simplePos="0" relativeHeight="251660288" behindDoc="0" locked="0" layoutInCell="1" allowOverlap="1" wp14:anchorId="22B23126" wp14:editId="43A2771C">
          <wp:simplePos x="0" y="0"/>
          <wp:positionH relativeFrom="margin">
            <wp:posOffset>5489575</wp:posOffset>
          </wp:positionH>
          <wp:positionV relativeFrom="margin">
            <wp:posOffset>8891905</wp:posOffset>
          </wp:positionV>
          <wp:extent cx="628650" cy="628650"/>
          <wp:effectExtent l="0" t="0" r="0" b="0"/>
          <wp:wrapNone/>
          <wp:docPr id="20593268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030924    030924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D7031" w14:textId="77777777" w:rsidR="008A210B" w:rsidRPr="00AC3823" w:rsidRDefault="008A210B" w:rsidP="00AC3823">
      <w:pPr>
        <w:pStyle w:val="Pieddepage"/>
        <w:tabs>
          <w:tab w:val="right" w:pos="2155"/>
        </w:tabs>
        <w:spacing w:after="80" w:line="240" w:lineRule="atLeast"/>
        <w:ind w:left="680"/>
        <w:rPr>
          <w:u w:val="single"/>
        </w:rPr>
      </w:pPr>
      <w:r>
        <w:rPr>
          <w:u w:val="single"/>
        </w:rPr>
        <w:tab/>
      </w:r>
    </w:p>
  </w:footnote>
  <w:footnote w:type="continuationSeparator" w:id="0">
    <w:p w14:paraId="7CD531C4" w14:textId="77777777" w:rsidR="008A210B" w:rsidRPr="00AC3823" w:rsidRDefault="008A210B" w:rsidP="00AC3823">
      <w:pPr>
        <w:pStyle w:val="Pieddepage"/>
        <w:tabs>
          <w:tab w:val="right" w:pos="2155"/>
        </w:tabs>
        <w:spacing w:after="80" w:line="240" w:lineRule="atLeast"/>
        <w:ind w:left="680"/>
        <w:rPr>
          <w:u w:val="single"/>
        </w:rPr>
      </w:pPr>
      <w:r>
        <w:rPr>
          <w:u w:val="single"/>
        </w:rPr>
        <w:tab/>
      </w:r>
    </w:p>
  </w:footnote>
  <w:footnote w:type="continuationNotice" w:id="1">
    <w:p w14:paraId="3A7EEB4A" w14:textId="77777777" w:rsidR="008A210B" w:rsidRPr="00AC3823" w:rsidRDefault="008A210B">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F501" w14:textId="032216D4" w:rsidR="0013098A" w:rsidRPr="0013098A" w:rsidRDefault="0013098A">
    <w:pPr>
      <w:pStyle w:val="En-tte"/>
    </w:pPr>
    <w:fldSimple w:instr=" TITLE  \* MERGEFORMAT ">
      <w:r>
        <w:t>ECE/TRANS/WP.11/2024/14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0354D" w14:textId="16E273C3" w:rsidR="0013098A" w:rsidRPr="0013098A" w:rsidRDefault="0013098A" w:rsidP="0013098A">
    <w:pPr>
      <w:pStyle w:val="En-tte"/>
      <w:jc w:val="right"/>
    </w:pPr>
    <w:fldSimple w:instr=" TITLE  \* MERGEFORMAT ">
      <w:r>
        <w:t>ECE/TRANS/WP.11/2024/14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0B"/>
    <w:rsid w:val="00017F94"/>
    <w:rsid w:val="00023842"/>
    <w:rsid w:val="000334F9"/>
    <w:rsid w:val="00045FEB"/>
    <w:rsid w:val="0007796D"/>
    <w:rsid w:val="000B7790"/>
    <w:rsid w:val="00111F2F"/>
    <w:rsid w:val="0013098A"/>
    <w:rsid w:val="0014365E"/>
    <w:rsid w:val="00143C66"/>
    <w:rsid w:val="00176178"/>
    <w:rsid w:val="001772E5"/>
    <w:rsid w:val="001F525A"/>
    <w:rsid w:val="00201148"/>
    <w:rsid w:val="00223272"/>
    <w:rsid w:val="0024779E"/>
    <w:rsid w:val="00257168"/>
    <w:rsid w:val="002672D9"/>
    <w:rsid w:val="002744B8"/>
    <w:rsid w:val="002832AC"/>
    <w:rsid w:val="002D7C93"/>
    <w:rsid w:val="00305801"/>
    <w:rsid w:val="003916DE"/>
    <w:rsid w:val="00421996"/>
    <w:rsid w:val="00441C3B"/>
    <w:rsid w:val="00446FE5"/>
    <w:rsid w:val="00452396"/>
    <w:rsid w:val="00477EB2"/>
    <w:rsid w:val="004837D8"/>
    <w:rsid w:val="004E2EED"/>
    <w:rsid w:val="004E468C"/>
    <w:rsid w:val="00502D64"/>
    <w:rsid w:val="005505B7"/>
    <w:rsid w:val="00573BE5"/>
    <w:rsid w:val="00586ED3"/>
    <w:rsid w:val="00596AA9"/>
    <w:rsid w:val="0071601D"/>
    <w:rsid w:val="007A62E6"/>
    <w:rsid w:val="007F20FA"/>
    <w:rsid w:val="0080684C"/>
    <w:rsid w:val="00852D7F"/>
    <w:rsid w:val="00871C75"/>
    <w:rsid w:val="008776DC"/>
    <w:rsid w:val="008A210B"/>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BE37EA"/>
    <w:rsid w:val="00C02897"/>
    <w:rsid w:val="00C97039"/>
    <w:rsid w:val="00D162FC"/>
    <w:rsid w:val="00D3439C"/>
    <w:rsid w:val="00D7622E"/>
    <w:rsid w:val="00DB1831"/>
    <w:rsid w:val="00DC225B"/>
    <w:rsid w:val="00DD3BFD"/>
    <w:rsid w:val="00DF6678"/>
    <w:rsid w:val="00E0299A"/>
    <w:rsid w:val="00E85C74"/>
    <w:rsid w:val="00EA6547"/>
    <w:rsid w:val="00ED7237"/>
    <w:rsid w:val="00EE0DB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067A"/>
  <w15:docId w15:val="{7F6BC469-D9C5-4DD0-A327-54F02752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locked/>
    <w:rsid w:val="0013098A"/>
    <w:rPr>
      <w:rFonts w:ascii="Times New Roman" w:eastAsiaTheme="minorHAnsi" w:hAnsi="Times New Roman" w:cs="Times New Roman"/>
      <w:sz w:val="20"/>
      <w:szCs w:val="20"/>
      <w:lang w:eastAsia="en-US"/>
    </w:rPr>
  </w:style>
  <w:style w:type="character" w:customStyle="1" w:styleId="HChGChar">
    <w:name w:val="_ H _Ch_G Char"/>
    <w:link w:val="HChG"/>
    <w:rsid w:val="0013098A"/>
    <w:rPr>
      <w:rFonts w:ascii="Times New Roman" w:eastAsiaTheme="minorHAnsi"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23E6E-525A-4B58-B32E-D8AB68B408B8}"/>
</file>

<file path=customXml/itemProps2.xml><?xml version="1.0" encoding="utf-8"?>
<ds:datastoreItem xmlns:ds="http://schemas.openxmlformats.org/officeDocument/2006/customXml" ds:itemID="{21D4E391-D805-4B67-A47B-5EFD26E0016C}"/>
</file>

<file path=docProps/app.xml><?xml version="1.0" encoding="utf-8"?>
<Properties xmlns="http://schemas.openxmlformats.org/officeDocument/2006/extended-properties" xmlns:vt="http://schemas.openxmlformats.org/officeDocument/2006/docPropsVTypes">
  <Template>ECE_TRANS.dotm</Template>
  <TotalTime>0</TotalTime>
  <Pages>2</Pages>
  <Words>449</Words>
  <Characters>3145</Characters>
  <Application>Microsoft Office Word</Application>
  <DocSecurity>0</DocSecurity>
  <Lines>262</Lines>
  <Paragraphs>143</Paragraphs>
  <ScaleCrop>false</ScaleCrop>
  <HeadingPairs>
    <vt:vector size="2" baseType="variant">
      <vt:variant>
        <vt:lpstr>Titre</vt:lpstr>
      </vt:variant>
      <vt:variant>
        <vt:i4>1</vt:i4>
      </vt:variant>
    </vt:vector>
  </HeadingPairs>
  <TitlesOfParts>
    <vt:vector size="1" baseType="lpstr">
      <vt:lpstr>ECE/TRANS/WP.11/2024/14</vt:lpstr>
    </vt:vector>
  </TitlesOfParts>
  <Company>DCM</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ECE/TRANS/WP.11/2024/14</dc:title>
  <dc:subject/>
  <dc:creator>Nathalie VITTOZ</dc:creator>
  <cp:keywords/>
  <cp:lastModifiedBy>Nathalie VITTOZ</cp:lastModifiedBy>
  <cp:revision>2</cp:revision>
  <cp:lastPrinted>2014-05-14T10:59:00Z</cp:lastPrinted>
  <dcterms:created xsi:type="dcterms:W3CDTF">2024-09-03T07:39:00Z</dcterms:created>
  <dcterms:modified xsi:type="dcterms:W3CDTF">2024-09-03T07:39:00Z</dcterms:modified>
</cp:coreProperties>
</file>