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7D00D3A4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18EE0418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E1FDBFD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27477FDC" w14:textId="122BD3F0" w:rsidR="009E6CB7" w:rsidRPr="00D47EEA" w:rsidRDefault="00B8122D" w:rsidP="00B8122D">
            <w:pPr>
              <w:jc w:val="right"/>
            </w:pPr>
            <w:r w:rsidRPr="00B8122D">
              <w:rPr>
                <w:sz w:val="40"/>
              </w:rPr>
              <w:t>ECE</w:t>
            </w:r>
            <w:r>
              <w:t>/TRANS/WP.11/2024/14</w:t>
            </w:r>
          </w:p>
        </w:tc>
      </w:tr>
      <w:tr w:rsidR="009E6CB7" w14:paraId="60C2BDCD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23C427AD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3449B05" wp14:editId="69FBDE63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732DD4F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3A0011A" w14:textId="77777777" w:rsidR="009E6CB7" w:rsidRDefault="00B8122D" w:rsidP="00B8122D">
            <w:pPr>
              <w:spacing w:before="240" w:line="240" w:lineRule="exact"/>
            </w:pPr>
            <w:r>
              <w:t>Distr.: General</w:t>
            </w:r>
          </w:p>
          <w:p w14:paraId="4489EBE3" w14:textId="77777777" w:rsidR="00B8122D" w:rsidRDefault="00B8122D" w:rsidP="00B8122D">
            <w:pPr>
              <w:spacing w:line="240" w:lineRule="exact"/>
            </w:pPr>
            <w:r>
              <w:t>13 August 2024</w:t>
            </w:r>
          </w:p>
          <w:p w14:paraId="6803E932" w14:textId="77777777" w:rsidR="00B8122D" w:rsidRDefault="00B8122D" w:rsidP="00B8122D">
            <w:pPr>
              <w:spacing w:line="240" w:lineRule="exact"/>
            </w:pPr>
          </w:p>
          <w:p w14:paraId="3560E1C9" w14:textId="79160F95" w:rsidR="00B8122D" w:rsidRDefault="00B8122D" w:rsidP="00B8122D">
            <w:pPr>
              <w:spacing w:line="240" w:lineRule="exact"/>
            </w:pPr>
            <w:r>
              <w:t>Original: English</w:t>
            </w:r>
          </w:p>
        </w:tc>
      </w:tr>
    </w:tbl>
    <w:p w14:paraId="6D8C786D" w14:textId="77777777" w:rsidR="00B8122D" w:rsidRDefault="00B8122D" w:rsidP="00C411EB">
      <w:pPr>
        <w:spacing w:before="120"/>
        <w:rPr>
          <w:b/>
          <w:sz w:val="28"/>
          <w:szCs w:val="28"/>
        </w:rPr>
      </w:pPr>
      <w:r w:rsidRPr="007F5683">
        <w:rPr>
          <w:b/>
          <w:sz w:val="28"/>
          <w:szCs w:val="28"/>
        </w:rPr>
        <w:t>Economic Commission for Europe</w:t>
      </w:r>
    </w:p>
    <w:p w14:paraId="40F4E688" w14:textId="77777777" w:rsidR="00B8122D" w:rsidRDefault="00B8122D" w:rsidP="00C411EB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0E3CCFD8" w14:textId="77777777" w:rsidR="00B8122D" w:rsidRDefault="00B8122D" w:rsidP="00C411EB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Working Party on the Transport of Perishable Foodstuffs</w:t>
      </w:r>
    </w:p>
    <w:p w14:paraId="66344E1F" w14:textId="77777777" w:rsidR="00F6548C" w:rsidRPr="008D7010" w:rsidRDefault="00F6548C" w:rsidP="00F6548C">
      <w:pPr>
        <w:spacing w:before="120"/>
        <w:rPr>
          <w:b/>
        </w:rPr>
      </w:pPr>
      <w:r w:rsidRPr="00055140">
        <w:rPr>
          <w:b/>
        </w:rPr>
        <w:t xml:space="preserve">Eighty-first </w:t>
      </w:r>
      <w:r w:rsidRPr="008D7010">
        <w:rPr>
          <w:b/>
        </w:rPr>
        <w:t xml:space="preserve"> session</w:t>
      </w:r>
    </w:p>
    <w:p w14:paraId="7FA5F863" w14:textId="77777777" w:rsidR="00F6548C" w:rsidRDefault="00F6548C" w:rsidP="00F6548C">
      <w:r w:rsidRPr="008D7010">
        <w:t xml:space="preserve">Geneva, </w:t>
      </w:r>
      <w:r>
        <w:t>29 October – 1 November 2024</w:t>
      </w:r>
    </w:p>
    <w:p w14:paraId="1D36FB35" w14:textId="5A649A44" w:rsidR="00F6548C" w:rsidRDefault="00F6548C" w:rsidP="00F6548C">
      <w:pPr>
        <w:rPr>
          <w:lang w:val="en-US"/>
        </w:rPr>
      </w:pPr>
      <w:r>
        <w:rPr>
          <w:lang w:val="en-US"/>
        </w:rPr>
        <w:t xml:space="preserve">Item </w:t>
      </w:r>
      <w:r w:rsidR="00000F83">
        <w:rPr>
          <w:lang w:val="en-US"/>
        </w:rPr>
        <w:t>6</w:t>
      </w:r>
      <w:r>
        <w:rPr>
          <w:lang w:val="en-US"/>
        </w:rPr>
        <w:t xml:space="preserve"> of the provisional agenda</w:t>
      </w:r>
    </w:p>
    <w:p w14:paraId="507FED10" w14:textId="23476B2B" w:rsidR="005517EC" w:rsidRDefault="00733577" w:rsidP="001B07CF">
      <w:r w:rsidRPr="001B07CF">
        <w:rPr>
          <w:b/>
          <w:bCs/>
          <w:lang w:val="en-US"/>
        </w:rPr>
        <w:t>ATP</w:t>
      </w:r>
      <w:r w:rsidRPr="001B07CF">
        <w:rPr>
          <w:b/>
          <w:bCs/>
        </w:rPr>
        <w:t xml:space="preserve"> Handbook</w:t>
      </w:r>
      <w:r w:rsidR="005517EC">
        <w:t xml:space="preserve"> </w:t>
      </w:r>
    </w:p>
    <w:p w14:paraId="2280291A" w14:textId="7F0D5DF0" w:rsidR="001C6663" w:rsidRDefault="001B07CF" w:rsidP="001379D9">
      <w:pPr>
        <w:pStyle w:val="HChG"/>
      </w:pPr>
      <w:r>
        <w:rPr>
          <w:bCs/>
        </w:rPr>
        <w:tab/>
      </w:r>
      <w:r>
        <w:rPr>
          <w:bCs/>
        </w:rPr>
        <w:tab/>
      </w:r>
      <w:r w:rsidR="001379D9">
        <w:t xml:space="preserve">Proposed addition </w:t>
      </w:r>
      <w:r w:rsidR="001379D9" w:rsidRPr="00B93914">
        <w:t xml:space="preserve">in </w:t>
      </w:r>
      <w:r w:rsidR="003C486C">
        <w:t>the ATP H</w:t>
      </w:r>
      <w:r w:rsidR="001379D9" w:rsidRPr="00B93914">
        <w:t xml:space="preserve">andbook </w:t>
      </w:r>
      <w:r w:rsidR="001379D9">
        <w:t xml:space="preserve">of </w:t>
      </w:r>
      <w:r w:rsidR="00F54787">
        <w:t>a c</w:t>
      </w:r>
      <w:r w:rsidR="00F54787" w:rsidRPr="00B93914">
        <w:t xml:space="preserve">omment </w:t>
      </w:r>
      <w:r w:rsidR="001379D9" w:rsidRPr="00B93914">
        <w:t xml:space="preserve">to paragraph 3.2.8 </w:t>
      </w:r>
      <w:r w:rsidR="001379D9">
        <w:t>of</w:t>
      </w:r>
      <w:r w:rsidR="001379D9" w:rsidRPr="00EE2C61">
        <w:t xml:space="preserve"> </w:t>
      </w:r>
      <w:r w:rsidR="003C486C">
        <w:t>a</w:t>
      </w:r>
      <w:r w:rsidR="003C486C" w:rsidRPr="00EE2C61">
        <w:t xml:space="preserve">nnex </w:t>
      </w:r>
      <w:r w:rsidR="001379D9" w:rsidRPr="00EE2C61">
        <w:t>1</w:t>
      </w:r>
      <w:r w:rsidR="007741BF">
        <w:t xml:space="preserve">, </w:t>
      </w:r>
      <w:r w:rsidR="00A559DB">
        <w:t>a</w:t>
      </w:r>
      <w:r w:rsidR="00A559DB" w:rsidRPr="00EE2C61">
        <w:t xml:space="preserve">ppendix </w:t>
      </w:r>
      <w:r w:rsidR="001379D9" w:rsidRPr="00EE2C61">
        <w:t xml:space="preserve">2 </w:t>
      </w:r>
      <w:r w:rsidR="001379D9">
        <w:t>regarding minimum required airflow</w:t>
      </w:r>
    </w:p>
    <w:p w14:paraId="4E19B11B" w14:textId="281F2FC1" w:rsidR="007741BF" w:rsidRDefault="00E221D2" w:rsidP="00E221D2">
      <w:pPr>
        <w:pStyle w:val="H1G"/>
      </w:pPr>
      <w:r>
        <w:tab/>
      </w:r>
      <w:r>
        <w:tab/>
        <w:t xml:space="preserve">Transmitted by </w:t>
      </w:r>
      <w:proofErr w:type="spellStart"/>
      <w:r>
        <w:t>Transfrigoroute</w:t>
      </w:r>
      <w:proofErr w:type="spellEnd"/>
      <w:r>
        <w:t xml:space="preserve"> International</w:t>
      </w: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5E0" w:firstRow="1" w:lastRow="1" w:firstColumn="1" w:lastColumn="1" w:noHBand="0" w:noVBand="1"/>
      </w:tblPr>
      <w:tblGrid>
        <w:gridCol w:w="9629"/>
      </w:tblGrid>
      <w:tr w:rsidR="00E221D2" w14:paraId="788E74A3" w14:textId="77777777" w:rsidTr="004E342B">
        <w:trPr>
          <w:jc w:val="center"/>
        </w:trPr>
        <w:tc>
          <w:tcPr>
            <w:tcW w:w="9629" w:type="dxa"/>
            <w:shd w:val="clear" w:color="auto" w:fill="auto"/>
          </w:tcPr>
          <w:p w14:paraId="7847E0F8" w14:textId="77777777" w:rsidR="00E221D2" w:rsidRPr="00C6263E" w:rsidRDefault="00E221D2" w:rsidP="006E5E26">
            <w:pPr>
              <w:spacing w:before="240" w:after="120"/>
              <w:ind w:left="255"/>
              <w:rPr>
                <w:i/>
                <w:sz w:val="24"/>
              </w:rPr>
            </w:pPr>
            <w:r w:rsidRPr="00C6263E">
              <w:rPr>
                <w:i/>
                <w:sz w:val="24"/>
              </w:rPr>
              <w:t>Summary</w:t>
            </w:r>
          </w:p>
        </w:tc>
      </w:tr>
      <w:tr w:rsidR="00E221D2" w14:paraId="671573F5" w14:textId="77777777" w:rsidTr="004E342B">
        <w:trPr>
          <w:jc w:val="center"/>
        </w:trPr>
        <w:tc>
          <w:tcPr>
            <w:tcW w:w="9629" w:type="dxa"/>
            <w:shd w:val="clear" w:color="auto" w:fill="auto"/>
          </w:tcPr>
          <w:p w14:paraId="4F105567" w14:textId="4DF4DB25" w:rsidR="00E221D2" w:rsidRDefault="009F5F4B" w:rsidP="00C44D27">
            <w:pPr>
              <w:pStyle w:val="SingleTxtG"/>
              <w:ind w:left="3402" w:hanging="2268"/>
              <w:rPr>
                <w:bCs/>
              </w:rPr>
            </w:pPr>
            <w:r w:rsidRPr="00C44D27">
              <w:rPr>
                <w:b/>
                <w:iCs/>
              </w:rPr>
              <w:t>Executive summary</w:t>
            </w:r>
            <w:r w:rsidRPr="00C44D27">
              <w:rPr>
                <w:b/>
              </w:rPr>
              <w:t>:</w:t>
            </w:r>
            <w:r>
              <w:rPr>
                <w:bCs/>
              </w:rPr>
              <w:tab/>
            </w:r>
            <w:r w:rsidR="00C44D27" w:rsidRPr="00EE2C61">
              <w:rPr>
                <w:bCs/>
              </w:rPr>
              <w:t>As adopted in Oct</w:t>
            </w:r>
            <w:r w:rsidR="00566B6B">
              <w:rPr>
                <w:bCs/>
              </w:rPr>
              <w:t>ober</w:t>
            </w:r>
            <w:r w:rsidR="00C44D27" w:rsidRPr="00EE2C61">
              <w:rPr>
                <w:bCs/>
              </w:rPr>
              <w:t xml:space="preserve"> 2022 (</w:t>
            </w:r>
            <w:r w:rsidR="00C83068">
              <w:rPr>
                <w:bCs/>
              </w:rPr>
              <w:t>seventy-</w:t>
            </w:r>
            <w:r w:rsidR="00EB0AD7">
              <w:rPr>
                <w:bCs/>
              </w:rPr>
              <w:t>ninth</w:t>
            </w:r>
            <w:r w:rsidR="00C44D27" w:rsidRPr="00EE2C61">
              <w:rPr>
                <w:bCs/>
              </w:rPr>
              <w:t xml:space="preserve"> session of WP11), a new ATP requirement on “Minimum airflow” has entered into force on 22 June 2024 with publication of latest version of ATP. It has been inserted in </w:t>
            </w:r>
            <w:r w:rsidR="00217CDF">
              <w:rPr>
                <w:bCs/>
              </w:rPr>
              <w:t>a</w:t>
            </w:r>
            <w:r w:rsidR="00217CDF" w:rsidRPr="00EE2C61">
              <w:rPr>
                <w:bCs/>
              </w:rPr>
              <w:t xml:space="preserve">nnex </w:t>
            </w:r>
            <w:r w:rsidR="00C44D27" w:rsidRPr="00EE2C61">
              <w:rPr>
                <w:bCs/>
              </w:rPr>
              <w:t xml:space="preserve">1, </w:t>
            </w:r>
            <w:r w:rsidR="00C83068">
              <w:rPr>
                <w:bCs/>
              </w:rPr>
              <w:t>a</w:t>
            </w:r>
            <w:r w:rsidR="00C83068" w:rsidRPr="00EE2C61">
              <w:rPr>
                <w:bCs/>
              </w:rPr>
              <w:t xml:space="preserve">ppendix </w:t>
            </w:r>
            <w:r w:rsidR="00C44D27" w:rsidRPr="00EE2C61">
              <w:rPr>
                <w:bCs/>
              </w:rPr>
              <w:t>2 as a new paragraph 3.2.8</w:t>
            </w:r>
            <w:r w:rsidR="00B86412">
              <w:rPr>
                <w:bCs/>
              </w:rPr>
              <w:t>.</w:t>
            </w:r>
          </w:p>
          <w:p w14:paraId="2CB3832A" w14:textId="4587E7EB" w:rsidR="00417F22" w:rsidRDefault="00417F22" w:rsidP="00C44D27">
            <w:pPr>
              <w:pStyle w:val="SingleTxtG"/>
              <w:ind w:left="3402" w:hanging="2268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 xml:space="preserve">As notion of empty volume could be complex in case of multi compartment configuration, we propose to add some definition and explanation in the </w:t>
            </w:r>
            <w:r w:rsidR="005D3617">
              <w:rPr>
                <w:bCs/>
              </w:rPr>
              <w:t xml:space="preserve">ATP </w:t>
            </w:r>
            <w:r w:rsidR="00D00A18">
              <w:rPr>
                <w:bCs/>
              </w:rPr>
              <w:t>Handbook</w:t>
            </w:r>
            <w:r>
              <w:rPr>
                <w:bCs/>
              </w:rPr>
              <w:t>.</w:t>
            </w:r>
          </w:p>
          <w:p w14:paraId="46BCA00F" w14:textId="09D8F52C" w:rsidR="00417F22" w:rsidRDefault="00772D05" w:rsidP="00C44D27">
            <w:pPr>
              <w:pStyle w:val="SingleTxtG"/>
              <w:ind w:left="3402" w:hanging="2268"/>
              <w:rPr>
                <w:bCs/>
              </w:rPr>
            </w:pPr>
            <w:r w:rsidRPr="00E10773">
              <w:rPr>
                <w:b/>
                <w:iCs/>
              </w:rPr>
              <w:t>Action to be taken</w:t>
            </w:r>
            <w:r w:rsidRPr="00E10773">
              <w:rPr>
                <w:b/>
              </w:rPr>
              <w:t>:</w:t>
            </w:r>
            <w:r>
              <w:tab/>
            </w:r>
            <w:r>
              <w:tab/>
            </w:r>
            <w:r w:rsidR="00813884" w:rsidRPr="00EE2C61">
              <w:rPr>
                <w:bCs/>
              </w:rPr>
              <w:t xml:space="preserve">Annex 1, </w:t>
            </w:r>
            <w:r w:rsidR="005D3617">
              <w:rPr>
                <w:bCs/>
              </w:rPr>
              <w:t>a</w:t>
            </w:r>
            <w:r w:rsidR="005D3617" w:rsidRPr="00EE2C61">
              <w:rPr>
                <w:bCs/>
              </w:rPr>
              <w:t xml:space="preserve">ppendix </w:t>
            </w:r>
            <w:r w:rsidR="00813884" w:rsidRPr="00EE2C61">
              <w:rPr>
                <w:bCs/>
              </w:rPr>
              <w:t>2</w:t>
            </w:r>
            <w:r w:rsidR="005D3617">
              <w:rPr>
                <w:bCs/>
              </w:rPr>
              <w:t>,</w:t>
            </w:r>
            <w:r w:rsidR="00813884" w:rsidRPr="00EE2C61">
              <w:rPr>
                <w:bCs/>
              </w:rPr>
              <w:t xml:space="preserve"> paragraph 3.2.8</w:t>
            </w:r>
          </w:p>
          <w:p w14:paraId="0C1D9CCF" w14:textId="45726A2A" w:rsidR="00813884" w:rsidRPr="00772D05" w:rsidRDefault="00E10773" w:rsidP="00C44D27">
            <w:pPr>
              <w:pStyle w:val="SingleTxtG"/>
              <w:ind w:left="3402" w:hanging="2268"/>
            </w:pPr>
            <w:r w:rsidRPr="00E10773">
              <w:rPr>
                <w:b/>
                <w:iCs/>
                <w:lang w:val="en-US"/>
              </w:rPr>
              <w:t>Related documents</w:t>
            </w:r>
            <w:r w:rsidRPr="00E10773">
              <w:rPr>
                <w:b/>
                <w:lang w:val="en-US"/>
              </w:rPr>
              <w:t>:</w:t>
            </w:r>
            <w:r w:rsidRPr="006555B9">
              <w:rPr>
                <w:bCs/>
                <w:lang w:val="en-US"/>
              </w:rPr>
              <w:tab/>
            </w:r>
            <w:r>
              <w:rPr>
                <w:bCs/>
                <w:lang w:val="en-US"/>
              </w:rPr>
              <w:tab/>
            </w:r>
            <w:r w:rsidRPr="006555B9">
              <w:rPr>
                <w:bCs/>
                <w:lang w:val="en-US"/>
              </w:rPr>
              <w:t>Latest version of A</w:t>
            </w:r>
            <w:r>
              <w:rPr>
                <w:bCs/>
                <w:lang w:val="en-US"/>
              </w:rPr>
              <w:t>TP as amended on 22 June 2024</w:t>
            </w:r>
          </w:p>
        </w:tc>
      </w:tr>
      <w:tr w:rsidR="00E221D2" w14:paraId="6F23B366" w14:textId="77777777" w:rsidTr="004E342B">
        <w:trPr>
          <w:jc w:val="center"/>
        </w:trPr>
        <w:tc>
          <w:tcPr>
            <w:tcW w:w="9629" w:type="dxa"/>
            <w:shd w:val="clear" w:color="auto" w:fill="auto"/>
          </w:tcPr>
          <w:p w14:paraId="3D0E7823" w14:textId="77777777" w:rsidR="00E221D2" w:rsidRDefault="00E221D2" w:rsidP="006E5E26"/>
        </w:tc>
      </w:tr>
    </w:tbl>
    <w:p w14:paraId="60FB7DA9" w14:textId="0327335B" w:rsidR="004E342B" w:rsidRPr="004E342B" w:rsidRDefault="004E342B" w:rsidP="004E342B">
      <w:pPr>
        <w:pStyle w:val="HChG"/>
      </w:pPr>
      <w:r>
        <w:tab/>
      </w:r>
      <w:r>
        <w:tab/>
      </w:r>
      <w:r w:rsidRPr="004E342B">
        <w:t>Introduction</w:t>
      </w:r>
    </w:p>
    <w:p w14:paraId="22EF58BA" w14:textId="61A24988" w:rsidR="004E342B" w:rsidRPr="004E342B" w:rsidRDefault="00355B4B" w:rsidP="00E12A8E">
      <w:pPr>
        <w:pStyle w:val="SingleTxtG"/>
      </w:pPr>
      <w:r>
        <w:t>1.</w:t>
      </w:r>
      <w:r>
        <w:tab/>
      </w:r>
      <w:r w:rsidR="004E342B" w:rsidRPr="004E342B">
        <w:t xml:space="preserve">As adopted in </w:t>
      </w:r>
      <w:r w:rsidR="001933F8">
        <w:t>October</w:t>
      </w:r>
      <w:r w:rsidR="004E342B" w:rsidRPr="004E342B">
        <w:t xml:space="preserve"> 2022 (</w:t>
      </w:r>
      <w:r w:rsidR="001933F8">
        <w:t>seventy-ninth</w:t>
      </w:r>
      <w:r w:rsidR="004E342B" w:rsidRPr="004E342B">
        <w:t xml:space="preserve"> session of WP11), a new ATP requirement on “Minimum</w:t>
      </w:r>
      <w:r w:rsidR="004E342B">
        <w:t xml:space="preserve"> </w:t>
      </w:r>
      <w:r w:rsidR="004E342B" w:rsidRPr="004E342B">
        <w:t>airflow” has entered into force on 22 June 2024 with publication of latest version of ATP.</w:t>
      </w:r>
      <w:r w:rsidR="00E12A8E">
        <w:t xml:space="preserve"> </w:t>
      </w:r>
      <w:r w:rsidR="004E342B" w:rsidRPr="004E342B">
        <w:t xml:space="preserve">It has been inserted in </w:t>
      </w:r>
      <w:r w:rsidR="00217CDF">
        <w:t>a</w:t>
      </w:r>
      <w:r w:rsidR="00217CDF" w:rsidRPr="004E342B">
        <w:t xml:space="preserve">nnex </w:t>
      </w:r>
      <w:r w:rsidR="004E342B" w:rsidRPr="004E342B">
        <w:t xml:space="preserve">1, </w:t>
      </w:r>
      <w:r w:rsidR="00217CDF">
        <w:t>a</w:t>
      </w:r>
      <w:r w:rsidR="00217CDF" w:rsidRPr="004E342B">
        <w:t xml:space="preserve">ppendix </w:t>
      </w:r>
      <w:r w:rsidR="004E342B" w:rsidRPr="004E342B">
        <w:t>2 as a new paragraph 3.2.8.</w:t>
      </w:r>
    </w:p>
    <w:p w14:paraId="532BA4E5" w14:textId="395BABB4" w:rsidR="004E342B" w:rsidRPr="004E342B" w:rsidRDefault="00E12A8E" w:rsidP="004E342B">
      <w:pPr>
        <w:pStyle w:val="SingleTxtG"/>
      </w:pPr>
      <w:r>
        <w:t>2.</w:t>
      </w:r>
      <w:r>
        <w:tab/>
      </w:r>
      <w:r w:rsidR="004E342B" w:rsidRPr="004E342B">
        <w:t>As notion of empty volume could be complex in case of multi compartment configuration, we are proposing to add more explanation on “Definition of compartment volume depending on the vehicle configuration.”</w:t>
      </w:r>
    </w:p>
    <w:p w14:paraId="4C61D06A" w14:textId="29EBCEC8" w:rsidR="004E342B" w:rsidRPr="004E342B" w:rsidRDefault="00E12A8E" w:rsidP="004E342B">
      <w:pPr>
        <w:pStyle w:val="SingleTxtG"/>
      </w:pPr>
      <w:r>
        <w:t>3.</w:t>
      </w:r>
      <w:r>
        <w:tab/>
      </w:r>
      <w:r w:rsidR="004E342B" w:rsidRPr="004E342B">
        <w:t xml:space="preserve">Following text could be added to the ATP </w:t>
      </w:r>
      <w:r w:rsidR="00217CDF">
        <w:t>H</w:t>
      </w:r>
      <w:r w:rsidR="00217CDF" w:rsidRPr="004E342B">
        <w:t>andbook</w:t>
      </w:r>
      <w:r w:rsidR="004E342B" w:rsidRPr="004E342B">
        <w:t>.</w:t>
      </w:r>
    </w:p>
    <w:p w14:paraId="5F854993" w14:textId="77777777" w:rsidR="004E342B" w:rsidRDefault="004E342B" w:rsidP="004E342B">
      <w:pPr>
        <w:pStyle w:val="HChG"/>
      </w:pPr>
      <w:r>
        <w:lastRenderedPageBreak/>
        <w:tab/>
      </w:r>
      <w:r>
        <w:tab/>
        <w:t>Proposal</w:t>
      </w:r>
    </w:p>
    <w:p w14:paraId="176468CB" w14:textId="551BE72D" w:rsidR="004E342B" w:rsidRDefault="00E12A8E" w:rsidP="004E342B">
      <w:pPr>
        <w:pStyle w:val="SingleTxtG"/>
      </w:pPr>
      <w:bookmarkStart w:id="0" w:name="_Hlk83058523"/>
      <w:r>
        <w:t>4.</w:t>
      </w:r>
      <w:r>
        <w:tab/>
      </w:r>
      <w:r w:rsidR="004E342B">
        <w:t xml:space="preserve">In </w:t>
      </w:r>
      <w:bookmarkStart w:id="1" w:name="_Hlk83058953"/>
      <w:bookmarkEnd w:id="0"/>
      <w:r w:rsidR="004E342B" w:rsidRPr="00B93914">
        <w:t xml:space="preserve">ATP </w:t>
      </w:r>
      <w:r w:rsidR="00D00A18">
        <w:t>H</w:t>
      </w:r>
      <w:r w:rsidR="00D00A18" w:rsidRPr="00B93914">
        <w:t>andbook</w:t>
      </w:r>
      <w:r w:rsidR="004E342B">
        <w:t xml:space="preserve">, </w:t>
      </w:r>
      <w:r w:rsidR="00D00A18">
        <w:t xml:space="preserve">add a new comment </w:t>
      </w:r>
      <w:r w:rsidR="004E342B">
        <w:t xml:space="preserve">to </w:t>
      </w:r>
      <w:r w:rsidR="004E342B" w:rsidRPr="00B93914">
        <w:t>paragraph 3.2.8</w:t>
      </w:r>
      <w:r w:rsidR="004E342B">
        <w:t xml:space="preserve"> of </w:t>
      </w:r>
      <w:r w:rsidR="007629E5">
        <w:rPr>
          <w:bCs/>
        </w:rPr>
        <w:t>a</w:t>
      </w:r>
      <w:r w:rsidR="007629E5" w:rsidRPr="00AA46FE">
        <w:rPr>
          <w:bCs/>
        </w:rPr>
        <w:t xml:space="preserve">nnex </w:t>
      </w:r>
      <w:r w:rsidR="004E342B" w:rsidRPr="00AA46FE">
        <w:rPr>
          <w:bCs/>
        </w:rPr>
        <w:t xml:space="preserve">1, </w:t>
      </w:r>
      <w:r w:rsidR="007629E5">
        <w:rPr>
          <w:bCs/>
        </w:rPr>
        <w:t>a</w:t>
      </w:r>
      <w:r w:rsidR="007629E5" w:rsidRPr="00AA46FE">
        <w:rPr>
          <w:bCs/>
        </w:rPr>
        <w:t xml:space="preserve">ppendix </w:t>
      </w:r>
      <w:r w:rsidR="004E342B" w:rsidRPr="00AA46FE">
        <w:rPr>
          <w:bCs/>
        </w:rPr>
        <w:t>2</w:t>
      </w:r>
      <w:r w:rsidR="00E40DE9">
        <w:rPr>
          <w:bCs/>
        </w:rPr>
        <w:t xml:space="preserve"> to rea</w:t>
      </w:r>
      <w:r w:rsidR="00B2476C">
        <w:rPr>
          <w:bCs/>
        </w:rPr>
        <w:t>d</w:t>
      </w:r>
      <w:r w:rsidR="004E342B">
        <w:rPr>
          <w:bCs/>
        </w:rPr>
        <w:t xml:space="preserve"> as follow:</w:t>
      </w:r>
    </w:p>
    <w:bookmarkEnd w:id="1"/>
    <w:p w14:paraId="0214E5CD" w14:textId="77847901" w:rsidR="004E342B" w:rsidRPr="00A37960" w:rsidRDefault="009B43A8" w:rsidP="009B43A8">
      <w:pPr>
        <w:pStyle w:val="SingleTxtG"/>
        <w:ind w:left="1701"/>
      </w:pPr>
      <w:r>
        <w:t>“</w:t>
      </w:r>
      <w:r w:rsidR="004E342B" w:rsidRPr="00A37960">
        <w:t>Single-</w:t>
      </w:r>
      <w:r w:rsidR="00771B9F">
        <w:t>c</w:t>
      </w:r>
      <w:r w:rsidR="00771B9F" w:rsidRPr="00A37960">
        <w:t xml:space="preserve">ompartment </w:t>
      </w:r>
      <w:r w:rsidR="00771B9F">
        <w:t>v</w:t>
      </w:r>
      <w:r w:rsidR="00771B9F" w:rsidRPr="00A37960">
        <w:t>ehicle</w:t>
      </w:r>
      <w:r w:rsidR="004E342B" w:rsidRPr="00A37960">
        <w:t xml:space="preserve">: </w:t>
      </w:r>
      <w:r w:rsidR="00B2476C">
        <w:t>i</w:t>
      </w:r>
      <w:r w:rsidR="00B2476C" w:rsidRPr="00A37960">
        <w:t xml:space="preserve">nside </w:t>
      </w:r>
      <w:r w:rsidR="004E342B" w:rsidRPr="00A37960">
        <w:t>volume of the vehicle</w:t>
      </w:r>
      <w:r w:rsidR="00B2476C">
        <w:t>.</w:t>
      </w:r>
    </w:p>
    <w:p w14:paraId="76C0A9D5" w14:textId="7D2E418D" w:rsidR="004E342B" w:rsidRPr="00A37960" w:rsidRDefault="004E342B" w:rsidP="009B43A8">
      <w:pPr>
        <w:pStyle w:val="SingleTxtG"/>
        <w:ind w:left="1701"/>
      </w:pPr>
      <w:r w:rsidRPr="00A37960">
        <w:t xml:space="preserve">Multi </w:t>
      </w:r>
      <w:r w:rsidR="00771B9F">
        <w:t>c</w:t>
      </w:r>
      <w:r w:rsidR="00771B9F" w:rsidRPr="00A37960">
        <w:t xml:space="preserve">ompartment </w:t>
      </w:r>
      <w:r w:rsidR="00771B9F">
        <w:t>v</w:t>
      </w:r>
      <w:r w:rsidR="00771B9F" w:rsidRPr="00A37960">
        <w:t xml:space="preserve">ehicle </w:t>
      </w:r>
      <w:r w:rsidRPr="00A37960">
        <w:t xml:space="preserve">with fixed walls: </w:t>
      </w:r>
      <w:r w:rsidR="00B2476C">
        <w:t>i</w:t>
      </w:r>
      <w:r w:rsidR="00B2476C" w:rsidRPr="00A37960">
        <w:t xml:space="preserve">nside </w:t>
      </w:r>
      <w:r w:rsidRPr="00A37960">
        <w:t>volume of each compartment of the vehicle</w:t>
      </w:r>
      <w:r w:rsidR="00B2476C">
        <w:t>.</w:t>
      </w:r>
    </w:p>
    <w:p w14:paraId="584051B5" w14:textId="7DA1AF90" w:rsidR="004E342B" w:rsidRPr="00A37960" w:rsidRDefault="004E342B" w:rsidP="009B43A8">
      <w:pPr>
        <w:pStyle w:val="SingleTxtG"/>
        <w:ind w:left="1701"/>
      </w:pPr>
      <w:r w:rsidRPr="00A37960">
        <w:t xml:space="preserve">Multi </w:t>
      </w:r>
      <w:r w:rsidR="00771B9F">
        <w:t>c</w:t>
      </w:r>
      <w:r w:rsidR="00771B9F" w:rsidRPr="00A37960">
        <w:t xml:space="preserve">ompartment </w:t>
      </w:r>
      <w:r w:rsidR="00771B9F">
        <w:t>v</w:t>
      </w:r>
      <w:r w:rsidR="00771B9F" w:rsidRPr="00A37960">
        <w:t xml:space="preserve">ehicle </w:t>
      </w:r>
      <w:r w:rsidRPr="00A37960">
        <w:t xml:space="preserve">with movable walls: </w:t>
      </w:r>
      <w:r w:rsidR="00164769">
        <w:t>f</w:t>
      </w:r>
      <w:r w:rsidR="00164769" w:rsidRPr="00A37960">
        <w:t xml:space="preserve">or </w:t>
      </w:r>
      <w:r w:rsidRPr="00A37960">
        <w:t xml:space="preserve">each individual compartment </w:t>
      </w:r>
      <w:r w:rsidR="00872F61">
        <w:t xml:space="preserve">is the </w:t>
      </w:r>
      <w:r w:rsidR="00164769">
        <w:t>m</w:t>
      </w:r>
      <w:r w:rsidR="00164769" w:rsidRPr="00A37960">
        <w:t xml:space="preserve">aximum </w:t>
      </w:r>
      <w:r w:rsidRPr="00A37960">
        <w:t>compartment volume permitted with the movable partition in the stop position.</w:t>
      </w:r>
    </w:p>
    <w:p w14:paraId="368B6AF1" w14:textId="3927BFCC" w:rsidR="004E342B" w:rsidRPr="00A37960" w:rsidRDefault="004E342B" w:rsidP="009B43A8">
      <w:pPr>
        <w:pStyle w:val="SingleTxtG"/>
        <w:ind w:left="1701"/>
      </w:pPr>
      <w:r w:rsidRPr="00A37960">
        <w:t>If the equipment can be operated as a single zone configuration, or with a reduced number of compartments, after opening one or several dividing wall(s), the rules described in 3.2.8 must be satisfied</w:t>
      </w:r>
      <w:r w:rsidR="00744CC0">
        <w:t>. F</w:t>
      </w:r>
      <w:r w:rsidRPr="00A37960">
        <w:t xml:space="preserve">or each possible configuration, the airflow inside the compartment </w:t>
      </w:r>
      <w:r w:rsidR="00744CC0">
        <w:t xml:space="preserve">shall be </w:t>
      </w:r>
      <w:r w:rsidRPr="00A37960">
        <w:t>supplied by:</w:t>
      </w:r>
    </w:p>
    <w:p w14:paraId="1D925F64" w14:textId="519C0C3B" w:rsidR="004E342B" w:rsidRPr="00AE6BD9" w:rsidRDefault="004E342B" w:rsidP="00AE6BD9">
      <w:pPr>
        <w:pStyle w:val="Bullet1G"/>
        <w:tabs>
          <w:tab w:val="clear" w:pos="1701"/>
        </w:tabs>
        <w:ind w:left="1985" w:hanging="284"/>
      </w:pPr>
      <w:r w:rsidRPr="00AE6BD9">
        <w:t xml:space="preserve">either 1 evaporator </w:t>
      </w:r>
    </w:p>
    <w:p w14:paraId="13624FE1" w14:textId="65D3F148" w:rsidR="004E342B" w:rsidRPr="00AE6BD9" w:rsidRDefault="004E342B" w:rsidP="00AE6BD9">
      <w:pPr>
        <w:pStyle w:val="Bullet1G"/>
        <w:tabs>
          <w:tab w:val="clear" w:pos="1701"/>
        </w:tabs>
        <w:ind w:left="1985" w:hanging="284"/>
      </w:pPr>
      <w:r w:rsidRPr="00AE6BD9">
        <w:t>or a group of evaporators blowing in the same direction.</w:t>
      </w:r>
    </w:p>
    <w:p w14:paraId="3D9F2854" w14:textId="58C65872" w:rsidR="004E342B" w:rsidRPr="00A234D1" w:rsidRDefault="004E342B" w:rsidP="009B43A8">
      <w:pPr>
        <w:pStyle w:val="SingleTxtG"/>
        <w:ind w:left="1701"/>
      </w:pPr>
      <w:r w:rsidRPr="00A37960">
        <w:t>A configuration with several active evaporators or group of evaporators blowing in opposite or perpendicular directions inside an individual compartment should be avoided.</w:t>
      </w:r>
      <w:r w:rsidR="009B43A8">
        <w:t>”</w:t>
      </w:r>
    </w:p>
    <w:p w14:paraId="1DDB0432" w14:textId="77777777" w:rsidR="004E342B" w:rsidRDefault="004E342B" w:rsidP="004E342B">
      <w:pPr>
        <w:pStyle w:val="HChG"/>
      </w:pPr>
      <w:r>
        <w:tab/>
      </w:r>
      <w:r>
        <w:tab/>
        <w:t>Justification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5703"/>
      </w:tblGrid>
      <w:tr w:rsidR="004E342B" w14:paraId="7D95AD7C" w14:textId="77777777" w:rsidTr="00170236">
        <w:tc>
          <w:tcPr>
            <w:tcW w:w="1418" w:type="dxa"/>
            <w:shd w:val="clear" w:color="auto" w:fill="auto"/>
          </w:tcPr>
          <w:p w14:paraId="763CB84B" w14:textId="77777777" w:rsidR="004E342B" w:rsidRDefault="004E342B" w:rsidP="00170236">
            <w:pPr>
              <w:pStyle w:val="SingleTxtG"/>
              <w:ind w:left="0" w:right="0"/>
            </w:pPr>
            <w:r>
              <w:t>Cost</w:t>
            </w:r>
            <w:r w:rsidRPr="00204779">
              <w:t>:</w:t>
            </w:r>
          </w:p>
        </w:tc>
        <w:tc>
          <w:tcPr>
            <w:tcW w:w="5703" w:type="dxa"/>
            <w:shd w:val="clear" w:color="auto" w:fill="auto"/>
          </w:tcPr>
          <w:p w14:paraId="1277160D" w14:textId="77777777" w:rsidR="004E342B" w:rsidRDefault="004E342B" w:rsidP="00170236">
            <w:pPr>
              <w:pStyle w:val="SingleTxtG"/>
              <w:ind w:left="0"/>
            </w:pPr>
            <w:r>
              <w:t>No cost impact</w:t>
            </w:r>
          </w:p>
        </w:tc>
      </w:tr>
      <w:tr w:rsidR="004E342B" w14:paraId="56E7E6BE" w14:textId="77777777" w:rsidTr="00170236">
        <w:tc>
          <w:tcPr>
            <w:tcW w:w="1418" w:type="dxa"/>
            <w:shd w:val="clear" w:color="auto" w:fill="auto"/>
          </w:tcPr>
          <w:p w14:paraId="722D7A29" w14:textId="77777777" w:rsidR="004E342B" w:rsidRDefault="004E342B" w:rsidP="00170236">
            <w:pPr>
              <w:pStyle w:val="SingleTxtG"/>
              <w:ind w:left="0" w:right="0"/>
            </w:pPr>
            <w:r>
              <w:t>Feasibility:</w:t>
            </w:r>
          </w:p>
        </w:tc>
        <w:tc>
          <w:tcPr>
            <w:tcW w:w="5703" w:type="dxa"/>
            <w:shd w:val="clear" w:color="auto" w:fill="auto"/>
          </w:tcPr>
          <w:p w14:paraId="55B46A82" w14:textId="77777777" w:rsidR="004E342B" w:rsidRDefault="004E342B" w:rsidP="00170236">
            <w:pPr>
              <w:pStyle w:val="SingleTxtG"/>
              <w:ind w:left="0" w:right="0"/>
            </w:pPr>
            <w:r w:rsidRPr="000045BB">
              <w:t>The propos</w:t>
            </w:r>
            <w:r>
              <w:t>al</w:t>
            </w:r>
            <w:r w:rsidRPr="000045BB">
              <w:t xml:space="preserve"> can easily be implemented in ATP</w:t>
            </w:r>
            <w:r>
              <w:t xml:space="preserve"> handbook</w:t>
            </w:r>
            <w:r w:rsidRPr="000045BB">
              <w:t xml:space="preserve">. </w:t>
            </w:r>
          </w:p>
          <w:p w14:paraId="0566E18F" w14:textId="77777777" w:rsidR="004E342B" w:rsidRDefault="004E342B" w:rsidP="00170236">
            <w:pPr>
              <w:pStyle w:val="SingleTxtG"/>
              <w:ind w:left="0" w:right="0"/>
            </w:pPr>
            <w:r w:rsidRPr="000045BB">
              <w:t>A transitional period is not needed.</w:t>
            </w:r>
          </w:p>
        </w:tc>
      </w:tr>
      <w:tr w:rsidR="004E342B" w14:paraId="0C67823D" w14:textId="77777777" w:rsidTr="00170236">
        <w:tc>
          <w:tcPr>
            <w:tcW w:w="1418" w:type="dxa"/>
            <w:shd w:val="clear" w:color="auto" w:fill="auto"/>
          </w:tcPr>
          <w:p w14:paraId="198BDEEB" w14:textId="77777777" w:rsidR="004E342B" w:rsidRDefault="004E342B" w:rsidP="00170236">
            <w:pPr>
              <w:pStyle w:val="SingleTxtG"/>
              <w:ind w:left="0" w:right="3"/>
            </w:pPr>
            <w:r>
              <w:t>Impact:</w:t>
            </w:r>
          </w:p>
        </w:tc>
        <w:tc>
          <w:tcPr>
            <w:tcW w:w="5703" w:type="dxa"/>
            <w:shd w:val="clear" w:color="auto" w:fill="auto"/>
          </w:tcPr>
          <w:p w14:paraId="25F39352" w14:textId="77777777" w:rsidR="004E342B" w:rsidRDefault="004E342B" w:rsidP="005A5447">
            <w:pPr>
              <w:pStyle w:val="SingleTxtG"/>
              <w:ind w:left="0" w:right="0"/>
            </w:pPr>
            <w:r w:rsidRPr="005A5447">
              <w:t>Thanks to this proposal, ATP could be easier to apply with less risk of confusion.</w:t>
            </w:r>
          </w:p>
        </w:tc>
      </w:tr>
      <w:tr w:rsidR="004E342B" w14:paraId="55D0A21C" w14:textId="77777777" w:rsidTr="00170236">
        <w:tc>
          <w:tcPr>
            <w:tcW w:w="1418" w:type="dxa"/>
            <w:shd w:val="clear" w:color="auto" w:fill="auto"/>
          </w:tcPr>
          <w:p w14:paraId="79FC22A4" w14:textId="77777777" w:rsidR="004E342B" w:rsidRDefault="004E342B" w:rsidP="00170236">
            <w:pPr>
              <w:pStyle w:val="SingleTxtG"/>
              <w:ind w:left="0" w:right="0"/>
            </w:pPr>
            <w:r>
              <w:t>Enforceability:</w:t>
            </w:r>
          </w:p>
        </w:tc>
        <w:tc>
          <w:tcPr>
            <w:tcW w:w="5703" w:type="dxa"/>
            <w:shd w:val="clear" w:color="auto" w:fill="auto"/>
          </w:tcPr>
          <w:p w14:paraId="58C9EE87" w14:textId="661B05A8" w:rsidR="004E342B" w:rsidRDefault="004E342B" w:rsidP="00170236">
            <w:pPr>
              <w:pStyle w:val="SingleTxtG"/>
              <w:ind w:left="0" w:right="0"/>
            </w:pPr>
            <w:r>
              <w:t>Updated c</w:t>
            </w:r>
            <w:r w:rsidRPr="00A37960">
              <w:t>omment to paragraph 3.2.8</w:t>
            </w:r>
            <w:r>
              <w:t xml:space="preserve"> </w:t>
            </w:r>
            <w:r w:rsidRPr="00AA46FE">
              <w:t xml:space="preserve">in </w:t>
            </w:r>
            <w:r w:rsidR="000C080A">
              <w:t>a</w:t>
            </w:r>
            <w:r w:rsidR="000C080A" w:rsidRPr="00AA46FE">
              <w:t xml:space="preserve">nnex </w:t>
            </w:r>
            <w:r w:rsidRPr="00AA46FE">
              <w:t xml:space="preserve">1, </w:t>
            </w:r>
            <w:r w:rsidR="000C080A">
              <w:t>a</w:t>
            </w:r>
            <w:r w:rsidR="000C080A" w:rsidRPr="00AA46FE">
              <w:t xml:space="preserve">ppendix </w:t>
            </w:r>
            <w:r w:rsidRPr="00AA46FE">
              <w:t>2</w:t>
            </w:r>
            <w:r>
              <w:t xml:space="preserve"> </w:t>
            </w:r>
            <w:r w:rsidR="00BB39B7">
              <w:br/>
            </w:r>
            <w:r>
              <w:t xml:space="preserve">in </w:t>
            </w:r>
            <w:r w:rsidR="000C080A">
              <w:t>the ATP H</w:t>
            </w:r>
            <w:r>
              <w:t>andbook</w:t>
            </w:r>
            <w:r w:rsidR="00BB39B7">
              <w:t>.</w:t>
            </w:r>
          </w:p>
        </w:tc>
      </w:tr>
    </w:tbl>
    <w:p w14:paraId="400AC582" w14:textId="17E4FDE5" w:rsidR="00E221D2" w:rsidRPr="004E342B" w:rsidRDefault="004E342B" w:rsidP="004E342B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221D2" w:rsidRPr="004E342B" w:rsidSect="00B8122D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D634" w14:textId="77777777" w:rsidR="00F16990" w:rsidRDefault="00F16990"/>
  </w:endnote>
  <w:endnote w:type="continuationSeparator" w:id="0">
    <w:p w14:paraId="133C5BC5" w14:textId="77777777" w:rsidR="00F16990" w:rsidRDefault="00F16990"/>
  </w:endnote>
  <w:endnote w:type="continuationNotice" w:id="1">
    <w:p w14:paraId="4C791F26" w14:textId="77777777" w:rsidR="00F16990" w:rsidRDefault="00F169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E23A" w14:textId="6605EF9B" w:rsidR="00B8122D" w:rsidRPr="00B8122D" w:rsidRDefault="00B8122D" w:rsidP="00B8122D">
    <w:pPr>
      <w:pStyle w:val="Footer"/>
      <w:tabs>
        <w:tab w:val="right" w:pos="9638"/>
      </w:tabs>
      <w:rPr>
        <w:sz w:val="18"/>
      </w:rPr>
    </w:pPr>
    <w:r w:rsidRPr="00B8122D">
      <w:rPr>
        <w:b/>
        <w:sz w:val="18"/>
      </w:rPr>
      <w:fldChar w:fldCharType="begin"/>
    </w:r>
    <w:r w:rsidRPr="00B8122D">
      <w:rPr>
        <w:b/>
        <w:sz w:val="18"/>
      </w:rPr>
      <w:instrText xml:space="preserve"> PAGE  \* MERGEFORMAT </w:instrText>
    </w:r>
    <w:r w:rsidRPr="00B8122D">
      <w:rPr>
        <w:b/>
        <w:sz w:val="18"/>
      </w:rPr>
      <w:fldChar w:fldCharType="separate"/>
    </w:r>
    <w:r w:rsidRPr="00B8122D">
      <w:rPr>
        <w:b/>
        <w:noProof/>
        <w:sz w:val="18"/>
      </w:rPr>
      <w:t>2</w:t>
    </w:r>
    <w:r w:rsidRPr="00B8122D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BC09" w14:textId="51F16002" w:rsidR="00B8122D" w:rsidRPr="00B8122D" w:rsidRDefault="00B8122D" w:rsidP="00B8122D">
    <w:pPr>
      <w:pStyle w:val="Footer"/>
      <w:tabs>
        <w:tab w:val="right" w:pos="9638"/>
      </w:tabs>
      <w:rPr>
        <w:b/>
        <w:sz w:val="18"/>
      </w:rPr>
    </w:pPr>
    <w:r>
      <w:tab/>
    </w:r>
    <w:r w:rsidRPr="00B8122D">
      <w:rPr>
        <w:b/>
        <w:sz w:val="18"/>
      </w:rPr>
      <w:fldChar w:fldCharType="begin"/>
    </w:r>
    <w:r w:rsidRPr="00B8122D">
      <w:rPr>
        <w:b/>
        <w:sz w:val="18"/>
      </w:rPr>
      <w:instrText xml:space="preserve"> PAGE  \* MERGEFORMAT </w:instrText>
    </w:r>
    <w:r w:rsidRPr="00B8122D">
      <w:rPr>
        <w:b/>
        <w:sz w:val="18"/>
      </w:rPr>
      <w:fldChar w:fldCharType="separate"/>
    </w:r>
    <w:r w:rsidRPr="00B8122D">
      <w:rPr>
        <w:b/>
        <w:noProof/>
        <w:sz w:val="18"/>
      </w:rPr>
      <w:t>3</w:t>
    </w:r>
    <w:r w:rsidRPr="00B8122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84CD" w14:textId="2A41ABBE" w:rsidR="009E3562" w:rsidRDefault="009E3562" w:rsidP="009E3562">
    <w:pPr>
      <w:pStyle w:val="Footer"/>
    </w:pPr>
    <w:bookmarkStart w:id="2" w:name="_GoBack"/>
    <w:bookmarkEnd w:id="2"/>
    <w:r>
      <w:rPr>
        <w:noProof/>
        <w:lang w:val="en-US" w:eastAsia="zh-CN"/>
      </w:rPr>
      <w:drawing>
        <wp:anchor distT="0" distB="0" distL="114300" distR="114300" simplePos="0" relativeHeight="251659264" behindDoc="1" locked="1" layoutInCell="1" allowOverlap="1" wp14:anchorId="34665744" wp14:editId="552E8ADE">
          <wp:simplePos x="0" y="0"/>
          <wp:positionH relativeFrom="margin">
            <wp:posOffset>4320540</wp:posOffset>
          </wp:positionH>
          <wp:positionV relativeFrom="margin">
            <wp:posOffset>9145270</wp:posOffset>
          </wp:positionV>
          <wp:extent cx="932400" cy="23040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75E4F0" w14:textId="031C5645" w:rsidR="009E3562" w:rsidRPr="009E3562" w:rsidRDefault="009E3562" w:rsidP="009E3562">
    <w:pPr>
      <w:pStyle w:val="Footer"/>
      <w:ind w:right="1134"/>
      <w:rPr>
        <w:sz w:val="20"/>
      </w:rPr>
    </w:pPr>
    <w:r>
      <w:rPr>
        <w:sz w:val="20"/>
      </w:rPr>
      <w:t>GE.24-14614  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2597DBB9" wp14:editId="47E0064C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D6F9" w14:textId="77777777" w:rsidR="00F16990" w:rsidRPr="000B175B" w:rsidRDefault="00F16990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5B856D4" w14:textId="77777777" w:rsidR="00F16990" w:rsidRPr="00FC68B7" w:rsidRDefault="00F16990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D9F9AB9" w14:textId="77777777" w:rsidR="00F16990" w:rsidRDefault="00F169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E64D" w14:textId="0756D6F9" w:rsidR="00B8122D" w:rsidRPr="00B8122D" w:rsidRDefault="00B8122D">
    <w:pPr>
      <w:pStyle w:val="Header"/>
    </w:pPr>
    <w:r>
      <w:t>ECE/TRANS/WP.11/2024/14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F9F1" w14:textId="5DEFA205" w:rsidR="00B8122D" w:rsidRPr="00B8122D" w:rsidRDefault="0004236C" w:rsidP="00B8122D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8D74C5">
      <w:t>ECE/TRANS/WP.11/2024/14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B5B58"/>
    <w:multiLevelType w:val="hybridMultilevel"/>
    <w:tmpl w:val="4168AF6E"/>
    <w:lvl w:ilvl="0" w:tplc="5F0492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0515131">
    <w:abstractNumId w:val="1"/>
  </w:num>
  <w:num w:numId="2" w16cid:durableId="453986148">
    <w:abstractNumId w:val="0"/>
  </w:num>
  <w:num w:numId="3" w16cid:durableId="47193225">
    <w:abstractNumId w:val="2"/>
  </w:num>
  <w:num w:numId="4" w16cid:durableId="269706577">
    <w:abstractNumId w:val="3"/>
  </w:num>
  <w:num w:numId="5" w16cid:durableId="24213764">
    <w:abstractNumId w:val="8"/>
  </w:num>
  <w:num w:numId="6" w16cid:durableId="672533818">
    <w:abstractNumId w:val="9"/>
  </w:num>
  <w:num w:numId="7" w16cid:durableId="1595894328">
    <w:abstractNumId w:val="7"/>
  </w:num>
  <w:num w:numId="8" w16cid:durableId="105195113">
    <w:abstractNumId w:val="6"/>
  </w:num>
  <w:num w:numId="9" w16cid:durableId="556480732">
    <w:abstractNumId w:val="5"/>
  </w:num>
  <w:num w:numId="10" w16cid:durableId="1710571297">
    <w:abstractNumId w:val="4"/>
  </w:num>
  <w:num w:numId="11" w16cid:durableId="2005624929">
    <w:abstractNumId w:val="16"/>
  </w:num>
  <w:num w:numId="12" w16cid:durableId="651755525">
    <w:abstractNumId w:val="14"/>
  </w:num>
  <w:num w:numId="13" w16cid:durableId="1852835380">
    <w:abstractNumId w:val="10"/>
  </w:num>
  <w:num w:numId="14" w16cid:durableId="1471358937">
    <w:abstractNumId w:val="12"/>
  </w:num>
  <w:num w:numId="15" w16cid:durableId="1500080699">
    <w:abstractNumId w:val="17"/>
  </w:num>
  <w:num w:numId="16" w16cid:durableId="794910029">
    <w:abstractNumId w:val="13"/>
  </w:num>
  <w:num w:numId="17" w16cid:durableId="1563171353">
    <w:abstractNumId w:val="18"/>
  </w:num>
  <w:num w:numId="18" w16cid:durableId="2022388409">
    <w:abstractNumId w:val="19"/>
  </w:num>
  <w:num w:numId="19" w16cid:durableId="1087775909">
    <w:abstractNumId w:val="11"/>
  </w:num>
  <w:num w:numId="20" w16cid:durableId="1458714454">
    <w:abstractNumId w:val="11"/>
  </w:num>
  <w:num w:numId="21" w16cid:durableId="786002255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2D"/>
    <w:rsid w:val="00000F83"/>
    <w:rsid w:val="00002A7D"/>
    <w:rsid w:val="000038A8"/>
    <w:rsid w:val="00006790"/>
    <w:rsid w:val="00027624"/>
    <w:rsid w:val="00030181"/>
    <w:rsid w:val="0004236C"/>
    <w:rsid w:val="00050F6B"/>
    <w:rsid w:val="000678CD"/>
    <w:rsid w:val="00072C8C"/>
    <w:rsid w:val="00081CE0"/>
    <w:rsid w:val="00084D30"/>
    <w:rsid w:val="00090320"/>
    <w:rsid w:val="000931C0"/>
    <w:rsid w:val="0009732C"/>
    <w:rsid w:val="000A01F9"/>
    <w:rsid w:val="000A2E09"/>
    <w:rsid w:val="000B175B"/>
    <w:rsid w:val="000B3A0F"/>
    <w:rsid w:val="000C080A"/>
    <w:rsid w:val="000D3028"/>
    <w:rsid w:val="000E0415"/>
    <w:rsid w:val="000F7715"/>
    <w:rsid w:val="001379D9"/>
    <w:rsid w:val="00156B99"/>
    <w:rsid w:val="00164769"/>
    <w:rsid w:val="00166124"/>
    <w:rsid w:val="00184DDA"/>
    <w:rsid w:val="001900CD"/>
    <w:rsid w:val="001933F8"/>
    <w:rsid w:val="001A0452"/>
    <w:rsid w:val="001B07CF"/>
    <w:rsid w:val="001B4B04"/>
    <w:rsid w:val="001B5875"/>
    <w:rsid w:val="001C4B9C"/>
    <w:rsid w:val="001C6663"/>
    <w:rsid w:val="001C7895"/>
    <w:rsid w:val="001D26DF"/>
    <w:rsid w:val="001E555D"/>
    <w:rsid w:val="001F1599"/>
    <w:rsid w:val="001F19C4"/>
    <w:rsid w:val="002043F0"/>
    <w:rsid w:val="00211E0B"/>
    <w:rsid w:val="00217CDF"/>
    <w:rsid w:val="00232575"/>
    <w:rsid w:val="00247258"/>
    <w:rsid w:val="00257CAC"/>
    <w:rsid w:val="00264441"/>
    <w:rsid w:val="0027237A"/>
    <w:rsid w:val="0029149B"/>
    <w:rsid w:val="002974E9"/>
    <w:rsid w:val="002A7F94"/>
    <w:rsid w:val="002B109A"/>
    <w:rsid w:val="002C6D45"/>
    <w:rsid w:val="002D6E53"/>
    <w:rsid w:val="002F046D"/>
    <w:rsid w:val="002F3023"/>
    <w:rsid w:val="00301764"/>
    <w:rsid w:val="003229D8"/>
    <w:rsid w:val="00336C97"/>
    <w:rsid w:val="0033766B"/>
    <w:rsid w:val="00337F88"/>
    <w:rsid w:val="00342432"/>
    <w:rsid w:val="0035223F"/>
    <w:rsid w:val="00352D4B"/>
    <w:rsid w:val="00355B4B"/>
    <w:rsid w:val="0035638C"/>
    <w:rsid w:val="003A46BB"/>
    <w:rsid w:val="003A4EC7"/>
    <w:rsid w:val="003A7295"/>
    <w:rsid w:val="003B1F60"/>
    <w:rsid w:val="003C2CC4"/>
    <w:rsid w:val="003C486C"/>
    <w:rsid w:val="003D4B23"/>
    <w:rsid w:val="003E278A"/>
    <w:rsid w:val="00413520"/>
    <w:rsid w:val="00417F22"/>
    <w:rsid w:val="00430D57"/>
    <w:rsid w:val="004325CB"/>
    <w:rsid w:val="00440A07"/>
    <w:rsid w:val="00462880"/>
    <w:rsid w:val="00476F24"/>
    <w:rsid w:val="004C55B0"/>
    <w:rsid w:val="004E342B"/>
    <w:rsid w:val="004F6BA0"/>
    <w:rsid w:val="00503BEA"/>
    <w:rsid w:val="0051174B"/>
    <w:rsid w:val="0051583D"/>
    <w:rsid w:val="00533616"/>
    <w:rsid w:val="00535ABA"/>
    <w:rsid w:val="0053768B"/>
    <w:rsid w:val="005420F2"/>
    <w:rsid w:val="0054285C"/>
    <w:rsid w:val="005517EC"/>
    <w:rsid w:val="00566B6B"/>
    <w:rsid w:val="00584173"/>
    <w:rsid w:val="00595520"/>
    <w:rsid w:val="005A44B9"/>
    <w:rsid w:val="005A5447"/>
    <w:rsid w:val="005B1BA0"/>
    <w:rsid w:val="005B3DB3"/>
    <w:rsid w:val="005D15CA"/>
    <w:rsid w:val="005D3617"/>
    <w:rsid w:val="005D7969"/>
    <w:rsid w:val="005F08DF"/>
    <w:rsid w:val="005F3066"/>
    <w:rsid w:val="005F3E61"/>
    <w:rsid w:val="00604DDD"/>
    <w:rsid w:val="006115CC"/>
    <w:rsid w:val="00611FC4"/>
    <w:rsid w:val="006176FB"/>
    <w:rsid w:val="00617AC2"/>
    <w:rsid w:val="00630FCB"/>
    <w:rsid w:val="00640B26"/>
    <w:rsid w:val="0065766B"/>
    <w:rsid w:val="006770B2"/>
    <w:rsid w:val="00686A48"/>
    <w:rsid w:val="006940E1"/>
    <w:rsid w:val="006A3C72"/>
    <w:rsid w:val="006A7392"/>
    <w:rsid w:val="006B03A1"/>
    <w:rsid w:val="006B67D9"/>
    <w:rsid w:val="006C5535"/>
    <w:rsid w:val="006D0589"/>
    <w:rsid w:val="006E564B"/>
    <w:rsid w:val="006E7154"/>
    <w:rsid w:val="007003CD"/>
    <w:rsid w:val="0070701E"/>
    <w:rsid w:val="007173E0"/>
    <w:rsid w:val="0072632A"/>
    <w:rsid w:val="00733577"/>
    <w:rsid w:val="007358E8"/>
    <w:rsid w:val="00736ECE"/>
    <w:rsid w:val="00744CC0"/>
    <w:rsid w:val="0074533B"/>
    <w:rsid w:val="007629E5"/>
    <w:rsid w:val="007643BC"/>
    <w:rsid w:val="00771B9F"/>
    <w:rsid w:val="00772D05"/>
    <w:rsid w:val="007741BF"/>
    <w:rsid w:val="007801C5"/>
    <w:rsid w:val="00780C68"/>
    <w:rsid w:val="007959FE"/>
    <w:rsid w:val="007A0CF1"/>
    <w:rsid w:val="007A478E"/>
    <w:rsid w:val="007B6BA5"/>
    <w:rsid w:val="007C3390"/>
    <w:rsid w:val="007C42D8"/>
    <w:rsid w:val="007C4F4B"/>
    <w:rsid w:val="007D7362"/>
    <w:rsid w:val="007F5CE2"/>
    <w:rsid w:val="007F6611"/>
    <w:rsid w:val="00800522"/>
    <w:rsid w:val="00810BAC"/>
    <w:rsid w:val="00813884"/>
    <w:rsid w:val="008175E9"/>
    <w:rsid w:val="008242D7"/>
    <w:rsid w:val="0082577B"/>
    <w:rsid w:val="008272DD"/>
    <w:rsid w:val="00866893"/>
    <w:rsid w:val="00866F02"/>
    <w:rsid w:val="00867D18"/>
    <w:rsid w:val="00871F9A"/>
    <w:rsid w:val="00871FD5"/>
    <w:rsid w:val="00872F61"/>
    <w:rsid w:val="0088172E"/>
    <w:rsid w:val="00881EFA"/>
    <w:rsid w:val="008879CB"/>
    <w:rsid w:val="008979B1"/>
    <w:rsid w:val="008A6B25"/>
    <w:rsid w:val="008A6C4F"/>
    <w:rsid w:val="008A77AE"/>
    <w:rsid w:val="008B389E"/>
    <w:rsid w:val="008D045E"/>
    <w:rsid w:val="008D3F25"/>
    <w:rsid w:val="008D4D82"/>
    <w:rsid w:val="008D74C5"/>
    <w:rsid w:val="008E0E46"/>
    <w:rsid w:val="008E7116"/>
    <w:rsid w:val="008F143B"/>
    <w:rsid w:val="008F3882"/>
    <w:rsid w:val="008F4B7C"/>
    <w:rsid w:val="00926E47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B43A8"/>
    <w:rsid w:val="009D01C0"/>
    <w:rsid w:val="009D6A08"/>
    <w:rsid w:val="009E0A16"/>
    <w:rsid w:val="009E3562"/>
    <w:rsid w:val="009E6CB7"/>
    <w:rsid w:val="009E7970"/>
    <w:rsid w:val="009F2EAC"/>
    <w:rsid w:val="009F57E3"/>
    <w:rsid w:val="009F5F4B"/>
    <w:rsid w:val="00A10F4F"/>
    <w:rsid w:val="00A11067"/>
    <w:rsid w:val="00A1704A"/>
    <w:rsid w:val="00A425EB"/>
    <w:rsid w:val="00A559DB"/>
    <w:rsid w:val="00A72F22"/>
    <w:rsid w:val="00A733BC"/>
    <w:rsid w:val="00A748A6"/>
    <w:rsid w:val="00A76A69"/>
    <w:rsid w:val="00A879A4"/>
    <w:rsid w:val="00AA0FF8"/>
    <w:rsid w:val="00AC0F2C"/>
    <w:rsid w:val="00AC502A"/>
    <w:rsid w:val="00AE6BD9"/>
    <w:rsid w:val="00AF58C1"/>
    <w:rsid w:val="00B04A3F"/>
    <w:rsid w:val="00B06643"/>
    <w:rsid w:val="00B15055"/>
    <w:rsid w:val="00B20551"/>
    <w:rsid w:val="00B23D55"/>
    <w:rsid w:val="00B2476C"/>
    <w:rsid w:val="00B30179"/>
    <w:rsid w:val="00B33FC7"/>
    <w:rsid w:val="00B37B15"/>
    <w:rsid w:val="00B45C02"/>
    <w:rsid w:val="00B70B63"/>
    <w:rsid w:val="00B72A1E"/>
    <w:rsid w:val="00B8122D"/>
    <w:rsid w:val="00B81E12"/>
    <w:rsid w:val="00B86412"/>
    <w:rsid w:val="00BA2EFD"/>
    <w:rsid w:val="00BA339B"/>
    <w:rsid w:val="00BB23CC"/>
    <w:rsid w:val="00BB39B7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C0294F"/>
    <w:rsid w:val="00C044E2"/>
    <w:rsid w:val="00C048CB"/>
    <w:rsid w:val="00C066F3"/>
    <w:rsid w:val="00C31CE4"/>
    <w:rsid w:val="00C408B7"/>
    <w:rsid w:val="00C411EB"/>
    <w:rsid w:val="00C44D27"/>
    <w:rsid w:val="00C463DD"/>
    <w:rsid w:val="00C745C3"/>
    <w:rsid w:val="00C83068"/>
    <w:rsid w:val="00C978F5"/>
    <w:rsid w:val="00CA24A4"/>
    <w:rsid w:val="00CB348D"/>
    <w:rsid w:val="00CD46F5"/>
    <w:rsid w:val="00CE4A8F"/>
    <w:rsid w:val="00CE78F6"/>
    <w:rsid w:val="00CF071D"/>
    <w:rsid w:val="00D00A18"/>
    <w:rsid w:val="00D0123D"/>
    <w:rsid w:val="00D15B04"/>
    <w:rsid w:val="00D2031B"/>
    <w:rsid w:val="00D25FE2"/>
    <w:rsid w:val="00D368BE"/>
    <w:rsid w:val="00D37DA9"/>
    <w:rsid w:val="00D406A7"/>
    <w:rsid w:val="00D40765"/>
    <w:rsid w:val="00D43252"/>
    <w:rsid w:val="00D44D86"/>
    <w:rsid w:val="00D50B7D"/>
    <w:rsid w:val="00D52012"/>
    <w:rsid w:val="00D704E5"/>
    <w:rsid w:val="00D72727"/>
    <w:rsid w:val="00D978C6"/>
    <w:rsid w:val="00DA0956"/>
    <w:rsid w:val="00DA357F"/>
    <w:rsid w:val="00DA3E12"/>
    <w:rsid w:val="00DB6908"/>
    <w:rsid w:val="00DC18AD"/>
    <w:rsid w:val="00DF7CAE"/>
    <w:rsid w:val="00E10773"/>
    <w:rsid w:val="00E12A8E"/>
    <w:rsid w:val="00E221D2"/>
    <w:rsid w:val="00E40DE9"/>
    <w:rsid w:val="00E423C0"/>
    <w:rsid w:val="00E6414C"/>
    <w:rsid w:val="00E7260F"/>
    <w:rsid w:val="00E8702D"/>
    <w:rsid w:val="00E905F4"/>
    <w:rsid w:val="00E916A9"/>
    <w:rsid w:val="00E916DE"/>
    <w:rsid w:val="00E925AD"/>
    <w:rsid w:val="00E96630"/>
    <w:rsid w:val="00EB0AD7"/>
    <w:rsid w:val="00ED18DC"/>
    <w:rsid w:val="00ED6201"/>
    <w:rsid w:val="00ED7A2A"/>
    <w:rsid w:val="00EF1D7F"/>
    <w:rsid w:val="00F0137E"/>
    <w:rsid w:val="00F16990"/>
    <w:rsid w:val="00F21786"/>
    <w:rsid w:val="00F3742B"/>
    <w:rsid w:val="00F41FDB"/>
    <w:rsid w:val="00F50596"/>
    <w:rsid w:val="00F54787"/>
    <w:rsid w:val="00F56D63"/>
    <w:rsid w:val="00F609A9"/>
    <w:rsid w:val="00F6548C"/>
    <w:rsid w:val="00F80C99"/>
    <w:rsid w:val="00F867EC"/>
    <w:rsid w:val="00F91B2B"/>
    <w:rsid w:val="00FC03CD"/>
    <w:rsid w:val="00FC0646"/>
    <w:rsid w:val="00FC68B7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6B84F"/>
  <w15:docId w15:val="{F6C95DD0-A01E-48AE-BA94-9737EAB7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1C5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8A77AE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8A77AE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character" w:customStyle="1" w:styleId="SingleTxtGChar">
    <w:name w:val="_ Single Txt_G Char"/>
    <w:link w:val="SingleTxtG"/>
    <w:locked/>
    <w:rsid w:val="00264441"/>
    <w:rPr>
      <w:lang w:val="en-GB"/>
    </w:rPr>
  </w:style>
  <w:style w:type="paragraph" w:customStyle="1" w:styleId="ParNoG">
    <w:name w:val="_ParNo_G"/>
    <w:basedOn w:val="Normal"/>
    <w:qFormat/>
    <w:rsid w:val="001E555D"/>
    <w:pPr>
      <w:numPr>
        <w:numId w:val="20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HChGChar">
    <w:name w:val="_ H _Ch_G Char"/>
    <w:link w:val="HChG"/>
    <w:rsid w:val="004E342B"/>
    <w:rPr>
      <w:b/>
      <w:sz w:val="28"/>
      <w:lang w:val="en-GB"/>
    </w:rPr>
  </w:style>
  <w:style w:type="paragraph" w:styleId="Revision">
    <w:name w:val="Revision"/>
    <w:hidden/>
    <w:uiPriority w:val="99"/>
    <w:semiHidden/>
    <w:rsid w:val="009B43A8"/>
    <w:pPr>
      <w:spacing w:line="240" w:lineRule="auto"/>
    </w:pPr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F547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5478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F5478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47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4787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6E1F9AAA-3567-4188-B0AB-6D42A8AB32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AFBD3B-D228-41B4-9354-D0834B8CD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B4A9A-DD1D-431C-883D-883845E55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E6A19E-DE01-423D-ABB1-70531F076FD4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2453</Characters>
  <Application>Microsoft Office Word</Application>
  <DocSecurity>0</DocSecurity>
  <Lines>71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ECE/TRANS/WP.11/2024/14</vt:lpstr>
      <vt:lpstr/>
    </vt:vector>
  </TitlesOfParts>
  <Company>CSD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ECE/TRANS/WP.11/2024/14</dc:title>
  <dc:subject>2414614</dc:subject>
  <dc:creator>ND June 2024</dc:creator>
  <cp:keywords/>
  <dc:description/>
  <cp:lastModifiedBy>Anni Vi</cp:lastModifiedBy>
  <cp:revision>3</cp:revision>
  <cp:lastPrinted>2024-08-14T07:55:00Z</cp:lastPrinted>
  <dcterms:created xsi:type="dcterms:W3CDTF">2024-08-14T07:55:00Z</dcterms:created>
  <dcterms:modified xsi:type="dcterms:W3CDTF">2024-08-14T07:56:00Z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