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04F170B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EEA4AD8" w14:textId="77777777" w:rsidR="002D5AAC" w:rsidRDefault="002D5AAC" w:rsidP="00043F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D4616C9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4E50073" w14:textId="0CA4CBC1" w:rsidR="002D5AAC" w:rsidRDefault="00043F63" w:rsidP="00043F63">
            <w:pPr>
              <w:jc w:val="right"/>
            </w:pPr>
            <w:r w:rsidRPr="00043F63">
              <w:rPr>
                <w:sz w:val="40"/>
              </w:rPr>
              <w:t>ECE</w:t>
            </w:r>
            <w:r>
              <w:t>/TRANS/WP.29/2024/151</w:t>
            </w:r>
          </w:p>
        </w:tc>
      </w:tr>
      <w:tr w:rsidR="002D5AAC" w14:paraId="234782C7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533BD9E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A8EDB1C" wp14:editId="75789251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CFE07D9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2D7EC2F" w14:textId="77777777" w:rsidR="002D5AAC" w:rsidRDefault="00043F63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6D02417" w14:textId="40A0704E" w:rsidR="00043F63" w:rsidRDefault="00325BB1" w:rsidP="00043F63">
            <w:pPr>
              <w:spacing w:line="240" w:lineRule="exact"/>
              <w:rPr>
                <w:lang w:val="en-US"/>
              </w:rPr>
            </w:pPr>
            <w:r>
              <w:t>30 August 2024</w:t>
            </w:r>
          </w:p>
          <w:p w14:paraId="46ACF4D2" w14:textId="77777777" w:rsidR="00043F63" w:rsidRDefault="00043F63" w:rsidP="00043F6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8800B8A" w14:textId="4738EDD1" w:rsidR="00043F63" w:rsidRPr="008D53B6" w:rsidRDefault="00043F63" w:rsidP="00043F6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0970D760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078537FA" w14:textId="77777777" w:rsidR="00043F63" w:rsidRPr="00043F63" w:rsidRDefault="00043F63" w:rsidP="00043F63">
      <w:pPr>
        <w:spacing w:before="120"/>
        <w:rPr>
          <w:sz w:val="28"/>
          <w:szCs w:val="28"/>
        </w:rPr>
      </w:pPr>
      <w:r w:rsidRPr="00043F63">
        <w:rPr>
          <w:sz w:val="28"/>
          <w:szCs w:val="28"/>
        </w:rPr>
        <w:t>Комитет по внутреннему транспорту</w:t>
      </w:r>
    </w:p>
    <w:p w14:paraId="1CC13795" w14:textId="1314BEB1" w:rsidR="00043F63" w:rsidRPr="00043F63" w:rsidRDefault="00043F63" w:rsidP="00043F63">
      <w:pPr>
        <w:spacing w:before="120"/>
        <w:rPr>
          <w:b/>
          <w:sz w:val="24"/>
          <w:szCs w:val="24"/>
        </w:rPr>
      </w:pPr>
      <w:r w:rsidRPr="00043F63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  <w:lang w:val="fr-CH"/>
        </w:rPr>
        <w:br/>
      </w:r>
      <w:r w:rsidRPr="00043F63">
        <w:rPr>
          <w:b/>
          <w:bCs/>
          <w:sz w:val="24"/>
          <w:szCs w:val="24"/>
        </w:rPr>
        <w:t>в области транспортных средств</w:t>
      </w:r>
    </w:p>
    <w:p w14:paraId="3B7E06BA" w14:textId="77777777" w:rsidR="00043F63" w:rsidRPr="00BF1E4D" w:rsidRDefault="00043F63" w:rsidP="00043F63">
      <w:pPr>
        <w:spacing w:before="120"/>
        <w:rPr>
          <w:b/>
        </w:rPr>
      </w:pPr>
      <w:r>
        <w:rPr>
          <w:b/>
          <w:bCs/>
        </w:rPr>
        <w:t>Сто девяносто четвертая сессия</w:t>
      </w:r>
    </w:p>
    <w:p w14:paraId="6CD4DEDD" w14:textId="1DE451E9" w:rsidR="00043F63" w:rsidRPr="00BF1E4D" w:rsidRDefault="00043F63" w:rsidP="00043F63">
      <w:pPr>
        <w:tabs>
          <w:tab w:val="left" w:pos="5560"/>
        </w:tabs>
      </w:pPr>
      <w:r>
        <w:t>Женева, 12–15 ноября 2024 года</w:t>
      </w:r>
    </w:p>
    <w:p w14:paraId="3D76C78F" w14:textId="77777777" w:rsidR="00043F63" w:rsidRPr="00BF1E4D" w:rsidRDefault="00043F63" w:rsidP="00043F63">
      <w:r>
        <w:t>Пункт 4.10.1 предварительной повестки дня</w:t>
      </w:r>
    </w:p>
    <w:p w14:paraId="10D29BC8" w14:textId="77777777" w:rsidR="00043F63" w:rsidRPr="00BF1E4D" w:rsidRDefault="00043F63" w:rsidP="00043F63">
      <w:pPr>
        <w:rPr>
          <w:b/>
        </w:rPr>
      </w:pPr>
      <w:r>
        <w:rPr>
          <w:b/>
          <w:bCs/>
        </w:rPr>
        <w:t>Соглашение 1958 года:</w:t>
      </w:r>
    </w:p>
    <w:p w14:paraId="2940925B" w14:textId="409EC38E" w:rsidR="00043F63" w:rsidRPr="00BF1E4D" w:rsidRDefault="00043F63" w:rsidP="00043F63">
      <w:pPr>
        <w:rPr>
          <w:b/>
          <w:bCs/>
        </w:rPr>
      </w:pPr>
      <w:r>
        <w:rPr>
          <w:b/>
          <w:bCs/>
        </w:rPr>
        <w:t xml:space="preserve">Рассмотрение проектов исправлений к существующим </w:t>
      </w:r>
      <w:r w:rsidRPr="00043F63">
        <w:rPr>
          <w:b/>
          <w:bCs/>
        </w:rPr>
        <w:br/>
      </w:r>
      <w:r>
        <w:rPr>
          <w:b/>
          <w:bCs/>
        </w:rPr>
        <w:t xml:space="preserve">правилам ООН, переданных рабочими группами, </w:t>
      </w:r>
      <w:r>
        <w:rPr>
          <w:b/>
          <w:bCs/>
          <w:lang w:val="fr-CH"/>
        </w:rPr>
        <w:br/>
      </w:r>
      <w:r>
        <w:rPr>
          <w:b/>
          <w:bCs/>
        </w:rPr>
        <w:t>если таковые представлены</w:t>
      </w:r>
    </w:p>
    <w:p w14:paraId="2D3B81F4" w14:textId="796E6397" w:rsidR="00043F63" w:rsidRPr="00BF1E4D" w:rsidRDefault="00043F63" w:rsidP="00043F63">
      <w:pPr>
        <w:pStyle w:val="HChG"/>
        <w:ind w:left="1124" w:right="1138" w:firstLine="0"/>
      </w:pPr>
      <w:r>
        <w:rPr>
          <w:bCs/>
        </w:rPr>
        <w:t>Предложение по исправлению 1 к поправкам серии 04 к</w:t>
      </w:r>
      <w:r>
        <w:rPr>
          <w:bCs/>
          <w:lang w:val="fr-CH"/>
        </w:rPr>
        <w:t> </w:t>
      </w:r>
      <w:r>
        <w:rPr>
          <w:bCs/>
        </w:rPr>
        <w:t>Правилам № 129 ООН (усовершенствованные детские удерживающие системы)</w:t>
      </w:r>
      <w:r>
        <w:t xml:space="preserve"> </w:t>
      </w:r>
    </w:p>
    <w:p w14:paraId="5EF53FC3" w14:textId="77777777" w:rsidR="00043F63" w:rsidRPr="00BF1E4D" w:rsidRDefault="00043F63" w:rsidP="00043F63">
      <w:pPr>
        <w:pStyle w:val="H1G"/>
        <w:rPr>
          <w:szCs w:val="24"/>
        </w:rPr>
      </w:pPr>
      <w:r>
        <w:tab/>
      </w:r>
      <w:r>
        <w:tab/>
      </w:r>
      <w:r>
        <w:rPr>
          <w:bCs/>
        </w:rPr>
        <w:t>Представлено Рабочей группой по пассивной безопасности</w:t>
      </w:r>
      <w:r w:rsidRPr="00043F63">
        <w:rPr>
          <w:b w:val="0"/>
          <w:sz w:val="20"/>
        </w:rPr>
        <w:t>*</w:t>
      </w:r>
    </w:p>
    <w:p w14:paraId="019BF8AE" w14:textId="77777777" w:rsidR="00043F63" w:rsidRPr="00BF1E4D" w:rsidRDefault="00043F63" w:rsidP="00043F63">
      <w:pPr>
        <w:pStyle w:val="SingleTxtG"/>
        <w:tabs>
          <w:tab w:val="clear" w:pos="1701"/>
          <w:tab w:val="clear" w:pos="2268"/>
          <w:tab w:val="clear" w:pos="2835"/>
        </w:tabs>
        <w:ind w:left="1120" w:hanging="3"/>
        <w:rPr>
          <w:sz w:val="24"/>
          <w:szCs w:val="24"/>
        </w:rPr>
      </w:pPr>
      <w:r>
        <w:footnoteReference w:customMarkFollows="1" w:id="1"/>
        <w:tab/>
      </w:r>
      <w:r>
        <w:tab/>
      </w:r>
      <w:r>
        <w:tab/>
        <w:t xml:space="preserve">Воспроизведенный ниже текст был принят Рабочей группой по пассивной безопасности (GRSP) на ее семьдесят пятой сессии (ECE/TRANS/WP.29/GRSP/75, пункт 25). В его основу положен документ GRSP-75-22-Rev.1, воспроизведенный в приложении IV к докладу.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 2024 года.  </w:t>
      </w:r>
    </w:p>
    <w:p w14:paraId="579FE0B5" w14:textId="77777777" w:rsidR="00043F63" w:rsidRPr="00BF1E4D" w:rsidRDefault="00043F63" w:rsidP="00043F63">
      <w:r w:rsidRPr="00BF1E4D">
        <w:br w:type="page"/>
      </w:r>
    </w:p>
    <w:p w14:paraId="2B7C741F" w14:textId="77777777" w:rsidR="00043F63" w:rsidRPr="00BF1E4D" w:rsidRDefault="00043F63" w:rsidP="00043F63">
      <w:pPr>
        <w:pStyle w:val="af3"/>
        <w:ind w:left="1215"/>
        <w:rPr>
          <w:lang w:val="ru-RU"/>
        </w:rPr>
      </w:pPr>
      <w:r>
        <w:rPr>
          <w:i/>
          <w:iCs/>
          <w:lang w:val="ru-RU"/>
        </w:rPr>
        <w:lastRenderedPageBreak/>
        <w:t>Пункт 6.3.8.1</w:t>
      </w:r>
      <w:r>
        <w:rPr>
          <w:lang w:val="ru-RU"/>
        </w:rPr>
        <w:t xml:space="preserve"> изменить следующим образом:</w:t>
      </w:r>
    </w:p>
    <w:p w14:paraId="607F8B92" w14:textId="77777777" w:rsidR="00043F63" w:rsidRPr="00BF1E4D" w:rsidRDefault="00043F63" w:rsidP="00043F63">
      <w:pPr>
        <w:pStyle w:val="SingleTxtG"/>
        <w:spacing w:before="120"/>
        <w:ind w:hanging="1055"/>
        <w:rPr>
          <w:color w:val="000000" w:themeColor="text1"/>
        </w:rPr>
      </w:pPr>
      <w:r>
        <w:t>«6.3.8.1</w:t>
      </w:r>
      <w:r>
        <w:tab/>
        <w:t>Каждую типовую скобу нижнего страховочного троса подвергают воздействию нагрузки в 5000 ± 100 Н, оказываемому с помощью типичной лямки нижнего страховочного троса шириной 38 ± 3 мм, которая на одном конце оснащена подходящим для приложения силы оборудованием, а на другом конце — крюком нижнего страховочного троса для соединения со скобой крепления нижнего страховочного троса. В случае креплений, предназначенных для использования в двух соседних положениях УДУС, или в случае единственного КНСТ величина нагрузки должна составлять 5000 ± 100 Н. По просьбе изготовителя в ходе испытаний крепления могут подвергаться воздействию более высоких нагрузок, при условии что они отвечают требованиям».</w:t>
      </w:r>
    </w:p>
    <w:p w14:paraId="10CD03D3" w14:textId="5A2BA615" w:rsidR="00E12C5F" w:rsidRPr="008D53B6" w:rsidRDefault="00043F63" w:rsidP="00043F63">
      <w:pPr>
        <w:spacing w:before="240"/>
        <w:jc w:val="center"/>
      </w:pPr>
      <w:r w:rsidRPr="00BF1E4D">
        <w:rPr>
          <w:u w:val="single"/>
        </w:rPr>
        <w:tab/>
      </w:r>
      <w:r w:rsidRPr="00BF1E4D">
        <w:rPr>
          <w:u w:val="single"/>
        </w:rPr>
        <w:tab/>
      </w:r>
      <w:r w:rsidRPr="00BF1E4D">
        <w:rPr>
          <w:u w:val="single"/>
        </w:rPr>
        <w:tab/>
      </w:r>
    </w:p>
    <w:sectPr w:rsidR="00E12C5F" w:rsidRPr="008D53B6" w:rsidSect="00043F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FA0B" w14:textId="77777777" w:rsidR="00454A01" w:rsidRPr="00A312BC" w:rsidRDefault="00454A01" w:rsidP="00A312BC"/>
  </w:endnote>
  <w:endnote w:type="continuationSeparator" w:id="0">
    <w:p w14:paraId="3EDCFC63" w14:textId="77777777" w:rsidR="00454A01" w:rsidRPr="00A312BC" w:rsidRDefault="00454A0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B4B8" w14:textId="72642674" w:rsidR="00043F63" w:rsidRPr="00043F63" w:rsidRDefault="00043F63">
    <w:pPr>
      <w:pStyle w:val="a8"/>
    </w:pPr>
    <w:r w:rsidRPr="00043F63">
      <w:rPr>
        <w:b/>
        <w:sz w:val="18"/>
      </w:rPr>
      <w:fldChar w:fldCharType="begin"/>
    </w:r>
    <w:r w:rsidRPr="00043F63">
      <w:rPr>
        <w:b/>
        <w:sz w:val="18"/>
      </w:rPr>
      <w:instrText xml:space="preserve"> PAGE  \* MERGEFORMAT </w:instrText>
    </w:r>
    <w:r w:rsidRPr="00043F63">
      <w:rPr>
        <w:b/>
        <w:sz w:val="18"/>
      </w:rPr>
      <w:fldChar w:fldCharType="separate"/>
    </w:r>
    <w:r w:rsidRPr="00043F63">
      <w:rPr>
        <w:b/>
        <w:noProof/>
        <w:sz w:val="18"/>
      </w:rPr>
      <w:t>2</w:t>
    </w:r>
    <w:r w:rsidRPr="00043F63">
      <w:rPr>
        <w:b/>
        <w:sz w:val="18"/>
      </w:rPr>
      <w:fldChar w:fldCharType="end"/>
    </w:r>
    <w:r>
      <w:rPr>
        <w:b/>
        <w:sz w:val="18"/>
      </w:rPr>
      <w:tab/>
    </w:r>
    <w:r>
      <w:t>GE.24-15675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8590" w14:textId="7FD8F883" w:rsidR="00043F63" w:rsidRPr="00043F63" w:rsidRDefault="00043F63" w:rsidP="00043F63">
    <w:pPr>
      <w:pStyle w:val="a8"/>
      <w:tabs>
        <w:tab w:val="clear" w:pos="9639"/>
        <w:tab w:val="right" w:pos="9638"/>
      </w:tabs>
      <w:rPr>
        <w:b/>
        <w:sz w:val="18"/>
      </w:rPr>
    </w:pPr>
    <w:r>
      <w:t>GE.24-15675</w:t>
    </w:r>
    <w:r>
      <w:tab/>
    </w:r>
    <w:r w:rsidRPr="00043F63">
      <w:rPr>
        <w:b/>
        <w:sz w:val="18"/>
      </w:rPr>
      <w:fldChar w:fldCharType="begin"/>
    </w:r>
    <w:r w:rsidRPr="00043F63">
      <w:rPr>
        <w:b/>
        <w:sz w:val="18"/>
      </w:rPr>
      <w:instrText xml:space="preserve"> PAGE  \* MERGEFORMAT </w:instrText>
    </w:r>
    <w:r w:rsidRPr="00043F63">
      <w:rPr>
        <w:b/>
        <w:sz w:val="18"/>
      </w:rPr>
      <w:fldChar w:fldCharType="separate"/>
    </w:r>
    <w:r w:rsidRPr="00043F63">
      <w:rPr>
        <w:b/>
        <w:noProof/>
        <w:sz w:val="18"/>
      </w:rPr>
      <w:t>3</w:t>
    </w:r>
    <w:r w:rsidRPr="00043F6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7FD8" w14:textId="26324811" w:rsidR="00042B72" w:rsidRPr="00043F63" w:rsidRDefault="00043F63" w:rsidP="00043F63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0FDB1A0" wp14:editId="2AE3CF8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24-15675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DCC96B3" wp14:editId="7EDB2BB0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020924  090924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22C4" w14:textId="77777777" w:rsidR="00454A01" w:rsidRPr="001075E9" w:rsidRDefault="00454A0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38D02E1" w14:textId="77777777" w:rsidR="00454A01" w:rsidRDefault="00454A0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57DEC9F" w14:textId="4F2667DD" w:rsidR="00043F63" w:rsidRDefault="00043F63" w:rsidP="00043F63">
      <w:pPr>
        <w:pStyle w:val="ad"/>
      </w:pPr>
      <w:r>
        <w:tab/>
      </w:r>
      <w:r w:rsidRPr="00043F63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</w:t>
      </w:r>
      <w:r>
        <w:rPr>
          <w:lang w:val="fr-CH"/>
        </w:rPr>
        <w:t> </w:t>
      </w:r>
      <w:r>
        <w:t>20.5),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71C0" w14:textId="4B77DD4E" w:rsidR="00043F63" w:rsidRPr="00043F63" w:rsidRDefault="00043F63">
    <w:pPr>
      <w:pStyle w:val="a5"/>
    </w:pPr>
    <w:fldSimple w:instr=" TITLE  \* MERGEFORMAT ">
      <w:r w:rsidR="00186AD8">
        <w:t>ECE/TRANS/WP.29/2024/151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7AD2" w14:textId="3857E730" w:rsidR="00043F63" w:rsidRPr="00043F63" w:rsidRDefault="00043F63" w:rsidP="00043F63">
    <w:pPr>
      <w:pStyle w:val="a5"/>
      <w:jc w:val="right"/>
    </w:pPr>
    <w:fldSimple w:instr=" TITLE  \* MERGEFORMAT ">
      <w:r w:rsidR="00186AD8">
        <w:t>ECE/TRANS/WP.29/2024/151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DC05" w14:textId="77777777" w:rsidR="00043F63" w:rsidRDefault="00043F63" w:rsidP="00043F6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01"/>
    <w:rsid w:val="00033EE1"/>
    <w:rsid w:val="00042B72"/>
    <w:rsid w:val="00043F63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86AD8"/>
    <w:rsid w:val="00196389"/>
    <w:rsid w:val="001A0722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5BB1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01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9F49BE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A7556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1C89A"/>
  <w15:docId w15:val="{D230E3E0-3DA1-4A3E-B6FA-D96EAB8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043F63"/>
    <w:rPr>
      <w:lang w:val="ru-RU" w:eastAsia="en-US"/>
    </w:rPr>
  </w:style>
  <w:style w:type="character" w:customStyle="1" w:styleId="HChGChar">
    <w:name w:val="_ H _Ch_G Char"/>
    <w:link w:val="HChG"/>
    <w:qFormat/>
    <w:locked/>
    <w:rsid w:val="00043F63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043F63"/>
    <w:rPr>
      <w:b/>
      <w:sz w:val="24"/>
      <w:lang w:val="ru-RU" w:eastAsia="ru-RU"/>
    </w:rPr>
  </w:style>
  <w:style w:type="paragraph" w:styleId="af3">
    <w:name w:val="List Paragraph"/>
    <w:basedOn w:val="a"/>
    <w:uiPriority w:val="34"/>
    <w:qFormat/>
    <w:rsid w:val="00043F63"/>
    <w:pPr>
      <w:ind w:left="720"/>
      <w:contextualSpacing/>
    </w:pPr>
    <w:rPr>
      <w:rFonts w:eastAsia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52399-491B-4D15-B857-7C7C0D096557}"/>
</file>

<file path=customXml/itemProps2.xml><?xml version="1.0" encoding="utf-8"?>
<ds:datastoreItem xmlns:ds="http://schemas.openxmlformats.org/officeDocument/2006/customXml" ds:itemID="{3B3080CC-952E-4FF7-B84B-BF89775A2124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245</Words>
  <Characters>1652</Characters>
  <Application>Microsoft Office Word</Application>
  <DocSecurity>0</DocSecurity>
  <Lines>44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ECE/TRANS/WP.29/2024/151</dc:title>
  <dc:subject/>
  <dc:creator>Olga OVTCHINNIKOVA</dc:creator>
  <cp:keywords/>
  <cp:lastModifiedBy>Olga Ovchinnikova</cp:lastModifiedBy>
  <cp:revision>3</cp:revision>
  <cp:lastPrinted>2024-09-09T07:30:00Z</cp:lastPrinted>
  <dcterms:created xsi:type="dcterms:W3CDTF">2024-09-09T07:30:00Z</dcterms:created>
  <dcterms:modified xsi:type="dcterms:W3CDTF">2024-09-09T07:31:00Z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