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3414368A" w14:textId="77777777" w:rsidTr="005316B0">
        <w:trPr>
          <w:trHeight w:hRule="exact" w:val="851"/>
        </w:trPr>
        <w:tc>
          <w:tcPr>
            <w:tcW w:w="1276" w:type="dxa"/>
            <w:tcBorders>
              <w:bottom w:val="single" w:sz="4" w:space="0" w:color="auto"/>
            </w:tcBorders>
          </w:tcPr>
          <w:p w14:paraId="661E5DAE" w14:textId="77777777" w:rsidR="001433FD" w:rsidRPr="00DB58B5" w:rsidRDefault="001433FD" w:rsidP="0001207F"/>
        </w:tc>
        <w:tc>
          <w:tcPr>
            <w:tcW w:w="2268" w:type="dxa"/>
            <w:tcBorders>
              <w:bottom w:val="single" w:sz="4" w:space="0" w:color="auto"/>
            </w:tcBorders>
            <w:vAlign w:val="bottom"/>
          </w:tcPr>
          <w:p w14:paraId="35FCDC1D"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09520B2" w14:textId="336EC59B" w:rsidR="001433FD" w:rsidRPr="00A33C6F" w:rsidRDefault="00A33C6F" w:rsidP="00A33C6F">
            <w:pPr>
              <w:jc w:val="right"/>
            </w:pPr>
            <w:r w:rsidRPr="00A33C6F">
              <w:rPr>
                <w:sz w:val="40"/>
              </w:rPr>
              <w:t>ECE</w:t>
            </w:r>
            <w:r>
              <w:t>/TRANS/WP.15/2024/25</w:t>
            </w:r>
          </w:p>
        </w:tc>
      </w:tr>
      <w:tr w:rsidR="001433FD" w:rsidRPr="00DB58B5" w14:paraId="0013B289" w14:textId="77777777" w:rsidTr="007D3236">
        <w:trPr>
          <w:trHeight w:hRule="exact" w:val="2835"/>
        </w:trPr>
        <w:tc>
          <w:tcPr>
            <w:tcW w:w="1276" w:type="dxa"/>
            <w:tcBorders>
              <w:top w:val="single" w:sz="4" w:space="0" w:color="auto"/>
              <w:bottom w:val="single" w:sz="12" w:space="0" w:color="auto"/>
            </w:tcBorders>
          </w:tcPr>
          <w:p w14:paraId="067D18DD" w14:textId="77777777" w:rsidR="001433FD" w:rsidRPr="00DB58B5" w:rsidRDefault="001433FD" w:rsidP="007D3236">
            <w:pPr>
              <w:spacing w:before="120"/>
              <w:jc w:val="center"/>
            </w:pPr>
            <w:r>
              <w:rPr>
                <w:noProof/>
                <w:lang w:eastAsia="fr-CH"/>
              </w:rPr>
              <w:drawing>
                <wp:inline distT="0" distB="0" distL="0" distR="0" wp14:anchorId="4DD9A767" wp14:editId="31F7FDB8">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82F89C4"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2C4CF84" w14:textId="77777777" w:rsidR="0001207F" w:rsidRDefault="004B17B2" w:rsidP="004B17B2">
            <w:pPr>
              <w:spacing w:before="240" w:line="240" w:lineRule="exact"/>
            </w:pPr>
            <w:proofErr w:type="spellStart"/>
            <w:r>
              <w:t>Distr</w:t>
            </w:r>
            <w:proofErr w:type="spellEnd"/>
            <w:r>
              <w:t>. générale</w:t>
            </w:r>
          </w:p>
          <w:p w14:paraId="7359ADFA" w14:textId="7F01514D" w:rsidR="004B17B2" w:rsidRDefault="00F940EC" w:rsidP="004B17B2">
            <w:pPr>
              <w:spacing w:line="240" w:lineRule="exact"/>
            </w:pPr>
            <w:r>
              <w:t>19</w:t>
            </w:r>
            <w:r w:rsidR="004B17B2">
              <w:t xml:space="preserve"> août 2024</w:t>
            </w:r>
          </w:p>
          <w:p w14:paraId="52744468" w14:textId="77777777" w:rsidR="004B17B2" w:rsidRDefault="004B17B2" w:rsidP="004B17B2">
            <w:pPr>
              <w:spacing w:line="240" w:lineRule="exact"/>
            </w:pPr>
          </w:p>
          <w:p w14:paraId="51713BE5" w14:textId="77777777" w:rsidR="004B17B2" w:rsidRPr="00DB58B5" w:rsidRDefault="004B17B2" w:rsidP="004B17B2">
            <w:pPr>
              <w:spacing w:line="240" w:lineRule="exact"/>
            </w:pPr>
            <w:r>
              <w:t>Original : français</w:t>
            </w:r>
          </w:p>
        </w:tc>
      </w:tr>
    </w:tbl>
    <w:p w14:paraId="7CCAFA44" w14:textId="258B9A5B" w:rsidR="004B17B2" w:rsidRDefault="004B17B2" w:rsidP="00FD1581">
      <w:pPr>
        <w:spacing w:before="120"/>
        <w:rPr>
          <w:b/>
          <w:sz w:val="28"/>
          <w:szCs w:val="28"/>
        </w:rPr>
      </w:pPr>
      <w:r w:rsidRPr="00883605">
        <w:rPr>
          <w:b/>
          <w:sz w:val="28"/>
          <w:szCs w:val="28"/>
        </w:rPr>
        <w:t>Commission économique pour l</w:t>
      </w:r>
      <w:r w:rsidR="0076764E">
        <w:rPr>
          <w:b/>
          <w:sz w:val="28"/>
          <w:szCs w:val="28"/>
        </w:rPr>
        <w:t>’</w:t>
      </w:r>
      <w:r w:rsidRPr="00883605">
        <w:rPr>
          <w:b/>
          <w:sz w:val="28"/>
          <w:szCs w:val="28"/>
        </w:rPr>
        <w:t>Europe</w:t>
      </w:r>
    </w:p>
    <w:p w14:paraId="11EFEB62" w14:textId="77777777" w:rsidR="004B17B2" w:rsidRPr="00990CE8" w:rsidRDefault="004B17B2" w:rsidP="00FD1581">
      <w:pPr>
        <w:spacing w:before="120"/>
        <w:rPr>
          <w:sz w:val="28"/>
          <w:szCs w:val="28"/>
        </w:rPr>
      </w:pPr>
      <w:r w:rsidRPr="00990CE8">
        <w:rPr>
          <w:sz w:val="28"/>
          <w:szCs w:val="28"/>
        </w:rPr>
        <w:t>Comité des transports intérieurs</w:t>
      </w:r>
    </w:p>
    <w:p w14:paraId="3C25B8A3" w14:textId="77777777" w:rsidR="004B17B2" w:rsidRPr="00990CE8" w:rsidRDefault="004B17B2" w:rsidP="00FD1581">
      <w:pPr>
        <w:spacing w:before="120"/>
        <w:rPr>
          <w:b/>
          <w:sz w:val="24"/>
          <w:szCs w:val="24"/>
        </w:rPr>
      </w:pPr>
      <w:r w:rsidRPr="00990CE8">
        <w:rPr>
          <w:b/>
          <w:sz w:val="24"/>
          <w:szCs w:val="24"/>
        </w:rPr>
        <w:t xml:space="preserve">Groupe de travail des transports </w:t>
      </w:r>
      <w:r w:rsidRPr="00990CE8">
        <w:rPr>
          <w:b/>
          <w:sz w:val="24"/>
          <w:szCs w:val="24"/>
        </w:rPr>
        <w:br/>
        <w:t>de marchandises dangereuses</w:t>
      </w:r>
    </w:p>
    <w:p w14:paraId="0E291B3C" w14:textId="513C01C9" w:rsidR="004B17B2" w:rsidRPr="00990CE8" w:rsidRDefault="004B17B2" w:rsidP="00FD1581">
      <w:pPr>
        <w:spacing w:before="120"/>
        <w:rPr>
          <w:rFonts w:eastAsia="SimSun"/>
          <w:b/>
        </w:rPr>
      </w:pPr>
      <w:r>
        <w:rPr>
          <w:b/>
        </w:rPr>
        <w:t>116</w:t>
      </w:r>
      <w:r w:rsidRPr="00223B8D">
        <w:rPr>
          <w:b/>
          <w:vertAlign w:val="superscript"/>
        </w:rPr>
        <w:t>e</w:t>
      </w:r>
      <w:r w:rsidR="00223B8D">
        <w:rPr>
          <w:b/>
        </w:rPr>
        <w:t> </w:t>
      </w:r>
      <w:r>
        <w:rPr>
          <w:b/>
        </w:rPr>
        <w:t>session</w:t>
      </w:r>
    </w:p>
    <w:p w14:paraId="5A06945A" w14:textId="787C55D2" w:rsidR="004B17B2" w:rsidRPr="00990CE8" w:rsidRDefault="004B17B2" w:rsidP="00FD1581">
      <w:pPr>
        <w:rPr>
          <w:rFonts w:eastAsia="SimSun"/>
        </w:rPr>
      </w:pPr>
      <w:r w:rsidRPr="00990CE8">
        <w:t xml:space="preserve">Genève, </w:t>
      </w:r>
      <w:r>
        <w:t>5-8 novembre 2024</w:t>
      </w:r>
    </w:p>
    <w:p w14:paraId="49762C71" w14:textId="52452D95" w:rsidR="004B17B2" w:rsidRPr="00990CE8" w:rsidRDefault="004B17B2" w:rsidP="00FD1581">
      <w:r w:rsidRPr="00990CE8">
        <w:t xml:space="preserve">Point </w:t>
      </w:r>
      <w:r>
        <w:t xml:space="preserve">8 </w:t>
      </w:r>
      <w:r w:rsidRPr="00990CE8">
        <w:t>de l</w:t>
      </w:r>
      <w:r w:rsidR="0076764E">
        <w:t>’</w:t>
      </w:r>
      <w:r w:rsidRPr="00990CE8">
        <w:t>ordre du jour provisoire</w:t>
      </w:r>
    </w:p>
    <w:p w14:paraId="432F4AF8" w14:textId="77777777" w:rsidR="004B17B2" w:rsidRPr="009F23A4" w:rsidRDefault="004B17B2" w:rsidP="004B17B2">
      <w:pPr>
        <w:rPr>
          <w:b/>
          <w:bCs/>
          <w:szCs w:val="24"/>
        </w:rPr>
      </w:pPr>
      <w:r>
        <w:rPr>
          <w:b/>
          <w:bCs/>
          <w:lang w:val="fr-FR"/>
        </w:rPr>
        <w:t>Questions diverses</w:t>
      </w:r>
    </w:p>
    <w:p w14:paraId="17662E6C" w14:textId="22E27F7E" w:rsidR="004B17B2" w:rsidRDefault="004B17B2" w:rsidP="004B17B2">
      <w:pPr>
        <w:pStyle w:val="HChG"/>
        <w:rPr>
          <w:lang w:val="fr-FR"/>
        </w:rPr>
      </w:pPr>
      <w:r>
        <w:tab/>
      </w:r>
      <w:r>
        <w:tab/>
      </w:r>
      <w:r>
        <w:rPr>
          <w:lang w:val="fr-FR"/>
        </w:rPr>
        <w:t>Transport dans les tunnels des marchandises de la catégorie de transport 4 et des marchandises sans code de restriction</w:t>
      </w:r>
    </w:p>
    <w:p w14:paraId="4283829E" w14:textId="656BDE72" w:rsidR="004B17B2" w:rsidRDefault="004B17B2" w:rsidP="004B17B2">
      <w:pPr>
        <w:pStyle w:val="H1G"/>
        <w:rPr>
          <w:lang w:val="fr-FR"/>
        </w:rPr>
      </w:pPr>
      <w:r>
        <w:rPr>
          <w:lang w:val="fr-FR"/>
        </w:rPr>
        <w:tab/>
      </w:r>
      <w:r>
        <w:rPr>
          <w:lang w:val="fr-FR"/>
        </w:rPr>
        <w:tab/>
        <w:t xml:space="preserve">Communication du </w:t>
      </w:r>
      <w:r w:rsidR="002F2EF6">
        <w:rPr>
          <w:lang w:val="fr-FR"/>
        </w:rPr>
        <w:t>G</w:t>
      </w:r>
      <w:r>
        <w:rPr>
          <w:lang w:val="fr-FR"/>
        </w:rPr>
        <w:t>ouvernement suisse</w:t>
      </w:r>
      <w:r w:rsidR="00223B8D" w:rsidRPr="00223B8D">
        <w:rPr>
          <w:rStyle w:val="Appelnotedebasdep"/>
          <w:b w:val="0"/>
          <w:bCs/>
          <w:sz w:val="20"/>
          <w:vertAlign w:val="baseline"/>
        </w:rPr>
        <w:footnoteReference w:customMarkFollows="1" w:id="2"/>
        <w:t>*</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4B17B2" w14:paraId="123CF92A" w14:textId="77777777" w:rsidTr="006E5E26">
        <w:trPr>
          <w:jc w:val="center"/>
        </w:trPr>
        <w:tc>
          <w:tcPr>
            <w:tcW w:w="9637" w:type="dxa"/>
            <w:shd w:val="clear" w:color="auto" w:fill="auto"/>
          </w:tcPr>
          <w:p w14:paraId="5F09B3A0" w14:textId="77777777" w:rsidR="004B17B2" w:rsidRPr="00C6263E" w:rsidRDefault="004B17B2" w:rsidP="006E5E26">
            <w:pPr>
              <w:spacing w:before="240" w:after="120"/>
              <w:ind w:left="255"/>
              <w:rPr>
                <w:i/>
                <w:sz w:val="24"/>
              </w:rPr>
            </w:pPr>
            <w:r w:rsidRPr="00C6263E">
              <w:rPr>
                <w:i/>
                <w:sz w:val="24"/>
              </w:rPr>
              <w:t xml:space="preserve">Résumé </w:t>
            </w:r>
          </w:p>
        </w:tc>
      </w:tr>
      <w:tr w:rsidR="004B17B2" w14:paraId="5F6685BE" w14:textId="77777777" w:rsidTr="006E5E26">
        <w:trPr>
          <w:jc w:val="center"/>
        </w:trPr>
        <w:tc>
          <w:tcPr>
            <w:tcW w:w="9637" w:type="dxa"/>
            <w:shd w:val="clear" w:color="auto" w:fill="auto"/>
          </w:tcPr>
          <w:p w14:paraId="27FA70F8" w14:textId="77777777" w:rsidR="004B17B2" w:rsidRPr="00F37AD7" w:rsidRDefault="004B17B2" w:rsidP="00F37AD7">
            <w:pPr>
              <w:pStyle w:val="SingleTxtG"/>
              <w:tabs>
                <w:tab w:val="clear" w:pos="1701"/>
                <w:tab w:val="clear" w:pos="2268"/>
                <w:tab w:val="clear" w:pos="2835"/>
              </w:tabs>
              <w:kinsoku w:val="0"/>
              <w:overflowPunct w:val="0"/>
              <w:autoSpaceDE w:val="0"/>
              <w:autoSpaceDN w:val="0"/>
              <w:adjustRightInd w:val="0"/>
              <w:snapToGrid w:val="0"/>
              <w:ind w:left="3402" w:hanging="2268"/>
              <w:rPr>
                <w:rFonts w:eastAsiaTheme="minorHAnsi"/>
                <w:lang w:val="fr-FR" w:eastAsia="en-US"/>
              </w:rPr>
            </w:pPr>
            <w:r w:rsidRPr="00F37AD7">
              <w:rPr>
                <w:rFonts w:eastAsiaTheme="minorHAnsi"/>
                <w:b/>
                <w:bCs/>
                <w:lang w:val="fr-FR" w:eastAsia="en-US"/>
              </w:rPr>
              <w:t>Résumé analytique :</w:t>
            </w:r>
            <w:r w:rsidRPr="00F37AD7">
              <w:rPr>
                <w:rFonts w:eastAsiaTheme="minorHAnsi"/>
                <w:lang w:val="fr-FR" w:eastAsia="en-US"/>
              </w:rPr>
              <w:tab/>
              <w:t>Les règles régissant le transport en tunnels des marchandises de la catégorie de transport 4 et des marchandises sans code de restriction présentent des incohérences qui ne sont pas justifiées du point de vue de la sécurité.</w:t>
            </w:r>
          </w:p>
          <w:p w14:paraId="206550F8" w14:textId="47384531" w:rsidR="004B17B2" w:rsidRPr="00F37AD7" w:rsidRDefault="004B17B2" w:rsidP="00F37AD7">
            <w:pPr>
              <w:pStyle w:val="SingleTxtG"/>
              <w:tabs>
                <w:tab w:val="clear" w:pos="1701"/>
                <w:tab w:val="clear" w:pos="2268"/>
                <w:tab w:val="clear" w:pos="2835"/>
              </w:tabs>
              <w:kinsoku w:val="0"/>
              <w:overflowPunct w:val="0"/>
              <w:autoSpaceDE w:val="0"/>
              <w:autoSpaceDN w:val="0"/>
              <w:adjustRightInd w:val="0"/>
              <w:snapToGrid w:val="0"/>
              <w:ind w:left="3402" w:hanging="2268"/>
              <w:rPr>
                <w:rFonts w:eastAsiaTheme="minorHAnsi"/>
                <w:lang w:val="fr-FR" w:eastAsia="en-US"/>
              </w:rPr>
            </w:pPr>
            <w:r w:rsidRPr="00F37AD7">
              <w:rPr>
                <w:rFonts w:eastAsiaTheme="minorHAnsi"/>
                <w:b/>
                <w:bCs/>
                <w:lang w:val="fr-FR" w:eastAsia="en-US"/>
              </w:rPr>
              <w:t>Mesures à prendre :</w:t>
            </w:r>
            <w:r w:rsidRPr="00F37AD7">
              <w:rPr>
                <w:rFonts w:eastAsiaTheme="minorHAnsi"/>
                <w:lang w:val="fr-FR" w:eastAsia="en-US"/>
              </w:rPr>
              <w:tab/>
              <w:t>Identifier dans quelle mesure la mise en œuvre des restrictions de passage en tunnel diverge d</w:t>
            </w:r>
            <w:r w:rsidR="0076764E">
              <w:rPr>
                <w:rFonts w:eastAsiaTheme="minorHAnsi"/>
                <w:lang w:val="fr-FR" w:eastAsia="en-US"/>
              </w:rPr>
              <w:t>’</w:t>
            </w:r>
            <w:r w:rsidRPr="00F37AD7">
              <w:rPr>
                <w:rFonts w:eastAsiaTheme="minorHAnsi"/>
                <w:lang w:val="fr-FR" w:eastAsia="en-US"/>
              </w:rPr>
              <w:t>un pays à l</w:t>
            </w:r>
            <w:r w:rsidR="0076764E">
              <w:rPr>
                <w:rFonts w:eastAsiaTheme="minorHAnsi"/>
                <w:lang w:val="fr-FR" w:eastAsia="en-US"/>
              </w:rPr>
              <w:t>’</w:t>
            </w:r>
            <w:r w:rsidRPr="00F37AD7">
              <w:rPr>
                <w:rFonts w:eastAsiaTheme="minorHAnsi"/>
                <w:lang w:val="fr-FR" w:eastAsia="en-US"/>
              </w:rPr>
              <w:t xml:space="preserve">autre. Déterminer si ces divergences posent problème. Le cas échéant, modifier les prescriptions </w:t>
            </w:r>
            <w:r w:rsidR="00492917">
              <w:rPr>
                <w:rFonts w:eastAsiaTheme="minorHAnsi"/>
                <w:lang w:val="fr-FR" w:eastAsia="en-US"/>
              </w:rPr>
              <w:t xml:space="preserve">de </w:t>
            </w:r>
            <w:r w:rsidRPr="00F37AD7">
              <w:rPr>
                <w:rFonts w:eastAsiaTheme="minorHAnsi"/>
                <w:lang w:val="fr-FR" w:eastAsia="en-US"/>
              </w:rPr>
              <w:t>l</w:t>
            </w:r>
            <w:r w:rsidR="0076764E">
              <w:rPr>
                <w:rFonts w:eastAsiaTheme="minorHAnsi"/>
                <w:lang w:val="fr-FR" w:eastAsia="en-US"/>
              </w:rPr>
              <w:t>’</w:t>
            </w:r>
            <w:r w:rsidRPr="00F37AD7">
              <w:rPr>
                <w:rFonts w:eastAsiaTheme="minorHAnsi"/>
                <w:lang w:val="fr-FR" w:eastAsia="en-US"/>
              </w:rPr>
              <w:t>ADR pour assurer une mise en œuvre harmonisée et supprimer les incohérences.</w:t>
            </w:r>
          </w:p>
          <w:p w14:paraId="14BBCFEA" w14:textId="43EFC392" w:rsidR="004B17B2" w:rsidRPr="00F37AD7" w:rsidRDefault="004B17B2" w:rsidP="00DB6001">
            <w:pPr>
              <w:pStyle w:val="SingleTxtG"/>
              <w:tabs>
                <w:tab w:val="clear" w:pos="1701"/>
                <w:tab w:val="clear" w:pos="2268"/>
                <w:tab w:val="clear" w:pos="2835"/>
              </w:tabs>
              <w:kinsoku w:val="0"/>
              <w:overflowPunct w:val="0"/>
              <w:autoSpaceDE w:val="0"/>
              <w:autoSpaceDN w:val="0"/>
              <w:adjustRightInd w:val="0"/>
              <w:snapToGrid w:val="0"/>
              <w:ind w:left="3402" w:hanging="2268"/>
              <w:jc w:val="left"/>
              <w:rPr>
                <w:rFonts w:eastAsiaTheme="minorHAnsi"/>
                <w:lang w:val="fr-FR" w:eastAsia="en-US"/>
              </w:rPr>
            </w:pPr>
            <w:r w:rsidRPr="00F37AD7">
              <w:rPr>
                <w:rFonts w:eastAsiaTheme="minorHAnsi"/>
                <w:b/>
                <w:bCs/>
                <w:lang w:val="fr-FR" w:eastAsia="en-US"/>
              </w:rPr>
              <w:t>Documents connexes :</w:t>
            </w:r>
            <w:r w:rsidRPr="00F37AD7">
              <w:rPr>
                <w:rFonts w:eastAsiaTheme="minorHAnsi"/>
                <w:lang w:val="fr-FR" w:eastAsia="en-US"/>
              </w:rPr>
              <w:tab/>
              <w:t xml:space="preserve">ECE/TRANS/WP.15/2022/6 ; </w:t>
            </w:r>
            <w:r w:rsidR="00C37479">
              <w:rPr>
                <w:rFonts w:eastAsiaTheme="minorHAnsi"/>
                <w:lang w:val="fr-FR" w:eastAsia="en-US"/>
              </w:rPr>
              <w:br/>
            </w:r>
            <w:r w:rsidRPr="00F37AD7">
              <w:rPr>
                <w:rFonts w:eastAsiaTheme="minorHAnsi"/>
                <w:lang w:val="fr-FR" w:eastAsia="en-US"/>
              </w:rPr>
              <w:t xml:space="preserve">ECE/TRANS/WP.15/260, </w:t>
            </w:r>
            <w:r w:rsidR="0001230C">
              <w:rPr>
                <w:rFonts w:eastAsiaTheme="minorHAnsi"/>
                <w:lang w:val="fr-FR" w:eastAsia="en-US"/>
              </w:rPr>
              <w:t>paragraphes</w:t>
            </w:r>
            <w:r w:rsidRPr="00F37AD7">
              <w:rPr>
                <w:rFonts w:eastAsiaTheme="minorHAnsi"/>
                <w:lang w:val="fr-FR" w:eastAsia="en-US"/>
              </w:rPr>
              <w:t xml:space="preserve"> 31 à 33 ; </w:t>
            </w:r>
            <w:r w:rsidR="00C37479">
              <w:rPr>
                <w:rFonts w:eastAsiaTheme="minorHAnsi"/>
                <w:lang w:val="fr-FR" w:eastAsia="en-US"/>
              </w:rPr>
              <w:br/>
            </w:r>
            <w:r w:rsidRPr="00F37AD7">
              <w:rPr>
                <w:rFonts w:eastAsiaTheme="minorHAnsi"/>
                <w:lang w:val="fr-FR" w:eastAsia="en-US"/>
              </w:rPr>
              <w:t xml:space="preserve">ECE/TRANS/WP.15/2020/10 ; </w:t>
            </w:r>
            <w:r w:rsidR="00DB6001">
              <w:rPr>
                <w:rFonts w:eastAsiaTheme="minorHAnsi"/>
                <w:lang w:val="fr-FR" w:eastAsia="en-US"/>
              </w:rPr>
              <w:br/>
            </w:r>
            <w:r w:rsidRPr="00F37AD7">
              <w:rPr>
                <w:rFonts w:eastAsiaTheme="minorHAnsi"/>
                <w:lang w:val="fr-FR" w:eastAsia="en-US"/>
              </w:rPr>
              <w:t xml:space="preserve">ECE/TRANS/WP.15/251, </w:t>
            </w:r>
            <w:r w:rsidR="0001230C">
              <w:rPr>
                <w:rFonts w:eastAsiaTheme="minorHAnsi"/>
                <w:lang w:val="fr-FR" w:eastAsia="en-US"/>
              </w:rPr>
              <w:t>paragraphes</w:t>
            </w:r>
            <w:r w:rsidR="0001230C" w:rsidRPr="00F37AD7">
              <w:rPr>
                <w:rFonts w:eastAsiaTheme="minorHAnsi"/>
                <w:lang w:val="fr-FR" w:eastAsia="en-US"/>
              </w:rPr>
              <w:t xml:space="preserve"> </w:t>
            </w:r>
            <w:r w:rsidRPr="00F37AD7">
              <w:rPr>
                <w:rFonts w:eastAsiaTheme="minorHAnsi"/>
                <w:lang w:val="fr-FR" w:eastAsia="en-US"/>
              </w:rPr>
              <w:t>35 et 36.</w:t>
            </w:r>
          </w:p>
          <w:p w14:paraId="482F7349" w14:textId="0E6F67A0" w:rsidR="004B17B2" w:rsidRDefault="004B17B2" w:rsidP="006E5E26">
            <w:pPr>
              <w:pStyle w:val="SingleTxtG"/>
            </w:pPr>
          </w:p>
        </w:tc>
      </w:tr>
      <w:tr w:rsidR="004B17B2" w14:paraId="71AF7D0D" w14:textId="77777777" w:rsidTr="006E5E26">
        <w:trPr>
          <w:jc w:val="center"/>
        </w:trPr>
        <w:tc>
          <w:tcPr>
            <w:tcW w:w="9637" w:type="dxa"/>
            <w:shd w:val="clear" w:color="auto" w:fill="auto"/>
          </w:tcPr>
          <w:p w14:paraId="7B25BC23" w14:textId="77777777" w:rsidR="004B17B2" w:rsidRDefault="004B17B2" w:rsidP="006E5E26"/>
        </w:tc>
      </w:tr>
    </w:tbl>
    <w:p w14:paraId="4189D052" w14:textId="46DFCF70" w:rsidR="00F37AD7" w:rsidRDefault="00F37AD7" w:rsidP="004B17B2">
      <w:pPr>
        <w:rPr>
          <w:lang w:val="fr-FR"/>
        </w:rPr>
      </w:pPr>
    </w:p>
    <w:p w14:paraId="1325C352" w14:textId="77777777" w:rsidR="00F37AD7" w:rsidRDefault="00F37AD7">
      <w:pPr>
        <w:rPr>
          <w:lang w:val="fr-FR"/>
        </w:rPr>
      </w:pPr>
      <w:r>
        <w:rPr>
          <w:lang w:val="fr-FR"/>
        </w:rPr>
        <w:br w:type="page"/>
      </w:r>
    </w:p>
    <w:p w14:paraId="14CFAF47" w14:textId="77777777" w:rsidR="00F37AD7" w:rsidRPr="009F23A4" w:rsidRDefault="00F37AD7" w:rsidP="00F37AD7">
      <w:pPr>
        <w:pStyle w:val="HChG"/>
        <w:rPr>
          <w:rFonts w:eastAsia="Calibri"/>
        </w:rPr>
      </w:pPr>
      <w:r>
        <w:rPr>
          <w:lang w:val="fr-FR"/>
        </w:rPr>
        <w:lastRenderedPageBreak/>
        <w:tab/>
        <w:t>I.</w:t>
      </w:r>
      <w:r>
        <w:rPr>
          <w:lang w:val="fr-FR"/>
        </w:rPr>
        <w:tab/>
        <w:t>Introduction</w:t>
      </w:r>
    </w:p>
    <w:p w14:paraId="7E83E878" w14:textId="75C37FC5" w:rsidR="00F37AD7" w:rsidRDefault="00F37AD7" w:rsidP="00F37AD7">
      <w:pPr>
        <w:pStyle w:val="SingleTxtG"/>
      </w:pPr>
      <w:r>
        <w:rPr>
          <w:lang w:val="fr-FR"/>
        </w:rPr>
        <w:t>1.</w:t>
      </w:r>
      <w:r>
        <w:rPr>
          <w:lang w:val="fr-FR"/>
        </w:rPr>
        <w:tab/>
      </w:r>
      <w:r>
        <w:t>D</w:t>
      </w:r>
      <w:r w:rsidRPr="000F7332">
        <w:t>epuis le 1</w:t>
      </w:r>
      <w:r w:rsidRPr="0001230C">
        <w:t>er</w:t>
      </w:r>
      <w:r>
        <w:t xml:space="preserve"> </w:t>
      </w:r>
      <w:r w:rsidRPr="008C5548">
        <w:t>janvier 2010, les Parties</w:t>
      </w:r>
      <w:r w:rsidRPr="000F7332">
        <w:t xml:space="preserve"> contractantes à l</w:t>
      </w:r>
      <w:r w:rsidR="0076764E">
        <w:t>’</w:t>
      </w:r>
      <w:r w:rsidRPr="000F7332">
        <w:t xml:space="preserve">ADR </w:t>
      </w:r>
      <w:r>
        <w:t>mettent</w:t>
      </w:r>
      <w:r>
        <w:rPr>
          <w:lang w:val="fr-FR"/>
        </w:rPr>
        <w:t xml:space="preserve"> en œuvre </w:t>
      </w:r>
      <w:r w:rsidRPr="000F7332">
        <w:t xml:space="preserve">des restrictions pour le passage des véhicules </w:t>
      </w:r>
      <w:r>
        <w:t>dans les</w:t>
      </w:r>
      <w:r w:rsidRPr="000F7332">
        <w:t xml:space="preserve"> tunnels routiers</w:t>
      </w:r>
      <w:r>
        <w:t xml:space="preserve"> basées sur la section 1.9.5 et le chapitre 8.6 de l</w:t>
      </w:r>
      <w:r w:rsidR="0076764E">
        <w:t>’</w:t>
      </w:r>
      <w:r>
        <w:t xml:space="preserve">ADR. Ces dispositions sont complétées par les restrictions nationales notifiées au secrétariat de la CEE-ONU au titre du </w:t>
      </w:r>
      <w:r w:rsidRPr="000F7332">
        <w:t>1.9.5.3.7</w:t>
      </w:r>
      <w:r>
        <w:t>, comprenant notamment la catégorisation des tunnels et d</w:t>
      </w:r>
      <w:r w:rsidR="0076764E">
        <w:t>’</w:t>
      </w:r>
      <w:r>
        <w:t>éventuelles mesures de sécurité additionnelles.</w:t>
      </w:r>
    </w:p>
    <w:p w14:paraId="257A2DD8" w14:textId="21916A27" w:rsidR="00F37AD7" w:rsidRDefault="00F37AD7" w:rsidP="00F37AD7">
      <w:pPr>
        <w:pStyle w:val="SingleTxtG"/>
        <w:rPr>
          <w:lang w:val="fr-FR"/>
        </w:rPr>
      </w:pPr>
      <w:r>
        <w:t>2.</w:t>
      </w:r>
      <w:r>
        <w:tab/>
        <w:t>Depuis l</w:t>
      </w:r>
      <w:r w:rsidR="0076764E">
        <w:t>’</w:t>
      </w:r>
      <w:r>
        <w:t>introduction de ces dispositions dans l</w:t>
      </w:r>
      <w:r w:rsidR="0076764E">
        <w:t>’</w:t>
      </w:r>
      <w:r>
        <w:t>édition 2007 de l</w:t>
      </w:r>
      <w:r w:rsidR="0076764E">
        <w:t>’</w:t>
      </w:r>
      <w:r>
        <w:t xml:space="preserve">ADR, la formulation des textes a été améliorée et des incohérences ont été levées. Toutefois, </w:t>
      </w:r>
      <w:r>
        <w:rPr>
          <w:lang w:val="fr-FR"/>
        </w:rPr>
        <w:t>deux problématiques n</w:t>
      </w:r>
      <w:r w:rsidR="0076764E">
        <w:rPr>
          <w:lang w:val="fr-FR"/>
        </w:rPr>
        <w:t>’</w:t>
      </w:r>
      <w:r>
        <w:rPr>
          <w:lang w:val="fr-FR"/>
        </w:rPr>
        <w:t>ont pas été totalement résolues : il s</w:t>
      </w:r>
      <w:r w:rsidR="0076764E">
        <w:rPr>
          <w:lang w:val="fr-FR"/>
        </w:rPr>
        <w:t>’</w:t>
      </w:r>
      <w:r>
        <w:rPr>
          <w:lang w:val="fr-FR"/>
        </w:rPr>
        <w:t>agit du passage des marchandises de la catégorie de transport 4 (code de restriction (E)) et des marchandises sans code de restriction (-).</w:t>
      </w:r>
    </w:p>
    <w:p w14:paraId="5B3D80D2" w14:textId="0233B39A" w:rsidR="00F37AD7" w:rsidRDefault="00F37AD7" w:rsidP="00F37AD7">
      <w:pPr>
        <w:pStyle w:val="SingleTxtG"/>
        <w:rPr>
          <w:lang w:val="fr-FR"/>
        </w:rPr>
      </w:pPr>
      <w:r w:rsidRPr="007C0571">
        <w:rPr>
          <w:lang w:val="fr-FR"/>
        </w:rPr>
        <w:t>3.</w:t>
      </w:r>
      <w:r w:rsidRPr="007C0571">
        <w:rPr>
          <w:lang w:val="fr-FR"/>
        </w:rPr>
        <w:tab/>
        <w:t xml:space="preserve">Les discussions sur ces deux thèmes ont débouché sur des explications détaillées dans les rapports de réunion. Dans un seul cas, une interprétation </w:t>
      </w:r>
      <w:r>
        <w:rPr>
          <w:lang w:val="fr-FR"/>
        </w:rPr>
        <w:t xml:space="preserve">a été </w:t>
      </w:r>
      <w:r w:rsidRPr="007C0571">
        <w:rPr>
          <w:lang w:val="fr-FR"/>
        </w:rPr>
        <w:t xml:space="preserve">publiée sur le site de la </w:t>
      </w:r>
      <w:r w:rsidR="001B66E4" w:rsidRPr="001B66E4">
        <w:rPr>
          <w:lang w:val="fr-FR"/>
        </w:rPr>
        <w:t>Commission économique pour l</w:t>
      </w:r>
      <w:r w:rsidR="0076764E">
        <w:rPr>
          <w:lang w:val="fr-FR"/>
        </w:rPr>
        <w:t>’</w:t>
      </w:r>
      <w:r w:rsidR="001B66E4" w:rsidRPr="001B66E4">
        <w:rPr>
          <w:lang w:val="fr-FR"/>
        </w:rPr>
        <w:t>Europe</w:t>
      </w:r>
      <w:r w:rsidR="00722480">
        <w:rPr>
          <w:rStyle w:val="Appelnotedebasdep"/>
        </w:rPr>
        <w:footnoteReference w:id="3"/>
      </w:r>
      <w:r w:rsidR="00DF505C">
        <w:rPr>
          <w:lang w:val="fr-FR"/>
        </w:rPr>
        <w:t>.</w:t>
      </w:r>
    </w:p>
    <w:p w14:paraId="6183F1D2" w14:textId="3AFA24AD" w:rsidR="00F37AD7" w:rsidRDefault="00F37AD7" w:rsidP="00F37AD7">
      <w:pPr>
        <w:pStyle w:val="SingleTxtG"/>
        <w:rPr>
          <w:lang w:val="fr-FR"/>
        </w:rPr>
      </w:pPr>
      <w:r>
        <w:rPr>
          <w:lang w:val="fr-FR"/>
        </w:rPr>
        <w:t>4.</w:t>
      </w:r>
      <w:r>
        <w:rPr>
          <w:lang w:val="fr-FR"/>
        </w:rPr>
        <w:tab/>
        <w:t>La Suisse pense que le résultat de ces discussions n</w:t>
      </w:r>
      <w:r w:rsidR="0076764E">
        <w:rPr>
          <w:lang w:val="fr-FR"/>
        </w:rPr>
        <w:t>’</w:t>
      </w:r>
      <w:r>
        <w:rPr>
          <w:lang w:val="fr-FR"/>
        </w:rPr>
        <w:t>est pas satisfaisant pour plusieurs raisons :</w:t>
      </w:r>
    </w:p>
    <w:p w14:paraId="1DE0F6F5" w14:textId="0D65489A" w:rsidR="00F37AD7" w:rsidRPr="00DC684A" w:rsidRDefault="00DC684A" w:rsidP="00DC684A">
      <w:pPr>
        <w:pStyle w:val="SingleTxtG"/>
      </w:pPr>
      <w:r>
        <w:tab/>
      </w:r>
      <w:r w:rsidR="00F37AD7" w:rsidRPr="00DC684A">
        <w:t>a)</w:t>
      </w:r>
      <w:r w:rsidR="00F37AD7" w:rsidRPr="00DC684A">
        <w:tab/>
        <w:t>Les observations et les arguments de certaines délégations n</w:t>
      </w:r>
      <w:r w:rsidR="0076764E">
        <w:t>’</w:t>
      </w:r>
      <w:r w:rsidR="00F37AD7" w:rsidRPr="00DC684A">
        <w:t>étaient pas toujours partagées par les autres délégations</w:t>
      </w:r>
      <w:r w:rsidR="00846A4F">
        <w:t> ;</w:t>
      </w:r>
    </w:p>
    <w:p w14:paraId="5A6EDD89" w14:textId="0739F62B" w:rsidR="00F37AD7" w:rsidRPr="00DC684A" w:rsidRDefault="00DC684A" w:rsidP="00DC684A">
      <w:pPr>
        <w:pStyle w:val="SingleTxtG"/>
      </w:pPr>
      <w:r>
        <w:tab/>
      </w:r>
      <w:r w:rsidR="00F37AD7" w:rsidRPr="00DC684A">
        <w:t>b)</w:t>
      </w:r>
      <w:r w:rsidR="00F37AD7" w:rsidRPr="00DC684A">
        <w:tab/>
        <w:t>Les interprétations n</w:t>
      </w:r>
      <w:r w:rsidR="0076764E">
        <w:t>’</w:t>
      </w:r>
      <w:r w:rsidR="00F37AD7" w:rsidRPr="00DC684A">
        <w:t>ont pas débouché sur des amendements des textes réglementaires de l</w:t>
      </w:r>
      <w:r w:rsidR="0076764E">
        <w:t>’</w:t>
      </w:r>
      <w:r w:rsidR="00F37AD7" w:rsidRPr="00DC684A">
        <w:t>ADR</w:t>
      </w:r>
      <w:r w:rsidR="00846A4F">
        <w:t> ;</w:t>
      </w:r>
    </w:p>
    <w:p w14:paraId="6A35A403" w14:textId="49B466FA" w:rsidR="00F37AD7" w:rsidRPr="00DC684A" w:rsidRDefault="00DC684A" w:rsidP="00DC684A">
      <w:pPr>
        <w:pStyle w:val="SingleTxtG"/>
      </w:pPr>
      <w:r>
        <w:tab/>
      </w:r>
      <w:r w:rsidR="00F37AD7" w:rsidRPr="00DC684A">
        <w:t>c)</w:t>
      </w:r>
      <w:r w:rsidR="00F37AD7" w:rsidRPr="00DC684A">
        <w:tab/>
        <w:t>Les discussions se sont concentrées plus sur l</w:t>
      </w:r>
      <w:r w:rsidR="0076764E">
        <w:t>’</w:t>
      </w:r>
      <w:r w:rsidR="00F37AD7" w:rsidRPr="00DC684A">
        <w:t>application conforme des dispositions existantes, et moins sur la logique des prescriptions en termes de sécurité du transport.</w:t>
      </w:r>
    </w:p>
    <w:p w14:paraId="26E1FFBA" w14:textId="1E39344F" w:rsidR="00F37AD7" w:rsidRDefault="00F37AD7" w:rsidP="00F37AD7">
      <w:pPr>
        <w:pStyle w:val="SingleTxtG"/>
        <w:ind w:firstLine="567"/>
        <w:rPr>
          <w:lang w:val="fr-FR"/>
        </w:rPr>
      </w:pPr>
      <w:r>
        <w:rPr>
          <w:lang w:val="fr-FR"/>
        </w:rPr>
        <w:t>Par conséquent, il est fort probable qu</w:t>
      </w:r>
      <w:r w:rsidR="0076764E">
        <w:rPr>
          <w:lang w:val="fr-FR"/>
        </w:rPr>
        <w:t>’</w:t>
      </w:r>
      <w:r>
        <w:rPr>
          <w:lang w:val="fr-FR"/>
        </w:rPr>
        <w:t>il existe des différences dans la mise en œuvre des restrictions de passage en tunnel dans les différentes Parties contractantes.</w:t>
      </w:r>
    </w:p>
    <w:p w14:paraId="471C46FB" w14:textId="206F5D14" w:rsidR="00F37AD7" w:rsidRDefault="00F37AD7" w:rsidP="00F37AD7">
      <w:pPr>
        <w:pStyle w:val="SingleTxtG"/>
        <w:rPr>
          <w:lang w:val="fr-FR"/>
        </w:rPr>
      </w:pPr>
      <w:r>
        <w:rPr>
          <w:lang w:val="fr-FR"/>
        </w:rPr>
        <w:t>5.</w:t>
      </w:r>
      <w:r>
        <w:rPr>
          <w:lang w:val="fr-FR"/>
        </w:rPr>
        <w:tab/>
        <w:t>La Suisse propose qu</w:t>
      </w:r>
      <w:r w:rsidR="0076764E">
        <w:rPr>
          <w:lang w:val="fr-FR"/>
        </w:rPr>
        <w:t>’</w:t>
      </w:r>
      <w:r>
        <w:rPr>
          <w:lang w:val="fr-FR"/>
        </w:rPr>
        <w:t>au vu de l</w:t>
      </w:r>
      <w:r w:rsidR="0076764E">
        <w:rPr>
          <w:lang w:val="fr-FR"/>
        </w:rPr>
        <w:t>’</w:t>
      </w:r>
      <w:r>
        <w:rPr>
          <w:lang w:val="fr-FR"/>
        </w:rPr>
        <w:t>expérience acquise depuis l</w:t>
      </w:r>
      <w:r w:rsidR="0076764E">
        <w:rPr>
          <w:lang w:val="fr-FR"/>
        </w:rPr>
        <w:t>’</w:t>
      </w:r>
      <w:r>
        <w:rPr>
          <w:lang w:val="fr-FR"/>
        </w:rPr>
        <w:t xml:space="preserve">introduction de ces dispositions, le </w:t>
      </w:r>
      <w:r w:rsidRPr="00F74081">
        <w:rPr>
          <w:lang w:val="fr-FR"/>
        </w:rPr>
        <w:t>Groupe de travail des transports de marchandises dangereuses</w:t>
      </w:r>
      <w:r>
        <w:rPr>
          <w:lang w:val="fr-FR"/>
        </w:rPr>
        <w:t xml:space="preserve"> examine à nouveau ces </w:t>
      </w:r>
      <w:r w:rsidRPr="003A2C7A">
        <w:rPr>
          <w:lang w:val="fr-FR"/>
        </w:rPr>
        <w:t>problématiques. Il s</w:t>
      </w:r>
      <w:r w:rsidR="0076764E">
        <w:rPr>
          <w:lang w:val="fr-FR"/>
        </w:rPr>
        <w:t>’</w:t>
      </w:r>
      <w:r w:rsidRPr="003A2C7A">
        <w:rPr>
          <w:lang w:val="fr-FR"/>
        </w:rPr>
        <w:t>agit d</w:t>
      </w:r>
      <w:r w:rsidR="0076764E">
        <w:rPr>
          <w:lang w:val="fr-FR"/>
        </w:rPr>
        <w:t>’</w:t>
      </w:r>
      <w:r w:rsidRPr="003A2C7A">
        <w:rPr>
          <w:lang w:val="fr-FR"/>
        </w:rPr>
        <w:t>identifier dans quelle mesure les pratiques actuelles divergent, de déterminer si ces divergences posent problème et le cas échéant, d</w:t>
      </w:r>
      <w:r w:rsidR="0076764E">
        <w:rPr>
          <w:lang w:val="fr-FR"/>
        </w:rPr>
        <w:t>’</w:t>
      </w:r>
      <w:r w:rsidRPr="003A2C7A">
        <w:rPr>
          <w:lang w:val="fr-FR"/>
        </w:rPr>
        <w:t>entreprendre des modifications à l</w:t>
      </w:r>
      <w:r w:rsidR="0076764E">
        <w:rPr>
          <w:lang w:val="fr-FR"/>
        </w:rPr>
        <w:t>’</w:t>
      </w:r>
      <w:r w:rsidRPr="003A2C7A">
        <w:rPr>
          <w:lang w:val="fr-FR"/>
        </w:rPr>
        <w:t>ADR pour assurer une mise</w:t>
      </w:r>
      <w:r>
        <w:rPr>
          <w:lang w:val="fr-FR"/>
        </w:rPr>
        <w:t xml:space="preserve"> en œuvre harmonisée des prescriptions.</w:t>
      </w:r>
    </w:p>
    <w:p w14:paraId="22DBDECE" w14:textId="77777777" w:rsidR="00F37AD7" w:rsidRDefault="00F37AD7" w:rsidP="00F37AD7">
      <w:pPr>
        <w:pStyle w:val="HChG"/>
        <w:rPr>
          <w:lang w:val="fr-FR"/>
        </w:rPr>
      </w:pPr>
      <w:r>
        <w:rPr>
          <w:bCs/>
          <w:lang w:val="fr-FR"/>
        </w:rPr>
        <w:tab/>
        <w:t>II.</w:t>
      </w:r>
      <w:r>
        <w:rPr>
          <w:lang w:val="fr-FR"/>
        </w:rPr>
        <w:tab/>
      </w:r>
      <w:r>
        <w:rPr>
          <w:lang w:val="fr-FR"/>
        </w:rPr>
        <w:tab/>
        <w:t>Marchandises de la catégorie de transport 4</w:t>
      </w:r>
    </w:p>
    <w:p w14:paraId="67FF5395" w14:textId="26315F29" w:rsidR="00F37AD7" w:rsidRPr="00B73196" w:rsidRDefault="003224FF" w:rsidP="003224FF">
      <w:pPr>
        <w:pStyle w:val="H1G"/>
        <w:rPr>
          <w:lang w:val="fr-FR"/>
        </w:rPr>
      </w:pPr>
      <w:r>
        <w:rPr>
          <w:lang w:val="fr-FR"/>
        </w:rPr>
        <w:tab/>
      </w:r>
      <w:r w:rsidR="00F37AD7">
        <w:rPr>
          <w:lang w:val="fr-FR"/>
        </w:rPr>
        <w:t>A.</w:t>
      </w:r>
      <w:r w:rsidR="00F37AD7">
        <w:rPr>
          <w:lang w:val="fr-FR"/>
        </w:rPr>
        <w:tab/>
      </w:r>
      <w:r w:rsidR="00F37AD7" w:rsidRPr="00B73196">
        <w:rPr>
          <w:lang w:val="fr-FR"/>
        </w:rPr>
        <w:t>Discussion</w:t>
      </w:r>
    </w:p>
    <w:p w14:paraId="493677A9" w14:textId="1FE3BE82" w:rsidR="00F37AD7" w:rsidRDefault="00F37AD7" w:rsidP="00F37AD7">
      <w:pPr>
        <w:pStyle w:val="SingleTxtG"/>
        <w:rPr>
          <w:lang w:val="fr-FR"/>
        </w:rPr>
      </w:pPr>
      <w:r>
        <w:rPr>
          <w:lang w:val="fr-FR"/>
        </w:rPr>
        <w:t>6.</w:t>
      </w:r>
      <w:r>
        <w:rPr>
          <w:lang w:val="fr-FR"/>
        </w:rPr>
        <w:tab/>
        <w:t>Les marchandises dangereuses de la catégorie de transport 4 présentent un danger moindre que les celles des catégories 1 à 3. C</w:t>
      </w:r>
      <w:r w:rsidR="0076764E">
        <w:rPr>
          <w:lang w:val="fr-FR"/>
        </w:rPr>
        <w:t>’</w:t>
      </w:r>
      <w:r>
        <w:rPr>
          <w:lang w:val="fr-FR"/>
        </w:rPr>
        <w:t xml:space="preserve">est pourquoi il est possible de les transporter sous le régime de </w:t>
      </w:r>
      <w:r>
        <w:t>l</w:t>
      </w:r>
      <w:r w:rsidR="0076764E">
        <w:t>’</w:t>
      </w:r>
      <w:r>
        <w:t>exemption du 1.1.3.6 dans des quantités illimitées. Dans ce cas, certaines prescriptions ne sont pas applicables. Notamment, il n</w:t>
      </w:r>
      <w:r w:rsidR="0076764E">
        <w:t>’</w:t>
      </w:r>
      <w:r>
        <w:t>est pas nécessaire de fixer des panneaux orange ou des plaques-étiquettes sur l</w:t>
      </w:r>
      <w:r w:rsidR="0076764E">
        <w:t>’</w:t>
      </w:r>
      <w:r>
        <w:t>unité de transport, un extincteur est suffisant (au lieu de deux) et le conducteur n</w:t>
      </w:r>
      <w:r w:rsidR="0076764E">
        <w:t>’</w:t>
      </w:r>
      <w:r>
        <w:t>est pas obligé de disposer d</w:t>
      </w:r>
      <w:r w:rsidR="0076764E">
        <w:t>’</w:t>
      </w:r>
      <w:r>
        <w:t>un certificat de formation de conducteur.</w:t>
      </w:r>
    </w:p>
    <w:p w14:paraId="499963E3" w14:textId="0E366D2D" w:rsidR="00F37AD7" w:rsidRPr="008F1CBF" w:rsidRDefault="00F37AD7" w:rsidP="00F37AD7">
      <w:pPr>
        <w:pStyle w:val="SingleTxtG"/>
      </w:pPr>
      <w:r>
        <w:rPr>
          <w:lang w:val="fr-FR"/>
        </w:rPr>
        <w:t>7.</w:t>
      </w:r>
      <w:r>
        <w:rPr>
          <w:lang w:val="fr-FR"/>
        </w:rPr>
        <w:tab/>
      </w:r>
      <w:r>
        <w:t xml:space="preserve">Les </w:t>
      </w:r>
      <w:r w:rsidRPr="00315E84">
        <w:t xml:space="preserve">marchandises dangereuses </w:t>
      </w:r>
      <w:r>
        <w:t>concernées sont listé</w:t>
      </w:r>
      <w:r w:rsidR="00846A4F">
        <w:t>e</w:t>
      </w:r>
      <w:r>
        <w:t>s à l</w:t>
      </w:r>
      <w:r w:rsidR="0076764E">
        <w:t>’</w:t>
      </w:r>
      <w:r>
        <w:t xml:space="preserve">annexe de ce document. </w:t>
      </w:r>
      <w:r>
        <w:rPr>
          <w:lang w:val="fr-FR"/>
        </w:rPr>
        <w:t>Le code de restriction en tunnel (E) leur est attribué, à l</w:t>
      </w:r>
      <w:r w:rsidR="0076764E">
        <w:rPr>
          <w:lang w:val="fr-FR"/>
        </w:rPr>
        <w:t>’</w:t>
      </w:r>
      <w:r>
        <w:rPr>
          <w:lang w:val="fr-FR"/>
        </w:rPr>
        <w:t>exception des quatre rubriques de la classe 7</w:t>
      </w:r>
      <w:r>
        <w:t xml:space="preserve">. Selon le 8.6.4 ADR, </w:t>
      </w:r>
      <w:r w:rsidRPr="008F1CBF">
        <w:t>le code (E) implique que ces marchandises ne peuvent pas passer dans les tunnels de la catégorie E. L</w:t>
      </w:r>
      <w:r w:rsidR="0076764E">
        <w:t>’</w:t>
      </w:r>
      <w:r w:rsidRPr="008F1CBF">
        <w:t>attribution du code (E) suggère donc que le passage de ces marchandises dans certains tunnels présente un risque non acceptable.</w:t>
      </w:r>
    </w:p>
    <w:p w14:paraId="1C99DEF9" w14:textId="009876E9" w:rsidR="00F37AD7" w:rsidRDefault="00F37AD7" w:rsidP="00F37AD7">
      <w:pPr>
        <w:pStyle w:val="SingleTxtG"/>
      </w:pPr>
      <w:r>
        <w:t>8</w:t>
      </w:r>
      <w:r w:rsidRPr="008F1CBF">
        <w:t>.</w:t>
      </w:r>
      <w:r w:rsidRPr="008F1CBF">
        <w:tab/>
        <w:t>Il est toutefois possible de transporter ces marchandises dans les tunnels de catégorie</w:t>
      </w:r>
      <w:r>
        <w:t> </w:t>
      </w:r>
      <w:r w:rsidRPr="008F1CBF">
        <w:t>E en utilisant l</w:t>
      </w:r>
      <w:r w:rsidR="0076764E">
        <w:t>’</w:t>
      </w:r>
      <w:r w:rsidRPr="008F1CBF">
        <w:t>exemption 1.1.3.6 applicable au transport des colis</w:t>
      </w:r>
      <w:r>
        <w:t xml:space="preserve">. Dans ce cas, le </w:t>
      </w:r>
      <w:r>
        <w:lastRenderedPageBreak/>
        <w:t>code (E) est superflu. Il entre en ligne de compte uniquement</w:t>
      </w:r>
      <w:r w:rsidRPr="00F65EC4">
        <w:t xml:space="preserve"> lorsque les marchandises sont transportées en quantités limitées </w:t>
      </w:r>
      <w:r>
        <w:t xml:space="preserve">au-delà de 8 tonnes </w:t>
      </w:r>
      <w:r w:rsidRPr="00F65EC4">
        <w:t>ou en vrac.</w:t>
      </w:r>
    </w:p>
    <w:p w14:paraId="560BB253" w14:textId="2D3EA0A4" w:rsidR="00F37AD7" w:rsidRDefault="00F37AD7" w:rsidP="00F37AD7">
      <w:pPr>
        <w:pStyle w:val="SingleTxtG"/>
        <w:rPr>
          <w:lang w:val="fr-FR"/>
        </w:rPr>
      </w:pPr>
      <w:r>
        <w:t>9.</w:t>
      </w:r>
      <w:r>
        <w:tab/>
        <w:t xml:space="preserve">Ces observations avaient déjà été présentées par la </w:t>
      </w:r>
      <w:r w:rsidRPr="00861BE6">
        <w:t>Türkiye</w:t>
      </w:r>
      <w:r>
        <w:t xml:space="preserve"> dans le document </w:t>
      </w:r>
      <w:r w:rsidRPr="00D24C98">
        <w:t>ECE/TRANS/WP.15/2022/6</w:t>
      </w:r>
      <w:r>
        <w:t xml:space="preserve"> mais la proposition de remplacer le code (E) par (-) lorsqu</w:t>
      </w:r>
      <w:r w:rsidR="0076764E">
        <w:t>’</w:t>
      </w:r>
      <w:r>
        <w:t>il était superflu n</w:t>
      </w:r>
      <w:r w:rsidR="0076764E">
        <w:t>’</w:t>
      </w:r>
      <w:r>
        <w:t xml:space="preserve">avait pas été adoptée, au motif que </w:t>
      </w:r>
      <w:r w:rsidRPr="00D24C98">
        <w:rPr>
          <w:lang w:val="fr-FR"/>
        </w:rPr>
        <w:t>le code était justifié en fonction des dangers associé</w:t>
      </w:r>
      <w:r>
        <w:rPr>
          <w:lang w:val="fr-FR"/>
        </w:rPr>
        <w:t>s</w:t>
      </w:r>
      <w:r w:rsidRPr="00D24C98">
        <w:rPr>
          <w:lang w:val="fr-FR"/>
        </w:rPr>
        <w:t xml:space="preserve"> au transport en tunnel de ces marchandises en dehors du régime d</w:t>
      </w:r>
      <w:r w:rsidR="0076764E">
        <w:rPr>
          <w:lang w:val="fr-FR"/>
        </w:rPr>
        <w:t>’</w:t>
      </w:r>
      <w:r w:rsidRPr="00D24C98">
        <w:rPr>
          <w:lang w:val="fr-FR"/>
        </w:rPr>
        <w:t>exemption du 1.1.3.6</w:t>
      </w:r>
      <w:r>
        <w:rPr>
          <w:lang w:val="fr-FR"/>
        </w:rPr>
        <w:t xml:space="preserve"> (</w:t>
      </w:r>
      <w:r w:rsidRPr="00D24C98">
        <w:rPr>
          <w:lang w:val="fr-FR"/>
        </w:rPr>
        <w:t>ECE/TRANS/WP.15/260, para</w:t>
      </w:r>
      <w:r w:rsidR="00846A4F">
        <w:rPr>
          <w:lang w:val="fr-FR"/>
        </w:rPr>
        <w:t>graphe</w:t>
      </w:r>
      <w:r>
        <w:rPr>
          <w:lang w:val="fr-FR"/>
        </w:rPr>
        <w:t xml:space="preserve"> 32).</w:t>
      </w:r>
    </w:p>
    <w:p w14:paraId="19C4F904" w14:textId="0469811A" w:rsidR="00F37AD7" w:rsidRDefault="00F37AD7" w:rsidP="00F37AD7">
      <w:pPr>
        <w:pStyle w:val="SingleTxtG"/>
        <w:rPr>
          <w:lang w:val="fr-FR"/>
        </w:rPr>
      </w:pPr>
      <w:r>
        <w:rPr>
          <w:lang w:val="fr-FR"/>
        </w:rPr>
        <w:t>10.</w:t>
      </w:r>
      <w:r>
        <w:rPr>
          <w:lang w:val="fr-FR"/>
        </w:rPr>
        <w:tab/>
        <w:t xml:space="preserve"> La Suisse aimerait que le Groupe de travail examine cette dernière affirmation sous l</w:t>
      </w:r>
      <w:r w:rsidR="0076764E">
        <w:rPr>
          <w:lang w:val="fr-FR"/>
        </w:rPr>
        <w:t>’</w:t>
      </w:r>
      <w:r>
        <w:rPr>
          <w:lang w:val="fr-FR"/>
        </w:rPr>
        <w:t xml:space="preserve">angle de la sécurité. Le </w:t>
      </w:r>
      <w:r w:rsidRPr="00861BE6">
        <w:rPr>
          <w:lang w:val="fr-FR"/>
        </w:rPr>
        <w:t>régime d</w:t>
      </w:r>
      <w:r w:rsidR="0076764E">
        <w:rPr>
          <w:lang w:val="fr-FR"/>
        </w:rPr>
        <w:t>’</w:t>
      </w:r>
      <w:r w:rsidRPr="00861BE6">
        <w:rPr>
          <w:lang w:val="fr-FR"/>
        </w:rPr>
        <w:t>exemption du 1.1.3.6</w:t>
      </w:r>
      <w:r>
        <w:rPr>
          <w:lang w:val="fr-FR"/>
        </w:rPr>
        <w:t xml:space="preserve"> autorise le transport des marchandises des catégories 1 à 3 dans de petites quantités et celui de la catégorie 4 dans de grandes quantités. Ainsi, un chargement de plusieurs tonnes d</w:t>
      </w:r>
      <w:r w:rsidR="0076764E">
        <w:rPr>
          <w:lang w:val="fr-FR"/>
        </w:rPr>
        <w:t>’</w:t>
      </w:r>
      <w:r>
        <w:rPr>
          <w:lang w:val="fr-FR"/>
        </w:rPr>
        <w:t xml:space="preserve">artifices de divertissement de classification 1.4S, transporté sous le régime du 1.1.3.6, sans signalisation orange et sans certificat de conducteur, est autorisé à passer dans les tunnels de catégorie E. Le même chargement, transporté </w:t>
      </w:r>
      <w:r w:rsidRPr="00861BE6">
        <w:rPr>
          <w:lang w:val="fr-FR"/>
        </w:rPr>
        <w:t>en dehors du régime du 1.1.3.6</w:t>
      </w:r>
      <w:r>
        <w:rPr>
          <w:lang w:val="fr-FR"/>
        </w:rPr>
        <w:t>, plus sûr car respectant toutes les prescriptions de l</w:t>
      </w:r>
      <w:r w:rsidR="0076764E">
        <w:rPr>
          <w:lang w:val="fr-FR"/>
        </w:rPr>
        <w:t>’</w:t>
      </w:r>
      <w:r>
        <w:rPr>
          <w:lang w:val="fr-FR"/>
        </w:rPr>
        <w:t>ADR, serait en revanche interdit de passage.</w:t>
      </w:r>
    </w:p>
    <w:p w14:paraId="3491C048" w14:textId="2999AC37" w:rsidR="00F37AD7" w:rsidRPr="00B73196" w:rsidRDefault="00FA596A" w:rsidP="00FA596A">
      <w:pPr>
        <w:pStyle w:val="H1G"/>
        <w:rPr>
          <w:lang w:val="fr-FR"/>
        </w:rPr>
      </w:pPr>
      <w:r>
        <w:rPr>
          <w:lang w:val="fr-FR"/>
        </w:rPr>
        <w:tab/>
      </w:r>
      <w:r w:rsidR="00F37AD7">
        <w:rPr>
          <w:lang w:val="fr-FR"/>
        </w:rPr>
        <w:t>B.</w:t>
      </w:r>
      <w:r w:rsidR="00F37AD7">
        <w:rPr>
          <w:lang w:val="fr-FR"/>
        </w:rPr>
        <w:tab/>
      </w:r>
      <w:r w:rsidR="00F37AD7" w:rsidRPr="00B73196">
        <w:rPr>
          <w:lang w:val="fr-FR"/>
        </w:rPr>
        <w:t>Questions</w:t>
      </w:r>
    </w:p>
    <w:p w14:paraId="568A5BFA" w14:textId="77777777" w:rsidR="00F37AD7" w:rsidRPr="004257A8" w:rsidRDefault="00F37AD7" w:rsidP="00F37AD7">
      <w:pPr>
        <w:pStyle w:val="SingleTxtG"/>
        <w:ind w:left="567" w:firstLine="567"/>
        <w:rPr>
          <w:lang w:val="fr-FR"/>
        </w:rPr>
      </w:pPr>
      <w:r>
        <w:rPr>
          <w:lang w:val="fr-FR"/>
        </w:rPr>
        <w:t>11</w:t>
      </w:r>
      <w:r w:rsidRPr="004257A8">
        <w:rPr>
          <w:lang w:val="fr-FR"/>
        </w:rPr>
        <w:t>.</w:t>
      </w:r>
      <w:r w:rsidRPr="004257A8">
        <w:rPr>
          <w:lang w:val="fr-FR"/>
        </w:rPr>
        <w:tab/>
        <w:t xml:space="preserve">La Suisse </w:t>
      </w:r>
      <w:r>
        <w:rPr>
          <w:lang w:val="fr-FR"/>
        </w:rPr>
        <w:t>invite les</w:t>
      </w:r>
      <w:r w:rsidRPr="004257A8">
        <w:rPr>
          <w:lang w:val="fr-FR"/>
        </w:rPr>
        <w:t xml:space="preserve"> Parties contractantes à répondre aux questions suivantes :</w:t>
      </w:r>
    </w:p>
    <w:p w14:paraId="14F76D26" w14:textId="01E8E441" w:rsidR="00F37AD7" w:rsidRPr="00DC684A" w:rsidRDefault="00DC684A" w:rsidP="00DC684A">
      <w:pPr>
        <w:pStyle w:val="SingleTxtG"/>
      </w:pPr>
      <w:r>
        <w:tab/>
      </w:r>
      <w:r w:rsidR="00F37AD7" w:rsidRPr="00DC684A">
        <w:t>a)</w:t>
      </w:r>
      <w:r w:rsidR="00F37AD7" w:rsidRPr="00DC684A">
        <w:tab/>
        <w:t>Le transport de marchandises de la catégorie de transport 4 dans les tunnels de catégorie E, répondant à toutes les prescriptions de l</w:t>
      </w:r>
      <w:r w:rsidR="0076764E">
        <w:t>’</w:t>
      </w:r>
      <w:r w:rsidR="00F37AD7" w:rsidRPr="00DC684A">
        <w:t>ADR (par ex. signalisation orange, certificat de conducteur), est-il autorisé dans votre pays ?</w:t>
      </w:r>
    </w:p>
    <w:p w14:paraId="732310C9" w14:textId="528B5C45" w:rsidR="00F37AD7" w:rsidRPr="00DC684A" w:rsidRDefault="00DC684A" w:rsidP="00DC684A">
      <w:pPr>
        <w:pStyle w:val="SingleTxtG"/>
      </w:pPr>
      <w:r>
        <w:tab/>
      </w:r>
      <w:r w:rsidR="00F37AD7" w:rsidRPr="00DC684A">
        <w:t>b)</w:t>
      </w:r>
      <w:r w:rsidR="00F37AD7" w:rsidRPr="00DC684A">
        <w:tab/>
        <w:t>Considérez-vous que le risque représenté par le transport en tunnel d</w:t>
      </w:r>
      <w:r w:rsidR="0076764E">
        <w:t>’</w:t>
      </w:r>
      <w:r w:rsidR="00F37AD7" w:rsidRPr="00DC684A">
        <w:t>une grande quantité de marchandises de la catégorie 4, sous le régime du 1.1.3.6, est acceptable ? Pensez-vous que ce risque dépend du type de marchandise ?</w:t>
      </w:r>
    </w:p>
    <w:p w14:paraId="2347E1E3" w14:textId="1BF55ACA" w:rsidR="00F37AD7" w:rsidRPr="00DC684A" w:rsidRDefault="00DC684A" w:rsidP="00DC684A">
      <w:pPr>
        <w:pStyle w:val="SingleTxtG"/>
      </w:pPr>
      <w:r>
        <w:tab/>
      </w:r>
      <w:r w:rsidR="00F37AD7" w:rsidRPr="00DC684A">
        <w:t>c)</w:t>
      </w:r>
      <w:r w:rsidR="00F37AD7" w:rsidRPr="00DC684A">
        <w:tab/>
        <w:t>Pensez-vous qu</w:t>
      </w:r>
      <w:r w:rsidR="0076764E">
        <w:t>’</w:t>
      </w:r>
      <w:r w:rsidR="00F37AD7" w:rsidRPr="00DC684A">
        <w:t>il convient d</w:t>
      </w:r>
      <w:r w:rsidR="0076764E">
        <w:t>’</w:t>
      </w:r>
      <w:r w:rsidR="00F37AD7" w:rsidRPr="00DC684A">
        <w:t>imposer des quantités maximales en ce qui concerne le passage des marchandises de la catégorie 4, sous le régime du 1.1.3.6, dans les tunnels de catégorie E ?</w:t>
      </w:r>
    </w:p>
    <w:p w14:paraId="17B1867A" w14:textId="6C1F5DAC" w:rsidR="00F37AD7" w:rsidRPr="00DC684A" w:rsidRDefault="00DC684A" w:rsidP="00DC684A">
      <w:pPr>
        <w:pStyle w:val="SingleTxtG"/>
      </w:pPr>
      <w:r>
        <w:tab/>
      </w:r>
      <w:r w:rsidR="00F37AD7" w:rsidRPr="00DC684A">
        <w:t>d)</w:t>
      </w:r>
      <w:r w:rsidR="00F37AD7" w:rsidRPr="00DC684A">
        <w:tab/>
        <w:t>Qu</w:t>
      </w:r>
      <w:r w:rsidR="0076764E">
        <w:t>’</w:t>
      </w:r>
      <w:r w:rsidR="00F37AD7" w:rsidRPr="00DC684A">
        <w:t>est-ce qui justifie, du point de vue de la sécurité, de maintenir le code (E) pour les marchandises de la catégorie 4 qui ne peuvent être transportées qu</w:t>
      </w:r>
      <w:r w:rsidR="0076764E">
        <w:t>’</w:t>
      </w:r>
      <w:r w:rsidR="00F37AD7" w:rsidRPr="00DC684A">
        <w:t>en colis et ne peuvent pas être transportées en quantités limitées ?</w:t>
      </w:r>
    </w:p>
    <w:p w14:paraId="1080B4F7" w14:textId="77777777" w:rsidR="00F37AD7" w:rsidRPr="009F23A4" w:rsidRDefault="00F37AD7" w:rsidP="00F37AD7">
      <w:pPr>
        <w:pStyle w:val="HChG"/>
        <w:rPr>
          <w:rFonts w:eastAsia="Calibri"/>
          <w:kern w:val="2"/>
          <w:szCs w:val="22"/>
          <w14:ligatures w14:val="standardContextual"/>
        </w:rPr>
      </w:pPr>
      <w:r>
        <w:rPr>
          <w:lang w:val="fr-FR"/>
        </w:rPr>
        <w:tab/>
        <w:t>III.</w:t>
      </w:r>
      <w:r>
        <w:rPr>
          <w:lang w:val="fr-FR"/>
        </w:rPr>
        <w:tab/>
        <w:t>Marchandises sans code de restriction</w:t>
      </w:r>
    </w:p>
    <w:p w14:paraId="34AB1583" w14:textId="125C09EF" w:rsidR="00F37AD7" w:rsidRPr="003A2C7A" w:rsidRDefault="00DC684A" w:rsidP="00DC684A">
      <w:pPr>
        <w:pStyle w:val="H1G"/>
        <w:rPr>
          <w:lang w:val="fr-FR"/>
        </w:rPr>
      </w:pPr>
      <w:r>
        <w:rPr>
          <w:lang w:val="fr-FR"/>
        </w:rPr>
        <w:tab/>
      </w:r>
      <w:r w:rsidR="00F37AD7" w:rsidRPr="003A2C7A">
        <w:rPr>
          <w:lang w:val="fr-FR"/>
        </w:rPr>
        <w:t>A.</w:t>
      </w:r>
      <w:r w:rsidR="00F37AD7" w:rsidRPr="003A2C7A">
        <w:rPr>
          <w:lang w:val="fr-FR"/>
        </w:rPr>
        <w:tab/>
        <w:t>Discussion</w:t>
      </w:r>
    </w:p>
    <w:p w14:paraId="22651BC2" w14:textId="0FE39FEC" w:rsidR="00F37AD7" w:rsidRDefault="00F37AD7" w:rsidP="00F37AD7">
      <w:pPr>
        <w:pStyle w:val="SingleTxtG"/>
        <w:rPr>
          <w:lang w:val="fr-FR"/>
        </w:rPr>
      </w:pPr>
      <w:r>
        <w:rPr>
          <w:lang w:val="fr-FR"/>
        </w:rPr>
        <w:t>12.</w:t>
      </w:r>
      <w:r>
        <w:rPr>
          <w:lang w:val="fr-FR"/>
        </w:rPr>
        <w:tab/>
        <w:t xml:space="preserve">Selon les 1.9.5.2.2 et 8.6.3.1, </w:t>
      </w:r>
      <w:r w:rsidRPr="000E58CE">
        <w:rPr>
          <w:lang w:val="fr-FR"/>
        </w:rPr>
        <w:t>les marchandises dangereuses ne sont</w:t>
      </w:r>
      <w:r>
        <w:rPr>
          <w:lang w:val="fr-FR"/>
        </w:rPr>
        <w:t xml:space="preserve"> </w:t>
      </w:r>
      <w:r w:rsidRPr="000E58CE">
        <w:rPr>
          <w:lang w:val="fr-FR"/>
        </w:rPr>
        <w:t xml:space="preserve">soumises à aucune restriction </w:t>
      </w:r>
      <w:r>
        <w:rPr>
          <w:lang w:val="fr-FR"/>
        </w:rPr>
        <w:t xml:space="preserve">de passage </w:t>
      </w:r>
      <w:r w:rsidRPr="000E58CE">
        <w:rPr>
          <w:lang w:val="fr-FR"/>
        </w:rPr>
        <w:t xml:space="preserve">en tunnel </w:t>
      </w:r>
      <w:r>
        <w:rPr>
          <w:lang w:val="fr-FR"/>
        </w:rPr>
        <w:t>l</w:t>
      </w:r>
      <w:r w:rsidRPr="000E58CE">
        <w:rPr>
          <w:lang w:val="fr-FR"/>
        </w:rPr>
        <w:t xml:space="preserve">orsque </w:t>
      </w:r>
      <w:r>
        <w:rPr>
          <w:lang w:val="fr-FR"/>
        </w:rPr>
        <w:t xml:space="preserve">la mention </w:t>
      </w:r>
      <w:r w:rsidRPr="000E58CE">
        <w:rPr>
          <w:lang w:val="fr-FR"/>
        </w:rPr>
        <w:t xml:space="preserve">« (-) » </w:t>
      </w:r>
      <w:r>
        <w:rPr>
          <w:lang w:val="fr-FR"/>
        </w:rPr>
        <w:t>est indiquée à la place d</w:t>
      </w:r>
      <w:r w:rsidR="0076764E">
        <w:rPr>
          <w:lang w:val="fr-FR"/>
        </w:rPr>
        <w:t>’</w:t>
      </w:r>
      <w:r>
        <w:rPr>
          <w:lang w:val="fr-FR"/>
        </w:rPr>
        <w:t>un code tunnel. Les marchandises concernées</w:t>
      </w:r>
      <w:r>
        <w:t xml:space="preserve"> </w:t>
      </w:r>
      <w:r>
        <w:rPr>
          <w:lang w:val="fr-FR"/>
        </w:rPr>
        <w:t xml:space="preserve">sont listées </w:t>
      </w:r>
      <w:r>
        <w:t>à l</w:t>
      </w:r>
      <w:r w:rsidR="0076764E">
        <w:t>’</w:t>
      </w:r>
      <w:r>
        <w:t>annexe de ce document.</w:t>
      </w:r>
    </w:p>
    <w:p w14:paraId="1BE69ACD" w14:textId="77777777" w:rsidR="00F37AD7" w:rsidRDefault="00F37AD7" w:rsidP="00F37AD7">
      <w:pPr>
        <w:pStyle w:val="SingleTxtG"/>
        <w:rPr>
          <w:lang w:val="fr-FR"/>
        </w:rPr>
      </w:pPr>
      <w:r>
        <w:rPr>
          <w:lang w:val="fr-FR"/>
        </w:rPr>
        <w:t>13.</w:t>
      </w:r>
      <w:r>
        <w:rPr>
          <w:lang w:val="fr-FR"/>
        </w:rPr>
        <w:tab/>
        <w:t>Ces dispositions partent du principe que le danger représenté lors du passage en tunnel est négligeable. Il existe donc des cas où des unités de transport munies de la signalisation orange sont autorisées à passer dans les tunnels de catégorie E.</w:t>
      </w:r>
    </w:p>
    <w:p w14:paraId="78CD5C39" w14:textId="0D0907EA" w:rsidR="00F37AD7" w:rsidRDefault="00F37AD7" w:rsidP="00F37AD7">
      <w:pPr>
        <w:pStyle w:val="SingleTxtG"/>
        <w:rPr>
          <w:lang w:val="fr-FR"/>
        </w:rPr>
      </w:pPr>
      <w:r>
        <w:rPr>
          <w:lang w:val="fr-FR"/>
        </w:rPr>
        <w:t>14.</w:t>
      </w:r>
      <w:r>
        <w:rPr>
          <w:lang w:val="fr-FR"/>
        </w:rPr>
        <w:tab/>
        <w:t>En 2020</w:t>
      </w:r>
      <w:r>
        <w:t xml:space="preserve">, la Suisse avait présenté </w:t>
      </w:r>
      <w:r>
        <w:rPr>
          <w:lang w:val="fr-FR"/>
        </w:rPr>
        <w:t xml:space="preserve">la situation où des matières des Nos ONU </w:t>
      </w:r>
      <w:r>
        <w:t>3077 ou 3082 sont chargées avec d</w:t>
      </w:r>
      <w:r w:rsidR="0076764E">
        <w:t>’</w:t>
      </w:r>
      <w:r>
        <w:t xml:space="preserve">autres marchandises dans une unité de transport, et où </w:t>
      </w:r>
      <w:r w:rsidRPr="008D503F">
        <w:rPr>
          <w:lang w:val="fr-FR"/>
        </w:rPr>
        <w:t>la valeur calculée selon le 1.1.3.6.4</w:t>
      </w:r>
      <w:r>
        <w:rPr>
          <w:lang w:val="fr-FR"/>
        </w:rPr>
        <w:t xml:space="preserve"> est dépassée du fait de la prise en compte des Nos ONU 3077 et 3082 </w:t>
      </w:r>
      <w:r>
        <w:t>(</w:t>
      </w:r>
      <w:r>
        <w:rPr>
          <w:lang w:val="fr-FR"/>
        </w:rPr>
        <w:t>catégorie de transport 3). Selon la Suisse, il n</w:t>
      </w:r>
      <w:r w:rsidR="0076764E">
        <w:rPr>
          <w:lang w:val="fr-FR"/>
        </w:rPr>
        <w:t>’</w:t>
      </w:r>
      <w:r>
        <w:rPr>
          <w:lang w:val="fr-FR"/>
        </w:rPr>
        <w:t>était pas justifié du point de vue de la sécurité d</w:t>
      </w:r>
      <w:r w:rsidR="0076764E">
        <w:rPr>
          <w:lang w:val="fr-FR"/>
        </w:rPr>
        <w:t>’</w:t>
      </w:r>
      <w:r>
        <w:rPr>
          <w:lang w:val="fr-FR"/>
        </w:rPr>
        <w:t xml:space="preserve">interdire le passage de tels chargements dans les tunnels si </w:t>
      </w:r>
      <w:r w:rsidRPr="008D503F">
        <w:rPr>
          <w:lang w:val="fr-FR"/>
        </w:rPr>
        <w:t>la valeur calculée uniquement pour les autres marchandises dangereuses</w:t>
      </w:r>
      <w:r>
        <w:rPr>
          <w:lang w:val="fr-FR"/>
        </w:rPr>
        <w:t xml:space="preserve"> restait en-dessous de 1000. En effet, dans les régions alpines, il est plus sûr pour l</w:t>
      </w:r>
      <w:r w:rsidR="0076764E">
        <w:rPr>
          <w:lang w:val="fr-FR"/>
        </w:rPr>
        <w:t>’</w:t>
      </w:r>
      <w:r>
        <w:rPr>
          <w:lang w:val="fr-FR"/>
        </w:rPr>
        <w:t xml:space="preserve">environnement de faire passer les matières des Nos ONU </w:t>
      </w:r>
      <w:r>
        <w:t>3077 ou 3082</w:t>
      </w:r>
      <w:r>
        <w:rPr>
          <w:lang w:val="fr-FR"/>
        </w:rPr>
        <w:t xml:space="preserve"> par un tunnel plutôt que d</w:t>
      </w:r>
      <w:r w:rsidR="0076764E">
        <w:rPr>
          <w:lang w:val="fr-FR"/>
        </w:rPr>
        <w:t>’</w:t>
      </w:r>
      <w:r>
        <w:rPr>
          <w:lang w:val="fr-FR"/>
        </w:rPr>
        <w:t xml:space="preserve">obliger le passage par des routes alternatives sinueuses et plus longues. </w:t>
      </w:r>
    </w:p>
    <w:p w14:paraId="7957E7EC" w14:textId="6A49456D" w:rsidR="00F37AD7" w:rsidRPr="00E66A04" w:rsidRDefault="00F37AD7" w:rsidP="00F37AD7">
      <w:pPr>
        <w:pStyle w:val="SingleTxtG"/>
      </w:pPr>
      <w:r>
        <w:rPr>
          <w:lang w:val="fr-FR"/>
        </w:rPr>
        <w:lastRenderedPageBreak/>
        <w:t>15.</w:t>
      </w:r>
      <w:r>
        <w:rPr>
          <w:lang w:val="fr-FR"/>
        </w:rPr>
        <w:tab/>
        <w:t xml:space="preserve">La </w:t>
      </w:r>
      <w:r w:rsidRPr="0003281F">
        <w:rPr>
          <w:lang w:val="fr-FR"/>
        </w:rPr>
        <w:t xml:space="preserve">proposition de la Suisse </w:t>
      </w:r>
      <w:r w:rsidRPr="00AE5525">
        <w:rPr>
          <w:lang w:val="fr-FR"/>
        </w:rPr>
        <w:t xml:space="preserve">dans le document </w:t>
      </w:r>
      <w:r w:rsidRPr="00AE5525">
        <w:t xml:space="preserve">ECE/TRANS/WP.15/2020/10 </w:t>
      </w:r>
      <w:r w:rsidRPr="00AE5525">
        <w:rPr>
          <w:lang w:val="fr-FR"/>
        </w:rPr>
        <w:t>n</w:t>
      </w:r>
      <w:r w:rsidR="0076764E">
        <w:rPr>
          <w:lang w:val="fr-FR"/>
        </w:rPr>
        <w:t>’</w:t>
      </w:r>
      <w:r w:rsidRPr="00AE5525">
        <w:rPr>
          <w:lang w:val="fr-FR"/>
        </w:rPr>
        <w:t xml:space="preserve">avait toutefois pas été soutenue </w:t>
      </w:r>
      <w:r>
        <w:rPr>
          <w:lang w:val="fr-FR"/>
        </w:rPr>
        <w:t>et nécessitait d</w:t>
      </w:r>
      <w:r w:rsidR="0076764E">
        <w:rPr>
          <w:lang w:val="fr-FR"/>
        </w:rPr>
        <w:t>’</w:t>
      </w:r>
      <w:r>
        <w:rPr>
          <w:lang w:val="fr-FR"/>
        </w:rPr>
        <w:t>être révisée</w:t>
      </w:r>
      <w:r w:rsidRPr="00AE5525">
        <w:rPr>
          <w:lang w:val="fr-FR"/>
        </w:rPr>
        <w:t xml:space="preserve"> (</w:t>
      </w:r>
      <w:r w:rsidRPr="00AE5525">
        <w:t xml:space="preserve">ECE/TRANS/WP.15/251, </w:t>
      </w:r>
      <w:r w:rsidR="00846A4F">
        <w:t>paragraphes</w:t>
      </w:r>
      <w:r w:rsidRPr="00AE5525">
        <w:t xml:space="preserve"> 35</w:t>
      </w:r>
      <w:r>
        <w:t xml:space="preserve"> et 36</w:t>
      </w:r>
      <w:r w:rsidRPr="00AE5525">
        <w:t>).</w:t>
      </w:r>
    </w:p>
    <w:p w14:paraId="3C693442" w14:textId="2AC0D894" w:rsidR="00F37AD7" w:rsidRDefault="00FF4642" w:rsidP="00FF4642">
      <w:pPr>
        <w:pStyle w:val="H1G"/>
        <w:rPr>
          <w:lang w:val="fr-FR"/>
        </w:rPr>
      </w:pPr>
      <w:r>
        <w:rPr>
          <w:lang w:val="fr-FR"/>
        </w:rPr>
        <w:tab/>
      </w:r>
      <w:r w:rsidR="00F37AD7">
        <w:rPr>
          <w:lang w:val="fr-FR"/>
        </w:rPr>
        <w:t>B.</w:t>
      </w:r>
      <w:r w:rsidR="00F37AD7">
        <w:rPr>
          <w:lang w:val="fr-FR"/>
        </w:rPr>
        <w:tab/>
      </w:r>
      <w:r w:rsidR="00F37AD7" w:rsidRPr="00B73196">
        <w:rPr>
          <w:lang w:val="fr-FR"/>
        </w:rPr>
        <w:t>Question</w:t>
      </w:r>
    </w:p>
    <w:p w14:paraId="2B0694A1" w14:textId="77777777" w:rsidR="00F37AD7" w:rsidRPr="004257A8" w:rsidRDefault="00F37AD7" w:rsidP="00F37AD7">
      <w:pPr>
        <w:pStyle w:val="SingleTxtG"/>
        <w:ind w:left="567" w:firstLine="567"/>
        <w:rPr>
          <w:lang w:val="fr-FR"/>
        </w:rPr>
      </w:pPr>
      <w:r>
        <w:rPr>
          <w:lang w:val="fr-FR"/>
        </w:rPr>
        <w:t>16</w:t>
      </w:r>
      <w:r w:rsidRPr="004257A8">
        <w:rPr>
          <w:lang w:val="fr-FR"/>
        </w:rPr>
        <w:t>.</w:t>
      </w:r>
      <w:r w:rsidRPr="004257A8">
        <w:rPr>
          <w:lang w:val="fr-FR"/>
        </w:rPr>
        <w:tab/>
        <w:t xml:space="preserve">La Suisse </w:t>
      </w:r>
      <w:r>
        <w:rPr>
          <w:lang w:val="fr-FR"/>
        </w:rPr>
        <w:t>invite les</w:t>
      </w:r>
      <w:r w:rsidRPr="004257A8">
        <w:rPr>
          <w:lang w:val="fr-FR"/>
        </w:rPr>
        <w:t xml:space="preserve"> Parties contractantes à répondre aux questions suivantes :</w:t>
      </w:r>
    </w:p>
    <w:p w14:paraId="3680B75C" w14:textId="5334D750" w:rsidR="00F37AD7" w:rsidRPr="00FF4642" w:rsidRDefault="00FF4642" w:rsidP="00FF4642">
      <w:pPr>
        <w:pStyle w:val="SingleTxtG"/>
      </w:pPr>
      <w:r>
        <w:tab/>
      </w:r>
      <w:r w:rsidR="00F37AD7" w:rsidRPr="00FF4642">
        <w:t>a)</w:t>
      </w:r>
      <w:r w:rsidR="00F37AD7" w:rsidRPr="00FF4642">
        <w:tab/>
        <w:t>Autorisez-vous le passage en tunnel de marchandises sans code de restriction (mention « (-) ») chargées avec d</w:t>
      </w:r>
      <w:r w:rsidR="0076764E">
        <w:t>’</w:t>
      </w:r>
      <w:r w:rsidR="00F37AD7" w:rsidRPr="00FF4642">
        <w:t>autres marchandises, lorsque la valeur calculée selon le 1.1.3.6.4 est dépassée uniquement du fait des marchandises sans code de restriction ?</w:t>
      </w:r>
    </w:p>
    <w:p w14:paraId="03071A38" w14:textId="627BE4BC" w:rsidR="00F37AD7" w:rsidRPr="00FF4642" w:rsidRDefault="00FF4642" w:rsidP="00FF4642">
      <w:pPr>
        <w:pStyle w:val="SingleTxtG"/>
      </w:pPr>
      <w:r>
        <w:tab/>
      </w:r>
      <w:r w:rsidR="00F37AD7" w:rsidRPr="00FF4642">
        <w:t>b)</w:t>
      </w:r>
      <w:r w:rsidR="00F37AD7" w:rsidRPr="00FF4642">
        <w:tab/>
        <w:t>Dans la négative, accepteriez-vous une modification de l</w:t>
      </w:r>
      <w:r w:rsidR="0076764E">
        <w:t>’</w:t>
      </w:r>
      <w:r w:rsidR="00F37AD7" w:rsidRPr="00FF4642">
        <w:t>ADR visant à autoriser explicitement ces transports ?</w:t>
      </w:r>
    </w:p>
    <w:p w14:paraId="428588FF" w14:textId="77777777" w:rsidR="00F37AD7" w:rsidRPr="00DE254F" w:rsidRDefault="00F37AD7" w:rsidP="00F37AD7">
      <w:pPr>
        <w:pStyle w:val="HChG"/>
        <w:rPr>
          <w:lang w:val="fr-FR"/>
        </w:rPr>
      </w:pPr>
      <w:r>
        <w:rPr>
          <w:lang w:val="fr-FR"/>
        </w:rPr>
        <w:tab/>
      </w:r>
      <w:r w:rsidRPr="00DE254F">
        <w:rPr>
          <w:lang w:val="fr-FR"/>
        </w:rPr>
        <w:t>IV.</w:t>
      </w:r>
      <w:r w:rsidRPr="00DE254F">
        <w:rPr>
          <w:lang w:val="fr-FR"/>
        </w:rPr>
        <w:tab/>
      </w:r>
      <w:r>
        <w:rPr>
          <w:lang w:val="fr-FR"/>
        </w:rPr>
        <w:tab/>
        <w:t>Prochaines étapes</w:t>
      </w:r>
    </w:p>
    <w:p w14:paraId="17E57063" w14:textId="59DD14C1" w:rsidR="00F37AD7" w:rsidRDefault="00F37AD7" w:rsidP="00F37AD7">
      <w:pPr>
        <w:pStyle w:val="SingleTxtG"/>
        <w:rPr>
          <w:lang w:val="fr-FR"/>
        </w:rPr>
      </w:pPr>
      <w:r>
        <w:rPr>
          <w:lang w:val="fr-FR"/>
        </w:rPr>
        <w:t>17.</w:t>
      </w:r>
      <w:r>
        <w:rPr>
          <w:lang w:val="fr-FR"/>
        </w:rPr>
        <w:tab/>
        <w:t>Sur la base des réponses et d</w:t>
      </w:r>
      <w:r w:rsidR="0076764E">
        <w:rPr>
          <w:lang w:val="fr-FR"/>
        </w:rPr>
        <w:t>’</w:t>
      </w:r>
      <w:r>
        <w:rPr>
          <w:lang w:val="fr-FR"/>
        </w:rPr>
        <w:t xml:space="preserve">éventuels exemples concrets, le </w:t>
      </w:r>
      <w:r w:rsidR="00846A4F">
        <w:rPr>
          <w:lang w:val="fr-FR"/>
        </w:rPr>
        <w:t>Groupe de travail</w:t>
      </w:r>
      <w:r>
        <w:rPr>
          <w:lang w:val="fr-FR"/>
        </w:rPr>
        <w:t xml:space="preserve"> voudra peut-être convenir de modifier certaines dispositions de l</w:t>
      </w:r>
      <w:r w:rsidR="0076764E">
        <w:rPr>
          <w:lang w:val="fr-FR"/>
        </w:rPr>
        <w:t>’</w:t>
      </w:r>
      <w:r>
        <w:rPr>
          <w:lang w:val="fr-FR"/>
        </w:rPr>
        <w:t>ADR afin de supprimer des incohérences non justifiées du point de vue de la sécurité et de formaliser certaines pratiques existantes.</w:t>
      </w:r>
    </w:p>
    <w:p w14:paraId="581556F6" w14:textId="090EBBC1" w:rsidR="00F37AD7" w:rsidRDefault="00F37AD7" w:rsidP="00F37AD7">
      <w:pPr>
        <w:pStyle w:val="SingleTxtG"/>
        <w:rPr>
          <w:lang w:val="fr-FR"/>
        </w:rPr>
      </w:pPr>
      <w:r>
        <w:rPr>
          <w:lang w:val="fr-FR"/>
        </w:rPr>
        <w:t>18.</w:t>
      </w:r>
      <w:r>
        <w:rPr>
          <w:lang w:val="fr-FR"/>
        </w:rPr>
        <w:tab/>
        <w:t>Ceci contribuera à l</w:t>
      </w:r>
      <w:r w:rsidR="0076764E">
        <w:rPr>
          <w:lang w:val="fr-FR"/>
        </w:rPr>
        <w:t>’</w:t>
      </w:r>
      <w:r>
        <w:rPr>
          <w:lang w:val="fr-FR"/>
        </w:rPr>
        <w:t>harmonisation de la mise en œuvre de l</w:t>
      </w:r>
      <w:r w:rsidR="0076764E">
        <w:rPr>
          <w:lang w:val="fr-FR"/>
        </w:rPr>
        <w:t>’</w:t>
      </w:r>
      <w:r>
        <w:rPr>
          <w:lang w:val="fr-FR"/>
        </w:rPr>
        <w:t>ADR et permettra de réduire les incompréhensions des acteurs économiques et des autorités en charge des contrôles routiers en ce qui concerne l</w:t>
      </w:r>
      <w:r w:rsidR="0076764E">
        <w:rPr>
          <w:lang w:val="fr-FR"/>
        </w:rPr>
        <w:t>’</w:t>
      </w:r>
      <w:r>
        <w:rPr>
          <w:lang w:val="fr-FR"/>
        </w:rPr>
        <w:t>incohérence des prescriptions.</w:t>
      </w:r>
    </w:p>
    <w:p w14:paraId="45B602C5" w14:textId="650B3718" w:rsidR="00F37AD7" w:rsidRDefault="00F37AD7" w:rsidP="00F37AD7">
      <w:pPr>
        <w:pStyle w:val="SingleTxtG"/>
      </w:pPr>
      <w:r>
        <w:rPr>
          <w:lang w:val="fr-FR"/>
        </w:rPr>
        <w:t>19.</w:t>
      </w:r>
      <w:r w:rsidRPr="00D64638">
        <w:rPr>
          <w:lang w:val="fr-FR"/>
        </w:rPr>
        <w:tab/>
      </w:r>
      <w:r>
        <w:rPr>
          <w:lang w:val="fr-FR"/>
        </w:rPr>
        <w:t>Des</w:t>
      </w:r>
      <w:r w:rsidRPr="00D64638">
        <w:rPr>
          <w:lang w:val="fr-FR"/>
        </w:rPr>
        <w:t xml:space="preserve"> exigences de sécurité harmonisées pour le transport des marchandises dangereuses</w:t>
      </w:r>
      <w:r>
        <w:rPr>
          <w:lang w:val="fr-FR"/>
        </w:rPr>
        <w:t xml:space="preserve"> dans les tunnels permettent de </w:t>
      </w:r>
      <w:r w:rsidRPr="00D64638">
        <w:rPr>
          <w:lang w:val="fr-FR"/>
        </w:rPr>
        <w:t>renforcer l</w:t>
      </w:r>
      <w:r>
        <w:rPr>
          <w:lang w:val="fr-FR"/>
        </w:rPr>
        <w:t>a</w:t>
      </w:r>
      <w:r w:rsidRPr="00D64638">
        <w:rPr>
          <w:lang w:val="fr-FR"/>
        </w:rPr>
        <w:t xml:space="preserve"> sécurité </w:t>
      </w:r>
      <w:r>
        <w:rPr>
          <w:lang w:val="fr-FR"/>
        </w:rPr>
        <w:t>routière et contribuent ainsi à</w:t>
      </w:r>
      <w:r w:rsidRPr="00D64638">
        <w:rPr>
          <w:lang w:val="fr-FR"/>
        </w:rPr>
        <w:t xml:space="preserve"> l</w:t>
      </w:r>
      <w:r w:rsidR="0076764E">
        <w:rPr>
          <w:lang w:val="fr-FR"/>
        </w:rPr>
        <w:t>’</w:t>
      </w:r>
      <w:r w:rsidRPr="00D64638">
        <w:rPr>
          <w:lang w:val="fr-FR"/>
        </w:rPr>
        <w:t xml:space="preserve">objectif </w:t>
      </w:r>
      <w:r>
        <w:t xml:space="preserve">de développement durable n° 3 des Nations Unies, </w:t>
      </w:r>
      <w:r>
        <w:rPr>
          <w:i/>
          <w:iCs/>
        </w:rPr>
        <w:t>Bonne santé et bien-être (Assurer une vie saine et promouvoir le bien-être pour tous à tout âge)</w:t>
      </w:r>
      <w:r>
        <w:t>. La suppression de restrictions au passage dans les tunnels, non motivées par un aspect sécuritaire, assurera l</w:t>
      </w:r>
      <w:r w:rsidR="0076764E">
        <w:t>’</w:t>
      </w:r>
      <w:r w:rsidRPr="001F280F">
        <w:t>efficacité tout au long des chaînes d</w:t>
      </w:r>
      <w:r w:rsidR="0076764E">
        <w:t>’</w:t>
      </w:r>
      <w:r w:rsidRPr="001F280F">
        <w:t>approvisionnement</w:t>
      </w:r>
      <w:r>
        <w:t>, contribuant ainsi à l</w:t>
      </w:r>
      <w:r w:rsidR="0076764E">
        <w:t>’</w:t>
      </w:r>
      <w:r>
        <w:t xml:space="preserve">objectif 8, </w:t>
      </w:r>
      <w:r>
        <w:rPr>
          <w:i/>
          <w:iCs/>
        </w:rPr>
        <w:t>Travail décent et croissance économique</w:t>
      </w:r>
      <w:r w:rsidRPr="00D64638">
        <w:rPr>
          <w:lang w:val="fr-FR"/>
        </w:rPr>
        <w:t xml:space="preserve"> </w:t>
      </w:r>
      <w:r>
        <w:rPr>
          <w:i/>
          <w:iCs/>
        </w:rPr>
        <w:t>(Promouvoir une croissance économique soutenue, inclusive et durable, le plein emploi productif et un travail décent pour tous).</w:t>
      </w:r>
    </w:p>
    <w:p w14:paraId="72950C84" w14:textId="77777777" w:rsidR="00F37AD7" w:rsidRDefault="00F37AD7" w:rsidP="00F37AD7">
      <w:pPr>
        <w:pStyle w:val="SingleTxtG"/>
      </w:pPr>
    </w:p>
    <w:p w14:paraId="32C304EB" w14:textId="77777777" w:rsidR="00F37AD7" w:rsidRPr="001F280F" w:rsidRDefault="00F37AD7" w:rsidP="00F37AD7">
      <w:pPr>
        <w:spacing w:after="200" w:line="276" w:lineRule="auto"/>
        <w:rPr>
          <w:b/>
          <w:sz w:val="28"/>
        </w:rPr>
      </w:pPr>
      <w:r w:rsidRPr="001F280F">
        <w:br w:type="page"/>
      </w:r>
    </w:p>
    <w:p w14:paraId="172DC729" w14:textId="04691AE9" w:rsidR="00AE6348" w:rsidRPr="00AE6348" w:rsidRDefault="00F37AD7" w:rsidP="00EF2373">
      <w:pPr>
        <w:pStyle w:val="HChG"/>
      </w:pPr>
      <w:r w:rsidRPr="00FF4642">
        <w:lastRenderedPageBreak/>
        <w:t>Annexe</w:t>
      </w:r>
    </w:p>
    <w:p w14:paraId="6F5F9792" w14:textId="02C44F69" w:rsidR="00F37AD7" w:rsidRPr="00AE6348" w:rsidRDefault="00EF2373" w:rsidP="00EF2373">
      <w:pPr>
        <w:pStyle w:val="H1G"/>
      </w:pPr>
      <w:r>
        <w:rPr>
          <w:lang w:val="fr-FR"/>
        </w:rPr>
        <w:tab/>
      </w:r>
      <w:r>
        <w:rPr>
          <w:lang w:val="fr-FR"/>
        </w:rPr>
        <w:tab/>
      </w:r>
      <w:r w:rsidR="00F37AD7" w:rsidRPr="00AE6348">
        <w:rPr>
          <w:lang w:val="fr-FR"/>
        </w:rPr>
        <w:t>Liste des marchandises de la catégorie de transport 4</w:t>
      </w:r>
      <w:r w:rsidR="00F37AD7" w:rsidRPr="00AE6348">
        <w:t xml:space="preserve"> transportées uniquement dans des colis</w:t>
      </w:r>
    </w:p>
    <w:tbl>
      <w:tblPr>
        <w:tblStyle w:val="Grilledutableau"/>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5"/>
        <w:gridCol w:w="616"/>
        <w:gridCol w:w="26"/>
        <w:gridCol w:w="1062"/>
        <w:gridCol w:w="2451"/>
        <w:gridCol w:w="2883"/>
        <w:gridCol w:w="865"/>
        <w:gridCol w:w="577"/>
      </w:tblGrid>
      <w:tr w:rsidR="00F37AD7" w:rsidRPr="00AE6348" w14:paraId="1E43F834" w14:textId="77777777" w:rsidTr="003B4DE9">
        <w:trPr>
          <w:tblHeader/>
        </w:trPr>
        <w:tc>
          <w:tcPr>
            <w:tcW w:w="631" w:type="dxa"/>
            <w:gridSpan w:val="2"/>
            <w:tcBorders>
              <w:top w:val="single" w:sz="4" w:space="0" w:color="auto"/>
              <w:bottom w:val="single" w:sz="12" w:space="0" w:color="auto"/>
            </w:tcBorders>
            <w:shd w:val="clear" w:color="auto" w:fill="auto"/>
            <w:vAlign w:val="bottom"/>
          </w:tcPr>
          <w:p w14:paraId="4146B20D" w14:textId="77777777" w:rsidR="00F37AD7" w:rsidRPr="00AE6348" w:rsidRDefault="00F37AD7" w:rsidP="00AE6348">
            <w:pPr>
              <w:spacing w:before="80" w:after="80" w:line="200" w:lineRule="exact"/>
              <w:ind w:right="113"/>
              <w:rPr>
                <w:i/>
                <w:sz w:val="16"/>
              </w:rPr>
            </w:pPr>
            <w:r w:rsidRPr="00AE6348">
              <w:rPr>
                <w:i/>
                <w:sz w:val="16"/>
              </w:rPr>
              <w:t>Classe</w:t>
            </w:r>
          </w:p>
        </w:tc>
        <w:tc>
          <w:tcPr>
            <w:tcW w:w="1070" w:type="dxa"/>
            <w:gridSpan w:val="2"/>
            <w:tcBorders>
              <w:top w:val="single" w:sz="4" w:space="0" w:color="auto"/>
              <w:bottom w:val="single" w:sz="12" w:space="0" w:color="auto"/>
            </w:tcBorders>
            <w:shd w:val="clear" w:color="auto" w:fill="auto"/>
            <w:vAlign w:val="bottom"/>
          </w:tcPr>
          <w:p w14:paraId="502979DC" w14:textId="77777777" w:rsidR="00F37AD7" w:rsidRPr="00AE6348" w:rsidRDefault="00F37AD7" w:rsidP="00AE6348">
            <w:pPr>
              <w:spacing w:before="80" w:after="80" w:line="200" w:lineRule="exact"/>
              <w:ind w:right="113"/>
              <w:rPr>
                <w:i/>
                <w:sz w:val="16"/>
              </w:rPr>
            </w:pPr>
            <w:r w:rsidRPr="00AE6348">
              <w:rPr>
                <w:i/>
                <w:sz w:val="16"/>
              </w:rPr>
              <w:t>Classification</w:t>
            </w:r>
          </w:p>
        </w:tc>
        <w:tc>
          <w:tcPr>
            <w:tcW w:w="2410" w:type="dxa"/>
            <w:tcBorders>
              <w:top w:val="single" w:sz="4" w:space="0" w:color="auto"/>
              <w:bottom w:val="single" w:sz="12" w:space="0" w:color="auto"/>
            </w:tcBorders>
            <w:shd w:val="clear" w:color="auto" w:fill="auto"/>
            <w:vAlign w:val="bottom"/>
          </w:tcPr>
          <w:p w14:paraId="6234BE4B" w14:textId="77777777" w:rsidR="00F37AD7" w:rsidRPr="00AE6348" w:rsidRDefault="00F37AD7" w:rsidP="00AE6348">
            <w:pPr>
              <w:spacing w:before="80" w:after="80" w:line="200" w:lineRule="exact"/>
              <w:ind w:right="113"/>
              <w:rPr>
                <w:i/>
                <w:sz w:val="16"/>
              </w:rPr>
            </w:pPr>
            <w:r w:rsidRPr="00AE6348">
              <w:rPr>
                <w:i/>
                <w:sz w:val="16"/>
              </w:rPr>
              <w:t>Type de marchandise</w:t>
            </w:r>
          </w:p>
        </w:tc>
        <w:tc>
          <w:tcPr>
            <w:tcW w:w="2835" w:type="dxa"/>
            <w:tcBorders>
              <w:top w:val="single" w:sz="4" w:space="0" w:color="auto"/>
              <w:bottom w:val="single" w:sz="12" w:space="0" w:color="auto"/>
            </w:tcBorders>
            <w:shd w:val="clear" w:color="auto" w:fill="auto"/>
            <w:vAlign w:val="bottom"/>
          </w:tcPr>
          <w:p w14:paraId="1C752721" w14:textId="77777777" w:rsidR="00F37AD7" w:rsidRPr="00AE6348" w:rsidRDefault="00F37AD7" w:rsidP="00AE6348">
            <w:pPr>
              <w:spacing w:before="80" w:after="80" w:line="200" w:lineRule="exact"/>
              <w:ind w:right="113"/>
              <w:rPr>
                <w:i/>
                <w:sz w:val="16"/>
              </w:rPr>
            </w:pPr>
            <w:r w:rsidRPr="00AE6348">
              <w:rPr>
                <w:i/>
                <w:sz w:val="16"/>
              </w:rPr>
              <w:t>Numéros ONU</w:t>
            </w:r>
          </w:p>
        </w:tc>
        <w:tc>
          <w:tcPr>
            <w:tcW w:w="851" w:type="dxa"/>
            <w:tcBorders>
              <w:top w:val="single" w:sz="4" w:space="0" w:color="auto"/>
              <w:bottom w:val="single" w:sz="12" w:space="0" w:color="auto"/>
            </w:tcBorders>
            <w:shd w:val="clear" w:color="auto" w:fill="auto"/>
            <w:vAlign w:val="bottom"/>
          </w:tcPr>
          <w:p w14:paraId="556AD555" w14:textId="77777777" w:rsidR="00F37AD7" w:rsidRPr="00AE6348" w:rsidRDefault="00F37AD7" w:rsidP="00AE6348">
            <w:pPr>
              <w:spacing w:before="80" w:after="80" w:line="200" w:lineRule="exact"/>
              <w:ind w:right="113"/>
              <w:rPr>
                <w:i/>
                <w:sz w:val="16"/>
              </w:rPr>
            </w:pPr>
            <w:r w:rsidRPr="00AE6348">
              <w:rPr>
                <w:i/>
                <w:sz w:val="16"/>
              </w:rPr>
              <w:t>Quantités limitées</w:t>
            </w:r>
          </w:p>
        </w:tc>
        <w:tc>
          <w:tcPr>
            <w:tcW w:w="567" w:type="dxa"/>
            <w:tcBorders>
              <w:top w:val="single" w:sz="4" w:space="0" w:color="auto"/>
              <w:bottom w:val="single" w:sz="12" w:space="0" w:color="auto"/>
            </w:tcBorders>
            <w:shd w:val="clear" w:color="auto" w:fill="auto"/>
            <w:vAlign w:val="bottom"/>
          </w:tcPr>
          <w:p w14:paraId="7E870E7E" w14:textId="77777777" w:rsidR="00F37AD7" w:rsidRPr="00AE6348" w:rsidRDefault="00F37AD7" w:rsidP="00AE6348">
            <w:pPr>
              <w:spacing w:before="80" w:after="80" w:line="200" w:lineRule="exact"/>
              <w:ind w:right="113"/>
              <w:rPr>
                <w:i/>
                <w:sz w:val="16"/>
              </w:rPr>
            </w:pPr>
            <w:r w:rsidRPr="00AE6348">
              <w:rPr>
                <w:i/>
                <w:sz w:val="16"/>
              </w:rPr>
              <w:t>Code tunnel</w:t>
            </w:r>
          </w:p>
        </w:tc>
      </w:tr>
      <w:tr w:rsidR="00AE6348" w:rsidRPr="00AE6348" w14:paraId="4FAEDC62" w14:textId="77777777" w:rsidTr="003B4DE9">
        <w:trPr>
          <w:trHeight w:hRule="exact" w:val="113"/>
        </w:trPr>
        <w:tc>
          <w:tcPr>
            <w:tcW w:w="631" w:type="dxa"/>
            <w:gridSpan w:val="2"/>
            <w:tcBorders>
              <w:top w:val="single" w:sz="12" w:space="0" w:color="auto"/>
            </w:tcBorders>
            <w:shd w:val="clear" w:color="auto" w:fill="auto"/>
          </w:tcPr>
          <w:p w14:paraId="3789CB60" w14:textId="77777777" w:rsidR="00AE6348" w:rsidRPr="00AE6348" w:rsidRDefault="00AE6348" w:rsidP="00AE6348">
            <w:pPr>
              <w:spacing w:before="40" w:after="120"/>
              <w:ind w:right="113"/>
            </w:pPr>
          </w:p>
        </w:tc>
        <w:tc>
          <w:tcPr>
            <w:tcW w:w="1070" w:type="dxa"/>
            <w:gridSpan w:val="2"/>
            <w:tcBorders>
              <w:top w:val="single" w:sz="12" w:space="0" w:color="auto"/>
            </w:tcBorders>
            <w:shd w:val="clear" w:color="auto" w:fill="auto"/>
          </w:tcPr>
          <w:p w14:paraId="3C4BE7C9" w14:textId="77777777" w:rsidR="00AE6348" w:rsidRPr="00AE6348" w:rsidRDefault="00AE6348" w:rsidP="00AE6348">
            <w:pPr>
              <w:spacing w:before="40" w:after="120"/>
              <w:ind w:right="113"/>
            </w:pPr>
          </w:p>
        </w:tc>
        <w:tc>
          <w:tcPr>
            <w:tcW w:w="2410" w:type="dxa"/>
            <w:tcBorders>
              <w:top w:val="single" w:sz="12" w:space="0" w:color="auto"/>
            </w:tcBorders>
            <w:shd w:val="clear" w:color="auto" w:fill="auto"/>
          </w:tcPr>
          <w:p w14:paraId="4707CF8E" w14:textId="77777777" w:rsidR="00AE6348" w:rsidRPr="00AE6348" w:rsidRDefault="00AE6348" w:rsidP="00AE6348">
            <w:pPr>
              <w:spacing w:before="40" w:after="120"/>
              <w:ind w:right="113"/>
            </w:pPr>
          </w:p>
        </w:tc>
        <w:tc>
          <w:tcPr>
            <w:tcW w:w="2835" w:type="dxa"/>
            <w:tcBorders>
              <w:top w:val="single" w:sz="12" w:space="0" w:color="auto"/>
            </w:tcBorders>
            <w:shd w:val="clear" w:color="auto" w:fill="auto"/>
          </w:tcPr>
          <w:p w14:paraId="11B243A5" w14:textId="77777777" w:rsidR="00AE6348" w:rsidRPr="00AE6348" w:rsidRDefault="00AE6348" w:rsidP="00AE6348">
            <w:pPr>
              <w:spacing w:before="40" w:after="120"/>
              <w:ind w:right="113"/>
            </w:pPr>
          </w:p>
        </w:tc>
        <w:tc>
          <w:tcPr>
            <w:tcW w:w="851" w:type="dxa"/>
            <w:tcBorders>
              <w:top w:val="single" w:sz="12" w:space="0" w:color="auto"/>
            </w:tcBorders>
            <w:shd w:val="clear" w:color="auto" w:fill="auto"/>
          </w:tcPr>
          <w:p w14:paraId="7ED9C83C" w14:textId="77777777" w:rsidR="00AE6348" w:rsidRPr="00AE6348" w:rsidRDefault="00AE6348" w:rsidP="00AE6348">
            <w:pPr>
              <w:spacing w:before="40" w:after="120"/>
              <w:ind w:right="113"/>
            </w:pPr>
          </w:p>
        </w:tc>
        <w:tc>
          <w:tcPr>
            <w:tcW w:w="567" w:type="dxa"/>
            <w:tcBorders>
              <w:top w:val="single" w:sz="12" w:space="0" w:color="auto"/>
            </w:tcBorders>
            <w:shd w:val="clear" w:color="auto" w:fill="auto"/>
          </w:tcPr>
          <w:p w14:paraId="03E3A7F4" w14:textId="77777777" w:rsidR="00AE6348" w:rsidRPr="00AE6348" w:rsidRDefault="00AE6348" w:rsidP="00AE6348">
            <w:pPr>
              <w:spacing w:before="40" w:after="120"/>
              <w:ind w:right="113"/>
            </w:pPr>
          </w:p>
        </w:tc>
      </w:tr>
      <w:tr w:rsidR="00F37AD7" w:rsidRPr="00AE6348" w14:paraId="30AE8232" w14:textId="77777777" w:rsidTr="003B4DE9">
        <w:tc>
          <w:tcPr>
            <w:tcW w:w="631" w:type="dxa"/>
            <w:gridSpan w:val="2"/>
            <w:shd w:val="clear" w:color="auto" w:fill="auto"/>
          </w:tcPr>
          <w:p w14:paraId="3095A341" w14:textId="77777777" w:rsidR="00F37AD7" w:rsidRPr="00AE6348" w:rsidRDefault="00F37AD7" w:rsidP="00AE6348">
            <w:pPr>
              <w:spacing w:before="40" w:after="120"/>
              <w:ind w:right="113"/>
              <w:rPr>
                <w:lang w:val="en-GB"/>
              </w:rPr>
            </w:pPr>
            <w:r w:rsidRPr="00AE6348">
              <w:rPr>
                <w:lang w:val="en-GB"/>
              </w:rPr>
              <w:t xml:space="preserve">1 </w:t>
            </w:r>
          </w:p>
        </w:tc>
        <w:tc>
          <w:tcPr>
            <w:tcW w:w="1070" w:type="dxa"/>
            <w:gridSpan w:val="2"/>
            <w:shd w:val="clear" w:color="auto" w:fill="auto"/>
          </w:tcPr>
          <w:p w14:paraId="77A4CF93" w14:textId="77777777" w:rsidR="00F37AD7" w:rsidRPr="00AE6348" w:rsidRDefault="00F37AD7" w:rsidP="00AE6348">
            <w:pPr>
              <w:spacing w:before="40" w:after="120"/>
              <w:ind w:right="113"/>
            </w:pPr>
            <w:r w:rsidRPr="00AE6348">
              <w:rPr>
                <w:lang w:val="en-GB"/>
              </w:rPr>
              <w:t>1.4S</w:t>
            </w:r>
          </w:p>
        </w:tc>
        <w:tc>
          <w:tcPr>
            <w:tcW w:w="2410" w:type="dxa"/>
            <w:shd w:val="clear" w:color="auto" w:fill="auto"/>
          </w:tcPr>
          <w:p w14:paraId="08BC27E0" w14:textId="0884CC36" w:rsidR="00F37AD7" w:rsidRPr="00AE6348" w:rsidRDefault="00F37AD7" w:rsidP="00AE6348">
            <w:pPr>
              <w:spacing w:before="40" w:after="120"/>
              <w:ind w:right="113"/>
            </w:pPr>
            <w:r w:rsidRPr="00AE6348">
              <w:t>Artifices de divertissement, détonateurs, charges sans détonateurs, signaux, dispositifs d</w:t>
            </w:r>
            <w:r w:rsidR="0076764E">
              <w:t>’</w:t>
            </w:r>
            <w:r w:rsidRPr="00AE6348">
              <w:t>extinction</w:t>
            </w:r>
          </w:p>
        </w:tc>
        <w:tc>
          <w:tcPr>
            <w:tcW w:w="2835" w:type="dxa"/>
            <w:shd w:val="clear" w:color="auto" w:fill="auto"/>
          </w:tcPr>
          <w:p w14:paraId="35527E63" w14:textId="77777777" w:rsidR="00F37AD7" w:rsidRPr="00AE6348" w:rsidRDefault="00F37AD7" w:rsidP="00AE6348">
            <w:pPr>
              <w:spacing w:before="40" w:after="120"/>
              <w:ind w:right="113"/>
            </w:pPr>
            <w:r w:rsidRPr="00AE6348">
              <w:t>0044, 0070, 0105, 0110, 0131, 0173, 0174, 0193, 0323, 0337, 0345, 0349, 0366, 0367, 0368, 0373, 0376, 0384, 0404, 0405, 0432, 0441, 0445, 0454, 0455, 0456, 0460, 0481, 0500, 0506, 0507, 0513, 0514</w:t>
            </w:r>
          </w:p>
        </w:tc>
        <w:tc>
          <w:tcPr>
            <w:tcW w:w="851" w:type="dxa"/>
            <w:shd w:val="clear" w:color="auto" w:fill="auto"/>
          </w:tcPr>
          <w:p w14:paraId="38C776C7" w14:textId="77777777" w:rsidR="00F37AD7" w:rsidRPr="00AE6348" w:rsidRDefault="00F37AD7" w:rsidP="00AE6348">
            <w:pPr>
              <w:spacing w:before="40" w:after="120"/>
              <w:ind w:right="113"/>
            </w:pPr>
            <w:r w:rsidRPr="00AE6348">
              <w:t xml:space="preserve">0 </w:t>
            </w:r>
          </w:p>
        </w:tc>
        <w:tc>
          <w:tcPr>
            <w:tcW w:w="567" w:type="dxa"/>
            <w:shd w:val="clear" w:color="auto" w:fill="auto"/>
          </w:tcPr>
          <w:p w14:paraId="57248FD3" w14:textId="77777777" w:rsidR="00F37AD7" w:rsidRPr="00AE6348" w:rsidRDefault="00F37AD7" w:rsidP="00AE6348">
            <w:pPr>
              <w:spacing w:before="40" w:after="120"/>
              <w:ind w:right="113"/>
            </w:pPr>
            <w:r w:rsidRPr="00AE6348">
              <w:t>(E)</w:t>
            </w:r>
          </w:p>
        </w:tc>
      </w:tr>
      <w:tr w:rsidR="00F37AD7" w:rsidRPr="00AE6348" w14:paraId="1CAFF2C5" w14:textId="77777777" w:rsidTr="003B4DE9">
        <w:tc>
          <w:tcPr>
            <w:tcW w:w="631" w:type="dxa"/>
            <w:gridSpan w:val="2"/>
            <w:shd w:val="clear" w:color="auto" w:fill="auto"/>
          </w:tcPr>
          <w:p w14:paraId="31C58B43" w14:textId="77777777" w:rsidR="00F37AD7" w:rsidRPr="00AE6348" w:rsidRDefault="00F37AD7" w:rsidP="00AE6348">
            <w:pPr>
              <w:spacing w:before="40" w:after="120"/>
              <w:ind w:right="113"/>
              <w:rPr>
                <w:lang w:val="en-GB"/>
              </w:rPr>
            </w:pPr>
            <w:r w:rsidRPr="00AE6348">
              <w:rPr>
                <w:lang w:val="en-GB"/>
              </w:rPr>
              <w:t xml:space="preserve">1 </w:t>
            </w:r>
          </w:p>
        </w:tc>
        <w:tc>
          <w:tcPr>
            <w:tcW w:w="1070" w:type="dxa"/>
            <w:gridSpan w:val="2"/>
            <w:shd w:val="clear" w:color="auto" w:fill="auto"/>
          </w:tcPr>
          <w:p w14:paraId="027C4DAE" w14:textId="77777777" w:rsidR="00F37AD7" w:rsidRPr="00AE6348" w:rsidRDefault="00F37AD7" w:rsidP="00AE6348">
            <w:pPr>
              <w:spacing w:before="40" w:after="120"/>
              <w:ind w:right="113"/>
            </w:pPr>
            <w:r w:rsidRPr="00AE6348">
              <w:rPr>
                <w:lang w:val="en-GB"/>
              </w:rPr>
              <w:t>1.4S</w:t>
            </w:r>
          </w:p>
        </w:tc>
        <w:tc>
          <w:tcPr>
            <w:tcW w:w="2410" w:type="dxa"/>
            <w:shd w:val="clear" w:color="auto" w:fill="auto"/>
          </w:tcPr>
          <w:p w14:paraId="75BCB27F" w14:textId="77777777" w:rsidR="00F37AD7" w:rsidRPr="00AE6348" w:rsidRDefault="00F37AD7" w:rsidP="00AE6348">
            <w:pPr>
              <w:spacing w:before="40" w:after="120"/>
              <w:ind w:right="113"/>
            </w:pPr>
            <w:r w:rsidRPr="00AE6348">
              <w:t>Cartouches, douilles de cartouches</w:t>
            </w:r>
          </w:p>
        </w:tc>
        <w:tc>
          <w:tcPr>
            <w:tcW w:w="2835" w:type="dxa"/>
            <w:shd w:val="clear" w:color="auto" w:fill="auto"/>
          </w:tcPr>
          <w:p w14:paraId="6318AB5F" w14:textId="77777777" w:rsidR="00F37AD7" w:rsidRPr="00AE6348" w:rsidRDefault="00F37AD7" w:rsidP="00AE6348">
            <w:pPr>
              <w:spacing w:before="40" w:after="120"/>
              <w:ind w:right="113"/>
            </w:pPr>
            <w:r w:rsidRPr="00AE6348">
              <w:t>0012, 0014, 0055</w:t>
            </w:r>
          </w:p>
        </w:tc>
        <w:tc>
          <w:tcPr>
            <w:tcW w:w="851" w:type="dxa"/>
            <w:shd w:val="clear" w:color="auto" w:fill="auto"/>
          </w:tcPr>
          <w:p w14:paraId="44734862" w14:textId="77777777" w:rsidR="00F37AD7" w:rsidRPr="00AE6348" w:rsidRDefault="00F37AD7" w:rsidP="00AE6348">
            <w:pPr>
              <w:spacing w:before="40" w:after="120"/>
              <w:ind w:right="113"/>
            </w:pPr>
            <w:r w:rsidRPr="00AE6348">
              <w:t>5 kg</w:t>
            </w:r>
          </w:p>
        </w:tc>
        <w:tc>
          <w:tcPr>
            <w:tcW w:w="567" w:type="dxa"/>
            <w:shd w:val="clear" w:color="auto" w:fill="auto"/>
          </w:tcPr>
          <w:p w14:paraId="15ACAE85" w14:textId="77777777" w:rsidR="00F37AD7" w:rsidRPr="00AE6348" w:rsidRDefault="00F37AD7" w:rsidP="00AE6348">
            <w:pPr>
              <w:spacing w:before="40" w:after="120"/>
              <w:ind w:right="113"/>
            </w:pPr>
            <w:r w:rsidRPr="00AE6348">
              <w:t>(E)</w:t>
            </w:r>
          </w:p>
        </w:tc>
      </w:tr>
      <w:tr w:rsidR="00F37AD7" w:rsidRPr="00AE6348" w14:paraId="6FCFD4CE" w14:textId="77777777" w:rsidTr="003B4DE9">
        <w:tblPrEx>
          <w:tblCellMar>
            <w:top w:w="0" w:type="dxa"/>
            <w:left w:w="0" w:type="dxa"/>
            <w:bottom w:w="0" w:type="dxa"/>
            <w:right w:w="0" w:type="dxa"/>
          </w:tblCellMar>
        </w:tblPrEx>
        <w:trPr>
          <w:gridBefore w:val="1"/>
          <w:wBefore w:w="25" w:type="dxa"/>
        </w:trPr>
        <w:tc>
          <w:tcPr>
            <w:tcW w:w="632" w:type="dxa"/>
            <w:gridSpan w:val="2"/>
            <w:shd w:val="clear" w:color="auto" w:fill="auto"/>
          </w:tcPr>
          <w:p w14:paraId="250129DD" w14:textId="77777777" w:rsidR="00F37AD7" w:rsidRPr="00AE6348" w:rsidRDefault="00F37AD7" w:rsidP="00AE6348">
            <w:pPr>
              <w:spacing w:before="40" w:after="120"/>
              <w:ind w:right="113"/>
              <w:rPr>
                <w:lang w:val="en-GB"/>
              </w:rPr>
            </w:pPr>
            <w:r w:rsidRPr="00AE6348">
              <w:rPr>
                <w:lang w:val="en-GB"/>
              </w:rPr>
              <w:t>2</w:t>
            </w:r>
          </w:p>
          <w:p w14:paraId="38AFC2E6" w14:textId="77777777" w:rsidR="00F37AD7" w:rsidRPr="00AE6348" w:rsidRDefault="00F37AD7" w:rsidP="00AE6348">
            <w:pPr>
              <w:spacing w:before="40" w:after="120"/>
              <w:ind w:right="113"/>
              <w:rPr>
                <w:lang w:val="en-GB"/>
              </w:rPr>
            </w:pPr>
            <w:r w:rsidRPr="00AE6348">
              <w:rPr>
                <w:lang w:val="en-GB"/>
              </w:rPr>
              <w:t>3</w:t>
            </w:r>
          </w:p>
          <w:p w14:paraId="49D4D390" w14:textId="77777777" w:rsidR="00F37AD7" w:rsidRPr="00AE6348" w:rsidRDefault="00F37AD7" w:rsidP="00AE6348">
            <w:pPr>
              <w:spacing w:before="40" w:after="120"/>
              <w:ind w:right="113"/>
              <w:rPr>
                <w:lang w:val="en-GB"/>
              </w:rPr>
            </w:pPr>
            <w:r w:rsidRPr="00AE6348">
              <w:rPr>
                <w:lang w:val="en-GB"/>
              </w:rPr>
              <w:t>4.1</w:t>
            </w:r>
          </w:p>
          <w:p w14:paraId="04C50545" w14:textId="77777777" w:rsidR="00F37AD7" w:rsidRPr="00AE6348" w:rsidRDefault="00F37AD7" w:rsidP="00AE6348">
            <w:pPr>
              <w:spacing w:before="40" w:after="120"/>
              <w:ind w:right="113"/>
              <w:rPr>
                <w:lang w:val="en-GB"/>
              </w:rPr>
            </w:pPr>
            <w:r w:rsidRPr="00AE6348">
              <w:rPr>
                <w:lang w:val="en-GB"/>
              </w:rPr>
              <w:t>4.2</w:t>
            </w:r>
          </w:p>
          <w:p w14:paraId="1567E643" w14:textId="77777777" w:rsidR="00F37AD7" w:rsidRPr="00AE6348" w:rsidRDefault="00F37AD7" w:rsidP="00AE6348">
            <w:pPr>
              <w:spacing w:before="40" w:after="120"/>
              <w:ind w:right="113"/>
              <w:rPr>
                <w:lang w:val="en-GB"/>
              </w:rPr>
            </w:pPr>
            <w:r w:rsidRPr="00AE6348">
              <w:rPr>
                <w:lang w:val="en-GB"/>
              </w:rPr>
              <w:t>4.3</w:t>
            </w:r>
          </w:p>
          <w:p w14:paraId="4DF942AC" w14:textId="77777777" w:rsidR="00F37AD7" w:rsidRPr="00AE6348" w:rsidRDefault="00F37AD7" w:rsidP="00AE6348">
            <w:pPr>
              <w:spacing w:before="40" w:after="120"/>
              <w:ind w:right="113"/>
              <w:rPr>
                <w:lang w:val="en-GB"/>
              </w:rPr>
            </w:pPr>
            <w:r w:rsidRPr="00AE6348">
              <w:rPr>
                <w:lang w:val="en-GB"/>
              </w:rPr>
              <w:t>5.1</w:t>
            </w:r>
          </w:p>
          <w:p w14:paraId="6E7FB25F" w14:textId="77777777" w:rsidR="00F37AD7" w:rsidRPr="00AE6348" w:rsidRDefault="00F37AD7" w:rsidP="00AE6348">
            <w:pPr>
              <w:spacing w:before="40" w:after="120"/>
              <w:ind w:right="113"/>
              <w:rPr>
                <w:lang w:val="en-GB"/>
              </w:rPr>
            </w:pPr>
            <w:r w:rsidRPr="00AE6348">
              <w:rPr>
                <w:lang w:val="en-GB"/>
              </w:rPr>
              <w:t>5.2</w:t>
            </w:r>
          </w:p>
          <w:p w14:paraId="33EAEA50" w14:textId="77777777" w:rsidR="00F37AD7" w:rsidRPr="00AE6348" w:rsidRDefault="00F37AD7" w:rsidP="00AE6348">
            <w:pPr>
              <w:spacing w:before="40" w:after="120"/>
              <w:ind w:right="113"/>
              <w:rPr>
                <w:lang w:val="en-GB"/>
              </w:rPr>
            </w:pPr>
            <w:r w:rsidRPr="00AE6348">
              <w:rPr>
                <w:lang w:val="en-GB"/>
              </w:rPr>
              <w:t>6.1</w:t>
            </w:r>
          </w:p>
          <w:p w14:paraId="562BC605" w14:textId="77777777" w:rsidR="00F37AD7" w:rsidRPr="00AE6348" w:rsidRDefault="00F37AD7" w:rsidP="00AE6348">
            <w:pPr>
              <w:spacing w:before="40" w:after="120"/>
              <w:ind w:right="113"/>
              <w:rPr>
                <w:lang w:val="en-GB"/>
              </w:rPr>
            </w:pPr>
            <w:r w:rsidRPr="00AE6348">
              <w:rPr>
                <w:lang w:val="en-GB"/>
              </w:rPr>
              <w:t>8</w:t>
            </w:r>
          </w:p>
          <w:p w14:paraId="6858882E" w14:textId="77777777" w:rsidR="00F37AD7" w:rsidRPr="00AE6348" w:rsidRDefault="00F37AD7" w:rsidP="00AE6348">
            <w:pPr>
              <w:spacing w:before="40" w:after="120"/>
              <w:ind w:right="113"/>
              <w:rPr>
                <w:lang w:val="en-GB"/>
              </w:rPr>
            </w:pPr>
            <w:r w:rsidRPr="00AE6348">
              <w:rPr>
                <w:lang w:val="en-GB"/>
              </w:rPr>
              <w:t>9</w:t>
            </w:r>
          </w:p>
        </w:tc>
        <w:tc>
          <w:tcPr>
            <w:tcW w:w="1044" w:type="dxa"/>
            <w:shd w:val="clear" w:color="auto" w:fill="auto"/>
          </w:tcPr>
          <w:p w14:paraId="276D28CD" w14:textId="77777777" w:rsidR="00F37AD7" w:rsidRPr="00AE6348" w:rsidRDefault="00F37AD7" w:rsidP="00AE6348">
            <w:pPr>
              <w:spacing w:before="40" w:after="120"/>
              <w:ind w:right="113"/>
              <w:rPr>
                <w:lang w:val="en-GB"/>
              </w:rPr>
            </w:pPr>
            <w:r w:rsidRPr="00AE6348">
              <w:rPr>
                <w:lang w:val="en-GB"/>
              </w:rPr>
              <w:t>6A, 6F, 6T</w:t>
            </w:r>
          </w:p>
          <w:p w14:paraId="21C2FD04" w14:textId="77777777" w:rsidR="00F37AD7" w:rsidRPr="00AE6348" w:rsidRDefault="00F37AD7" w:rsidP="00AE6348">
            <w:pPr>
              <w:spacing w:before="40" w:after="120"/>
              <w:ind w:right="113"/>
              <w:rPr>
                <w:lang w:val="en-GB"/>
              </w:rPr>
            </w:pPr>
            <w:r w:rsidRPr="00AE6348">
              <w:rPr>
                <w:lang w:val="en-GB"/>
              </w:rPr>
              <w:t>F3</w:t>
            </w:r>
          </w:p>
          <w:p w14:paraId="5071534D" w14:textId="77777777" w:rsidR="00F37AD7" w:rsidRPr="00AE6348" w:rsidRDefault="00F37AD7" w:rsidP="00AE6348">
            <w:pPr>
              <w:spacing w:before="40" w:after="120"/>
              <w:ind w:right="113"/>
              <w:rPr>
                <w:lang w:val="en-GB"/>
              </w:rPr>
            </w:pPr>
            <w:r w:rsidRPr="00AE6348">
              <w:rPr>
                <w:lang w:val="en-GB"/>
              </w:rPr>
              <w:t>F4</w:t>
            </w:r>
          </w:p>
          <w:p w14:paraId="26958A70" w14:textId="77777777" w:rsidR="00F37AD7" w:rsidRPr="00AE6348" w:rsidRDefault="00F37AD7" w:rsidP="00AE6348">
            <w:pPr>
              <w:spacing w:before="40" w:after="120"/>
              <w:ind w:right="113"/>
              <w:rPr>
                <w:lang w:val="en-GB"/>
              </w:rPr>
            </w:pPr>
            <w:r w:rsidRPr="00AE6348">
              <w:rPr>
                <w:lang w:val="en-GB"/>
              </w:rPr>
              <w:t>S2, S6</w:t>
            </w:r>
          </w:p>
          <w:p w14:paraId="51ECBFE1" w14:textId="77777777" w:rsidR="00F37AD7" w:rsidRPr="00AE6348" w:rsidRDefault="00F37AD7" w:rsidP="00AE6348">
            <w:pPr>
              <w:spacing w:before="40" w:after="120"/>
              <w:ind w:right="113"/>
              <w:rPr>
                <w:lang w:val="en-GB"/>
              </w:rPr>
            </w:pPr>
            <w:r w:rsidRPr="00AE6348">
              <w:rPr>
                <w:lang w:val="en-GB"/>
              </w:rPr>
              <w:t>W3</w:t>
            </w:r>
          </w:p>
          <w:p w14:paraId="028A08BD" w14:textId="77777777" w:rsidR="00F37AD7" w:rsidRPr="00AE6348" w:rsidRDefault="00F37AD7" w:rsidP="00AE6348">
            <w:pPr>
              <w:spacing w:before="40" w:after="120"/>
              <w:ind w:right="113"/>
              <w:rPr>
                <w:lang w:val="en-GB"/>
              </w:rPr>
            </w:pPr>
            <w:r w:rsidRPr="00AE6348">
              <w:rPr>
                <w:lang w:val="en-GB"/>
              </w:rPr>
              <w:t>O3</w:t>
            </w:r>
          </w:p>
          <w:p w14:paraId="047DE0A7" w14:textId="77777777" w:rsidR="00F37AD7" w:rsidRPr="00AE6348" w:rsidRDefault="00F37AD7" w:rsidP="00AE6348">
            <w:pPr>
              <w:spacing w:before="40" w:after="120"/>
              <w:ind w:right="113"/>
              <w:rPr>
                <w:lang w:val="en-GB"/>
              </w:rPr>
            </w:pPr>
            <w:r w:rsidRPr="00AE6348">
              <w:rPr>
                <w:lang w:val="en-GB"/>
              </w:rPr>
              <w:t>P1, P2</w:t>
            </w:r>
          </w:p>
          <w:p w14:paraId="6C201DAA" w14:textId="77777777" w:rsidR="00F37AD7" w:rsidRPr="00AE6348" w:rsidRDefault="00F37AD7" w:rsidP="00AE6348">
            <w:pPr>
              <w:spacing w:before="40" w:after="120"/>
              <w:ind w:right="113"/>
              <w:rPr>
                <w:lang w:val="en-GB"/>
              </w:rPr>
            </w:pPr>
            <w:r w:rsidRPr="00AE6348">
              <w:rPr>
                <w:lang w:val="en-GB"/>
              </w:rPr>
              <w:t>T10</w:t>
            </w:r>
          </w:p>
          <w:p w14:paraId="271F0008" w14:textId="77777777" w:rsidR="00F37AD7" w:rsidRPr="00AE6348" w:rsidRDefault="00F37AD7" w:rsidP="00AE6348">
            <w:pPr>
              <w:spacing w:before="40" w:after="120"/>
              <w:ind w:right="113"/>
              <w:rPr>
                <w:lang w:val="en-GB"/>
              </w:rPr>
            </w:pPr>
            <w:r w:rsidRPr="00AE6348">
              <w:rPr>
                <w:lang w:val="en-GB"/>
              </w:rPr>
              <w:t>C11</w:t>
            </w:r>
          </w:p>
          <w:p w14:paraId="6B50F238" w14:textId="77777777" w:rsidR="00F37AD7" w:rsidRPr="00AE6348" w:rsidRDefault="00F37AD7" w:rsidP="00AE6348">
            <w:pPr>
              <w:spacing w:before="40" w:after="120"/>
              <w:ind w:right="113"/>
              <w:rPr>
                <w:lang w:val="en-GB"/>
              </w:rPr>
            </w:pPr>
            <w:r w:rsidRPr="00AE6348">
              <w:rPr>
                <w:lang w:val="en-GB"/>
              </w:rPr>
              <w:t>M5</w:t>
            </w:r>
          </w:p>
        </w:tc>
        <w:tc>
          <w:tcPr>
            <w:tcW w:w="2410" w:type="dxa"/>
            <w:shd w:val="clear" w:color="auto" w:fill="auto"/>
          </w:tcPr>
          <w:p w14:paraId="1B693AD8" w14:textId="77777777" w:rsidR="00F37AD7" w:rsidRPr="00AE6348" w:rsidRDefault="00F37AD7" w:rsidP="00AE6348">
            <w:pPr>
              <w:spacing w:before="40" w:after="120"/>
              <w:ind w:right="113"/>
            </w:pPr>
            <w:r w:rsidRPr="00AE6348">
              <w:t>Objets contenant des matières dangereuses</w:t>
            </w:r>
          </w:p>
        </w:tc>
        <w:tc>
          <w:tcPr>
            <w:tcW w:w="2835" w:type="dxa"/>
            <w:shd w:val="clear" w:color="auto" w:fill="auto"/>
          </w:tcPr>
          <w:p w14:paraId="2F03248C" w14:textId="77777777" w:rsidR="00F37AD7" w:rsidRPr="00AE6348" w:rsidRDefault="00F37AD7" w:rsidP="00AE6348">
            <w:pPr>
              <w:spacing w:before="40" w:after="120"/>
              <w:ind w:right="113"/>
            </w:pPr>
            <w:r w:rsidRPr="00AE6348">
              <w:t>3537, 3538, 3539</w:t>
            </w:r>
          </w:p>
          <w:p w14:paraId="269DCB8E" w14:textId="77777777" w:rsidR="00F37AD7" w:rsidRPr="00AE6348" w:rsidRDefault="00F37AD7" w:rsidP="00AE6348">
            <w:pPr>
              <w:spacing w:before="40" w:after="120"/>
              <w:ind w:right="113"/>
            </w:pPr>
            <w:r w:rsidRPr="00AE6348">
              <w:t>3540</w:t>
            </w:r>
          </w:p>
          <w:p w14:paraId="0E96BF03" w14:textId="77777777" w:rsidR="00F37AD7" w:rsidRPr="00AE6348" w:rsidRDefault="00F37AD7" w:rsidP="00AE6348">
            <w:pPr>
              <w:spacing w:before="40" w:after="120"/>
              <w:ind w:right="113"/>
              <w:rPr>
                <w:lang w:eastAsia="fr-CH"/>
              </w:rPr>
            </w:pPr>
            <w:r w:rsidRPr="00AE6348">
              <w:rPr>
                <w:lang w:eastAsia="fr-CH"/>
              </w:rPr>
              <w:t>3541</w:t>
            </w:r>
          </w:p>
          <w:p w14:paraId="482A80F3" w14:textId="77777777" w:rsidR="00F37AD7" w:rsidRPr="00AE6348" w:rsidRDefault="00F37AD7" w:rsidP="00AE6348">
            <w:pPr>
              <w:spacing w:before="40" w:after="120"/>
              <w:ind w:right="113"/>
              <w:rPr>
                <w:lang w:eastAsia="fr-CH"/>
              </w:rPr>
            </w:pPr>
            <w:r w:rsidRPr="00AE6348">
              <w:rPr>
                <w:lang w:eastAsia="fr-CH"/>
              </w:rPr>
              <w:t>3542</w:t>
            </w:r>
          </w:p>
          <w:p w14:paraId="21A1C039" w14:textId="77777777" w:rsidR="00F37AD7" w:rsidRPr="00AE6348" w:rsidRDefault="00F37AD7" w:rsidP="00AE6348">
            <w:pPr>
              <w:spacing w:before="40" w:after="120"/>
              <w:ind w:right="113"/>
            </w:pPr>
            <w:r w:rsidRPr="00AE6348">
              <w:t>3543</w:t>
            </w:r>
          </w:p>
          <w:p w14:paraId="55580B4B" w14:textId="77777777" w:rsidR="00F37AD7" w:rsidRPr="00AE6348" w:rsidRDefault="00F37AD7" w:rsidP="00AE6348">
            <w:pPr>
              <w:spacing w:before="40" w:after="120"/>
              <w:ind w:right="113"/>
            </w:pPr>
            <w:r w:rsidRPr="00AE6348">
              <w:t>3544</w:t>
            </w:r>
          </w:p>
          <w:p w14:paraId="2DB62C1E" w14:textId="77777777" w:rsidR="00F37AD7" w:rsidRPr="00AE6348" w:rsidRDefault="00F37AD7" w:rsidP="00AE6348">
            <w:pPr>
              <w:spacing w:before="40" w:after="120"/>
              <w:ind w:right="113"/>
            </w:pPr>
            <w:r w:rsidRPr="00AE6348">
              <w:t>3545</w:t>
            </w:r>
          </w:p>
          <w:p w14:paraId="40C735A4" w14:textId="77777777" w:rsidR="00F37AD7" w:rsidRPr="00AE6348" w:rsidRDefault="00F37AD7" w:rsidP="00AE6348">
            <w:pPr>
              <w:spacing w:before="40" w:after="120"/>
              <w:ind w:right="113"/>
            </w:pPr>
            <w:r w:rsidRPr="00AE6348">
              <w:t>3546</w:t>
            </w:r>
          </w:p>
          <w:p w14:paraId="3561BE01" w14:textId="77777777" w:rsidR="00F37AD7" w:rsidRPr="00AE6348" w:rsidRDefault="00F37AD7" w:rsidP="00AE6348">
            <w:pPr>
              <w:spacing w:before="40" w:after="120"/>
              <w:ind w:right="113"/>
            </w:pPr>
            <w:r w:rsidRPr="00AE6348">
              <w:t>3547</w:t>
            </w:r>
          </w:p>
          <w:p w14:paraId="01C2F5A6" w14:textId="77777777" w:rsidR="00F37AD7" w:rsidRPr="00AE6348" w:rsidRDefault="00F37AD7" w:rsidP="00AE6348">
            <w:pPr>
              <w:spacing w:before="40" w:after="120"/>
              <w:ind w:right="113"/>
            </w:pPr>
            <w:r w:rsidRPr="00AE6348">
              <w:t>3548</w:t>
            </w:r>
          </w:p>
        </w:tc>
        <w:tc>
          <w:tcPr>
            <w:tcW w:w="851" w:type="dxa"/>
            <w:shd w:val="clear" w:color="auto" w:fill="auto"/>
          </w:tcPr>
          <w:p w14:paraId="2F568725" w14:textId="77777777" w:rsidR="00F37AD7" w:rsidRPr="00AE6348" w:rsidRDefault="00F37AD7" w:rsidP="00AE6348">
            <w:pPr>
              <w:spacing w:before="40" w:after="120"/>
              <w:ind w:right="113"/>
            </w:pPr>
            <w:r w:rsidRPr="00AE6348">
              <w:t>0</w:t>
            </w:r>
          </w:p>
        </w:tc>
        <w:tc>
          <w:tcPr>
            <w:tcW w:w="567" w:type="dxa"/>
            <w:shd w:val="clear" w:color="auto" w:fill="auto"/>
          </w:tcPr>
          <w:p w14:paraId="258B65DF" w14:textId="77777777" w:rsidR="00F37AD7" w:rsidRPr="00AE6348" w:rsidRDefault="00F37AD7" w:rsidP="00AE6348">
            <w:pPr>
              <w:spacing w:before="40" w:after="120"/>
              <w:ind w:right="113"/>
            </w:pPr>
            <w:r w:rsidRPr="00AE6348">
              <w:t>(E)</w:t>
            </w:r>
          </w:p>
        </w:tc>
      </w:tr>
      <w:tr w:rsidR="00F37AD7" w:rsidRPr="00AE6348" w14:paraId="0442FE1C" w14:textId="77777777" w:rsidTr="003B4DE9">
        <w:tblPrEx>
          <w:tblCellMar>
            <w:top w:w="0" w:type="dxa"/>
            <w:left w:w="0" w:type="dxa"/>
            <w:bottom w:w="0" w:type="dxa"/>
            <w:right w:w="0" w:type="dxa"/>
          </w:tblCellMar>
        </w:tblPrEx>
        <w:trPr>
          <w:gridBefore w:val="1"/>
          <w:wBefore w:w="25" w:type="dxa"/>
        </w:trPr>
        <w:tc>
          <w:tcPr>
            <w:tcW w:w="632" w:type="dxa"/>
            <w:gridSpan w:val="2"/>
            <w:shd w:val="clear" w:color="auto" w:fill="auto"/>
          </w:tcPr>
          <w:p w14:paraId="1323D6E7" w14:textId="77777777" w:rsidR="00F37AD7" w:rsidRPr="00AE6348" w:rsidRDefault="00F37AD7" w:rsidP="00AE6348">
            <w:pPr>
              <w:spacing w:before="40" w:after="120"/>
              <w:ind w:right="113"/>
              <w:rPr>
                <w:lang w:val="en-GB"/>
              </w:rPr>
            </w:pPr>
            <w:r w:rsidRPr="00AE6348">
              <w:rPr>
                <w:lang w:val="en-GB"/>
              </w:rPr>
              <w:t xml:space="preserve">4.1 </w:t>
            </w:r>
          </w:p>
        </w:tc>
        <w:tc>
          <w:tcPr>
            <w:tcW w:w="1044" w:type="dxa"/>
            <w:shd w:val="clear" w:color="auto" w:fill="auto"/>
          </w:tcPr>
          <w:p w14:paraId="60F81D54" w14:textId="77777777" w:rsidR="00F37AD7" w:rsidRPr="00AE6348" w:rsidRDefault="00F37AD7" w:rsidP="00AE6348">
            <w:pPr>
              <w:spacing w:before="40" w:after="120"/>
              <w:ind w:right="113"/>
            </w:pPr>
            <w:r w:rsidRPr="00AE6348">
              <w:rPr>
                <w:lang w:val="en-GB"/>
              </w:rPr>
              <w:t>F1</w:t>
            </w:r>
          </w:p>
        </w:tc>
        <w:tc>
          <w:tcPr>
            <w:tcW w:w="2410" w:type="dxa"/>
            <w:shd w:val="clear" w:color="auto" w:fill="auto"/>
          </w:tcPr>
          <w:p w14:paraId="298A0F4F" w14:textId="77777777" w:rsidR="00F37AD7" w:rsidRPr="00AE6348" w:rsidRDefault="00F37AD7" w:rsidP="00AE6348">
            <w:pPr>
              <w:spacing w:before="40" w:after="120"/>
              <w:ind w:right="113"/>
            </w:pPr>
            <w:r w:rsidRPr="00AE6348">
              <w:t>Déchets de caoutchouc</w:t>
            </w:r>
          </w:p>
        </w:tc>
        <w:tc>
          <w:tcPr>
            <w:tcW w:w="2835" w:type="dxa"/>
            <w:shd w:val="clear" w:color="auto" w:fill="auto"/>
          </w:tcPr>
          <w:p w14:paraId="307A23D7" w14:textId="77777777" w:rsidR="00F37AD7" w:rsidRPr="00AE6348" w:rsidRDefault="00F37AD7" w:rsidP="00AE6348">
            <w:pPr>
              <w:spacing w:before="40" w:after="120"/>
              <w:ind w:right="113"/>
              <w:rPr>
                <w:lang w:eastAsia="fr-CH"/>
              </w:rPr>
            </w:pPr>
            <w:r w:rsidRPr="00AE6348">
              <w:rPr>
                <w:lang w:eastAsia="fr-CH"/>
              </w:rPr>
              <w:t>1345</w:t>
            </w:r>
          </w:p>
        </w:tc>
        <w:tc>
          <w:tcPr>
            <w:tcW w:w="851" w:type="dxa"/>
            <w:shd w:val="clear" w:color="auto" w:fill="auto"/>
          </w:tcPr>
          <w:p w14:paraId="58BDB649" w14:textId="77777777" w:rsidR="00F37AD7" w:rsidRPr="00AE6348" w:rsidRDefault="00F37AD7" w:rsidP="00AE6348">
            <w:pPr>
              <w:spacing w:before="40" w:after="120"/>
              <w:ind w:right="113"/>
              <w:rPr>
                <w:lang w:eastAsia="fr-CH"/>
              </w:rPr>
            </w:pPr>
            <w:r w:rsidRPr="00AE6348">
              <w:t>1 kg</w:t>
            </w:r>
          </w:p>
        </w:tc>
        <w:tc>
          <w:tcPr>
            <w:tcW w:w="567" w:type="dxa"/>
            <w:shd w:val="clear" w:color="auto" w:fill="auto"/>
          </w:tcPr>
          <w:p w14:paraId="0106FDCB" w14:textId="77777777" w:rsidR="00F37AD7" w:rsidRPr="00AE6348" w:rsidRDefault="00F37AD7" w:rsidP="00AE6348">
            <w:pPr>
              <w:spacing w:before="40" w:after="120"/>
              <w:ind w:right="113"/>
            </w:pPr>
            <w:r w:rsidRPr="00AE6348">
              <w:t>(E)</w:t>
            </w:r>
          </w:p>
        </w:tc>
      </w:tr>
      <w:tr w:rsidR="00F37AD7" w:rsidRPr="00AE6348" w14:paraId="72F6581D" w14:textId="77777777" w:rsidTr="003B4DE9">
        <w:tblPrEx>
          <w:tblCellMar>
            <w:top w:w="0" w:type="dxa"/>
            <w:left w:w="0" w:type="dxa"/>
            <w:bottom w:w="0" w:type="dxa"/>
            <w:right w:w="0" w:type="dxa"/>
          </w:tblCellMar>
        </w:tblPrEx>
        <w:trPr>
          <w:gridBefore w:val="1"/>
          <w:wBefore w:w="25" w:type="dxa"/>
        </w:trPr>
        <w:tc>
          <w:tcPr>
            <w:tcW w:w="632" w:type="dxa"/>
            <w:gridSpan w:val="2"/>
            <w:shd w:val="clear" w:color="auto" w:fill="auto"/>
          </w:tcPr>
          <w:p w14:paraId="191B35D7" w14:textId="77777777" w:rsidR="00F37AD7" w:rsidRPr="00AE6348" w:rsidRDefault="00F37AD7" w:rsidP="00AE6348">
            <w:pPr>
              <w:spacing w:before="40" w:after="120"/>
              <w:ind w:right="113"/>
              <w:rPr>
                <w:lang w:val="en-GB"/>
              </w:rPr>
            </w:pPr>
            <w:r w:rsidRPr="00AE6348">
              <w:rPr>
                <w:lang w:val="en-GB"/>
              </w:rPr>
              <w:t xml:space="preserve">4.1 </w:t>
            </w:r>
          </w:p>
        </w:tc>
        <w:tc>
          <w:tcPr>
            <w:tcW w:w="1044" w:type="dxa"/>
            <w:shd w:val="clear" w:color="auto" w:fill="auto"/>
          </w:tcPr>
          <w:p w14:paraId="43ED4AE3" w14:textId="77777777" w:rsidR="00F37AD7" w:rsidRPr="00AE6348" w:rsidRDefault="00F37AD7" w:rsidP="00AE6348">
            <w:pPr>
              <w:spacing w:before="40" w:after="120"/>
              <w:ind w:right="113"/>
            </w:pPr>
            <w:r w:rsidRPr="00AE6348">
              <w:rPr>
                <w:lang w:val="en-GB"/>
              </w:rPr>
              <w:t>F1, F4</w:t>
            </w:r>
          </w:p>
        </w:tc>
        <w:tc>
          <w:tcPr>
            <w:tcW w:w="2410" w:type="dxa"/>
            <w:shd w:val="clear" w:color="auto" w:fill="auto"/>
          </w:tcPr>
          <w:p w14:paraId="015EAF81" w14:textId="77777777" w:rsidR="00F37AD7" w:rsidRPr="00AE6348" w:rsidRDefault="00F37AD7" w:rsidP="00AE6348">
            <w:pPr>
              <w:spacing w:before="40" w:after="120"/>
              <w:ind w:right="113"/>
            </w:pPr>
            <w:r w:rsidRPr="00AE6348">
              <w:t>Allumettes, allume-feu</w:t>
            </w:r>
          </w:p>
        </w:tc>
        <w:tc>
          <w:tcPr>
            <w:tcW w:w="2835" w:type="dxa"/>
            <w:shd w:val="clear" w:color="auto" w:fill="auto"/>
          </w:tcPr>
          <w:p w14:paraId="287FA708" w14:textId="77777777" w:rsidR="00F37AD7" w:rsidRPr="00AE6348" w:rsidRDefault="00F37AD7" w:rsidP="00AE6348">
            <w:pPr>
              <w:spacing w:before="40" w:after="120"/>
              <w:ind w:right="113"/>
              <w:rPr>
                <w:lang w:eastAsia="fr-CH"/>
              </w:rPr>
            </w:pPr>
            <w:r w:rsidRPr="00AE6348">
              <w:rPr>
                <w:lang w:eastAsia="fr-CH"/>
              </w:rPr>
              <w:t>1331, 1944, 1945, 2254, 2623</w:t>
            </w:r>
          </w:p>
        </w:tc>
        <w:tc>
          <w:tcPr>
            <w:tcW w:w="851" w:type="dxa"/>
            <w:shd w:val="clear" w:color="auto" w:fill="auto"/>
          </w:tcPr>
          <w:p w14:paraId="4437961B" w14:textId="77777777" w:rsidR="00F37AD7" w:rsidRPr="00AE6348" w:rsidRDefault="00F37AD7" w:rsidP="00AE6348">
            <w:pPr>
              <w:spacing w:before="40" w:after="120"/>
              <w:ind w:right="113"/>
              <w:rPr>
                <w:lang w:eastAsia="fr-CH"/>
              </w:rPr>
            </w:pPr>
            <w:r w:rsidRPr="00AE6348">
              <w:t>5 kg</w:t>
            </w:r>
          </w:p>
        </w:tc>
        <w:tc>
          <w:tcPr>
            <w:tcW w:w="567" w:type="dxa"/>
            <w:shd w:val="clear" w:color="auto" w:fill="auto"/>
          </w:tcPr>
          <w:p w14:paraId="238651A1" w14:textId="77777777" w:rsidR="00F37AD7" w:rsidRPr="00AE6348" w:rsidRDefault="00F37AD7" w:rsidP="00AE6348">
            <w:pPr>
              <w:spacing w:before="40" w:after="120"/>
              <w:ind w:right="113"/>
            </w:pPr>
            <w:r w:rsidRPr="00AE6348">
              <w:t>(E)</w:t>
            </w:r>
          </w:p>
        </w:tc>
      </w:tr>
      <w:tr w:rsidR="00F37AD7" w:rsidRPr="00AE6348" w14:paraId="39A28E2F" w14:textId="77777777" w:rsidTr="003B4DE9">
        <w:tblPrEx>
          <w:tblCellMar>
            <w:top w:w="0" w:type="dxa"/>
            <w:left w:w="0" w:type="dxa"/>
            <w:bottom w:w="0" w:type="dxa"/>
            <w:right w:w="0" w:type="dxa"/>
          </w:tblCellMar>
        </w:tblPrEx>
        <w:trPr>
          <w:gridBefore w:val="1"/>
          <w:wBefore w:w="25" w:type="dxa"/>
        </w:trPr>
        <w:tc>
          <w:tcPr>
            <w:tcW w:w="632" w:type="dxa"/>
            <w:gridSpan w:val="2"/>
            <w:shd w:val="clear" w:color="auto" w:fill="auto"/>
          </w:tcPr>
          <w:p w14:paraId="6F9F4D70" w14:textId="77777777" w:rsidR="00F37AD7" w:rsidRPr="00AE6348" w:rsidRDefault="00F37AD7" w:rsidP="00AE6348">
            <w:pPr>
              <w:spacing w:before="40" w:after="120"/>
              <w:ind w:right="113"/>
            </w:pPr>
            <w:r w:rsidRPr="00AE6348">
              <w:t xml:space="preserve">7 </w:t>
            </w:r>
          </w:p>
        </w:tc>
        <w:tc>
          <w:tcPr>
            <w:tcW w:w="1044" w:type="dxa"/>
            <w:shd w:val="clear" w:color="auto" w:fill="auto"/>
          </w:tcPr>
          <w:p w14:paraId="4D6ABA19" w14:textId="77777777" w:rsidR="00F37AD7" w:rsidRPr="00AE6348" w:rsidRDefault="00F37AD7" w:rsidP="00AE6348">
            <w:pPr>
              <w:spacing w:before="40" w:after="120"/>
              <w:ind w:right="113"/>
            </w:pPr>
          </w:p>
        </w:tc>
        <w:tc>
          <w:tcPr>
            <w:tcW w:w="2410" w:type="dxa"/>
            <w:shd w:val="clear" w:color="auto" w:fill="auto"/>
          </w:tcPr>
          <w:p w14:paraId="12722707" w14:textId="77777777" w:rsidR="00F37AD7" w:rsidRPr="00AE6348" w:rsidRDefault="00F37AD7" w:rsidP="00AE6348">
            <w:pPr>
              <w:spacing w:before="40" w:after="120"/>
              <w:ind w:right="113"/>
            </w:pPr>
            <w:r w:rsidRPr="00AE6348">
              <w:t>Matières radioactives</w:t>
            </w:r>
          </w:p>
        </w:tc>
        <w:tc>
          <w:tcPr>
            <w:tcW w:w="2835" w:type="dxa"/>
            <w:shd w:val="clear" w:color="auto" w:fill="auto"/>
          </w:tcPr>
          <w:p w14:paraId="404FF822" w14:textId="77777777" w:rsidR="00F37AD7" w:rsidRPr="00AE6348" w:rsidRDefault="00F37AD7" w:rsidP="00AE6348">
            <w:pPr>
              <w:spacing w:before="40" w:after="120"/>
              <w:ind w:right="113"/>
            </w:pPr>
            <w:r w:rsidRPr="00AE6348">
              <w:t>2908, 2909, 2910, 2011</w:t>
            </w:r>
          </w:p>
        </w:tc>
        <w:tc>
          <w:tcPr>
            <w:tcW w:w="851" w:type="dxa"/>
            <w:shd w:val="clear" w:color="auto" w:fill="auto"/>
          </w:tcPr>
          <w:p w14:paraId="56EEF9DB" w14:textId="77777777" w:rsidR="00F37AD7" w:rsidRPr="00AE6348" w:rsidRDefault="00F37AD7" w:rsidP="00AE6348">
            <w:pPr>
              <w:spacing w:before="40" w:after="120"/>
              <w:ind w:right="113"/>
            </w:pPr>
            <w:r w:rsidRPr="00AE6348">
              <w:t>0</w:t>
            </w:r>
          </w:p>
        </w:tc>
        <w:tc>
          <w:tcPr>
            <w:tcW w:w="567" w:type="dxa"/>
            <w:shd w:val="clear" w:color="auto" w:fill="auto"/>
          </w:tcPr>
          <w:p w14:paraId="28F427AB" w14:textId="77777777" w:rsidR="00F37AD7" w:rsidRPr="00AE6348" w:rsidRDefault="00F37AD7" w:rsidP="00AE6348">
            <w:pPr>
              <w:spacing w:before="40" w:after="120"/>
              <w:ind w:right="113"/>
            </w:pPr>
            <w:r w:rsidRPr="00AE6348">
              <w:t>(-)</w:t>
            </w:r>
          </w:p>
        </w:tc>
      </w:tr>
      <w:tr w:rsidR="00F37AD7" w:rsidRPr="00AE6348" w14:paraId="039246F7" w14:textId="77777777" w:rsidTr="003B4DE9">
        <w:tblPrEx>
          <w:tblCellMar>
            <w:top w:w="0" w:type="dxa"/>
            <w:left w:w="0" w:type="dxa"/>
            <w:bottom w:w="0" w:type="dxa"/>
            <w:right w:w="0" w:type="dxa"/>
          </w:tblCellMar>
        </w:tblPrEx>
        <w:trPr>
          <w:gridBefore w:val="1"/>
          <w:wBefore w:w="25" w:type="dxa"/>
        </w:trPr>
        <w:tc>
          <w:tcPr>
            <w:tcW w:w="632" w:type="dxa"/>
            <w:gridSpan w:val="2"/>
            <w:tcBorders>
              <w:bottom w:val="single" w:sz="12" w:space="0" w:color="auto"/>
            </w:tcBorders>
            <w:shd w:val="clear" w:color="auto" w:fill="auto"/>
          </w:tcPr>
          <w:p w14:paraId="2C356A5B" w14:textId="77777777" w:rsidR="00F37AD7" w:rsidRPr="00AE6348" w:rsidRDefault="00F37AD7" w:rsidP="00AE6348">
            <w:pPr>
              <w:spacing w:before="40" w:after="120"/>
              <w:ind w:right="113"/>
              <w:rPr>
                <w:lang w:val="en-GB"/>
              </w:rPr>
            </w:pPr>
            <w:r w:rsidRPr="00AE6348">
              <w:rPr>
                <w:lang w:val="en-GB"/>
              </w:rPr>
              <w:t>9</w:t>
            </w:r>
          </w:p>
        </w:tc>
        <w:tc>
          <w:tcPr>
            <w:tcW w:w="1044" w:type="dxa"/>
            <w:tcBorders>
              <w:bottom w:val="single" w:sz="12" w:space="0" w:color="auto"/>
            </w:tcBorders>
            <w:shd w:val="clear" w:color="auto" w:fill="auto"/>
          </w:tcPr>
          <w:p w14:paraId="183DF143" w14:textId="77777777" w:rsidR="00F37AD7" w:rsidRPr="00AE6348" w:rsidRDefault="00F37AD7" w:rsidP="00AE6348">
            <w:pPr>
              <w:spacing w:before="40" w:after="120"/>
              <w:ind w:right="113"/>
            </w:pPr>
            <w:r w:rsidRPr="00AE6348">
              <w:rPr>
                <w:lang w:val="en-GB"/>
              </w:rPr>
              <w:t>M5</w:t>
            </w:r>
          </w:p>
        </w:tc>
        <w:tc>
          <w:tcPr>
            <w:tcW w:w="2410" w:type="dxa"/>
            <w:tcBorders>
              <w:bottom w:val="single" w:sz="12" w:space="0" w:color="auto"/>
            </w:tcBorders>
            <w:shd w:val="clear" w:color="auto" w:fill="auto"/>
          </w:tcPr>
          <w:p w14:paraId="1B5D66C4" w14:textId="74C8EA99" w:rsidR="00F37AD7" w:rsidRPr="00AE6348" w:rsidRDefault="00F37AD7" w:rsidP="00AE6348">
            <w:pPr>
              <w:spacing w:before="40" w:after="120"/>
              <w:ind w:right="113"/>
            </w:pPr>
            <w:r w:rsidRPr="00AE6348">
              <w:t>Objets, dispositifs d</w:t>
            </w:r>
            <w:r w:rsidR="0076764E">
              <w:t>’</w:t>
            </w:r>
            <w:r w:rsidRPr="00AE6348">
              <w:t>extinction</w:t>
            </w:r>
          </w:p>
        </w:tc>
        <w:tc>
          <w:tcPr>
            <w:tcW w:w="2835" w:type="dxa"/>
            <w:tcBorders>
              <w:bottom w:val="single" w:sz="12" w:space="0" w:color="auto"/>
            </w:tcBorders>
            <w:shd w:val="clear" w:color="auto" w:fill="auto"/>
          </w:tcPr>
          <w:p w14:paraId="693C355B" w14:textId="77777777" w:rsidR="00F37AD7" w:rsidRPr="00AE6348" w:rsidRDefault="00F37AD7" w:rsidP="00AE6348">
            <w:pPr>
              <w:spacing w:before="40" w:after="120"/>
              <w:ind w:right="113"/>
            </w:pPr>
            <w:r w:rsidRPr="00AE6348">
              <w:rPr>
                <w:lang w:eastAsia="fr-CH"/>
              </w:rPr>
              <w:t xml:space="preserve">3268, 3499, 3508, </w:t>
            </w:r>
            <w:r w:rsidRPr="00AE6348">
              <w:t>3559</w:t>
            </w:r>
          </w:p>
        </w:tc>
        <w:tc>
          <w:tcPr>
            <w:tcW w:w="851" w:type="dxa"/>
            <w:tcBorders>
              <w:bottom w:val="single" w:sz="12" w:space="0" w:color="auto"/>
            </w:tcBorders>
            <w:shd w:val="clear" w:color="auto" w:fill="auto"/>
          </w:tcPr>
          <w:p w14:paraId="45D7E130" w14:textId="77777777" w:rsidR="00F37AD7" w:rsidRPr="00AE6348" w:rsidRDefault="00F37AD7" w:rsidP="00AE6348">
            <w:pPr>
              <w:spacing w:before="40" w:after="120"/>
              <w:ind w:right="113"/>
              <w:rPr>
                <w:lang w:eastAsia="fr-CH"/>
              </w:rPr>
            </w:pPr>
            <w:r w:rsidRPr="00AE6348">
              <w:rPr>
                <w:lang w:eastAsia="fr-CH"/>
              </w:rPr>
              <w:t>0</w:t>
            </w:r>
          </w:p>
        </w:tc>
        <w:tc>
          <w:tcPr>
            <w:tcW w:w="567" w:type="dxa"/>
            <w:tcBorders>
              <w:bottom w:val="single" w:sz="12" w:space="0" w:color="auto"/>
            </w:tcBorders>
            <w:shd w:val="clear" w:color="auto" w:fill="auto"/>
          </w:tcPr>
          <w:p w14:paraId="05E6D551" w14:textId="77777777" w:rsidR="00F37AD7" w:rsidRPr="00AE6348" w:rsidRDefault="00F37AD7" w:rsidP="00AE6348">
            <w:pPr>
              <w:spacing w:before="40" w:after="120"/>
              <w:ind w:right="113"/>
              <w:rPr>
                <w:lang w:eastAsia="fr-CH"/>
              </w:rPr>
            </w:pPr>
            <w:r w:rsidRPr="00AE6348">
              <w:t>(E)</w:t>
            </w:r>
          </w:p>
        </w:tc>
      </w:tr>
    </w:tbl>
    <w:p w14:paraId="50897AFA" w14:textId="2F4D0322" w:rsidR="008E6C82" w:rsidRDefault="008E6C82" w:rsidP="00EF2373">
      <w:pPr>
        <w:pStyle w:val="SingleTxtG"/>
        <w:ind w:left="0"/>
        <w:rPr>
          <w:lang w:val="fr-FR"/>
        </w:rPr>
      </w:pPr>
    </w:p>
    <w:p w14:paraId="648A2044" w14:textId="7F7DDC0F" w:rsidR="00F37AD7" w:rsidRPr="008E6C82" w:rsidRDefault="00EF2373" w:rsidP="00EF2373">
      <w:pPr>
        <w:pStyle w:val="H1G"/>
      </w:pPr>
      <w:r>
        <w:rPr>
          <w:lang w:val="fr-FR"/>
        </w:rPr>
        <w:tab/>
      </w:r>
      <w:r>
        <w:rPr>
          <w:lang w:val="fr-FR"/>
        </w:rPr>
        <w:tab/>
      </w:r>
      <w:r w:rsidR="00F37AD7" w:rsidRPr="008E6C82">
        <w:rPr>
          <w:lang w:val="fr-FR"/>
        </w:rPr>
        <w:t>Liste des marchandises de la catégorie de transport 4</w:t>
      </w:r>
      <w:r w:rsidR="00F37AD7" w:rsidRPr="008E6C82">
        <w:t xml:space="preserve"> transportées en colis ou en vrac</w:t>
      </w:r>
    </w:p>
    <w:tbl>
      <w:tblPr>
        <w:tblStyle w:val="Grilledutableau"/>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1370"/>
        <w:gridCol w:w="2376"/>
        <w:gridCol w:w="2261"/>
        <w:gridCol w:w="1085"/>
        <w:gridCol w:w="670"/>
      </w:tblGrid>
      <w:tr w:rsidR="00F37AD7" w:rsidRPr="008E6C82" w14:paraId="28755407" w14:textId="77777777" w:rsidTr="007626F7">
        <w:trPr>
          <w:tblHeader/>
        </w:trPr>
        <w:tc>
          <w:tcPr>
            <w:tcW w:w="644" w:type="dxa"/>
            <w:tcBorders>
              <w:top w:val="single" w:sz="4" w:space="0" w:color="auto"/>
              <w:bottom w:val="single" w:sz="12" w:space="0" w:color="auto"/>
            </w:tcBorders>
            <w:shd w:val="clear" w:color="auto" w:fill="auto"/>
            <w:vAlign w:val="bottom"/>
          </w:tcPr>
          <w:p w14:paraId="2204C3DF" w14:textId="77777777" w:rsidR="00F37AD7" w:rsidRPr="008E6C82" w:rsidRDefault="00F37AD7" w:rsidP="008E6C82">
            <w:pPr>
              <w:spacing w:before="80" w:after="80" w:line="200" w:lineRule="exact"/>
              <w:ind w:right="113"/>
              <w:rPr>
                <w:i/>
                <w:sz w:val="16"/>
              </w:rPr>
            </w:pPr>
            <w:r w:rsidRPr="008E6C82">
              <w:rPr>
                <w:i/>
                <w:sz w:val="16"/>
              </w:rPr>
              <w:t>Classe</w:t>
            </w:r>
          </w:p>
        </w:tc>
        <w:tc>
          <w:tcPr>
            <w:tcW w:w="1187" w:type="dxa"/>
            <w:tcBorders>
              <w:top w:val="single" w:sz="4" w:space="0" w:color="auto"/>
              <w:bottom w:val="single" w:sz="12" w:space="0" w:color="auto"/>
            </w:tcBorders>
            <w:shd w:val="clear" w:color="auto" w:fill="auto"/>
            <w:vAlign w:val="bottom"/>
          </w:tcPr>
          <w:p w14:paraId="2BDAFC75" w14:textId="77777777" w:rsidR="00F37AD7" w:rsidRPr="008E6C82" w:rsidRDefault="00F37AD7" w:rsidP="008E6C82">
            <w:pPr>
              <w:spacing w:before="80" w:after="80" w:line="200" w:lineRule="exact"/>
              <w:ind w:right="113"/>
              <w:rPr>
                <w:i/>
                <w:sz w:val="16"/>
              </w:rPr>
            </w:pPr>
            <w:r w:rsidRPr="008E6C82">
              <w:rPr>
                <w:i/>
                <w:sz w:val="16"/>
              </w:rPr>
              <w:t>Classification</w:t>
            </w:r>
          </w:p>
        </w:tc>
        <w:tc>
          <w:tcPr>
            <w:tcW w:w="2059" w:type="dxa"/>
            <w:tcBorders>
              <w:top w:val="single" w:sz="4" w:space="0" w:color="auto"/>
              <w:bottom w:val="single" w:sz="12" w:space="0" w:color="auto"/>
            </w:tcBorders>
            <w:shd w:val="clear" w:color="auto" w:fill="auto"/>
            <w:vAlign w:val="bottom"/>
          </w:tcPr>
          <w:p w14:paraId="0B13E20F" w14:textId="77777777" w:rsidR="00F37AD7" w:rsidRPr="008E6C82" w:rsidRDefault="00F37AD7" w:rsidP="008E6C82">
            <w:pPr>
              <w:spacing w:before="80" w:after="80" w:line="200" w:lineRule="exact"/>
              <w:ind w:right="113"/>
              <w:rPr>
                <w:i/>
                <w:sz w:val="16"/>
              </w:rPr>
            </w:pPr>
            <w:r w:rsidRPr="008E6C82">
              <w:rPr>
                <w:i/>
                <w:sz w:val="16"/>
              </w:rPr>
              <w:t>Type de marchandise</w:t>
            </w:r>
          </w:p>
        </w:tc>
        <w:tc>
          <w:tcPr>
            <w:tcW w:w="1959" w:type="dxa"/>
            <w:tcBorders>
              <w:top w:val="single" w:sz="4" w:space="0" w:color="auto"/>
              <w:bottom w:val="single" w:sz="12" w:space="0" w:color="auto"/>
            </w:tcBorders>
            <w:shd w:val="clear" w:color="auto" w:fill="auto"/>
            <w:vAlign w:val="bottom"/>
          </w:tcPr>
          <w:p w14:paraId="14D40CDA" w14:textId="77777777" w:rsidR="00F37AD7" w:rsidRPr="008E6C82" w:rsidRDefault="00F37AD7" w:rsidP="008E6C82">
            <w:pPr>
              <w:spacing w:before="80" w:after="80" w:line="200" w:lineRule="exact"/>
              <w:ind w:right="113"/>
              <w:rPr>
                <w:i/>
                <w:sz w:val="16"/>
              </w:rPr>
            </w:pPr>
            <w:r w:rsidRPr="008E6C82">
              <w:rPr>
                <w:i/>
                <w:sz w:val="16"/>
              </w:rPr>
              <w:t>Numéro ONU</w:t>
            </w:r>
          </w:p>
        </w:tc>
        <w:tc>
          <w:tcPr>
            <w:tcW w:w="940" w:type="dxa"/>
            <w:tcBorders>
              <w:top w:val="single" w:sz="4" w:space="0" w:color="auto"/>
              <w:bottom w:val="single" w:sz="12" w:space="0" w:color="auto"/>
            </w:tcBorders>
            <w:shd w:val="clear" w:color="auto" w:fill="auto"/>
            <w:vAlign w:val="bottom"/>
          </w:tcPr>
          <w:p w14:paraId="25FDD1E7" w14:textId="77777777" w:rsidR="00F37AD7" w:rsidRPr="008E6C82" w:rsidRDefault="00F37AD7" w:rsidP="008E6C82">
            <w:pPr>
              <w:spacing w:before="80" w:after="80" w:line="200" w:lineRule="exact"/>
              <w:ind w:right="113"/>
              <w:rPr>
                <w:i/>
                <w:sz w:val="16"/>
              </w:rPr>
            </w:pPr>
            <w:r w:rsidRPr="008E6C82">
              <w:rPr>
                <w:i/>
                <w:sz w:val="16"/>
              </w:rPr>
              <w:t>Quantités limitées</w:t>
            </w:r>
          </w:p>
        </w:tc>
        <w:tc>
          <w:tcPr>
            <w:tcW w:w="581" w:type="dxa"/>
            <w:tcBorders>
              <w:top w:val="single" w:sz="4" w:space="0" w:color="auto"/>
              <w:bottom w:val="single" w:sz="12" w:space="0" w:color="auto"/>
            </w:tcBorders>
            <w:shd w:val="clear" w:color="auto" w:fill="auto"/>
            <w:vAlign w:val="bottom"/>
          </w:tcPr>
          <w:p w14:paraId="156A4211" w14:textId="77777777" w:rsidR="00F37AD7" w:rsidRPr="008E6C82" w:rsidRDefault="00F37AD7" w:rsidP="008E6C82">
            <w:pPr>
              <w:spacing w:before="80" w:after="80" w:line="200" w:lineRule="exact"/>
              <w:ind w:right="113"/>
              <w:rPr>
                <w:i/>
                <w:sz w:val="16"/>
              </w:rPr>
            </w:pPr>
            <w:r w:rsidRPr="008E6C82">
              <w:rPr>
                <w:i/>
                <w:sz w:val="16"/>
              </w:rPr>
              <w:t>Code tunnel</w:t>
            </w:r>
          </w:p>
        </w:tc>
      </w:tr>
      <w:tr w:rsidR="008E6C82" w:rsidRPr="008E6C82" w14:paraId="7E86E8C0" w14:textId="77777777" w:rsidTr="007626F7">
        <w:trPr>
          <w:trHeight w:hRule="exact" w:val="113"/>
        </w:trPr>
        <w:tc>
          <w:tcPr>
            <w:tcW w:w="644" w:type="dxa"/>
            <w:tcBorders>
              <w:top w:val="single" w:sz="12" w:space="0" w:color="auto"/>
            </w:tcBorders>
            <w:shd w:val="clear" w:color="auto" w:fill="auto"/>
          </w:tcPr>
          <w:p w14:paraId="3E878DCF" w14:textId="77777777" w:rsidR="008E6C82" w:rsidRPr="008E6C82" w:rsidRDefault="008E6C82" w:rsidP="008E6C82">
            <w:pPr>
              <w:spacing w:before="40" w:after="120"/>
              <w:ind w:right="113"/>
            </w:pPr>
          </w:p>
        </w:tc>
        <w:tc>
          <w:tcPr>
            <w:tcW w:w="1187" w:type="dxa"/>
            <w:tcBorders>
              <w:top w:val="single" w:sz="12" w:space="0" w:color="auto"/>
            </w:tcBorders>
            <w:shd w:val="clear" w:color="auto" w:fill="auto"/>
          </w:tcPr>
          <w:p w14:paraId="71581CD5" w14:textId="77777777" w:rsidR="008E6C82" w:rsidRPr="008E6C82" w:rsidRDefault="008E6C82" w:rsidP="008E6C82">
            <w:pPr>
              <w:spacing w:before="40" w:after="120"/>
              <w:ind w:right="113"/>
            </w:pPr>
          </w:p>
        </w:tc>
        <w:tc>
          <w:tcPr>
            <w:tcW w:w="2059" w:type="dxa"/>
            <w:tcBorders>
              <w:top w:val="single" w:sz="12" w:space="0" w:color="auto"/>
            </w:tcBorders>
            <w:shd w:val="clear" w:color="auto" w:fill="auto"/>
          </w:tcPr>
          <w:p w14:paraId="5C570107" w14:textId="77777777" w:rsidR="008E6C82" w:rsidRPr="008E6C82" w:rsidRDefault="008E6C82" w:rsidP="008E6C82">
            <w:pPr>
              <w:spacing w:before="40" w:after="120"/>
              <w:ind w:right="113"/>
            </w:pPr>
          </w:p>
        </w:tc>
        <w:tc>
          <w:tcPr>
            <w:tcW w:w="1959" w:type="dxa"/>
            <w:tcBorders>
              <w:top w:val="single" w:sz="12" w:space="0" w:color="auto"/>
            </w:tcBorders>
            <w:shd w:val="clear" w:color="auto" w:fill="auto"/>
          </w:tcPr>
          <w:p w14:paraId="10CF47E2" w14:textId="77777777" w:rsidR="008E6C82" w:rsidRPr="008E6C82" w:rsidRDefault="008E6C82" w:rsidP="008E6C82">
            <w:pPr>
              <w:spacing w:before="40" w:after="120"/>
              <w:ind w:right="113"/>
            </w:pPr>
          </w:p>
        </w:tc>
        <w:tc>
          <w:tcPr>
            <w:tcW w:w="940" w:type="dxa"/>
            <w:tcBorders>
              <w:top w:val="single" w:sz="12" w:space="0" w:color="auto"/>
            </w:tcBorders>
            <w:shd w:val="clear" w:color="auto" w:fill="auto"/>
          </w:tcPr>
          <w:p w14:paraId="7B055083" w14:textId="77777777" w:rsidR="008E6C82" w:rsidRPr="008E6C82" w:rsidRDefault="008E6C82" w:rsidP="008E6C82">
            <w:pPr>
              <w:spacing w:before="40" w:after="120"/>
              <w:ind w:right="113"/>
            </w:pPr>
          </w:p>
        </w:tc>
        <w:tc>
          <w:tcPr>
            <w:tcW w:w="581" w:type="dxa"/>
            <w:tcBorders>
              <w:top w:val="single" w:sz="12" w:space="0" w:color="auto"/>
            </w:tcBorders>
            <w:shd w:val="clear" w:color="auto" w:fill="auto"/>
          </w:tcPr>
          <w:p w14:paraId="15EEA043" w14:textId="77777777" w:rsidR="008E6C82" w:rsidRPr="008E6C82" w:rsidRDefault="008E6C82" w:rsidP="008E6C82">
            <w:pPr>
              <w:spacing w:before="40" w:after="120"/>
              <w:ind w:right="113"/>
            </w:pPr>
          </w:p>
        </w:tc>
      </w:tr>
      <w:tr w:rsidR="00F37AD7" w:rsidRPr="008E6C82" w14:paraId="2066360A" w14:textId="77777777" w:rsidTr="007626F7">
        <w:tc>
          <w:tcPr>
            <w:tcW w:w="644" w:type="dxa"/>
            <w:shd w:val="clear" w:color="auto" w:fill="auto"/>
          </w:tcPr>
          <w:p w14:paraId="38255FD1" w14:textId="77777777" w:rsidR="00F37AD7" w:rsidRPr="008E6C82" w:rsidRDefault="00F37AD7" w:rsidP="008E6C82">
            <w:pPr>
              <w:spacing w:before="40" w:after="120"/>
              <w:ind w:right="113"/>
              <w:rPr>
                <w:lang w:val="en-GB"/>
              </w:rPr>
            </w:pPr>
            <w:r w:rsidRPr="008E6C82">
              <w:rPr>
                <w:lang w:val="en-GB"/>
              </w:rPr>
              <w:t xml:space="preserve">4.2 </w:t>
            </w:r>
          </w:p>
        </w:tc>
        <w:tc>
          <w:tcPr>
            <w:tcW w:w="1187" w:type="dxa"/>
            <w:shd w:val="clear" w:color="auto" w:fill="auto"/>
          </w:tcPr>
          <w:p w14:paraId="0CD9B583" w14:textId="77777777" w:rsidR="00F37AD7" w:rsidRPr="008E6C82" w:rsidRDefault="00F37AD7" w:rsidP="008E6C82">
            <w:pPr>
              <w:spacing w:before="40" w:after="120"/>
              <w:ind w:right="113"/>
            </w:pPr>
            <w:r w:rsidRPr="008E6C82">
              <w:rPr>
                <w:lang w:val="en-GB"/>
              </w:rPr>
              <w:t>S2, S6</w:t>
            </w:r>
          </w:p>
        </w:tc>
        <w:tc>
          <w:tcPr>
            <w:tcW w:w="2059" w:type="dxa"/>
            <w:shd w:val="clear" w:color="auto" w:fill="auto"/>
          </w:tcPr>
          <w:p w14:paraId="17151B3D" w14:textId="77777777" w:rsidR="00F37AD7" w:rsidRPr="008E6C82" w:rsidRDefault="00F37AD7" w:rsidP="008E6C82">
            <w:pPr>
              <w:spacing w:before="40" w:after="120"/>
              <w:ind w:right="113"/>
            </w:pPr>
            <w:r w:rsidRPr="008E6C82">
              <w:t>Charbon</w:t>
            </w:r>
          </w:p>
        </w:tc>
        <w:tc>
          <w:tcPr>
            <w:tcW w:w="1959" w:type="dxa"/>
            <w:shd w:val="clear" w:color="auto" w:fill="auto"/>
          </w:tcPr>
          <w:p w14:paraId="1FC2B2ED" w14:textId="77777777" w:rsidR="00F37AD7" w:rsidRPr="008E6C82" w:rsidRDefault="00F37AD7" w:rsidP="008E6C82">
            <w:pPr>
              <w:spacing w:before="40" w:after="120"/>
              <w:ind w:right="113"/>
            </w:pPr>
            <w:r w:rsidRPr="008E6C82">
              <w:rPr>
                <w:lang w:eastAsia="fr-CH"/>
              </w:rPr>
              <w:t>1361 (III), 1362</w:t>
            </w:r>
          </w:p>
        </w:tc>
        <w:tc>
          <w:tcPr>
            <w:tcW w:w="940" w:type="dxa"/>
            <w:shd w:val="clear" w:color="auto" w:fill="auto"/>
          </w:tcPr>
          <w:p w14:paraId="0B56F7AE" w14:textId="77777777" w:rsidR="00F37AD7" w:rsidRPr="008E6C82" w:rsidRDefault="00F37AD7" w:rsidP="008E6C82">
            <w:pPr>
              <w:spacing w:before="40" w:after="120"/>
              <w:ind w:right="113"/>
              <w:rPr>
                <w:lang w:eastAsia="fr-CH"/>
              </w:rPr>
            </w:pPr>
            <w:r w:rsidRPr="008E6C82">
              <w:rPr>
                <w:lang w:eastAsia="fr-CH"/>
              </w:rPr>
              <w:t>0</w:t>
            </w:r>
          </w:p>
        </w:tc>
        <w:tc>
          <w:tcPr>
            <w:tcW w:w="581" w:type="dxa"/>
            <w:shd w:val="clear" w:color="auto" w:fill="auto"/>
          </w:tcPr>
          <w:p w14:paraId="22688FED" w14:textId="77777777" w:rsidR="00F37AD7" w:rsidRPr="008E6C82" w:rsidRDefault="00F37AD7" w:rsidP="008E6C82">
            <w:pPr>
              <w:spacing w:before="40" w:after="120"/>
              <w:ind w:right="113"/>
              <w:rPr>
                <w:lang w:eastAsia="fr-CH"/>
              </w:rPr>
            </w:pPr>
            <w:r w:rsidRPr="008E6C82">
              <w:t>(E)</w:t>
            </w:r>
          </w:p>
        </w:tc>
      </w:tr>
      <w:tr w:rsidR="00F37AD7" w:rsidRPr="008E6C82" w14:paraId="3A5361DA" w14:textId="77777777" w:rsidTr="007626F7">
        <w:tc>
          <w:tcPr>
            <w:tcW w:w="644" w:type="dxa"/>
            <w:tcBorders>
              <w:bottom w:val="single" w:sz="12" w:space="0" w:color="auto"/>
            </w:tcBorders>
            <w:shd w:val="clear" w:color="auto" w:fill="auto"/>
          </w:tcPr>
          <w:p w14:paraId="0C33E74A" w14:textId="77777777" w:rsidR="00F37AD7" w:rsidRPr="008E6C82" w:rsidRDefault="00F37AD7" w:rsidP="008E6C82">
            <w:pPr>
              <w:spacing w:before="40" w:after="120"/>
              <w:ind w:right="113"/>
              <w:rPr>
                <w:lang w:val="en-GB"/>
              </w:rPr>
            </w:pPr>
            <w:r w:rsidRPr="008E6C82">
              <w:rPr>
                <w:lang w:val="en-GB"/>
              </w:rPr>
              <w:t>9</w:t>
            </w:r>
          </w:p>
        </w:tc>
        <w:tc>
          <w:tcPr>
            <w:tcW w:w="1187" w:type="dxa"/>
            <w:tcBorders>
              <w:bottom w:val="single" w:sz="12" w:space="0" w:color="auto"/>
            </w:tcBorders>
            <w:shd w:val="clear" w:color="auto" w:fill="auto"/>
          </w:tcPr>
          <w:p w14:paraId="3E3CCA90" w14:textId="77777777" w:rsidR="00F37AD7" w:rsidRPr="008E6C82" w:rsidRDefault="00F37AD7" w:rsidP="008E6C82">
            <w:pPr>
              <w:spacing w:before="40" w:after="120"/>
              <w:ind w:right="113"/>
              <w:rPr>
                <w:lang w:val="en-GB"/>
              </w:rPr>
            </w:pPr>
            <w:r w:rsidRPr="008E6C82">
              <w:rPr>
                <w:lang w:val="en-GB"/>
              </w:rPr>
              <w:t>M11</w:t>
            </w:r>
          </w:p>
        </w:tc>
        <w:tc>
          <w:tcPr>
            <w:tcW w:w="2059" w:type="dxa"/>
            <w:tcBorders>
              <w:bottom w:val="single" w:sz="12" w:space="0" w:color="auto"/>
            </w:tcBorders>
            <w:shd w:val="clear" w:color="auto" w:fill="auto"/>
          </w:tcPr>
          <w:p w14:paraId="3D33D77F" w14:textId="77777777" w:rsidR="00F37AD7" w:rsidRPr="008E6C82" w:rsidRDefault="00F37AD7" w:rsidP="008E6C82">
            <w:pPr>
              <w:spacing w:before="40" w:after="120"/>
              <w:ind w:right="113"/>
            </w:pPr>
            <w:r w:rsidRPr="008E6C82">
              <w:t>Emballages au rebut</w:t>
            </w:r>
          </w:p>
        </w:tc>
        <w:tc>
          <w:tcPr>
            <w:tcW w:w="1959" w:type="dxa"/>
            <w:tcBorders>
              <w:bottom w:val="single" w:sz="12" w:space="0" w:color="auto"/>
            </w:tcBorders>
            <w:shd w:val="clear" w:color="auto" w:fill="auto"/>
          </w:tcPr>
          <w:p w14:paraId="08DEED2B" w14:textId="77777777" w:rsidR="00F37AD7" w:rsidRPr="008E6C82" w:rsidRDefault="00F37AD7" w:rsidP="008E6C82">
            <w:pPr>
              <w:spacing w:before="40" w:after="120"/>
              <w:ind w:right="113"/>
              <w:rPr>
                <w:lang w:eastAsia="fr-CH"/>
              </w:rPr>
            </w:pPr>
            <w:r w:rsidRPr="008E6C82">
              <w:rPr>
                <w:lang w:eastAsia="fr-CH"/>
              </w:rPr>
              <w:t>3509</w:t>
            </w:r>
          </w:p>
        </w:tc>
        <w:tc>
          <w:tcPr>
            <w:tcW w:w="940" w:type="dxa"/>
            <w:tcBorders>
              <w:bottom w:val="single" w:sz="12" w:space="0" w:color="auto"/>
            </w:tcBorders>
            <w:shd w:val="clear" w:color="auto" w:fill="auto"/>
          </w:tcPr>
          <w:p w14:paraId="6B3D4FC7" w14:textId="77777777" w:rsidR="00F37AD7" w:rsidRPr="008E6C82" w:rsidRDefault="00F37AD7" w:rsidP="008E6C82">
            <w:pPr>
              <w:spacing w:before="40" w:after="120"/>
              <w:ind w:right="113"/>
              <w:rPr>
                <w:lang w:eastAsia="fr-CH"/>
              </w:rPr>
            </w:pPr>
            <w:r w:rsidRPr="008E6C82">
              <w:rPr>
                <w:lang w:eastAsia="fr-CH"/>
              </w:rPr>
              <w:t>0</w:t>
            </w:r>
          </w:p>
        </w:tc>
        <w:tc>
          <w:tcPr>
            <w:tcW w:w="581" w:type="dxa"/>
            <w:tcBorders>
              <w:bottom w:val="single" w:sz="12" w:space="0" w:color="auto"/>
            </w:tcBorders>
            <w:shd w:val="clear" w:color="auto" w:fill="auto"/>
          </w:tcPr>
          <w:p w14:paraId="2A2A783C" w14:textId="77777777" w:rsidR="00F37AD7" w:rsidRPr="008E6C82" w:rsidRDefault="00F37AD7" w:rsidP="008E6C82">
            <w:pPr>
              <w:spacing w:before="40" w:after="120"/>
              <w:ind w:right="113"/>
              <w:rPr>
                <w:lang w:eastAsia="fr-CH"/>
              </w:rPr>
            </w:pPr>
            <w:r w:rsidRPr="008E6C82">
              <w:t>(E)</w:t>
            </w:r>
          </w:p>
        </w:tc>
      </w:tr>
    </w:tbl>
    <w:p w14:paraId="71895805" w14:textId="1041D645" w:rsidR="008E6C82" w:rsidRDefault="008E6C82" w:rsidP="008E6C82">
      <w:pPr>
        <w:pStyle w:val="SingleTxtG"/>
        <w:rPr>
          <w:lang w:val="fr-FR"/>
        </w:rPr>
      </w:pPr>
    </w:p>
    <w:p w14:paraId="48C5D009" w14:textId="77777777" w:rsidR="008E6C82" w:rsidRDefault="008E6C82">
      <w:pPr>
        <w:rPr>
          <w:lang w:val="fr-FR"/>
        </w:rPr>
      </w:pPr>
      <w:r>
        <w:rPr>
          <w:lang w:val="fr-FR"/>
        </w:rPr>
        <w:br w:type="page"/>
      </w:r>
    </w:p>
    <w:p w14:paraId="71C36EF8" w14:textId="592F3691" w:rsidR="00F37AD7" w:rsidRPr="008E6C82" w:rsidRDefault="00EF2373" w:rsidP="00EF2373">
      <w:pPr>
        <w:pStyle w:val="H1G"/>
      </w:pPr>
      <w:r>
        <w:rPr>
          <w:lang w:val="fr-FR"/>
        </w:rPr>
        <w:lastRenderedPageBreak/>
        <w:tab/>
      </w:r>
      <w:r>
        <w:rPr>
          <w:lang w:val="fr-FR"/>
        </w:rPr>
        <w:tab/>
      </w:r>
      <w:r w:rsidR="00F37AD7" w:rsidRPr="008E6C82">
        <w:rPr>
          <w:lang w:val="fr-FR"/>
        </w:rPr>
        <w:t>Liste des marchandises sans code de restriction en tunnel</w:t>
      </w:r>
    </w:p>
    <w:tbl>
      <w:tblPr>
        <w:tblStyle w:val="Grilledutableau"/>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366"/>
        <w:gridCol w:w="2678"/>
        <w:gridCol w:w="1544"/>
        <w:gridCol w:w="988"/>
        <w:gridCol w:w="1191"/>
      </w:tblGrid>
      <w:tr w:rsidR="00F37AD7" w:rsidRPr="008E6C82" w14:paraId="450B7F29" w14:textId="77777777" w:rsidTr="007626F7">
        <w:trPr>
          <w:tblHeader/>
        </w:trPr>
        <w:tc>
          <w:tcPr>
            <w:tcW w:w="639" w:type="dxa"/>
            <w:tcBorders>
              <w:top w:val="single" w:sz="4" w:space="0" w:color="auto"/>
              <w:bottom w:val="single" w:sz="12" w:space="0" w:color="auto"/>
            </w:tcBorders>
            <w:shd w:val="clear" w:color="auto" w:fill="auto"/>
            <w:vAlign w:val="bottom"/>
          </w:tcPr>
          <w:p w14:paraId="71851C79" w14:textId="77777777" w:rsidR="00F37AD7" w:rsidRPr="008E6C82" w:rsidRDefault="00F37AD7" w:rsidP="008E6C82">
            <w:pPr>
              <w:spacing w:before="80" w:after="80" w:line="200" w:lineRule="exact"/>
              <w:ind w:right="113"/>
              <w:rPr>
                <w:i/>
                <w:sz w:val="16"/>
              </w:rPr>
            </w:pPr>
            <w:r w:rsidRPr="008E6C82">
              <w:rPr>
                <w:i/>
                <w:sz w:val="16"/>
              </w:rPr>
              <w:t xml:space="preserve">Classe </w:t>
            </w:r>
          </w:p>
        </w:tc>
        <w:tc>
          <w:tcPr>
            <w:tcW w:w="1184" w:type="dxa"/>
            <w:tcBorders>
              <w:top w:val="single" w:sz="4" w:space="0" w:color="auto"/>
              <w:bottom w:val="single" w:sz="12" w:space="0" w:color="auto"/>
            </w:tcBorders>
            <w:shd w:val="clear" w:color="auto" w:fill="auto"/>
            <w:vAlign w:val="bottom"/>
          </w:tcPr>
          <w:p w14:paraId="1AA23BE1" w14:textId="77777777" w:rsidR="00F37AD7" w:rsidRPr="008E6C82" w:rsidRDefault="00F37AD7" w:rsidP="008E6C82">
            <w:pPr>
              <w:spacing w:before="80" w:after="80" w:line="200" w:lineRule="exact"/>
              <w:ind w:right="113"/>
              <w:rPr>
                <w:i/>
                <w:sz w:val="16"/>
              </w:rPr>
            </w:pPr>
            <w:r w:rsidRPr="008E6C82">
              <w:rPr>
                <w:i/>
                <w:sz w:val="16"/>
              </w:rPr>
              <w:t>Classification</w:t>
            </w:r>
          </w:p>
        </w:tc>
        <w:tc>
          <w:tcPr>
            <w:tcW w:w="2321" w:type="dxa"/>
            <w:tcBorders>
              <w:top w:val="single" w:sz="4" w:space="0" w:color="auto"/>
              <w:bottom w:val="single" w:sz="12" w:space="0" w:color="auto"/>
            </w:tcBorders>
            <w:shd w:val="clear" w:color="auto" w:fill="auto"/>
            <w:vAlign w:val="bottom"/>
          </w:tcPr>
          <w:p w14:paraId="5CDFEC32" w14:textId="77777777" w:rsidR="00F37AD7" w:rsidRPr="008E6C82" w:rsidRDefault="00F37AD7" w:rsidP="008E6C82">
            <w:pPr>
              <w:spacing w:before="80" w:after="80" w:line="200" w:lineRule="exact"/>
              <w:ind w:right="113"/>
              <w:rPr>
                <w:i/>
                <w:sz w:val="16"/>
              </w:rPr>
            </w:pPr>
            <w:r w:rsidRPr="008E6C82">
              <w:rPr>
                <w:i/>
                <w:sz w:val="16"/>
              </w:rPr>
              <w:t>Type de marchandise</w:t>
            </w:r>
          </w:p>
        </w:tc>
        <w:tc>
          <w:tcPr>
            <w:tcW w:w="1338" w:type="dxa"/>
            <w:tcBorders>
              <w:top w:val="single" w:sz="4" w:space="0" w:color="auto"/>
              <w:bottom w:val="single" w:sz="12" w:space="0" w:color="auto"/>
            </w:tcBorders>
            <w:shd w:val="clear" w:color="auto" w:fill="auto"/>
            <w:vAlign w:val="bottom"/>
          </w:tcPr>
          <w:p w14:paraId="1575229E" w14:textId="77777777" w:rsidR="00F37AD7" w:rsidRPr="008E6C82" w:rsidRDefault="00F37AD7" w:rsidP="008E6C82">
            <w:pPr>
              <w:spacing w:before="80" w:after="80" w:line="200" w:lineRule="exact"/>
              <w:ind w:right="113"/>
              <w:rPr>
                <w:i/>
                <w:sz w:val="16"/>
              </w:rPr>
            </w:pPr>
            <w:r w:rsidRPr="008E6C82">
              <w:rPr>
                <w:i/>
                <w:sz w:val="16"/>
              </w:rPr>
              <w:t>Numéro ONU</w:t>
            </w:r>
          </w:p>
        </w:tc>
        <w:tc>
          <w:tcPr>
            <w:tcW w:w="856" w:type="dxa"/>
            <w:tcBorders>
              <w:top w:val="single" w:sz="4" w:space="0" w:color="auto"/>
              <w:bottom w:val="single" w:sz="12" w:space="0" w:color="auto"/>
            </w:tcBorders>
            <w:shd w:val="clear" w:color="auto" w:fill="auto"/>
            <w:vAlign w:val="bottom"/>
          </w:tcPr>
          <w:p w14:paraId="49BDC2D1" w14:textId="77777777" w:rsidR="00F37AD7" w:rsidRPr="008E6C82" w:rsidRDefault="00F37AD7" w:rsidP="008E6C82">
            <w:pPr>
              <w:spacing w:before="80" w:after="80" w:line="200" w:lineRule="exact"/>
              <w:ind w:right="113"/>
              <w:rPr>
                <w:i/>
                <w:sz w:val="16"/>
              </w:rPr>
            </w:pPr>
            <w:r w:rsidRPr="008E6C82">
              <w:rPr>
                <w:i/>
                <w:sz w:val="16"/>
              </w:rPr>
              <w:t>Quantités limitées</w:t>
            </w:r>
          </w:p>
        </w:tc>
        <w:tc>
          <w:tcPr>
            <w:tcW w:w="1032" w:type="dxa"/>
            <w:tcBorders>
              <w:top w:val="single" w:sz="4" w:space="0" w:color="auto"/>
              <w:bottom w:val="single" w:sz="12" w:space="0" w:color="auto"/>
            </w:tcBorders>
            <w:shd w:val="clear" w:color="auto" w:fill="auto"/>
            <w:vAlign w:val="bottom"/>
          </w:tcPr>
          <w:p w14:paraId="0FE7A757" w14:textId="77777777" w:rsidR="00F37AD7" w:rsidRPr="008E6C82" w:rsidRDefault="00F37AD7" w:rsidP="008E6C82">
            <w:pPr>
              <w:spacing w:before="80" w:after="80" w:line="200" w:lineRule="exact"/>
              <w:ind w:right="113"/>
              <w:rPr>
                <w:i/>
                <w:sz w:val="16"/>
              </w:rPr>
            </w:pPr>
            <w:r w:rsidRPr="008E6C82">
              <w:rPr>
                <w:i/>
                <w:sz w:val="16"/>
              </w:rPr>
              <w:t>Catégorie de transport</w:t>
            </w:r>
          </w:p>
        </w:tc>
      </w:tr>
      <w:tr w:rsidR="008E6C82" w:rsidRPr="008E6C82" w14:paraId="74F26FE8" w14:textId="77777777" w:rsidTr="007626F7">
        <w:trPr>
          <w:trHeight w:hRule="exact" w:val="113"/>
        </w:trPr>
        <w:tc>
          <w:tcPr>
            <w:tcW w:w="639" w:type="dxa"/>
            <w:tcBorders>
              <w:top w:val="single" w:sz="12" w:space="0" w:color="auto"/>
            </w:tcBorders>
            <w:shd w:val="clear" w:color="auto" w:fill="auto"/>
          </w:tcPr>
          <w:p w14:paraId="61B5FFDC" w14:textId="77777777" w:rsidR="008E6C82" w:rsidRPr="008E6C82" w:rsidRDefault="008E6C82" w:rsidP="008E6C82">
            <w:pPr>
              <w:spacing w:before="40" w:after="120"/>
              <w:ind w:right="113"/>
            </w:pPr>
          </w:p>
        </w:tc>
        <w:tc>
          <w:tcPr>
            <w:tcW w:w="1184" w:type="dxa"/>
            <w:tcBorders>
              <w:top w:val="single" w:sz="12" w:space="0" w:color="auto"/>
            </w:tcBorders>
            <w:shd w:val="clear" w:color="auto" w:fill="auto"/>
          </w:tcPr>
          <w:p w14:paraId="1E257450" w14:textId="77777777" w:rsidR="008E6C82" w:rsidRPr="008E6C82" w:rsidRDefault="008E6C82" w:rsidP="008E6C82">
            <w:pPr>
              <w:spacing w:before="40" w:after="120"/>
              <w:ind w:right="113"/>
            </w:pPr>
          </w:p>
        </w:tc>
        <w:tc>
          <w:tcPr>
            <w:tcW w:w="2321" w:type="dxa"/>
            <w:tcBorders>
              <w:top w:val="single" w:sz="12" w:space="0" w:color="auto"/>
            </w:tcBorders>
            <w:shd w:val="clear" w:color="auto" w:fill="auto"/>
          </w:tcPr>
          <w:p w14:paraId="1DEBEF4A" w14:textId="77777777" w:rsidR="008E6C82" w:rsidRPr="008E6C82" w:rsidRDefault="008E6C82" w:rsidP="008E6C82">
            <w:pPr>
              <w:spacing w:before="40" w:after="120"/>
              <w:ind w:right="113"/>
            </w:pPr>
          </w:p>
        </w:tc>
        <w:tc>
          <w:tcPr>
            <w:tcW w:w="1338" w:type="dxa"/>
            <w:tcBorders>
              <w:top w:val="single" w:sz="12" w:space="0" w:color="auto"/>
            </w:tcBorders>
            <w:shd w:val="clear" w:color="auto" w:fill="auto"/>
          </w:tcPr>
          <w:p w14:paraId="7F47B5A2" w14:textId="77777777" w:rsidR="008E6C82" w:rsidRPr="008E6C82" w:rsidRDefault="008E6C82" w:rsidP="008E6C82">
            <w:pPr>
              <w:spacing w:before="40" w:after="120"/>
              <w:ind w:right="113"/>
            </w:pPr>
          </w:p>
        </w:tc>
        <w:tc>
          <w:tcPr>
            <w:tcW w:w="856" w:type="dxa"/>
            <w:tcBorders>
              <w:top w:val="single" w:sz="12" w:space="0" w:color="auto"/>
            </w:tcBorders>
            <w:shd w:val="clear" w:color="auto" w:fill="auto"/>
          </w:tcPr>
          <w:p w14:paraId="7D0FFA30" w14:textId="77777777" w:rsidR="008E6C82" w:rsidRPr="008E6C82" w:rsidRDefault="008E6C82" w:rsidP="008E6C82">
            <w:pPr>
              <w:spacing w:before="40" w:after="120"/>
              <w:ind w:right="113"/>
            </w:pPr>
          </w:p>
        </w:tc>
        <w:tc>
          <w:tcPr>
            <w:tcW w:w="1032" w:type="dxa"/>
            <w:tcBorders>
              <w:top w:val="single" w:sz="12" w:space="0" w:color="auto"/>
            </w:tcBorders>
            <w:shd w:val="clear" w:color="auto" w:fill="auto"/>
          </w:tcPr>
          <w:p w14:paraId="68FE0AD5" w14:textId="77777777" w:rsidR="008E6C82" w:rsidRPr="008E6C82" w:rsidRDefault="008E6C82" w:rsidP="008E6C82">
            <w:pPr>
              <w:spacing w:before="40" w:after="120"/>
              <w:ind w:right="113"/>
            </w:pPr>
          </w:p>
        </w:tc>
      </w:tr>
      <w:tr w:rsidR="00F37AD7" w:rsidRPr="008E6C82" w14:paraId="3F5A3E72" w14:textId="77777777" w:rsidTr="007626F7">
        <w:tc>
          <w:tcPr>
            <w:tcW w:w="639" w:type="dxa"/>
            <w:shd w:val="clear" w:color="auto" w:fill="auto"/>
          </w:tcPr>
          <w:p w14:paraId="651A1777" w14:textId="77777777" w:rsidR="00F37AD7" w:rsidRPr="008E6C82" w:rsidRDefault="00F37AD7" w:rsidP="008E6C82">
            <w:pPr>
              <w:spacing w:before="40" w:after="120"/>
              <w:ind w:right="113"/>
              <w:rPr>
                <w:lang w:val="en-GB"/>
              </w:rPr>
            </w:pPr>
            <w:r w:rsidRPr="008E6C82">
              <w:rPr>
                <w:lang w:val="en-GB"/>
              </w:rPr>
              <w:t xml:space="preserve">6.2 </w:t>
            </w:r>
          </w:p>
        </w:tc>
        <w:tc>
          <w:tcPr>
            <w:tcW w:w="1184" w:type="dxa"/>
            <w:shd w:val="clear" w:color="auto" w:fill="auto"/>
          </w:tcPr>
          <w:p w14:paraId="35032CB0" w14:textId="77777777" w:rsidR="00F37AD7" w:rsidRPr="008E6C82" w:rsidRDefault="00F37AD7" w:rsidP="008E6C82">
            <w:pPr>
              <w:spacing w:before="40" w:after="120"/>
              <w:ind w:right="113"/>
            </w:pPr>
            <w:r w:rsidRPr="008E6C82">
              <w:rPr>
                <w:lang w:val="en-GB"/>
              </w:rPr>
              <w:t>I1, I2, I3</w:t>
            </w:r>
          </w:p>
        </w:tc>
        <w:tc>
          <w:tcPr>
            <w:tcW w:w="2321" w:type="dxa"/>
            <w:shd w:val="clear" w:color="auto" w:fill="auto"/>
          </w:tcPr>
          <w:p w14:paraId="55D62A76" w14:textId="77777777" w:rsidR="00F37AD7" w:rsidRPr="008E6C82" w:rsidRDefault="00F37AD7" w:rsidP="008E6C82">
            <w:pPr>
              <w:spacing w:before="40" w:after="120"/>
              <w:ind w:right="113"/>
            </w:pPr>
            <w:r w:rsidRPr="008E6C82">
              <w:t>Matières infectieuses de la catégorie A</w:t>
            </w:r>
          </w:p>
        </w:tc>
        <w:tc>
          <w:tcPr>
            <w:tcW w:w="1338" w:type="dxa"/>
            <w:shd w:val="clear" w:color="auto" w:fill="auto"/>
          </w:tcPr>
          <w:p w14:paraId="1427D87F" w14:textId="77777777" w:rsidR="00F37AD7" w:rsidRPr="008E6C82" w:rsidRDefault="00F37AD7" w:rsidP="008E6C82">
            <w:pPr>
              <w:spacing w:before="40" w:after="120"/>
              <w:ind w:right="113"/>
            </w:pPr>
            <w:r w:rsidRPr="008E6C82">
              <w:t>2814, 2900, 3549</w:t>
            </w:r>
          </w:p>
        </w:tc>
        <w:tc>
          <w:tcPr>
            <w:tcW w:w="856" w:type="dxa"/>
            <w:shd w:val="clear" w:color="auto" w:fill="auto"/>
          </w:tcPr>
          <w:p w14:paraId="57A93BA1" w14:textId="77777777" w:rsidR="00F37AD7" w:rsidRPr="008E6C82" w:rsidRDefault="00F37AD7" w:rsidP="008E6C82">
            <w:pPr>
              <w:spacing w:before="40" w:after="120"/>
              <w:ind w:right="113"/>
            </w:pPr>
            <w:r w:rsidRPr="008E6C82">
              <w:t>0</w:t>
            </w:r>
          </w:p>
        </w:tc>
        <w:tc>
          <w:tcPr>
            <w:tcW w:w="1032" w:type="dxa"/>
            <w:shd w:val="clear" w:color="auto" w:fill="auto"/>
          </w:tcPr>
          <w:p w14:paraId="126171DF" w14:textId="77777777" w:rsidR="00F37AD7" w:rsidRPr="008E6C82" w:rsidRDefault="00F37AD7" w:rsidP="008E6C82">
            <w:pPr>
              <w:spacing w:before="40" w:after="120"/>
              <w:ind w:right="113"/>
            </w:pPr>
            <w:r w:rsidRPr="008E6C82">
              <w:t>0</w:t>
            </w:r>
          </w:p>
        </w:tc>
      </w:tr>
      <w:tr w:rsidR="00F37AD7" w:rsidRPr="008E6C82" w14:paraId="51BF3734" w14:textId="77777777" w:rsidTr="007626F7">
        <w:tc>
          <w:tcPr>
            <w:tcW w:w="639" w:type="dxa"/>
            <w:shd w:val="clear" w:color="auto" w:fill="auto"/>
          </w:tcPr>
          <w:p w14:paraId="041A6B5E" w14:textId="77777777" w:rsidR="00F37AD7" w:rsidRPr="008E6C82" w:rsidRDefault="00F37AD7" w:rsidP="008E6C82">
            <w:pPr>
              <w:spacing w:before="40" w:after="120"/>
              <w:ind w:right="113"/>
              <w:rPr>
                <w:lang w:val="en-GB"/>
              </w:rPr>
            </w:pPr>
            <w:r w:rsidRPr="008E6C82">
              <w:rPr>
                <w:lang w:val="en-GB"/>
              </w:rPr>
              <w:t>6.2</w:t>
            </w:r>
          </w:p>
        </w:tc>
        <w:tc>
          <w:tcPr>
            <w:tcW w:w="1184" w:type="dxa"/>
            <w:shd w:val="clear" w:color="auto" w:fill="auto"/>
          </w:tcPr>
          <w:p w14:paraId="0495A15C" w14:textId="77777777" w:rsidR="00F37AD7" w:rsidRPr="008E6C82" w:rsidRDefault="00F37AD7" w:rsidP="008E6C82">
            <w:pPr>
              <w:spacing w:before="40" w:after="120"/>
              <w:ind w:right="113"/>
              <w:rPr>
                <w:lang w:val="en-GB"/>
              </w:rPr>
            </w:pPr>
            <w:r w:rsidRPr="008E6C82">
              <w:rPr>
                <w:lang w:val="en-GB"/>
              </w:rPr>
              <w:t>I4</w:t>
            </w:r>
          </w:p>
        </w:tc>
        <w:tc>
          <w:tcPr>
            <w:tcW w:w="2321" w:type="dxa"/>
            <w:shd w:val="clear" w:color="auto" w:fill="auto"/>
          </w:tcPr>
          <w:p w14:paraId="7B5C0057" w14:textId="77777777" w:rsidR="00F37AD7" w:rsidRPr="008E6C82" w:rsidRDefault="00F37AD7" w:rsidP="008E6C82">
            <w:pPr>
              <w:spacing w:before="40" w:after="120"/>
              <w:ind w:right="113"/>
            </w:pPr>
            <w:r w:rsidRPr="008E6C82">
              <w:t>Matières biologiques de la catégorie B</w:t>
            </w:r>
          </w:p>
        </w:tc>
        <w:tc>
          <w:tcPr>
            <w:tcW w:w="1338" w:type="dxa"/>
            <w:shd w:val="clear" w:color="auto" w:fill="auto"/>
          </w:tcPr>
          <w:p w14:paraId="1385F31C" w14:textId="77777777" w:rsidR="00F37AD7" w:rsidRPr="008E6C82" w:rsidRDefault="00F37AD7" w:rsidP="008E6C82">
            <w:pPr>
              <w:spacing w:before="40" w:after="120"/>
              <w:ind w:right="113"/>
            </w:pPr>
            <w:r w:rsidRPr="008E6C82">
              <w:t>3373</w:t>
            </w:r>
          </w:p>
        </w:tc>
        <w:tc>
          <w:tcPr>
            <w:tcW w:w="856" w:type="dxa"/>
            <w:shd w:val="clear" w:color="auto" w:fill="auto"/>
          </w:tcPr>
          <w:p w14:paraId="14CC230F" w14:textId="77777777" w:rsidR="00F37AD7" w:rsidRPr="008E6C82" w:rsidRDefault="00F37AD7" w:rsidP="008E6C82">
            <w:pPr>
              <w:spacing w:before="40" w:after="120"/>
              <w:ind w:right="113"/>
            </w:pPr>
            <w:r w:rsidRPr="008E6C82">
              <w:t>0</w:t>
            </w:r>
          </w:p>
        </w:tc>
        <w:tc>
          <w:tcPr>
            <w:tcW w:w="1032" w:type="dxa"/>
            <w:shd w:val="clear" w:color="auto" w:fill="auto"/>
          </w:tcPr>
          <w:p w14:paraId="7669BE87" w14:textId="77777777" w:rsidR="00F37AD7" w:rsidRPr="008E6C82" w:rsidRDefault="00F37AD7" w:rsidP="008E6C82">
            <w:pPr>
              <w:spacing w:before="40" w:after="120"/>
              <w:ind w:right="113"/>
            </w:pPr>
            <w:r w:rsidRPr="008E6C82">
              <w:t>-</w:t>
            </w:r>
          </w:p>
        </w:tc>
      </w:tr>
      <w:tr w:rsidR="00F37AD7" w:rsidRPr="008E6C82" w14:paraId="7B233507" w14:textId="77777777" w:rsidTr="007626F7">
        <w:tc>
          <w:tcPr>
            <w:tcW w:w="639" w:type="dxa"/>
            <w:shd w:val="clear" w:color="auto" w:fill="auto"/>
          </w:tcPr>
          <w:p w14:paraId="2FB5B0F7" w14:textId="77777777" w:rsidR="00F37AD7" w:rsidRPr="008E6C82" w:rsidRDefault="00F37AD7" w:rsidP="008E6C82">
            <w:pPr>
              <w:spacing w:before="40" w:after="120"/>
              <w:ind w:right="113"/>
              <w:rPr>
                <w:lang w:val="en-GB"/>
              </w:rPr>
            </w:pPr>
            <w:r w:rsidRPr="008E6C82">
              <w:rPr>
                <w:lang w:val="en-GB"/>
              </w:rPr>
              <w:t>6.2</w:t>
            </w:r>
          </w:p>
        </w:tc>
        <w:tc>
          <w:tcPr>
            <w:tcW w:w="1184" w:type="dxa"/>
            <w:shd w:val="clear" w:color="auto" w:fill="auto"/>
          </w:tcPr>
          <w:p w14:paraId="6852BCDC" w14:textId="77777777" w:rsidR="00F37AD7" w:rsidRPr="008E6C82" w:rsidRDefault="00F37AD7" w:rsidP="008E6C82">
            <w:pPr>
              <w:spacing w:before="40" w:after="120"/>
              <w:ind w:right="113"/>
              <w:rPr>
                <w:lang w:val="en-GB"/>
              </w:rPr>
            </w:pPr>
            <w:r w:rsidRPr="008E6C82">
              <w:rPr>
                <w:lang w:val="en-GB"/>
              </w:rPr>
              <w:t>I3</w:t>
            </w:r>
          </w:p>
        </w:tc>
        <w:tc>
          <w:tcPr>
            <w:tcW w:w="2321" w:type="dxa"/>
            <w:shd w:val="clear" w:color="auto" w:fill="auto"/>
          </w:tcPr>
          <w:p w14:paraId="4924288D" w14:textId="66A31DE3" w:rsidR="00F37AD7" w:rsidRPr="008E6C82" w:rsidRDefault="00F37AD7" w:rsidP="008E6C82">
            <w:pPr>
              <w:spacing w:before="40" w:after="120"/>
              <w:ind w:right="113"/>
            </w:pPr>
            <w:r w:rsidRPr="008E6C82">
              <w:t>Déchets d</w:t>
            </w:r>
            <w:r w:rsidR="0076764E">
              <w:t>’</w:t>
            </w:r>
            <w:r w:rsidRPr="008E6C82">
              <w:t>hôpital ou médicaux</w:t>
            </w:r>
          </w:p>
        </w:tc>
        <w:tc>
          <w:tcPr>
            <w:tcW w:w="1338" w:type="dxa"/>
            <w:shd w:val="clear" w:color="auto" w:fill="auto"/>
          </w:tcPr>
          <w:p w14:paraId="0B3480E4" w14:textId="77777777" w:rsidR="00F37AD7" w:rsidRPr="008E6C82" w:rsidRDefault="00F37AD7" w:rsidP="008E6C82">
            <w:pPr>
              <w:spacing w:before="40" w:after="120"/>
              <w:ind w:right="113"/>
            </w:pPr>
            <w:r w:rsidRPr="008E6C82">
              <w:t>3291</w:t>
            </w:r>
          </w:p>
        </w:tc>
        <w:tc>
          <w:tcPr>
            <w:tcW w:w="856" w:type="dxa"/>
            <w:shd w:val="clear" w:color="auto" w:fill="auto"/>
          </w:tcPr>
          <w:p w14:paraId="7841723B" w14:textId="77777777" w:rsidR="00F37AD7" w:rsidRPr="008E6C82" w:rsidRDefault="00F37AD7" w:rsidP="008E6C82">
            <w:pPr>
              <w:spacing w:before="40" w:after="120"/>
              <w:ind w:right="113"/>
            </w:pPr>
            <w:r w:rsidRPr="008E6C82">
              <w:t>0</w:t>
            </w:r>
          </w:p>
        </w:tc>
        <w:tc>
          <w:tcPr>
            <w:tcW w:w="1032" w:type="dxa"/>
            <w:shd w:val="clear" w:color="auto" w:fill="auto"/>
          </w:tcPr>
          <w:p w14:paraId="01C8459C" w14:textId="77777777" w:rsidR="00F37AD7" w:rsidRPr="008E6C82" w:rsidRDefault="00F37AD7" w:rsidP="008E6C82">
            <w:pPr>
              <w:spacing w:before="40" w:after="120"/>
              <w:ind w:right="113"/>
            </w:pPr>
            <w:r w:rsidRPr="008E6C82">
              <w:t>2</w:t>
            </w:r>
          </w:p>
        </w:tc>
      </w:tr>
      <w:tr w:rsidR="00F37AD7" w:rsidRPr="008E6C82" w14:paraId="394CA67B" w14:textId="77777777" w:rsidTr="007626F7">
        <w:tc>
          <w:tcPr>
            <w:tcW w:w="639" w:type="dxa"/>
            <w:shd w:val="clear" w:color="auto" w:fill="auto"/>
          </w:tcPr>
          <w:p w14:paraId="10B65911" w14:textId="77777777" w:rsidR="00F37AD7" w:rsidRPr="008E6C82" w:rsidRDefault="00F37AD7" w:rsidP="008E6C82">
            <w:pPr>
              <w:spacing w:before="40" w:after="120"/>
              <w:ind w:right="113"/>
            </w:pPr>
            <w:r w:rsidRPr="008E6C82">
              <w:t xml:space="preserve">7 </w:t>
            </w:r>
          </w:p>
        </w:tc>
        <w:tc>
          <w:tcPr>
            <w:tcW w:w="1184" w:type="dxa"/>
            <w:shd w:val="clear" w:color="auto" w:fill="auto"/>
          </w:tcPr>
          <w:p w14:paraId="3E838D9C" w14:textId="77777777" w:rsidR="00F37AD7" w:rsidRPr="008E6C82" w:rsidRDefault="00F37AD7" w:rsidP="008E6C82">
            <w:pPr>
              <w:spacing w:before="40" w:after="120"/>
              <w:ind w:right="113"/>
            </w:pPr>
          </w:p>
        </w:tc>
        <w:tc>
          <w:tcPr>
            <w:tcW w:w="2321" w:type="dxa"/>
            <w:shd w:val="clear" w:color="auto" w:fill="auto"/>
          </w:tcPr>
          <w:p w14:paraId="57DC687F" w14:textId="77777777" w:rsidR="00F37AD7" w:rsidRPr="008E6C82" w:rsidRDefault="00F37AD7" w:rsidP="008E6C82">
            <w:pPr>
              <w:spacing w:before="40" w:after="120"/>
              <w:ind w:right="113"/>
            </w:pPr>
            <w:r w:rsidRPr="008E6C82">
              <w:t>Matières radioactives (arrangement spécial)</w:t>
            </w:r>
          </w:p>
        </w:tc>
        <w:tc>
          <w:tcPr>
            <w:tcW w:w="1338" w:type="dxa"/>
            <w:shd w:val="clear" w:color="auto" w:fill="auto"/>
          </w:tcPr>
          <w:p w14:paraId="3DA1AD46" w14:textId="77777777" w:rsidR="00F37AD7" w:rsidRPr="008E6C82" w:rsidRDefault="00F37AD7" w:rsidP="008E6C82">
            <w:pPr>
              <w:spacing w:before="40" w:after="120"/>
              <w:ind w:right="113"/>
            </w:pPr>
            <w:r w:rsidRPr="008E6C82">
              <w:t>2919, 3331</w:t>
            </w:r>
          </w:p>
        </w:tc>
        <w:tc>
          <w:tcPr>
            <w:tcW w:w="856" w:type="dxa"/>
            <w:shd w:val="clear" w:color="auto" w:fill="auto"/>
          </w:tcPr>
          <w:p w14:paraId="7E8127CC" w14:textId="77777777" w:rsidR="00F37AD7" w:rsidRPr="008E6C82" w:rsidRDefault="00F37AD7" w:rsidP="008E6C82">
            <w:pPr>
              <w:spacing w:before="40" w:after="120"/>
              <w:ind w:right="113"/>
            </w:pPr>
            <w:r w:rsidRPr="008E6C82">
              <w:t>0</w:t>
            </w:r>
          </w:p>
        </w:tc>
        <w:tc>
          <w:tcPr>
            <w:tcW w:w="1032" w:type="dxa"/>
            <w:shd w:val="clear" w:color="auto" w:fill="auto"/>
          </w:tcPr>
          <w:p w14:paraId="3BE0C75A" w14:textId="77777777" w:rsidR="00F37AD7" w:rsidRPr="008E6C82" w:rsidRDefault="00F37AD7" w:rsidP="008E6C82">
            <w:pPr>
              <w:spacing w:before="40" w:after="120"/>
              <w:ind w:right="113"/>
            </w:pPr>
            <w:r w:rsidRPr="008E6C82">
              <w:t>0</w:t>
            </w:r>
          </w:p>
        </w:tc>
      </w:tr>
      <w:tr w:rsidR="00F37AD7" w:rsidRPr="008E6C82" w14:paraId="429D49A5" w14:textId="77777777" w:rsidTr="007626F7">
        <w:tc>
          <w:tcPr>
            <w:tcW w:w="639" w:type="dxa"/>
            <w:shd w:val="clear" w:color="auto" w:fill="auto"/>
          </w:tcPr>
          <w:p w14:paraId="4C9B8DE8" w14:textId="77777777" w:rsidR="00F37AD7" w:rsidRPr="008E6C82" w:rsidRDefault="00F37AD7" w:rsidP="008E6C82">
            <w:pPr>
              <w:spacing w:before="40" w:after="120"/>
              <w:ind w:right="113"/>
            </w:pPr>
            <w:r w:rsidRPr="008E6C82">
              <w:t>7</w:t>
            </w:r>
          </w:p>
        </w:tc>
        <w:tc>
          <w:tcPr>
            <w:tcW w:w="1184" w:type="dxa"/>
            <w:shd w:val="clear" w:color="auto" w:fill="auto"/>
          </w:tcPr>
          <w:p w14:paraId="069FD33A" w14:textId="77777777" w:rsidR="00F37AD7" w:rsidRPr="008E6C82" w:rsidRDefault="00F37AD7" w:rsidP="008E6C82">
            <w:pPr>
              <w:spacing w:before="40" w:after="120"/>
              <w:ind w:right="113"/>
            </w:pPr>
          </w:p>
        </w:tc>
        <w:tc>
          <w:tcPr>
            <w:tcW w:w="2321" w:type="dxa"/>
            <w:shd w:val="clear" w:color="auto" w:fill="auto"/>
          </w:tcPr>
          <w:p w14:paraId="3C7718A9" w14:textId="77777777" w:rsidR="00F37AD7" w:rsidRPr="008E6C82" w:rsidRDefault="00F37AD7" w:rsidP="008E6C82">
            <w:pPr>
              <w:spacing w:before="40" w:after="120"/>
              <w:ind w:right="113"/>
            </w:pPr>
            <w:r w:rsidRPr="008E6C82">
              <w:t>Matières radioactives</w:t>
            </w:r>
          </w:p>
        </w:tc>
        <w:tc>
          <w:tcPr>
            <w:tcW w:w="1338" w:type="dxa"/>
            <w:shd w:val="clear" w:color="auto" w:fill="auto"/>
          </w:tcPr>
          <w:p w14:paraId="3FF9D4E6" w14:textId="77777777" w:rsidR="00F37AD7" w:rsidRPr="008E6C82" w:rsidRDefault="00F37AD7" w:rsidP="008E6C82">
            <w:pPr>
              <w:spacing w:before="40" w:after="120"/>
              <w:ind w:right="113"/>
            </w:pPr>
            <w:r w:rsidRPr="008E6C82">
              <w:t>2908, 2909, 2910, 2911</w:t>
            </w:r>
          </w:p>
        </w:tc>
        <w:tc>
          <w:tcPr>
            <w:tcW w:w="856" w:type="dxa"/>
            <w:shd w:val="clear" w:color="auto" w:fill="auto"/>
          </w:tcPr>
          <w:p w14:paraId="6E695CA9" w14:textId="77777777" w:rsidR="00F37AD7" w:rsidRPr="008E6C82" w:rsidRDefault="00F37AD7" w:rsidP="008E6C82">
            <w:pPr>
              <w:spacing w:before="40" w:after="120"/>
              <w:ind w:right="113"/>
            </w:pPr>
            <w:r w:rsidRPr="008E6C82">
              <w:t>0</w:t>
            </w:r>
          </w:p>
        </w:tc>
        <w:tc>
          <w:tcPr>
            <w:tcW w:w="1032" w:type="dxa"/>
            <w:shd w:val="clear" w:color="auto" w:fill="auto"/>
          </w:tcPr>
          <w:p w14:paraId="5B14A8D1" w14:textId="77777777" w:rsidR="00F37AD7" w:rsidRPr="008E6C82" w:rsidRDefault="00F37AD7" w:rsidP="008E6C82">
            <w:pPr>
              <w:spacing w:before="40" w:after="120"/>
              <w:ind w:right="113"/>
            </w:pPr>
            <w:r w:rsidRPr="008E6C82">
              <w:t>4</w:t>
            </w:r>
          </w:p>
        </w:tc>
      </w:tr>
      <w:tr w:rsidR="00F37AD7" w:rsidRPr="008E6C82" w14:paraId="37B02609" w14:textId="77777777" w:rsidTr="007626F7">
        <w:tc>
          <w:tcPr>
            <w:tcW w:w="639" w:type="dxa"/>
            <w:shd w:val="clear" w:color="auto" w:fill="auto"/>
          </w:tcPr>
          <w:p w14:paraId="271F121D" w14:textId="77777777" w:rsidR="00F37AD7" w:rsidRPr="008E6C82" w:rsidRDefault="00F37AD7" w:rsidP="008E6C82">
            <w:pPr>
              <w:spacing w:before="40" w:after="120"/>
              <w:ind w:right="113"/>
            </w:pPr>
            <w:r w:rsidRPr="008E6C82">
              <w:t>9</w:t>
            </w:r>
          </w:p>
        </w:tc>
        <w:tc>
          <w:tcPr>
            <w:tcW w:w="1184" w:type="dxa"/>
            <w:shd w:val="clear" w:color="auto" w:fill="auto"/>
          </w:tcPr>
          <w:p w14:paraId="6E06ADD6" w14:textId="77777777" w:rsidR="00F37AD7" w:rsidRPr="008E6C82" w:rsidRDefault="00F37AD7" w:rsidP="008E6C82">
            <w:pPr>
              <w:spacing w:before="40" w:after="120"/>
              <w:ind w:right="113"/>
            </w:pPr>
            <w:r w:rsidRPr="008E6C82">
              <w:t>M6, M7</w:t>
            </w:r>
          </w:p>
        </w:tc>
        <w:tc>
          <w:tcPr>
            <w:tcW w:w="2321" w:type="dxa"/>
            <w:shd w:val="clear" w:color="auto" w:fill="auto"/>
          </w:tcPr>
          <w:p w14:paraId="1147D9A4" w14:textId="1A8D1376" w:rsidR="00F37AD7" w:rsidRPr="008E6C82" w:rsidRDefault="00F37AD7" w:rsidP="008E6C82">
            <w:pPr>
              <w:spacing w:before="40" w:after="120"/>
              <w:ind w:right="113"/>
            </w:pPr>
            <w:r w:rsidRPr="008E6C82">
              <w:t>Matières dangereuses pour l</w:t>
            </w:r>
            <w:r w:rsidR="0076764E">
              <w:t>’</w:t>
            </w:r>
            <w:r w:rsidRPr="008E6C82">
              <w:t>environnement</w:t>
            </w:r>
          </w:p>
        </w:tc>
        <w:tc>
          <w:tcPr>
            <w:tcW w:w="1338" w:type="dxa"/>
            <w:shd w:val="clear" w:color="auto" w:fill="auto"/>
          </w:tcPr>
          <w:p w14:paraId="0C751577" w14:textId="77777777" w:rsidR="00F37AD7" w:rsidRPr="008E6C82" w:rsidRDefault="00F37AD7" w:rsidP="008E6C82">
            <w:pPr>
              <w:spacing w:before="40" w:after="120"/>
              <w:ind w:right="113"/>
            </w:pPr>
            <w:r w:rsidRPr="008E6C82">
              <w:t>3077, 3082</w:t>
            </w:r>
          </w:p>
        </w:tc>
        <w:tc>
          <w:tcPr>
            <w:tcW w:w="856" w:type="dxa"/>
            <w:shd w:val="clear" w:color="auto" w:fill="auto"/>
          </w:tcPr>
          <w:p w14:paraId="02C52224" w14:textId="77777777" w:rsidR="00F37AD7" w:rsidRPr="008E6C82" w:rsidRDefault="00F37AD7" w:rsidP="008E6C82">
            <w:pPr>
              <w:spacing w:before="40" w:after="120"/>
              <w:ind w:right="113"/>
            </w:pPr>
            <w:r w:rsidRPr="008E6C82">
              <w:t>5 kg/5 L</w:t>
            </w:r>
          </w:p>
        </w:tc>
        <w:tc>
          <w:tcPr>
            <w:tcW w:w="1032" w:type="dxa"/>
            <w:shd w:val="clear" w:color="auto" w:fill="auto"/>
          </w:tcPr>
          <w:p w14:paraId="5FBB837C" w14:textId="77777777" w:rsidR="00F37AD7" w:rsidRPr="008E6C82" w:rsidRDefault="00F37AD7" w:rsidP="008E6C82">
            <w:pPr>
              <w:spacing w:before="40" w:after="120"/>
              <w:ind w:right="113"/>
            </w:pPr>
            <w:r w:rsidRPr="008E6C82">
              <w:t>3</w:t>
            </w:r>
          </w:p>
        </w:tc>
      </w:tr>
      <w:tr w:rsidR="00F37AD7" w:rsidRPr="008E6C82" w14:paraId="737CA4B2" w14:textId="77777777" w:rsidTr="007626F7">
        <w:tc>
          <w:tcPr>
            <w:tcW w:w="639" w:type="dxa"/>
            <w:shd w:val="clear" w:color="auto" w:fill="auto"/>
          </w:tcPr>
          <w:p w14:paraId="7BAFE6A8" w14:textId="77777777" w:rsidR="00F37AD7" w:rsidRPr="008E6C82" w:rsidRDefault="00F37AD7" w:rsidP="008E6C82">
            <w:pPr>
              <w:spacing w:before="40" w:after="120"/>
              <w:ind w:right="113"/>
            </w:pPr>
            <w:r w:rsidRPr="008E6C82">
              <w:t>9</w:t>
            </w:r>
          </w:p>
        </w:tc>
        <w:tc>
          <w:tcPr>
            <w:tcW w:w="1184" w:type="dxa"/>
            <w:shd w:val="clear" w:color="auto" w:fill="auto"/>
          </w:tcPr>
          <w:p w14:paraId="2630AE7F" w14:textId="77777777" w:rsidR="00F37AD7" w:rsidRPr="008E6C82" w:rsidRDefault="00F37AD7" w:rsidP="008E6C82">
            <w:pPr>
              <w:spacing w:before="40" w:after="120"/>
              <w:ind w:right="113"/>
            </w:pPr>
            <w:r w:rsidRPr="008E6C82">
              <w:t>M11</w:t>
            </w:r>
          </w:p>
        </w:tc>
        <w:tc>
          <w:tcPr>
            <w:tcW w:w="2321" w:type="dxa"/>
            <w:shd w:val="clear" w:color="auto" w:fill="auto"/>
          </w:tcPr>
          <w:p w14:paraId="34A31488" w14:textId="77777777" w:rsidR="00F37AD7" w:rsidRPr="008E6C82" w:rsidRDefault="00F37AD7" w:rsidP="008E6C82">
            <w:pPr>
              <w:spacing w:before="40" w:after="120"/>
              <w:ind w:right="113"/>
            </w:pPr>
            <w:r w:rsidRPr="008E6C82">
              <w:t>Véhicules à propulsion par gaz ou liquide inflammable ou mus par des accumulateurs, engins de transport sous fumigation</w:t>
            </w:r>
          </w:p>
        </w:tc>
        <w:tc>
          <w:tcPr>
            <w:tcW w:w="1338" w:type="dxa"/>
            <w:shd w:val="clear" w:color="auto" w:fill="auto"/>
          </w:tcPr>
          <w:p w14:paraId="6F576970" w14:textId="77777777" w:rsidR="00F37AD7" w:rsidRPr="008E6C82" w:rsidRDefault="00F37AD7" w:rsidP="008E6C82">
            <w:pPr>
              <w:spacing w:before="40" w:after="120"/>
              <w:ind w:right="113"/>
            </w:pPr>
            <w:r w:rsidRPr="008E6C82">
              <w:t>3166, 3171, 3359</w:t>
            </w:r>
          </w:p>
        </w:tc>
        <w:tc>
          <w:tcPr>
            <w:tcW w:w="856" w:type="dxa"/>
            <w:shd w:val="clear" w:color="auto" w:fill="auto"/>
          </w:tcPr>
          <w:p w14:paraId="0774EB32" w14:textId="77777777" w:rsidR="00F37AD7" w:rsidRPr="008E6C82" w:rsidRDefault="00F37AD7" w:rsidP="008E6C82">
            <w:pPr>
              <w:spacing w:before="40" w:after="120"/>
              <w:ind w:right="113"/>
            </w:pPr>
          </w:p>
        </w:tc>
        <w:tc>
          <w:tcPr>
            <w:tcW w:w="1032" w:type="dxa"/>
            <w:shd w:val="clear" w:color="auto" w:fill="auto"/>
          </w:tcPr>
          <w:p w14:paraId="2B6F9A3B" w14:textId="77777777" w:rsidR="00F37AD7" w:rsidRPr="008E6C82" w:rsidRDefault="00F37AD7" w:rsidP="008E6C82">
            <w:pPr>
              <w:spacing w:before="40" w:after="120"/>
              <w:ind w:right="113"/>
            </w:pPr>
            <w:r w:rsidRPr="008E6C82">
              <w:t>-</w:t>
            </w:r>
          </w:p>
        </w:tc>
      </w:tr>
      <w:tr w:rsidR="00F37AD7" w:rsidRPr="008E6C82" w14:paraId="7D1C44AA" w14:textId="77777777" w:rsidTr="007626F7">
        <w:tc>
          <w:tcPr>
            <w:tcW w:w="639" w:type="dxa"/>
            <w:tcBorders>
              <w:bottom w:val="single" w:sz="12" w:space="0" w:color="auto"/>
            </w:tcBorders>
            <w:shd w:val="clear" w:color="auto" w:fill="auto"/>
          </w:tcPr>
          <w:p w14:paraId="0FC723A6" w14:textId="77777777" w:rsidR="00F37AD7" w:rsidRPr="008E6C82" w:rsidRDefault="00F37AD7" w:rsidP="008E6C82">
            <w:pPr>
              <w:spacing w:before="40" w:after="120"/>
              <w:ind w:right="113"/>
            </w:pPr>
            <w:r w:rsidRPr="008E6C82">
              <w:t>9</w:t>
            </w:r>
          </w:p>
        </w:tc>
        <w:tc>
          <w:tcPr>
            <w:tcW w:w="1184" w:type="dxa"/>
            <w:tcBorders>
              <w:bottom w:val="single" w:sz="12" w:space="0" w:color="auto"/>
            </w:tcBorders>
            <w:shd w:val="clear" w:color="auto" w:fill="auto"/>
          </w:tcPr>
          <w:p w14:paraId="65AF48D5" w14:textId="77777777" w:rsidR="00F37AD7" w:rsidRPr="008E6C82" w:rsidRDefault="00F37AD7" w:rsidP="008E6C82">
            <w:pPr>
              <w:spacing w:before="40" w:after="120"/>
              <w:ind w:right="113"/>
            </w:pPr>
            <w:r w:rsidRPr="008E6C82">
              <w:t>M11</w:t>
            </w:r>
          </w:p>
        </w:tc>
        <w:tc>
          <w:tcPr>
            <w:tcW w:w="2321" w:type="dxa"/>
            <w:tcBorders>
              <w:bottom w:val="single" w:sz="12" w:space="0" w:color="auto"/>
            </w:tcBorders>
            <w:shd w:val="clear" w:color="auto" w:fill="auto"/>
          </w:tcPr>
          <w:p w14:paraId="1089EFB2" w14:textId="77777777" w:rsidR="00F37AD7" w:rsidRPr="008E6C82" w:rsidRDefault="00F37AD7" w:rsidP="008E6C82">
            <w:pPr>
              <w:spacing w:before="40" w:after="120"/>
              <w:ind w:right="113"/>
            </w:pPr>
            <w:r w:rsidRPr="008E6C82">
              <w:t>Véhicules mus par une batterie au lithium ionique/métal ou sodium ionique</w:t>
            </w:r>
          </w:p>
        </w:tc>
        <w:tc>
          <w:tcPr>
            <w:tcW w:w="1338" w:type="dxa"/>
            <w:tcBorders>
              <w:bottom w:val="single" w:sz="12" w:space="0" w:color="auto"/>
            </w:tcBorders>
            <w:shd w:val="clear" w:color="auto" w:fill="auto"/>
          </w:tcPr>
          <w:p w14:paraId="16BD2AC0" w14:textId="77777777" w:rsidR="00F37AD7" w:rsidRPr="008E6C82" w:rsidRDefault="00F37AD7" w:rsidP="008E6C82">
            <w:pPr>
              <w:spacing w:before="40" w:after="120"/>
              <w:ind w:right="113"/>
            </w:pPr>
            <w:r w:rsidRPr="008E6C82">
              <w:t>3556, 3557, 3558</w:t>
            </w:r>
          </w:p>
        </w:tc>
        <w:tc>
          <w:tcPr>
            <w:tcW w:w="856" w:type="dxa"/>
            <w:tcBorders>
              <w:bottom w:val="single" w:sz="12" w:space="0" w:color="auto"/>
            </w:tcBorders>
            <w:shd w:val="clear" w:color="auto" w:fill="auto"/>
          </w:tcPr>
          <w:p w14:paraId="721DCC3B" w14:textId="77777777" w:rsidR="00F37AD7" w:rsidRPr="008E6C82" w:rsidRDefault="00F37AD7" w:rsidP="008E6C82">
            <w:pPr>
              <w:spacing w:before="40" w:after="120"/>
              <w:ind w:right="113"/>
            </w:pPr>
            <w:r w:rsidRPr="008E6C82">
              <w:t>0</w:t>
            </w:r>
          </w:p>
        </w:tc>
        <w:tc>
          <w:tcPr>
            <w:tcW w:w="1032" w:type="dxa"/>
            <w:tcBorders>
              <w:bottom w:val="single" w:sz="12" w:space="0" w:color="auto"/>
            </w:tcBorders>
            <w:shd w:val="clear" w:color="auto" w:fill="auto"/>
          </w:tcPr>
          <w:p w14:paraId="7C30F462" w14:textId="77777777" w:rsidR="00F37AD7" w:rsidRPr="008E6C82" w:rsidRDefault="00F37AD7" w:rsidP="008E6C82">
            <w:pPr>
              <w:spacing w:before="40" w:after="120"/>
              <w:ind w:right="113"/>
            </w:pPr>
            <w:r w:rsidRPr="008E6C82">
              <w:t>-</w:t>
            </w:r>
          </w:p>
        </w:tc>
      </w:tr>
    </w:tbl>
    <w:p w14:paraId="1D6F0357" w14:textId="23C66049" w:rsidR="004B17B2" w:rsidRPr="00F37AD7" w:rsidRDefault="00F37AD7" w:rsidP="00F37AD7">
      <w:pPr>
        <w:spacing w:before="240"/>
        <w:jc w:val="center"/>
        <w:rPr>
          <w:u w:val="single"/>
          <w:lang w:val="fr-FR"/>
        </w:rPr>
      </w:pPr>
      <w:r>
        <w:rPr>
          <w:u w:val="single"/>
          <w:lang w:val="fr-FR"/>
        </w:rPr>
        <w:tab/>
      </w:r>
      <w:r>
        <w:rPr>
          <w:u w:val="single"/>
          <w:lang w:val="fr-FR"/>
        </w:rPr>
        <w:tab/>
      </w:r>
      <w:r>
        <w:rPr>
          <w:u w:val="single"/>
          <w:lang w:val="fr-FR"/>
        </w:rPr>
        <w:tab/>
      </w:r>
    </w:p>
    <w:sectPr w:rsidR="004B17B2" w:rsidRPr="00F37AD7" w:rsidSect="004B17B2">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5F59" w14:textId="77777777" w:rsidR="007A779E" w:rsidRDefault="007A779E" w:rsidP="00F95C08">
      <w:pPr>
        <w:spacing w:line="240" w:lineRule="auto"/>
      </w:pPr>
    </w:p>
  </w:endnote>
  <w:endnote w:type="continuationSeparator" w:id="0">
    <w:p w14:paraId="61ECABAF" w14:textId="77777777" w:rsidR="007A779E" w:rsidRPr="00AC3823" w:rsidRDefault="007A779E" w:rsidP="00AC3823">
      <w:pPr>
        <w:pStyle w:val="Pieddepage"/>
      </w:pPr>
    </w:p>
  </w:endnote>
  <w:endnote w:type="continuationNotice" w:id="1">
    <w:p w14:paraId="79B8A114" w14:textId="77777777" w:rsidR="007A779E" w:rsidRDefault="007A77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518C" w14:textId="77777777" w:rsidR="004B17B2" w:rsidRPr="004B17B2" w:rsidRDefault="004B17B2" w:rsidP="004B17B2">
    <w:pPr>
      <w:pStyle w:val="Pieddepage"/>
      <w:tabs>
        <w:tab w:val="right" w:pos="9638"/>
      </w:tabs>
      <w:rPr>
        <w:sz w:val="18"/>
      </w:rPr>
    </w:pPr>
    <w:r w:rsidRPr="004B17B2">
      <w:rPr>
        <w:b/>
        <w:sz w:val="18"/>
      </w:rPr>
      <w:fldChar w:fldCharType="begin"/>
    </w:r>
    <w:r w:rsidRPr="004B17B2">
      <w:rPr>
        <w:b/>
        <w:sz w:val="18"/>
      </w:rPr>
      <w:instrText xml:space="preserve"> PAGE  \* MERGEFORMAT </w:instrText>
    </w:r>
    <w:r w:rsidRPr="004B17B2">
      <w:rPr>
        <w:b/>
        <w:sz w:val="18"/>
      </w:rPr>
      <w:fldChar w:fldCharType="separate"/>
    </w:r>
    <w:r w:rsidRPr="004B17B2">
      <w:rPr>
        <w:b/>
        <w:noProof/>
        <w:sz w:val="18"/>
      </w:rPr>
      <w:t>2</w:t>
    </w:r>
    <w:r w:rsidRPr="004B17B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B2C6" w14:textId="77777777" w:rsidR="004B17B2" w:rsidRPr="004B17B2" w:rsidRDefault="004B17B2" w:rsidP="004B17B2">
    <w:pPr>
      <w:pStyle w:val="Pieddepage"/>
      <w:tabs>
        <w:tab w:val="right" w:pos="9638"/>
      </w:tabs>
      <w:rPr>
        <w:b/>
        <w:sz w:val="18"/>
      </w:rPr>
    </w:pPr>
    <w:r>
      <w:tab/>
    </w:r>
    <w:r w:rsidRPr="004B17B2">
      <w:rPr>
        <w:b/>
        <w:sz w:val="18"/>
      </w:rPr>
      <w:fldChar w:fldCharType="begin"/>
    </w:r>
    <w:r w:rsidRPr="004B17B2">
      <w:rPr>
        <w:b/>
        <w:sz w:val="18"/>
      </w:rPr>
      <w:instrText xml:space="preserve"> PAGE  \* MERGEFORMAT </w:instrText>
    </w:r>
    <w:r w:rsidRPr="004B17B2">
      <w:rPr>
        <w:b/>
        <w:sz w:val="18"/>
      </w:rPr>
      <w:fldChar w:fldCharType="separate"/>
    </w:r>
    <w:r w:rsidRPr="004B17B2">
      <w:rPr>
        <w:b/>
        <w:noProof/>
        <w:sz w:val="18"/>
      </w:rPr>
      <w:t>3</w:t>
    </w:r>
    <w:r w:rsidRPr="004B17B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1D81" w14:textId="7821A267" w:rsidR="000D3EE9" w:rsidRPr="00A33C6F" w:rsidRDefault="00A33C6F" w:rsidP="00A33C6F">
    <w:pPr>
      <w:pStyle w:val="Pieddepage"/>
      <w:tabs>
        <w:tab w:val="left" w:pos="6520"/>
        <w:tab w:val="right" w:pos="9638"/>
      </w:tabs>
      <w:spacing w:before="120"/>
      <w:rPr>
        <w:sz w:val="20"/>
      </w:rPr>
    </w:pPr>
    <w:r>
      <w:rPr>
        <w:sz w:val="20"/>
      </w:rPr>
      <w:t>GE.24-14862  (F)</w:t>
    </w:r>
    <w:bookmarkStart w:id="0" w:name="_GoBack"/>
    <w:bookmarkEnd w:id="0"/>
    <w:r>
      <w:rPr>
        <w:sz w:val="20"/>
      </w:rPr>
      <w:tab/>
    </w:r>
    <w:r w:rsidRPr="00A33C6F">
      <w:rPr>
        <w:noProof/>
        <w:sz w:val="20"/>
        <w:lang w:eastAsia="fr-CH"/>
      </w:rPr>
      <w:drawing>
        <wp:inline distT="0" distB="0" distL="0" distR="0" wp14:anchorId="3B20CCCD" wp14:editId="745DB1E8">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5674ECA3" wp14:editId="6A271C17">
          <wp:extent cx="628650" cy="628650"/>
          <wp:effectExtent l="0" t="0" r="0" b="0"/>
          <wp:docPr id="2463812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DE6E2" w14:textId="77777777" w:rsidR="007A779E" w:rsidRPr="00AC3823" w:rsidRDefault="007A779E" w:rsidP="00AC3823">
      <w:pPr>
        <w:pStyle w:val="Pieddepage"/>
        <w:tabs>
          <w:tab w:val="right" w:pos="2155"/>
        </w:tabs>
        <w:spacing w:after="80" w:line="240" w:lineRule="atLeast"/>
        <w:ind w:left="680"/>
        <w:rPr>
          <w:u w:val="single"/>
        </w:rPr>
      </w:pPr>
      <w:r>
        <w:rPr>
          <w:u w:val="single"/>
        </w:rPr>
        <w:tab/>
      </w:r>
    </w:p>
  </w:footnote>
  <w:footnote w:type="continuationSeparator" w:id="0">
    <w:p w14:paraId="56746D15" w14:textId="77777777" w:rsidR="007A779E" w:rsidRPr="00AC3823" w:rsidRDefault="007A779E" w:rsidP="00AC3823">
      <w:pPr>
        <w:pStyle w:val="Pieddepage"/>
        <w:tabs>
          <w:tab w:val="right" w:pos="2155"/>
        </w:tabs>
        <w:spacing w:after="80" w:line="240" w:lineRule="atLeast"/>
        <w:ind w:left="680"/>
        <w:rPr>
          <w:u w:val="single"/>
        </w:rPr>
      </w:pPr>
      <w:r>
        <w:rPr>
          <w:u w:val="single"/>
        </w:rPr>
        <w:tab/>
      </w:r>
    </w:p>
  </w:footnote>
  <w:footnote w:type="continuationNotice" w:id="1">
    <w:p w14:paraId="792F3F50" w14:textId="77777777" w:rsidR="007A779E" w:rsidRPr="00AC3823" w:rsidRDefault="007A779E">
      <w:pPr>
        <w:spacing w:line="240" w:lineRule="auto"/>
        <w:rPr>
          <w:sz w:val="2"/>
          <w:szCs w:val="2"/>
        </w:rPr>
      </w:pPr>
    </w:p>
  </w:footnote>
  <w:footnote w:id="2">
    <w:p w14:paraId="76419566" w14:textId="4E70CBD9" w:rsidR="00223B8D" w:rsidRPr="00223B8D" w:rsidRDefault="00223B8D">
      <w:pPr>
        <w:pStyle w:val="Notedebasdepage"/>
      </w:pPr>
      <w:r>
        <w:rPr>
          <w:rStyle w:val="Appelnotedebasdep"/>
        </w:rPr>
        <w:tab/>
      </w:r>
      <w:r w:rsidRPr="00223B8D">
        <w:rPr>
          <w:rStyle w:val="Appelnotedebasdep"/>
          <w:sz w:val="20"/>
          <w:vertAlign w:val="baseline"/>
        </w:rPr>
        <w:t>*</w:t>
      </w:r>
      <w:r>
        <w:rPr>
          <w:rStyle w:val="Appelnotedebasdep"/>
          <w:sz w:val="20"/>
          <w:vertAlign w:val="baseline"/>
        </w:rPr>
        <w:tab/>
      </w:r>
      <w:r>
        <w:rPr>
          <w:lang w:val="fr-FR"/>
        </w:rPr>
        <w:t>A/78/6 (Sect. 20), tableau 20.5.</w:t>
      </w:r>
    </w:p>
  </w:footnote>
  <w:footnote w:id="3">
    <w:p w14:paraId="29CCFD28" w14:textId="69599C7B" w:rsidR="00722480" w:rsidRDefault="00722480" w:rsidP="003B4DE9">
      <w:pPr>
        <w:pStyle w:val="Notedebasdepage"/>
        <w:widowControl w:val="0"/>
        <w:suppressAutoHyphens/>
      </w:pPr>
      <w:r>
        <w:tab/>
      </w:r>
      <w:r>
        <w:rPr>
          <w:rStyle w:val="Appelnotedebasdep"/>
        </w:rPr>
        <w:footnoteRef/>
      </w:r>
      <w:r>
        <w:tab/>
        <w:t xml:space="preserve"> </w:t>
      </w:r>
      <w:r w:rsidRPr="003B4DE9">
        <w:rPr>
          <w:sz w:val="20"/>
        </w:rPr>
        <w:t>Voir :</w:t>
      </w:r>
      <w:r>
        <w:rPr>
          <w:lang w:val="fr-FR"/>
        </w:rPr>
        <w:t xml:space="preserve"> </w:t>
      </w:r>
      <w:hyperlink r:id="rId1" w:anchor="accordion_7" w:history="1">
        <w:r w:rsidRPr="002F3A56">
          <w:rPr>
            <w:rStyle w:val="Lienhypertexte"/>
            <w:lang w:val="fr-FR"/>
          </w:rPr>
          <w:t>https://unece.org/transport/dangerous-goods/adr-interpretation-list#accordion_7</w:t>
        </w:r>
      </w:hyperlink>
      <w:r w:rsidR="001F2204">
        <w:rPr>
          <w:rStyle w:val="Lienhypertexte"/>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2A96" w14:textId="77777777" w:rsidR="004B17B2" w:rsidRPr="004B17B2" w:rsidRDefault="003B4DE9">
    <w:pPr>
      <w:pStyle w:val="En-tte"/>
    </w:pPr>
    <w:fldSimple w:instr=" TITLE  \* MERGEFORMAT ">
      <w:r w:rsidR="004B17B2">
        <w:t>ECE/TRANS/WP.15/2024/25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A0AC" w14:textId="77777777" w:rsidR="004B17B2" w:rsidRPr="004B17B2" w:rsidRDefault="003B4DE9" w:rsidP="004B17B2">
    <w:pPr>
      <w:pStyle w:val="En-tte"/>
      <w:jc w:val="right"/>
    </w:pPr>
    <w:fldSimple w:instr=" TITLE  \* MERGEFORMAT ">
      <w:r w:rsidR="004B17B2">
        <w:t>ECE/TRANS/WP.15/2024/25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80039046">
    <w:abstractNumId w:val="12"/>
  </w:num>
  <w:num w:numId="2" w16cid:durableId="1310597572">
    <w:abstractNumId w:val="11"/>
  </w:num>
  <w:num w:numId="3" w16cid:durableId="118957778">
    <w:abstractNumId w:val="10"/>
  </w:num>
  <w:num w:numId="4" w16cid:durableId="503595026">
    <w:abstractNumId w:val="8"/>
  </w:num>
  <w:num w:numId="5" w16cid:durableId="332688382">
    <w:abstractNumId w:val="3"/>
  </w:num>
  <w:num w:numId="6" w16cid:durableId="1912541840">
    <w:abstractNumId w:val="2"/>
  </w:num>
  <w:num w:numId="7" w16cid:durableId="474680909">
    <w:abstractNumId w:val="1"/>
  </w:num>
  <w:num w:numId="8" w16cid:durableId="1222326601">
    <w:abstractNumId w:val="0"/>
  </w:num>
  <w:num w:numId="9" w16cid:durableId="1133210546">
    <w:abstractNumId w:val="9"/>
  </w:num>
  <w:num w:numId="10" w16cid:durableId="732966463">
    <w:abstractNumId w:val="7"/>
  </w:num>
  <w:num w:numId="11" w16cid:durableId="1422071322">
    <w:abstractNumId w:val="6"/>
  </w:num>
  <w:num w:numId="12" w16cid:durableId="528224059">
    <w:abstractNumId w:val="5"/>
  </w:num>
  <w:num w:numId="13" w16cid:durableId="35809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4B17B2"/>
    <w:rsid w:val="0001207F"/>
    <w:rsid w:val="0001230C"/>
    <w:rsid w:val="00015955"/>
    <w:rsid w:val="00017F94"/>
    <w:rsid w:val="00023842"/>
    <w:rsid w:val="000334F9"/>
    <w:rsid w:val="0004639C"/>
    <w:rsid w:val="00050845"/>
    <w:rsid w:val="0007796D"/>
    <w:rsid w:val="000942EE"/>
    <w:rsid w:val="000A52BF"/>
    <w:rsid w:val="000B7790"/>
    <w:rsid w:val="000C02D4"/>
    <w:rsid w:val="000D3EE9"/>
    <w:rsid w:val="000D62F3"/>
    <w:rsid w:val="00111F2F"/>
    <w:rsid w:val="001433FD"/>
    <w:rsid w:val="0014365E"/>
    <w:rsid w:val="001541D3"/>
    <w:rsid w:val="00156B77"/>
    <w:rsid w:val="00176178"/>
    <w:rsid w:val="00177140"/>
    <w:rsid w:val="001B66E4"/>
    <w:rsid w:val="001D400F"/>
    <w:rsid w:val="001F2204"/>
    <w:rsid w:val="001F525A"/>
    <w:rsid w:val="00223272"/>
    <w:rsid w:val="00223B8D"/>
    <w:rsid w:val="00240333"/>
    <w:rsid w:val="0024779E"/>
    <w:rsid w:val="002832AC"/>
    <w:rsid w:val="002D37D3"/>
    <w:rsid w:val="002D6571"/>
    <w:rsid w:val="002D7C93"/>
    <w:rsid w:val="002F2EF6"/>
    <w:rsid w:val="003224FF"/>
    <w:rsid w:val="00326F9E"/>
    <w:rsid w:val="0037241C"/>
    <w:rsid w:val="003819FF"/>
    <w:rsid w:val="003B4DE9"/>
    <w:rsid w:val="00431705"/>
    <w:rsid w:val="00441C3B"/>
    <w:rsid w:val="00446B0A"/>
    <w:rsid w:val="00446FE5"/>
    <w:rsid w:val="00452396"/>
    <w:rsid w:val="00471288"/>
    <w:rsid w:val="00492917"/>
    <w:rsid w:val="0049687C"/>
    <w:rsid w:val="004B17B2"/>
    <w:rsid w:val="004C30EA"/>
    <w:rsid w:val="004C490D"/>
    <w:rsid w:val="004E468C"/>
    <w:rsid w:val="005316B0"/>
    <w:rsid w:val="005505B7"/>
    <w:rsid w:val="00573BE5"/>
    <w:rsid w:val="00586ED3"/>
    <w:rsid w:val="00596AA9"/>
    <w:rsid w:val="005B4D0F"/>
    <w:rsid w:val="005E1554"/>
    <w:rsid w:val="00703D0F"/>
    <w:rsid w:val="00706363"/>
    <w:rsid w:val="007158BB"/>
    <w:rsid w:val="0071601D"/>
    <w:rsid w:val="00722480"/>
    <w:rsid w:val="0075410D"/>
    <w:rsid w:val="007626F7"/>
    <w:rsid w:val="0076519E"/>
    <w:rsid w:val="0076764E"/>
    <w:rsid w:val="007A62E6"/>
    <w:rsid w:val="007A779E"/>
    <w:rsid w:val="00802451"/>
    <w:rsid w:val="0080684C"/>
    <w:rsid w:val="008204DA"/>
    <w:rsid w:val="00846A4F"/>
    <w:rsid w:val="008535AD"/>
    <w:rsid w:val="00871C75"/>
    <w:rsid w:val="00874B53"/>
    <w:rsid w:val="008767E8"/>
    <w:rsid w:val="008776DC"/>
    <w:rsid w:val="00883605"/>
    <w:rsid w:val="00894501"/>
    <w:rsid w:val="008E6043"/>
    <w:rsid w:val="008E6C82"/>
    <w:rsid w:val="00961E7B"/>
    <w:rsid w:val="009705C8"/>
    <w:rsid w:val="009C1CF4"/>
    <w:rsid w:val="009F02C9"/>
    <w:rsid w:val="00A30353"/>
    <w:rsid w:val="00A33C6F"/>
    <w:rsid w:val="00A453FF"/>
    <w:rsid w:val="00A62D91"/>
    <w:rsid w:val="00A668C2"/>
    <w:rsid w:val="00A90D54"/>
    <w:rsid w:val="00AA113A"/>
    <w:rsid w:val="00AC3823"/>
    <w:rsid w:val="00AE0391"/>
    <w:rsid w:val="00AE323C"/>
    <w:rsid w:val="00AE6348"/>
    <w:rsid w:val="00AF774C"/>
    <w:rsid w:val="00B00181"/>
    <w:rsid w:val="00B00B0D"/>
    <w:rsid w:val="00B23924"/>
    <w:rsid w:val="00B247C1"/>
    <w:rsid w:val="00B40927"/>
    <w:rsid w:val="00B50E25"/>
    <w:rsid w:val="00B64918"/>
    <w:rsid w:val="00B765F7"/>
    <w:rsid w:val="00BA0CA9"/>
    <w:rsid w:val="00C02897"/>
    <w:rsid w:val="00C04D0D"/>
    <w:rsid w:val="00C1626B"/>
    <w:rsid w:val="00C37479"/>
    <w:rsid w:val="00C66A47"/>
    <w:rsid w:val="00C70129"/>
    <w:rsid w:val="00C7616F"/>
    <w:rsid w:val="00CB16B5"/>
    <w:rsid w:val="00CE0608"/>
    <w:rsid w:val="00D3439C"/>
    <w:rsid w:val="00D44CF3"/>
    <w:rsid w:val="00D46C8C"/>
    <w:rsid w:val="00D5184B"/>
    <w:rsid w:val="00DB1831"/>
    <w:rsid w:val="00DB6001"/>
    <w:rsid w:val="00DC684A"/>
    <w:rsid w:val="00DD3BFD"/>
    <w:rsid w:val="00DE239D"/>
    <w:rsid w:val="00DF0515"/>
    <w:rsid w:val="00DF431C"/>
    <w:rsid w:val="00DF505C"/>
    <w:rsid w:val="00DF6678"/>
    <w:rsid w:val="00E368F7"/>
    <w:rsid w:val="00E428C8"/>
    <w:rsid w:val="00EC031B"/>
    <w:rsid w:val="00EC1172"/>
    <w:rsid w:val="00EF2373"/>
    <w:rsid w:val="00EF2E22"/>
    <w:rsid w:val="00F0592C"/>
    <w:rsid w:val="00F06ED4"/>
    <w:rsid w:val="00F37AD7"/>
    <w:rsid w:val="00F43289"/>
    <w:rsid w:val="00F660DF"/>
    <w:rsid w:val="00F940EC"/>
    <w:rsid w:val="00F95C08"/>
    <w:rsid w:val="00FA596A"/>
    <w:rsid w:val="00FD1581"/>
    <w:rsid w:val="00FF464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0634"/>
  <w15:docId w15:val="{23D15649-D663-48B8-BAEA-765F8CD6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F7"/>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rsid w:val="0001207F"/>
  </w:style>
  <w:style w:type="character" w:customStyle="1" w:styleId="HChGChar">
    <w:name w:val="_ H _Ch_G Char"/>
    <w:link w:val="HChG"/>
    <w:rsid w:val="0001207F"/>
    <w:rPr>
      <w:b/>
      <w:sz w:val="28"/>
    </w:rPr>
  </w:style>
  <w:style w:type="paragraph" w:styleId="Rvision">
    <w:name w:val="Revision"/>
    <w:hidden/>
    <w:uiPriority w:val="99"/>
    <w:semiHidden/>
    <w:rsid w:val="0089450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dangerous-goods/adr-interpretation-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14563-ACB7-44AD-B0EF-E55148CFDD3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81307320-C528-4032-AB5A-73B861CDA11F}">
  <ds:schemaRefs>
    <ds:schemaRef ds:uri="http://schemas.microsoft.com/sharepoint/v3/contenttype/forms"/>
  </ds:schemaRefs>
</ds:datastoreItem>
</file>

<file path=customXml/itemProps3.xml><?xml version="1.0" encoding="utf-8"?>
<ds:datastoreItem xmlns:ds="http://schemas.openxmlformats.org/officeDocument/2006/customXml" ds:itemID="{944974C4-BC2C-46D4-93D2-50828F6416ED}"/>
</file>

<file path=docProps/app.xml><?xml version="1.0" encoding="utf-8"?>
<Properties xmlns="http://schemas.openxmlformats.org/officeDocument/2006/extended-properties" xmlns:vt="http://schemas.openxmlformats.org/officeDocument/2006/docPropsVTypes">
  <Template>TRANS_WP1_24_F.dotm</Template>
  <TotalTime>1</TotalTime>
  <Pages>6</Pages>
  <Words>1922</Words>
  <Characters>10285</Characters>
  <Application>Microsoft Office Word</Application>
  <DocSecurity>0</DocSecurity>
  <Lines>367</Lines>
  <Paragraphs>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ECE/TRANS/WP.15/2024/25</vt:lpstr>
      <vt:lpstr>ECE/EX/22</vt:lpstr>
    </vt:vector>
  </TitlesOfParts>
  <Company>DCM</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ECE/TRANS/WP.15/2024/25</dc:title>
  <dc:subject>FINAL</dc:subject>
  <dc:creator>Alicia DORCA-GARCIA</dc:creator>
  <cp:keywords/>
  <dc:description/>
  <cp:lastModifiedBy>Julien OKRZESIK</cp:lastModifiedBy>
  <cp:revision>2</cp:revision>
  <cp:lastPrinted>2014-05-14T10:59:00Z</cp:lastPrinted>
  <dcterms:created xsi:type="dcterms:W3CDTF">2024-08-19T10:36:00Z</dcterms:created>
  <dcterms:modified xsi:type="dcterms:W3CDTF">2024-08-19T10:36:00Z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