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F35BAF" w:rsidRPr="00DB58B5" w14:paraId="0E4C644B" w14:textId="77777777" w:rsidTr="00C97039">
        <w:trPr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</w:tcPr>
          <w:p w14:paraId="1FF83E04" w14:textId="77777777" w:rsidR="00F35BAF" w:rsidRPr="00DB58B5" w:rsidRDefault="00F35BAF" w:rsidP="00EC70B1"/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116FF373" w14:textId="77777777" w:rsidR="00F35BAF" w:rsidRPr="00DB58B5" w:rsidRDefault="00F35BAF" w:rsidP="00C97039">
            <w:pPr>
              <w:spacing w:after="80" w:line="300" w:lineRule="exact"/>
              <w:rPr>
                <w:sz w:val="28"/>
              </w:rPr>
            </w:pPr>
            <w:r w:rsidRPr="00DB58B5">
              <w:rPr>
                <w:sz w:val="28"/>
              </w:rPr>
              <w:t>Nations Unies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0EDB4E02" w14:textId="6252726D" w:rsidR="00F35BAF" w:rsidRPr="00DB58B5" w:rsidRDefault="00EC70B1" w:rsidP="00EC70B1">
            <w:pPr>
              <w:jc w:val="right"/>
            </w:pPr>
            <w:r w:rsidRPr="00EC70B1">
              <w:rPr>
                <w:sz w:val="40"/>
              </w:rPr>
              <w:t>ECE</w:t>
            </w:r>
            <w:r>
              <w:t>/TRANS/WP.15/2024/22</w:t>
            </w:r>
          </w:p>
        </w:tc>
      </w:tr>
      <w:tr w:rsidR="00F35BAF" w:rsidRPr="00DB58B5" w14:paraId="21F3C486" w14:textId="77777777" w:rsidTr="00C97039">
        <w:trPr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23B04240" w14:textId="77777777" w:rsidR="00F35BAF" w:rsidRPr="00DB58B5" w:rsidRDefault="00F35BAF" w:rsidP="00C97039">
            <w:pPr>
              <w:spacing w:before="120"/>
              <w:jc w:val="center"/>
            </w:pPr>
            <w:r>
              <w:rPr>
                <w:noProof/>
                <w:lang w:eastAsia="fr-CH"/>
              </w:rPr>
              <w:drawing>
                <wp:inline distT="0" distB="0" distL="0" distR="0" wp14:anchorId="7D159D1E" wp14:editId="41397572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BEA6326" w14:textId="77777777" w:rsidR="00F35BAF" w:rsidRPr="00740562" w:rsidRDefault="00F35BAF" w:rsidP="00C97039">
            <w:pPr>
              <w:spacing w:before="120" w:line="420" w:lineRule="exact"/>
              <w:rPr>
                <w:b/>
                <w:sz w:val="40"/>
                <w:szCs w:val="40"/>
              </w:rPr>
            </w:pPr>
            <w:r w:rsidRPr="00FB77FF">
              <w:rPr>
                <w:b/>
                <w:sz w:val="40"/>
                <w:szCs w:val="40"/>
              </w:rPr>
              <w:t>Conseil économique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FB77FF">
              <w:rPr>
                <w:b/>
                <w:sz w:val="40"/>
                <w:szCs w:val="40"/>
              </w:rPr>
              <w:t>et social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76768E45" w14:textId="77777777" w:rsidR="00F35BAF" w:rsidRDefault="00EC70B1" w:rsidP="00C97039">
            <w:pPr>
              <w:spacing w:before="240"/>
            </w:pPr>
            <w:proofErr w:type="spellStart"/>
            <w:r>
              <w:t>Distr</w:t>
            </w:r>
            <w:proofErr w:type="spellEnd"/>
            <w:r>
              <w:t>. générale</w:t>
            </w:r>
          </w:p>
          <w:p w14:paraId="00D1A8FB" w14:textId="77777777" w:rsidR="00EC70B1" w:rsidRDefault="00EC70B1" w:rsidP="00EC70B1">
            <w:pPr>
              <w:spacing w:line="240" w:lineRule="exact"/>
            </w:pPr>
            <w:r>
              <w:t>15 août 2024</w:t>
            </w:r>
          </w:p>
          <w:p w14:paraId="65A7AD55" w14:textId="77777777" w:rsidR="00EC70B1" w:rsidRDefault="00EC70B1" w:rsidP="00EC70B1">
            <w:pPr>
              <w:spacing w:line="240" w:lineRule="exact"/>
            </w:pPr>
            <w:r>
              <w:t>Français</w:t>
            </w:r>
          </w:p>
          <w:p w14:paraId="29EA70BD" w14:textId="6E9911B2" w:rsidR="00EC70B1" w:rsidRPr="00DB58B5" w:rsidRDefault="00EC70B1" w:rsidP="00EC70B1">
            <w:pPr>
              <w:spacing w:line="240" w:lineRule="exact"/>
            </w:pPr>
            <w:r>
              <w:t>Original : anglais</w:t>
            </w:r>
          </w:p>
        </w:tc>
      </w:tr>
    </w:tbl>
    <w:p w14:paraId="1FC7158F" w14:textId="77777777" w:rsidR="007F20FA" w:rsidRPr="000312C0" w:rsidRDefault="007F20FA" w:rsidP="007F20FA">
      <w:pPr>
        <w:spacing w:before="120"/>
        <w:rPr>
          <w:b/>
          <w:sz w:val="28"/>
          <w:szCs w:val="28"/>
        </w:rPr>
      </w:pPr>
      <w:r w:rsidRPr="000312C0">
        <w:rPr>
          <w:b/>
          <w:sz w:val="28"/>
          <w:szCs w:val="28"/>
        </w:rPr>
        <w:t>Commission économique pour l’Europe</w:t>
      </w:r>
    </w:p>
    <w:p w14:paraId="3392D05D" w14:textId="77777777" w:rsidR="007F20FA" w:rsidRDefault="007F20FA" w:rsidP="007F20FA">
      <w:pPr>
        <w:spacing w:before="120"/>
        <w:rPr>
          <w:sz w:val="28"/>
          <w:szCs w:val="28"/>
        </w:rPr>
      </w:pPr>
      <w:r w:rsidRPr="00685843">
        <w:rPr>
          <w:sz w:val="28"/>
          <w:szCs w:val="28"/>
        </w:rPr>
        <w:t>Comité des transports intérieurs</w:t>
      </w:r>
    </w:p>
    <w:p w14:paraId="227339E9" w14:textId="77777777" w:rsidR="006614D3" w:rsidRPr="006614D3" w:rsidRDefault="006614D3" w:rsidP="006614D3">
      <w:pPr>
        <w:spacing w:before="120"/>
        <w:rPr>
          <w:b/>
          <w:sz w:val="24"/>
          <w:szCs w:val="24"/>
        </w:rPr>
      </w:pPr>
      <w:r w:rsidRPr="006614D3">
        <w:rPr>
          <w:b/>
          <w:bCs/>
          <w:sz w:val="24"/>
          <w:szCs w:val="24"/>
        </w:rPr>
        <w:t>Groupe de travail des transports de marchandises dangereuses</w:t>
      </w:r>
    </w:p>
    <w:p w14:paraId="3981627B" w14:textId="77777777" w:rsidR="006614D3" w:rsidRPr="00C27666" w:rsidRDefault="006614D3" w:rsidP="006614D3">
      <w:pPr>
        <w:spacing w:before="120"/>
        <w:rPr>
          <w:rFonts w:eastAsia="SimSun"/>
          <w:b/>
        </w:rPr>
      </w:pPr>
      <w:r w:rsidRPr="00C27666">
        <w:rPr>
          <w:b/>
          <w:bCs/>
        </w:rPr>
        <w:t>116</w:t>
      </w:r>
      <w:r w:rsidRPr="00C27666">
        <w:rPr>
          <w:b/>
          <w:bCs/>
          <w:vertAlign w:val="superscript"/>
        </w:rPr>
        <w:t>e</w:t>
      </w:r>
      <w:r w:rsidRPr="00C27666">
        <w:rPr>
          <w:b/>
          <w:bCs/>
        </w:rPr>
        <w:t xml:space="preserve"> session</w:t>
      </w:r>
      <w:r w:rsidRPr="00C27666">
        <w:t xml:space="preserve"> </w:t>
      </w:r>
    </w:p>
    <w:p w14:paraId="33ABE36C" w14:textId="77777777" w:rsidR="006614D3" w:rsidRPr="00C27666" w:rsidRDefault="006614D3" w:rsidP="006614D3">
      <w:pPr>
        <w:rPr>
          <w:rFonts w:eastAsia="SimSun"/>
        </w:rPr>
      </w:pPr>
      <w:r w:rsidRPr="00C27666">
        <w:t>Genève, 5-8 novembre 2024</w:t>
      </w:r>
    </w:p>
    <w:p w14:paraId="64407ECC" w14:textId="77777777" w:rsidR="006614D3" w:rsidRPr="00C27666" w:rsidRDefault="006614D3" w:rsidP="006614D3">
      <w:r w:rsidRPr="00C27666">
        <w:t>Point 5 de l</w:t>
      </w:r>
      <w:r>
        <w:t>’</w:t>
      </w:r>
      <w:r w:rsidRPr="00C27666">
        <w:t>ordre du jour provisoire</w:t>
      </w:r>
    </w:p>
    <w:p w14:paraId="194D4CC7" w14:textId="77777777" w:rsidR="006614D3" w:rsidRPr="00C27666" w:rsidRDefault="006614D3" w:rsidP="006614D3">
      <w:r w:rsidRPr="00C27666">
        <w:rPr>
          <w:b/>
          <w:bCs/>
        </w:rPr>
        <w:t>Interprétation de l</w:t>
      </w:r>
      <w:r>
        <w:rPr>
          <w:b/>
          <w:bCs/>
        </w:rPr>
        <w:t>’</w:t>
      </w:r>
      <w:r w:rsidRPr="00C27666">
        <w:rPr>
          <w:b/>
          <w:bCs/>
        </w:rPr>
        <w:t>ADR</w:t>
      </w:r>
    </w:p>
    <w:p w14:paraId="45871AA7" w14:textId="74F8290D" w:rsidR="006614D3" w:rsidRPr="00C27666" w:rsidRDefault="006614D3" w:rsidP="006614D3">
      <w:pPr>
        <w:pStyle w:val="HChG"/>
      </w:pPr>
      <w:r w:rsidRPr="00C27666">
        <w:tab/>
      </w:r>
      <w:r w:rsidRPr="00C27666">
        <w:tab/>
        <w:t>Définition de «</w:t>
      </w:r>
      <w:r>
        <w:t> </w:t>
      </w:r>
      <w:r w:rsidRPr="00C27666">
        <w:t>membre de l</w:t>
      </w:r>
      <w:r>
        <w:t>’</w:t>
      </w:r>
      <w:r w:rsidRPr="00C27666">
        <w:t>équipage</w:t>
      </w:r>
      <w:r>
        <w:t> </w:t>
      </w:r>
      <w:r w:rsidRPr="00C27666">
        <w:t xml:space="preserve">» </w:t>
      </w:r>
      <w:r>
        <w:t>−</w:t>
      </w:r>
      <w:r w:rsidRPr="00C27666">
        <w:t xml:space="preserve"> 1.2.1 de l</w:t>
      </w:r>
      <w:r>
        <w:t>’</w:t>
      </w:r>
      <w:r w:rsidRPr="00C27666">
        <w:t>ADR</w:t>
      </w:r>
    </w:p>
    <w:p w14:paraId="6B164086" w14:textId="6F4BC7BD" w:rsidR="006614D3" w:rsidRPr="00C27666" w:rsidRDefault="006614D3" w:rsidP="006614D3">
      <w:pPr>
        <w:pStyle w:val="H1G"/>
      </w:pPr>
      <w:r w:rsidRPr="00C27666">
        <w:tab/>
      </w:r>
      <w:r w:rsidRPr="00C27666">
        <w:tab/>
        <w:t xml:space="preserve">Communication du Gouvernement du Royaume-Uni </w:t>
      </w:r>
      <w:r>
        <w:br/>
      </w:r>
      <w:r w:rsidRPr="00C27666">
        <w:t>de Grande-Bretagne et d</w:t>
      </w:r>
      <w:r>
        <w:t>’</w:t>
      </w:r>
      <w:r w:rsidRPr="00C27666">
        <w:t>Irlande du Nord</w:t>
      </w:r>
      <w:r w:rsidRPr="00C51699">
        <w:rPr>
          <w:b w:val="0"/>
          <w:bCs/>
          <w:sz w:val="20"/>
        </w:rPr>
        <w:footnoteReference w:customMarkFollows="1" w:id="2"/>
        <w:t>*</w:t>
      </w:r>
    </w:p>
    <w:p w14:paraId="4FB635F0" w14:textId="290A16DD" w:rsidR="006614D3" w:rsidRPr="00C27666" w:rsidRDefault="006614D3" w:rsidP="006614D3">
      <w:pPr>
        <w:pStyle w:val="HChG"/>
      </w:pPr>
      <w:r>
        <w:tab/>
      </w:r>
      <w:r w:rsidRPr="00C27666">
        <w:t>I.</w:t>
      </w:r>
      <w:r w:rsidRPr="00C27666">
        <w:tab/>
        <w:t>Contexte</w:t>
      </w:r>
    </w:p>
    <w:p w14:paraId="1C400956" w14:textId="2241100B" w:rsidR="006614D3" w:rsidRPr="00C27666" w:rsidRDefault="006614D3" w:rsidP="006614D3">
      <w:pPr>
        <w:pStyle w:val="SingleTxtG"/>
      </w:pPr>
      <w:r w:rsidRPr="00C27666">
        <w:t>1.</w:t>
      </w:r>
      <w:r w:rsidRPr="00C27666">
        <w:tab/>
        <w:t>L</w:t>
      </w:r>
      <w:r>
        <w:t>’</w:t>
      </w:r>
      <w:r w:rsidRPr="00C27666">
        <w:t>autorité compétente du Royaume-Uni s</w:t>
      </w:r>
      <w:r>
        <w:t>’</w:t>
      </w:r>
      <w:r w:rsidRPr="00C27666">
        <w:t xml:space="preserve">interroge sur la définition de </w:t>
      </w:r>
      <w:r w:rsidR="00571DE6">
        <w:t>« </w:t>
      </w:r>
      <w:r w:rsidRPr="00C27666">
        <w:rPr>
          <w:i/>
          <w:iCs/>
        </w:rPr>
        <w:t>membre de l</w:t>
      </w:r>
      <w:r>
        <w:rPr>
          <w:i/>
          <w:iCs/>
        </w:rPr>
        <w:t>’</w:t>
      </w:r>
      <w:r w:rsidRPr="00C27666">
        <w:rPr>
          <w:i/>
          <w:iCs/>
        </w:rPr>
        <w:t>équipage</w:t>
      </w:r>
      <w:r w:rsidR="00C51699">
        <w:t> »</w:t>
      </w:r>
      <w:r w:rsidRPr="00C27666">
        <w:t xml:space="preserve"> (1.2.1 de l</w:t>
      </w:r>
      <w:r>
        <w:t>’</w:t>
      </w:r>
      <w:r w:rsidRPr="00C27666">
        <w:t>ADR). Elle se demande ce qui fait que certains voyageurs ont ou non le droit de se trouver à bord d</w:t>
      </w:r>
      <w:r>
        <w:t>’</w:t>
      </w:r>
      <w:r w:rsidRPr="00C27666">
        <w:t xml:space="preserve">une unité de transport acheminant des marchandises dangereuses. </w:t>
      </w:r>
    </w:p>
    <w:p w14:paraId="5FB2F737" w14:textId="77777777" w:rsidR="006614D3" w:rsidRPr="00C27666" w:rsidRDefault="006614D3" w:rsidP="00C51699">
      <w:pPr>
        <w:pStyle w:val="SingleTxtG"/>
        <w:keepNext/>
      </w:pPr>
      <w:r w:rsidRPr="00C27666">
        <w:t>2.</w:t>
      </w:r>
      <w:r w:rsidRPr="00C27666">
        <w:tab/>
        <w:t>Pour rappel, le libellé du 8.3.1 de l</w:t>
      </w:r>
      <w:r>
        <w:t>’</w:t>
      </w:r>
      <w:r w:rsidRPr="00C27666">
        <w:t xml:space="preserve">ADR est clair : </w:t>
      </w:r>
    </w:p>
    <w:p w14:paraId="6FC2E40D" w14:textId="26501C9F" w:rsidR="006614D3" w:rsidRPr="00C27666" w:rsidRDefault="00571DE6" w:rsidP="006614D3">
      <w:pPr>
        <w:pStyle w:val="SingleTxtG"/>
        <w:ind w:left="1701"/>
        <w:rPr>
          <w:i/>
          <w:iCs/>
        </w:rPr>
      </w:pPr>
      <w:r w:rsidRPr="00571DE6">
        <w:t>« </w:t>
      </w:r>
      <w:r w:rsidR="006614D3" w:rsidRPr="00C27666">
        <w:rPr>
          <w:i/>
          <w:iCs/>
        </w:rPr>
        <w:t>En dehors des membres de l</w:t>
      </w:r>
      <w:r w:rsidR="006614D3">
        <w:rPr>
          <w:i/>
          <w:iCs/>
        </w:rPr>
        <w:t>’</w:t>
      </w:r>
      <w:r w:rsidR="006614D3" w:rsidRPr="00C27666">
        <w:rPr>
          <w:i/>
          <w:iCs/>
        </w:rPr>
        <w:t>équipage, il est interdit de transporter des voyageurs dans les unités de transport transportant des marchandises dangereuses.</w:t>
      </w:r>
      <w:r w:rsidR="00C51699" w:rsidRPr="00C51699">
        <w:t> »</w:t>
      </w:r>
      <w:r w:rsidR="00C51699">
        <w:t>.</w:t>
      </w:r>
    </w:p>
    <w:p w14:paraId="22B3B638" w14:textId="348271AC" w:rsidR="006614D3" w:rsidRPr="00C27666" w:rsidRDefault="006614D3" w:rsidP="001F1F50">
      <w:pPr>
        <w:pStyle w:val="SingleTxtG"/>
        <w:keepNext/>
      </w:pPr>
      <w:r w:rsidRPr="00C27666">
        <w:t>3.</w:t>
      </w:r>
      <w:r w:rsidRPr="00C27666">
        <w:tab/>
        <w:t>L</w:t>
      </w:r>
      <w:r>
        <w:t>’</w:t>
      </w:r>
      <w:r w:rsidRPr="00C27666">
        <w:t>interdiction de transporter des voyageurs prévue au 8.3.1 s</w:t>
      </w:r>
      <w:r>
        <w:t>’</w:t>
      </w:r>
      <w:r w:rsidRPr="00C27666">
        <w:t>applique à tous les types de voyageurs, à l</w:t>
      </w:r>
      <w:r>
        <w:t>’</w:t>
      </w:r>
      <w:r w:rsidRPr="00C27666">
        <w:t xml:space="preserve">exception des </w:t>
      </w:r>
      <w:r w:rsidR="00571DE6">
        <w:t>« </w:t>
      </w:r>
      <w:r w:rsidRPr="001F1F50">
        <w:rPr>
          <w:i/>
          <w:iCs/>
        </w:rPr>
        <w:t>membres de l’équipage</w:t>
      </w:r>
      <w:r w:rsidR="00C51699">
        <w:t> »</w:t>
      </w:r>
      <w:r w:rsidRPr="00C27666">
        <w:t>. Dans le 1.2.1 de l</w:t>
      </w:r>
      <w:r>
        <w:t>’</w:t>
      </w:r>
      <w:r w:rsidRPr="00C27666">
        <w:t>ADR, ce terme est défini comme suit :</w:t>
      </w:r>
    </w:p>
    <w:p w14:paraId="6362409B" w14:textId="2ED61208" w:rsidR="006614D3" w:rsidRPr="00C27666" w:rsidRDefault="00571DE6" w:rsidP="006614D3">
      <w:pPr>
        <w:pStyle w:val="SingleTxtG"/>
        <w:ind w:left="1701"/>
        <w:rPr>
          <w:i/>
          <w:iCs/>
        </w:rPr>
      </w:pPr>
      <w:r w:rsidRPr="00571DE6">
        <w:t>« </w:t>
      </w:r>
      <w:r>
        <w:rPr>
          <w:i/>
          <w:iCs/>
        </w:rPr>
        <w:t>“</w:t>
      </w:r>
      <w:r w:rsidR="006614D3" w:rsidRPr="00C27666">
        <w:rPr>
          <w:i/>
          <w:iCs/>
        </w:rPr>
        <w:t>Membre de l</w:t>
      </w:r>
      <w:r w:rsidR="006614D3">
        <w:rPr>
          <w:i/>
          <w:iCs/>
        </w:rPr>
        <w:t>’</w:t>
      </w:r>
      <w:r w:rsidR="006614D3" w:rsidRPr="00C27666">
        <w:rPr>
          <w:i/>
          <w:iCs/>
        </w:rPr>
        <w:t>équipage</w:t>
      </w:r>
      <w:r>
        <w:rPr>
          <w:i/>
          <w:iCs/>
        </w:rPr>
        <w:t>”</w:t>
      </w:r>
      <w:r w:rsidR="006614D3" w:rsidRPr="00C27666">
        <w:rPr>
          <w:i/>
          <w:iCs/>
        </w:rPr>
        <w:t>, un conducteur ou toute autre personne accompagnant le conducteur pour des raisons de sécurité, de sûreté, de formation ou d</w:t>
      </w:r>
      <w:r w:rsidR="006614D3">
        <w:rPr>
          <w:i/>
          <w:iCs/>
        </w:rPr>
        <w:t>’</w:t>
      </w:r>
      <w:r w:rsidR="006614D3" w:rsidRPr="00C27666">
        <w:rPr>
          <w:i/>
          <w:iCs/>
        </w:rPr>
        <w:t>exploitation</w:t>
      </w:r>
      <w:r>
        <w:rPr>
          <w:i/>
          <w:iCs/>
        </w:rPr>
        <w:t> </w:t>
      </w:r>
      <w:r w:rsidR="006614D3" w:rsidRPr="00C27666">
        <w:rPr>
          <w:i/>
          <w:iCs/>
        </w:rPr>
        <w:t>;</w:t>
      </w:r>
      <w:r>
        <w:rPr>
          <w:i/>
          <w:iCs/>
        </w:rPr>
        <w:t> </w:t>
      </w:r>
      <w:r w:rsidRPr="00571DE6">
        <w:t>»</w:t>
      </w:r>
      <w:r w:rsidR="001F1F50">
        <w:t>.</w:t>
      </w:r>
    </w:p>
    <w:p w14:paraId="4B557856" w14:textId="031BE26C" w:rsidR="006614D3" w:rsidRPr="00C27666" w:rsidRDefault="006614D3" w:rsidP="006614D3">
      <w:pPr>
        <w:pStyle w:val="HChG"/>
      </w:pPr>
      <w:r>
        <w:tab/>
      </w:r>
      <w:r w:rsidRPr="00C27666">
        <w:t>II.</w:t>
      </w:r>
      <w:r w:rsidRPr="00C27666">
        <w:tab/>
        <w:t>Question à l</w:t>
      </w:r>
      <w:r>
        <w:t>’</w:t>
      </w:r>
      <w:r w:rsidRPr="00C27666">
        <w:t>examen</w:t>
      </w:r>
    </w:p>
    <w:p w14:paraId="28F66904" w14:textId="3CEAEC1E" w:rsidR="006614D3" w:rsidRPr="00C27666" w:rsidRDefault="006614D3" w:rsidP="006614D3">
      <w:pPr>
        <w:pStyle w:val="SingleTxtG"/>
      </w:pPr>
      <w:r w:rsidRPr="00C27666">
        <w:t>4.</w:t>
      </w:r>
      <w:r w:rsidRPr="00C27666">
        <w:tab/>
        <w:t>L</w:t>
      </w:r>
      <w:r>
        <w:t>’</w:t>
      </w:r>
      <w:r w:rsidRPr="00C27666">
        <w:t xml:space="preserve">autorité compétente du Royaume-Uni réfléchit aux </w:t>
      </w:r>
      <w:r w:rsidRPr="00C27666">
        <w:rPr>
          <w:i/>
          <w:iCs/>
        </w:rPr>
        <w:t>raisons d</w:t>
      </w:r>
      <w:r>
        <w:rPr>
          <w:i/>
          <w:iCs/>
        </w:rPr>
        <w:t>’</w:t>
      </w:r>
      <w:r w:rsidRPr="00C27666">
        <w:rPr>
          <w:i/>
          <w:iCs/>
        </w:rPr>
        <w:t>exploitation</w:t>
      </w:r>
      <w:r w:rsidRPr="00C27666">
        <w:t xml:space="preserve"> visées par le 1.2.1 de l</w:t>
      </w:r>
      <w:r>
        <w:t>’</w:t>
      </w:r>
      <w:r w:rsidRPr="00C27666">
        <w:t xml:space="preserve">ADR et se demande si, aux termes de la définition de </w:t>
      </w:r>
      <w:r w:rsidR="00571DE6">
        <w:t>« </w:t>
      </w:r>
      <w:r w:rsidRPr="00C27666">
        <w:rPr>
          <w:i/>
          <w:iCs/>
        </w:rPr>
        <w:t>membre de l</w:t>
      </w:r>
      <w:r>
        <w:rPr>
          <w:i/>
          <w:iCs/>
        </w:rPr>
        <w:t>’</w:t>
      </w:r>
      <w:r w:rsidRPr="00C27666">
        <w:rPr>
          <w:i/>
          <w:iCs/>
        </w:rPr>
        <w:t>équipage</w:t>
      </w:r>
      <w:r w:rsidR="00571DE6">
        <w:t> »</w:t>
      </w:r>
      <w:r w:rsidRPr="00C27666">
        <w:t>, les accompagnants doivent avoir comme mission d</w:t>
      </w:r>
      <w:r>
        <w:t>’</w:t>
      </w:r>
      <w:r w:rsidRPr="00C27666">
        <w:t>aider le conducteur ou de contribuer à l</w:t>
      </w:r>
      <w:r>
        <w:t>’</w:t>
      </w:r>
      <w:r w:rsidRPr="00C27666">
        <w:t>opération de transport d</w:t>
      </w:r>
      <w:r>
        <w:t>’</w:t>
      </w:r>
      <w:r w:rsidRPr="00C27666">
        <w:t>une manière ou d</w:t>
      </w:r>
      <w:r>
        <w:t>’</w:t>
      </w:r>
      <w:r w:rsidRPr="00C27666">
        <w:t>une autre pour pouvoir être considérés comme des membres de l</w:t>
      </w:r>
      <w:r>
        <w:t>’</w:t>
      </w:r>
      <w:r w:rsidRPr="00C27666">
        <w:t>équipage.</w:t>
      </w:r>
    </w:p>
    <w:p w14:paraId="102775E7" w14:textId="74113F19" w:rsidR="006614D3" w:rsidRPr="00C27666" w:rsidRDefault="006614D3" w:rsidP="006614D3">
      <w:pPr>
        <w:pStyle w:val="HChG"/>
      </w:pPr>
      <w:r>
        <w:lastRenderedPageBreak/>
        <w:tab/>
      </w:r>
      <w:r w:rsidRPr="00C27666">
        <w:t>III.</w:t>
      </w:r>
      <w:r w:rsidRPr="00C27666">
        <w:tab/>
        <w:t>Demande de précisions</w:t>
      </w:r>
    </w:p>
    <w:p w14:paraId="54E2E247" w14:textId="77777777" w:rsidR="006614D3" w:rsidRPr="00C27666" w:rsidRDefault="006614D3" w:rsidP="006614D3">
      <w:pPr>
        <w:pStyle w:val="SingleTxtG"/>
      </w:pPr>
      <w:r w:rsidRPr="00C27666">
        <w:t>5.</w:t>
      </w:r>
      <w:r w:rsidRPr="00C27666">
        <w:tab/>
        <w:t>Pour le Royaume-Uni, la définition signifie que toute personne accompagnant le conducteur doit être là pour apporter son appui, que ce soit au conducteur ou à l</w:t>
      </w:r>
      <w:r>
        <w:t>’</w:t>
      </w:r>
      <w:r w:rsidRPr="00C27666">
        <w:t>opération de transport. L</w:t>
      </w:r>
      <w:r>
        <w:t>’</w:t>
      </w:r>
      <w:r w:rsidRPr="00C27666">
        <w:t>appui apporté devrait relever d</w:t>
      </w:r>
      <w:r>
        <w:t>’</w:t>
      </w:r>
      <w:r w:rsidRPr="00C27666">
        <w:t>au moins un des quatre domaines mentionnés dans le 1.2.1 de l</w:t>
      </w:r>
      <w:r>
        <w:t>’</w:t>
      </w:r>
      <w:r w:rsidRPr="00C27666">
        <w:t>ADR, à savoir la sécurité, la sûreté, la formation ou l</w:t>
      </w:r>
      <w:r>
        <w:t>’</w:t>
      </w:r>
      <w:r w:rsidRPr="00C27666">
        <w:t xml:space="preserve">exploitation. </w:t>
      </w:r>
    </w:p>
    <w:p w14:paraId="1F0FA2F3" w14:textId="77777777" w:rsidR="006614D3" w:rsidRPr="00C27666" w:rsidRDefault="006614D3" w:rsidP="006614D3">
      <w:pPr>
        <w:pStyle w:val="SingleTxtG"/>
      </w:pPr>
      <w:r w:rsidRPr="00C27666">
        <w:t>6.</w:t>
      </w:r>
      <w:r w:rsidRPr="00C27666">
        <w:tab/>
        <w:t>En outre, le Royaume-Uni considère que l</w:t>
      </w:r>
      <w:r>
        <w:rPr>
          <w:i/>
          <w:iCs/>
        </w:rPr>
        <w:t>’</w:t>
      </w:r>
      <w:r w:rsidRPr="00C27666">
        <w:rPr>
          <w:i/>
          <w:iCs/>
        </w:rPr>
        <w:t>exploitation</w:t>
      </w:r>
      <w:r w:rsidRPr="00C27666">
        <w:t xml:space="preserve"> désigne toute raison liée à la fonction ou à la visée prévue de l</w:t>
      </w:r>
      <w:r>
        <w:t>’</w:t>
      </w:r>
      <w:r w:rsidRPr="00C27666">
        <w:t>opération de transport. On peut penser par exemple au cas de figure d</w:t>
      </w:r>
      <w:r>
        <w:t>’</w:t>
      </w:r>
      <w:r w:rsidRPr="00C27666">
        <w:t xml:space="preserve">un équipage qui contribue à la collecte et au transport de déchets contenant des marchandises dangereuses. </w:t>
      </w:r>
    </w:p>
    <w:p w14:paraId="35EAFFFF" w14:textId="4D843330" w:rsidR="006614D3" w:rsidRPr="00C27666" w:rsidRDefault="006614D3" w:rsidP="006614D3">
      <w:pPr>
        <w:pStyle w:val="SingleTxtG"/>
      </w:pPr>
      <w:r w:rsidRPr="00C27666">
        <w:t>7.</w:t>
      </w:r>
      <w:r w:rsidRPr="00C27666">
        <w:tab/>
        <w:t>Cela étant, le Royaume-Uni aimerait savoir comment les autres Parties contractantes à l</w:t>
      </w:r>
      <w:r>
        <w:t>’</w:t>
      </w:r>
      <w:r w:rsidRPr="00C27666">
        <w:t xml:space="preserve">ADR interprètent la définition de </w:t>
      </w:r>
      <w:r w:rsidR="00571DE6">
        <w:t>« </w:t>
      </w:r>
      <w:r w:rsidRPr="00C27666">
        <w:rPr>
          <w:i/>
          <w:iCs/>
        </w:rPr>
        <w:t>membre de l</w:t>
      </w:r>
      <w:r>
        <w:rPr>
          <w:i/>
          <w:iCs/>
        </w:rPr>
        <w:t>’</w:t>
      </w:r>
      <w:r w:rsidRPr="00C27666">
        <w:rPr>
          <w:i/>
          <w:iCs/>
        </w:rPr>
        <w:t>équipage</w:t>
      </w:r>
      <w:r w:rsidR="00571DE6">
        <w:t> »</w:t>
      </w:r>
      <w:r w:rsidRPr="00C27666">
        <w:t xml:space="preserve"> et ce que signifie pour elles l</w:t>
      </w:r>
      <w:r>
        <w:t>’</w:t>
      </w:r>
      <w:r w:rsidRPr="00C27666">
        <w:t xml:space="preserve">expression </w:t>
      </w:r>
      <w:r w:rsidR="00571DE6">
        <w:t>« </w:t>
      </w:r>
      <w:r w:rsidRPr="00C27666">
        <w:rPr>
          <w:i/>
          <w:iCs/>
        </w:rPr>
        <w:t>raisons d</w:t>
      </w:r>
      <w:r>
        <w:rPr>
          <w:i/>
          <w:iCs/>
        </w:rPr>
        <w:t>’</w:t>
      </w:r>
      <w:r w:rsidRPr="00C27666">
        <w:rPr>
          <w:i/>
          <w:iCs/>
        </w:rPr>
        <w:t>exploitation</w:t>
      </w:r>
      <w:r w:rsidR="00571DE6">
        <w:t> »</w:t>
      </w:r>
      <w:r w:rsidRPr="00C27666">
        <w:t>.</w:t>
      </w:r>
    </w:p>
    <w:p w14:paraId="4CF568B1" w14:textId="54AE9BFD" w:rsidR="00F9573C" w:rsidRPr="006614D3" w:rsidRDefault="006614D3" w:rsidP="006614D3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F9573C" w:rsidRPr="006614D3" w:rsidSect="00EC70B1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7" w:right="1134" w:bottom="1134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D22F6" w14:textId="77777777" w:rsidR="00A10B13" w:rsidRDefault="00A10B13" w:rsidP="00F95C08">
      <w:pPr>
        <w:spacing w:line="240" w:lineRule="auto"/>
      </w:pPr>
    </w:p>
  </w:endnote>
  <w:endnote w:type="continuationSeparator" w:id="0">
    <w:p w14:paraId="45A2D1EC" w14:textId="77777777" w:rsidR="00A10B13" w:rsidRPr="00AC3823" w:rsidRDefault="00A10B13" w:rsidP="00AC3823">
      <w:pPr>
        <w:pStyle w:val="Footer"/>
      </w:pPr>
    </w:p>
  </w:endnote>
  <w:endnote w:type="continuationNotice" w:id="1">
    <w:p w14:paraId="7455A8AD" w14:textId="77777777" w:rsidR="00A10B13" w:rsidRDefault="00A10B1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13724" w14:textId="09BB3E52" w:rsidR="00EC70B1" w:rsidRPr="00EC70B1" w:rsidRDefault="00EC70B1" w:rsidP="00EC70B1">
    <w:pPr>
      <w:pStyle w:val="Footer"/>
      <w:tabs>
        <w:tab w:val="right" w:pos="9638"/>
      </w:tabs>
    </w:pPr>
    <w:r w:rsidRPr="00EC70B1">
      <w:rPr>
        <w:b/>
        <w:sz w:val="18"/>
      </w:rPr>
      <w:fldChar w:fldCharType="begin"/>
    </w:r>
    <w:r w:rsidRPr="00EC70B1">
      <w:rPr>
        <w:b/>
        <w:sz w:val="18"/>
      </w:rPr>
      <w:instrText xml:space="preserve"> PAGE  \* MERGEFORMAT </w:instrText>
    </w:r>
    <w:r w:rsidRPr="00EC70B1">
      <w:rPr>
        <w:b/>
        <w:sz w:val="18"/>
      </w:rPr>
      <w:fldChar w:fldCharType="separate"/>
    </w:r>
    <w:r w:rsidRPr="00EC70B1">
      <w:rPr>
        <w:b/>
        <w:noProof/>
        <w:sz w:val="18"/>
      </w:rPr>
      <w:t>2</w:t>
    </w:r>
    <w:r w:rsidRPr="00EC70B1">
      <w:rPr>
        <w:b/>
        <w:sz w:val="18"/>
      </w:rPr>
      <w:fldChar w:fldCharType="end"/>
    </w:r>
    <w:r>
      <w:rPr>
        <w:b/>
        <w:sz w:val="18"/>
      </w:rPr>
      <w:tab/>
    </w:r>
    <w:r>
      <w:t>GE.24-14756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B0F8A" w14:textId="29CD30DC" w:rsidR="00EC70B1" w:rsidRPr="00EC70B1" w:rsidRDefault="00EC70B1" w:rsidP="00EC70B1">
    <w:pPr>
      <w:pStyle w:val="Footer"/>
      <w:tabs>
        <w:tab w:val="right" w:pos="9638"/>
      </w:tabs>
      <w:rPr>
        <w:b/>
        <w:sz w:val="18"/>
      </w:rPr>
    </w:pPr>
    <w:r>
      <w:t>GE.24-14756</w:t>
    </w:r>
    <w:r>
      <w:tab/>
    </w:r>
    <w:r w:rsidRPr="00EC70B1">
      <w:rPr>
        <w:b/>
        <w:sz w:val="18"/>
      </w:rPr>
      <w:fldChar w:fldCharType="begin"/>
    </w:r>
    <w:r w:rsidRPr="00EC70B1">
      <w:rPr>
        <w:b/>
        <w:sz w:val="18"/>
      </w:rPr>
      <w:instrText xml:space="preserve"> PAGE  \* MERGEFORMAT </w:instrText>
    </w:r>
    <w:r w:rsidRPr="00EC70B1">
      <w:rPr>
        <w:b/>
        <w:sz w:val="18"/>
      </w:rPr>
      <w:fldChar w:fldCharType="separate"/>
    </w:r>
    <w:r w:rsidRPr="00EC70B1">
      <w:rPr>
        <w:b/>
        <w:noProof/>
        <w:sz w:val="18"/>
      </w:rPr>
      <w:t>3</w:t>
    </w:r>
    <w:r w:rsidRPr="00EC70B1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87171" w14:textId="78A84A95" w:rsidR="007F20FA" w:rsidRPr="00EC70B1" w:rsidRDefault="00EC70B1" w:rsidP="00EC70B1">
    <w:pPr>
      <w:pStyle w:val="Footer"/>
      <w:spacing w:before="120"/>
      <w:rPr>
        <w:sz w:val="20"/>
      </w:rPr>
    </w:pPr>
    <w:r>
      <w:rPr>
        <w:sz w:val="20"/>
      </w:rPr>
      <w:t>GE.</w:t>
    </w:r>
    <w:r w:rsidR="007F20FA">
      <w:rPr>
        <w:noProof/>
        <w:lang w:eastAsia="fr-CH"/>
      </w:rPr>
      <w:drawing>
        <wp:anchor distT="0" distB="0" distL="114300" distR="114300" simplePos="0" relativeHeight="251659264" behindDoc="0" locked="0" layoutInCell="1" allowOverlap="0" wp14:anchorId="54F6E00E" wp14:editId="0B6A5579">
          <wp:simplePos x="0" y="0"/>
          <wp:positionH relativeFrom="margin">
            <wp:posOffset>4319905</wp:posOffset>
          </wp:positionH>
          <wp:positionV relativeFrom="margin">
            <wp:posOffset>9144000</wp:posOffset>
          </wp:positionV>
          <wp:extent cx="1105200" cy="234000"/>
          <wp:effectExtent l="0" t="0" r="0" b="0"/>
          <wp:wrapNone/>
          <wp:docPr id="2" name="Image 2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24-14756  (F)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3ED482A4" wp14:editId="3A657212">
          <wp:simplePos x="0" y="0"/>
          <wp:positionH relativeFrom="margin">
            <wp:posOffset>5489575</wp:posOffset>
          </wp:positionH>
          <wp:positionV relativeFrom="margin">
            <wp:posOffset>8891905</wp:posOffset>
          </wp:positionV>
          <wp:extent cx="628650" cy="628650"/>
          <wp:effectExtent l="0" t="0" r="0" b="0"/>
          <wp:wrapNone/>
          <wp:docPr id="36799223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 xml:space="preserve">    040924    060924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A5C41" w14:textId="77777777" w:rsidR="00A10B13" w:rsidRPr="00AC3823" w:rsidRDefault="00A10B13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1A760774" w14:textId="77777777" w:rsidR="00A10B13" w:rsidRPr="00AC3823" w:rsidRDefault="00A10B13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10261224" w14:textId="77777777" w:rsidR="00A10B13" w:rsidRPr="00AC3823" w:rsidRDefault="00A10B13">
      <w:pPr>
        <w:spacing w:line="240" w:lineRule="auto"/>
        <w:rPr>
          <w:sz w:val="2"/>
          <w:szCs w:val="2"/>
        </w:rPr>
      </w:pPr>
    </w:p>
  </w:footnote>
  <w:footnote w:id="2">
    <w:p w14:paraId="247B1062" w14:textId="6307A2C1" w:rsidR="006614D3" w:rsidRDefault="006614D3" w:rsidP="006614D3">
      <w:pPr>
        <w:pStyle w:val="FootnoteText"/>
      </w:pPr>
      <w:r>
        <w:rPr>
          <w:lang w:val="fr-FR"/>
        </w:rPr>
        <w:tab/>
      </w:r>
      <w:r w:rsidRPr="006614D3">
        <w:rPr>
          <w:sz w:val="20"/>
          <w:lang w:val="fr-FR"/>
        </w:rPr>
        <w:t>*</w:t>
      </w:r>
      <w:r>
        <w:rPr>
          <w:lang w:val="fr-FR"/>
        </w:rPr>
        <w:tab/>
        <w:t>A/78/6 (Sect. 20), tableau 20.5.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5AFE2" w14:textId="1C31A26F" w:rsidR="00EC70B1" w:rsidRPr="00EC70B1" w:rsidRDefault="00AB289F">
    <w:pPr>
      <w:pStyle w:val="Header"/>
    </w:pPr>
    <w:r>
      <w:fldChar w:fldCharType="begin"/>
    </w:r>
    <w:r>
      <w:instrText xml:space="preserve"> TITLE  \* MERGEFORMAT </w:instrText>
    </w:r>
    <w:r>
      <w:fldChar w:fldCharType="separate"/>
    </w:r>
    <w:r w:rsidR="00EC70B1">
      <w:t>ECE/TRANS/WP.15/2024/22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A35F6" w14:textId="3F55E11B" w:rsidR="00EC70B1" w:rsidRPr="00EC70B1" w:rsidRDefault="00AB289F" w:rsidP="00EC70B1">
    <w:pPr>
      <w:pStyle w:val="Header"/>
      <w:jc w:val="right"/>
    </w:pPr>
    <w:r>
      <w:fldChar w:fldCharType="begin"/>
    </w:r>
    <w:r>
      <w:instrText xml:space="preserve"> TITLE  \* MERGEFORMAT </w:instrText>
    </w:r>
    <w:r>
      <w:fldChar w:fldCharType="separate"/>
    </w:r>
    <w:r w:rsidR="00EC70B1">
      <w:t>ECE/TRANS/WP.15/2024/22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27C633E0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7C7C3350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8AD07B2"/>
    <w:multiLevelType w:val="hybridMultilevel"/>
    <w:tmpl w:val="2C7049BE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 w16cid:durableId="956716814">
    <w:abstractNumId w:val="12"/>
  </w:num>
  <w:num w:numId="2" w16cid:durableId="1714765659">
    <w:abstractNumId w:val="11"/>
  </w:num>
  <w:num w:numId="3" w16cid:durableId="1533760671">
    <w:abstractNumId w:val="10"/>
  </w:num>
  <w:num w:numId="4" w16cid:durableId="2058313733">
    <w:abstractNumId w:val="8"/>
  </w:num>
  <w:num w:numId="5" w16cid:durableId="1518302162">
    <w:abstractNumId w:val="3"/>
  </w:num>
  <w:num w:numId="6" w16cid:durableId="1231036781">
    <w:abstractNumId w:val="2"/>
  </w:num>
  <w:num w:numId="7" w16cid:durableId="1980986741">
    <w:abstractNumId w:val="1"/>
  </w:num>
  <w:num w:numId="8" w16cid:durableId="380174430">
    <w:abstractNumId w:val="0"/>
  </w:num>
  <w:num w:numId="9" w16cid:durableId="769546365">
    <w:abstractNumId w:val="9"/>
  </w:num>
  <w:num w:numId="10" w16cid:durableId="1332564825">
    <w:abstractNumId w:val="7"/>
  </w:num>
  <w:num w:numId="11" w16cid:durableId="51851542">
    <w:abstractNumId w:val="6"/>
  </w:num>
  <w:num w:numId="12" w16cid:durableId="1979920322">
    <w:abstractNumId w:val="5"/>
  </w:num>
  <w:num w:numId="13" w16cid:durableId="892695419">
    <w:abstractNumId w:val="4"/>
  </w:num>
  <w:num w:numId="14" w16cid:durableId="2041584480">
    <w:abstractNumId w:val="12"/>
  </w:num>
  <w:num w:numId="15" w16cid:durableId="69542872">
    <w:abstractNumId w:val="11"/>
  </w:num>
  <w:num w:numId="16" w16cid:durableId="1390105543">
    <w:abstractNumId w:val="10"/>
  </w:num>
  <w:num w:numId="17" w16cid:durableId="14112727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attachedTemplate r:id="rId1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B13"/>
    <w:rsid w:val="00017F94"/>
    <w:rsid w:val="00023842"/>
    <w:rsid w:val="000334F9"/>
    <w:rsid w:val="00045FEB"/>
    <w:rsid w:val="00056B3C"/>
    <w:rsid w:val="0007796D"/>
    <w:rsid w:val="000B7790"/>
    <w:rsid w:val="00111F2F"/>
    <w:rsid w:val="0014365E"/>
    <w:rsid w:val="00143C66"/>
    <w:rsid w:val="00153D95"/>
    <w:rsid w:val="00176178"/>
    <w:rsid w:val="001772E5"/>
    <w:rsid w:val="001F1F50"/>
    <w:rsid w:val="001F525A"/>
    <w:rsid w:val="00201148"/>
    <w:rsid w:val="00223272"/>
    <w:rsid w:val="0024779E"/>
    <w:rsid w:val="00257168"/>
    <w:rsid w:val="002672D9"/>
    <w:rsid w:val="002744B8"/>
    <w:rsid w:val="002832AC"/>
    <w:rsid w:val="002D7C93"/>
    <w:rsid w:val="00305801"/>
    <w:rsid w:val="003916DE"/>
    <w:rsid w:val="00421996"/>
    <w:rsid w:val="00441C3B"/>
    <w:rsid w:val="00446FE5"/>
    <w:rsid w:val="00452396"/>
    <w:rsid w:val="00477EB2"/>
    <w:rsid w:val="004837D8"/>
    <w:rsid w:val="004E2EED"/>
    <w:rsid w:val="004E468C"/>
    <w:rsid w:val="005505B7"/>
    <w:rsid w:val="00571DE6"/>
    <w:rsid w:val="00573BE5"/>
    <w:rsid w:val="00586ED3"/>
    <w:rsid w:val="00596AA9"/>
    <w:rsid w:val="00612BDD"/>
    <w:rsid w:val="006614D3"/>
    <w:rsid w:val="0071601D"/>
    <w:rsid w:val="007A62E6"/>
    <w:rsid w:val="007F20FA"/>
    <w:rsid w:val="0080684C"/>
    <w:rsid w:val="008464D6"/>
    <w:rsid w:val="00871C75"/>
    <w:rsid w:val="008776DC"/>
    <w:rsid w:val="008D5EF9"/>
    <w:rsid w:val="009446C0"/>
    <w:rsid w:val="009705C8"/>
    <w:rsid w:val="00981CED"/>
    <w:rsid w:val="009C1CF4"/>
    <w:rsid w:val="009F6B74"/>
    <w:rsid w:val="00A10B13"/>
    <w:rsid w:val="00A3029F"/>
    <w:rsid w:val="00A30353"/>
    <w:rsid w:val="00AB289F"/>
    <w:rsid w:val="00AC3823"/>
    <w:rsid w:val="00AE323C"/>
    <w:rsid w:val="00AF0CB5"/>
    <w:rsid w:val="00B00181"/>
    <w:rsid w:val="00B00B0D"/>
    <w:rsid w:val="00B45F2E"/>
    <w:rsid w:val="00B765F7"/>
    <w:rsid w:val="00B77993"/>
    <w:rsid w:val="00BA0CA9"/>
    <w:rsid w:val="00BE16F0"/>
    <w:rsid w:val="00C02897"/>
    <w:rsid w:val="00C51699"/>
    <w:rsid w:val="00C97039"/>
    <w:rsid w:val="00D3439C"/>
    <w:rsid w:val="00D7622E"/>
    <w:rsid w:val="00DB1831"/>
    <w:rsid w:val="00DD3BFD"/>
    <w:rsid w:val="00DF6678"/>
    <w:rsid w:val="00E0299A"/>
    <w:rsid w:val="00E85C74"/>
    <w:rsid w:val="00EA6547"/>
    <w:rsid w:val="00EC70B1"/>
    <w:rsid w:val="00ED7237"/>
    <w:rsid w:val="00EE0DB7"/>
    <w:rsid w:val="00EF2E22"/>
    <w:rsid w:val="00F35BAF"/>
    <w:rsid w:val="00F660DF"/>
    <w:rsid w:val="00F94664"/>
    <w:rsid w:val="00F9573C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A60C5"/>
  <w15:docId w15:val="{AFD4EE41-B13F-4F1B-BF6B-EB0ACB6A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99A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E0299A"/>
    <w:pPr>
      <w:keepNext/>
      <w:keepLines/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qFormat/>
    <w:rsid w:val="00023842"/>
    <w:pPr>
      <w:outlineLvl w:val="1"/>
    </w:pPr>
  </w:style>
  <w:style w:type="paragraph" w:styleId="Heading3">
    <w:name w:val="heading 3"/>
    <w:basedOn w:val="Normal"/>
    <w:next w:val="Normal"/>
    <w:link w:val="Heading3Char"/>
    <w:semiHidden/>
    <w:qFormat/>
    <w:rsid w:val="00023842"/>
    <w:pPr>
      <w:outlineLvl w:val="2"/>
    </w:pPr>
  </w:style>
  <w:style w:type="paragraph" w:styleId="Heading4">
    <w:name w:val="heading 4"/>
    <w:basedOn w:val="Normal"/>
    <w:next w:val="Normal"/>
    <w:link w:val="Heading4Char"/>
    <w:semiHidden/>
    <w:qFormat/>
    <w:rsid w:val="00023842"/>
    <w:pPr>
      <w:outlineLvl w:val="3"/>
    </w:pPr>
  </w:style>
  <w:style w:type="paragraph" w:styleId="Heading5">
    <w:name w:val="heading 5"/>
    <w:basedOn w:val="Normal"/>
    <w:next w:val="Normal"/>
    <w:link w:val="Heading5Char"/>
    <w:semiHidden/>
    <w:qFormat/>
    <w:rsid w:val="00023842"/>
    <w:pPr>
      <w:outlineLvl w:val="4"/>
    </w:pPr>
  </w:style>
  <w:style w:type="paragraph" w:styleId="Heading6">
    <w:name w:val="heading 6"/>
    <w:basedOn w:val="Normal"/>
    <w:next w:val="Normal"/>
    <w:link w:val="Heading6Char"/>
    <w:semiHidden/>
    <w:qFormat/>
    <w:rsid w:val="00023842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023842"/>
    <w:pPr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023842"/>
    <w:pPr>
      <w:outlineLvl w:val="7"/>
    </w:pPr>
  </w:style>
  <w:style w:type="paragraph" w:styleId="Heading9">
    <w:name w:val="heading 9"/>
    <w:basedOn w:val="Normal"/>
    <w:next w:val="Normal"/>
    <w:link w:val="Heading9Char"/>
    <w:semiHidden/>
    <w:qFormat/>
    <w:rsid w:val="0002384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next w:val="Normal"/>
    <w:link w:val="HeaderChar"/>
    <w:qFormat/>
    <w:rsid w:val="00E0299A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HeaderChar">
    <w:name w:val="Header Char"/>
    <w:aliases w:val="6_G Char"/>
    <w:basedOn w:val="DefaultParagraphFont"/>
    <w:link w:val="Header"/>
    <w:rsid w:val="00E0299A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Footer">
    <w:name w:val="footer"/>
    <w:aliases w:val="3_G"/>
    <w:basedOn w:val="Normal"/>
    <w:next w:val="Normal"/>
    <w:link w:val="FooterChar"/>
    <w:qFormat/>
    <w:rsid w:val="00E0299A"/>
    <w:pPr>
      <w:spacing w:line="240" w:lineRule="auto"/>
    </w:pPr>
    <w:rPr>
      <w:sz w:val="16"/>
    </w:rPr>
  </w:style>
  <w:style w:type="character" w:customStyle="1" w:styleId="FooterChar">
    <w:name w:val="Footer Char"/>
    <w:aliases w:val="3_G Char"/>
    <w:basedOn w:val="DefaultParagraphFont"/>
    <w:link w:val="Footer"/>
    <w:rsid w:val="00E0299A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0299A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E0299A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link w:val="SingleTxtGChar"/>
    <w:qFormat/>
    <w:rsid w:val="002672D9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E0299A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E0299A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0299A"/>
    <w:pPr>
      <w:numPr>
        <w:numId w:val="14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E0299A"/>
    <w:pPr>
      <w:numPr>
        <w:numId w:val="15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2672D9"/>
    <w:pPr>
      <w:numPr>
        <w:numId w:val="17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styleId="FootnoteReference">
    <w:name w:val="footnote reference"/>
    <w:aliases w:val="4_G"/>
    <w:basedOn w:val="DefaultParagraphFont"/>
    <w:qFormat/>
    <w:rsid w:val="00E0299A"/>
    <w:rPr>
      <w:rFonts w:ascii="Times New Roman" w:hAnsi="Times New Roman"/>
      <w:sz w:val="18"/>
      <w:vertAlign w:val="superscript"/>
      <w:lang w:val="fr-CH"/>
    </w:rPr>
  </w:style>
  <w:style w:type="character" w:styleId="EndnoteReference">
    <w:name w:val="endnote reference"/>
    <w:aliases w:val="1_G"/>
    <w:basedOn w:val="FootnoteReference"/>
    <w:qFormat/>
    <w:rsid w:val="00E0299A"/>
    <w:rPr>
      <w:rFonts w:ascii="Times New Roman" w:hAnsi="Times New Roman"/>
      <w:sz w:val="18"/>
      <w:vertAlign w:val="superscript"/>
      <w:lang w:val="fr-CH"/>
    </w:rPr>
  </w:style>
  <w:style w:type="table" w:styleId="TableGrid">
    <w:name w:val="Table Grid"/>
    <w:basedOn w:val="TableNormal"/>
    <w:rsid w:val="00E0299A"/>
    <w:pPr>
      <w:suppressAutoHyphens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nhideWhenUsed/>
    <w:rsid w:val="00E0299A"/>
    <w:rPr>
      <w:color w:val="0000FF"/>
      <w:u w:val="none"/>
    </w:rPr>
  </w:style>
  <w:style w:type="character" w:styleId="FollowedHyperlink">
    <w:name w:val="FollowedHyperlink"/>
    <w:basedOn w:val="DefaultParagraphFont"/>
    <w:unhideWhenUsed/>
    <w:rsid w:val="00E0299A"/>
    <w:rPr>
      <w:color w:val="0000FF"/>
      <w:u w:val="none"/>
    </w:rPr>
  </w:style>
  <w:style w:type="paragraph" w:styleId="FootnoteText">
    <w:name w:val="footnote text"/>
    <w:aliases w:val="5_G"/>
    <w:basedOn w:val="Normal"/>
    <w:link w:val="FootnoteTextChar"/>
    <w:qFormat/>
    <w:rsid w:val="00E0299A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paragraph" w:styleId="EndnoteText">
    <w:name w:val="endnote text"/>
    <w:aliases w:val="2_G"/>
    <w:basedOn w:val="FootnoteText"/>
    <w:link w:val="EndnoteTextChar"/>
    <w:qFormat/>
    <w:rsid w:val="00E0299A"/>
  </w:style>
  <w:style w:type="character" w:customStyle="1" w:styleId="EndnoteTextChar">
    <w:name w:val="Endnote Text Char"/>
    <w:aliases w:val="2_G Char"/>
    <w:basedOn w:val="DefaultParagraphFont"/>
    <w:link w:val="EndnoteText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PageNumber">
    <w:name w:val="page number"/>
    <w:aliases w:val="7_G"/>
    <w:basedOn w:val="DefaultParagraphFont"/>
    <w:qFormat/>
    <w:rsid w:val="00E0299A"/>
    <w:rPr>
      <w:rFonts w:ascii="Times New Roman" w:hAnsi="Times New Roman"/>
      <w:b/>
      <w:sz w:val="18"/>
      <w:lang w:val="fr-CH"/>
    </w:rPr>
  </w:style>
  <w:style w:type="character" w:customStyle="1" w:styleId="Heading1Char">
    <w:name w:val="Heading 1 Char"/>
    <w:aliases w:val="Table_G Char"/>
    <w:basedOn w:val="DefaultParagraphFont"/>
    <w:link w:val="Heading1"/>
    <w:rsid w:val="00E0299A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B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BAF"/>
    <w:rPr>
      <w:rFonts w:ascii="Tahoma" w:hAnsi="Tahoma" w:cs="Tahoma"/>
      <w:sz w:val="16"/>
      <w:szCs w:val="16"/>
      <w:lang w:eastAsia="en-US"/>
    </w:rPr>
  </w:style>
  <w:style w:type="character" w:customStyle="1" w:styleId="SingleTxtGChar">
    <w:name w:val="_ Single Txt_G Char"/>
    <w:link w:val="SingleTxtG"/>
    <w:qFormat/>
    <w:locked/>
    <w:rsid w:val="006614D3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ChGChar">
    <w:name w:val="_ H _Ch_G Char"/>
    <w:link w:val="HChG"/>
    <w:rsid w:val="006614D3"/>
    <w:rPr>
      <w:rFonts w:ascii="Times New Roman" w:eastAsiaTheme="minorHAnsi" w:hAnsi="Times New Roman" w:cs="Times New Roman"/>
      <w:b/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_TRAN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ECE_TRANS.dotm</Template>
  <TotalTime>1</TotalTime>
  <Pages>2</Pages>
  <Words>416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ECE/TRANS/WP.15/2024/22</vt:lpstr>
    </vt:vector>
  </TitlesOfParts>
  <Company>DCM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ECE/TRANS/WP.15/2024/22</dc:title>
  <dc:subject/>
  <dc:creator>Nathalie VITTOZ</dc:creator>
  <cp:keywords/>
  <cp:lastModifiedBy>Sabrina Mansion</cp:lastModifiedBy>
  <cp:revision>2</cp:revision>
  <cp:lastPrinted>2014-05-14T10:59:00Z</cp:lastPrinted>
  <dcterms:created xsi:type="dcterms:W3CDTF">2024-09-09T08:55:00Z</dcterms:created>
  <dcterms:modified xsi:type="dcterms:W3CDTF">2024-09-09T08:55:00Z</dcterms:modified>
</cp:coreProperties>
</file>