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F35BAF" w:rsidRPr="00DB58B5" w14:paraId="53ABBDED" w14:textId="77777777" w:rsidTr="00C97039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14:paraId="413DB118" w14:textId="77777777" w:rsidR="00F35BAF" w:rsidRPr="00DB58B5" w:rsidRDefault="00F35BAF" w:rsidP="00C05BED"/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76BFBC55" w14:textId="77777777" w:rsidR="00F35BAF" w:rsidRPr="00DB58B5" w:rsidRDefault="00F35BAF" w:rsidP="00C97039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34A9082F" w14:textId="0C58C800" w:rsidR="00F35BAF" w:rsidRPr="00DB58B5" w:rsidRDefault="00C05BED" w:rsidP="00C05BED">
            <w:pPr>
              <w:jc w:val="right"/>
            </w:pPr>
            <w:r w:rsidRPr="00C05BED">
              <w:rPr>
                <w:sz w:val="40"/>
              </w:rPr>
              <w:t>ECE</w:t>
            </w:r>
            <w:r>
              <w:t>/TRANS/WP.15/2024/14</w:t>
            </w:r>
          </w:p>
        </w:tc>
      </w:tr>
      <w:tr w:rsidR="00F35BAF" w:rsidRPr="00DB58B5" w14:paraId="63A35DCE" w14:textId="77777777" w:rsidTr="00C97039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7EA2188B" w14:textId="77777777" w:rsidR="00F35BAF" w:rsidRPr="00DB58B5" w:rsidRDefault="00F35BAF" w:rsidP="00C97039">
            <w:pPr>
              <w:spacing w:before="120"/>
              <w:jc w:val="center"/>
            </w:pPr>
            <w:r>
              <w:rPr>
                <w:noProof/>
                <w:lang w:eastAsia="fr-CH"/>
              </w:rPr>
              <w:drawing>
                <wp:inline distT="0" distB="0" distL="0" distR="0" wp14:anchorId="5528CEEE" wp14:editId="19975402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B947878" w14:textId="77777777" w:rsidR="00F35BAF" w:rsidRPr="00740562" w:rsidRDefault="00F35BAF" w:rsidP="00C97039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FB77FF">
              <w:rPr>
                <w:b/>
                <w:sz w:val="40"/>
                <w:szCs w:val="40"/>
              </w:rPr>
              <w:t>Conseil économique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FB77FF">
              <w:rPr>
                <w:b/>
                <w:sz w:val="40"/>
                <w:szCs w:val="40"/>
              </w:rPr>
              <w:t>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267ACC0B" w14:textId="77777777" w:rsidR="00F35BAF" w:rsidRDefault="00C05BED" w:rsidP="00C97039">
            <w:pPr>
              <w:spacing w:before="240"/>
            </w:pPr>
            <w:proofErr w:type="spellStart"/>
            <w:r>
              <w:t>Distr</w:t>
            </w:r>
            <w:proofErr w:type="spellEnd"/>
            <w:r>
              <w:t>. générale</w:t>
            </w:r>
          </w:p>
          <w:p w14:paraId="5E4DC429" w14:textId="77777777" w:rsidR="00C05BED" w:rsidRDefault="00C05BED" w:rsidP="00C05BED">
            <w:pPr>
              <w:spacing w:line="240" w:lineRule="exact"/>
            </w:pPr>
            <w:r>
              <w:t>14 août 2024</w:t>
            </w:r>
          </w:p>
          <w:p w14:paraId="454730C5" w14:textId="77777777" w:rsidR="00C05BED" w:rsidRDefault="00C05BED" w:rsidP="00C05BED">
            <w:pPr>
              <w:spacing w:line="240" w:lineRule="exact"/>
            </w:pPr>
            <w:r>
              <w:t>Français</w:t>
            </w:r>
          </w:p>
          <w:p w14:paraId="79DE63B0" w14:textId="088D87D5" w:rsidR="00C05BED" w:rsidRPr="00DB58B5" w:rsidRDefault="00C05BED" w:rsidP="00C05BED">
            <w:pPr>
              <w:spacing w:line="240" w:lineRule="exact"/>
            </w:pPr>
            <w:r>
              <w:t>Original : anglais</w:t>
            </w:r>
          </w:p>
        </w:tc>
      </w:tr>
    </w:tbl>
    <w:p w14:paraId="0D52A63E" w14:textId="77777777" w:rsidR="007F20FA" w:rsidRPr="000312C0" w:rsidRDefault="007F20FA" w:rsidP="007F20FA">
      <w:pPr>
        <w:spacing w:before="120"/>
        <w:rPr>
          <w:b/>
          <w:sz w:val="28"/>
          <w:szCs w:val="28"/>
        </w:rPr>
      </w:pPr>
      <w:r w:rsidRPr="000312C0">
        <w:rPr>
          <w:b/>
          <w:sz w:val="28"/>
          <w:szCs w:val="28"/>
        </w:rPr>
        <w:t>Commission économique pour l’Europe</w:t>
      </w:r>
    </w:p>
    <w:p w14:paraId="36C05C69" w14:textId="77777777" w:rsidR="007F20FA" w:rsidRDefault="007F20FA" w:rsidP="007F20FA">
      <w:pPr>
        <w:spacing w:before="120"/>
        <w:rPr>
          <w:sz w:val="28"/>
          <w:szCs w:val="28"/>
        </w:rPr>
      </w:pPr>
      <w:r w:rsidRPr="00685843">
        <w:rPr>
          <w:sz w:val="28"/>
          <w:szCs w:val="28"/>
        </w:rPr>
        <w:t>Comité des transports intérieurs</w:t>
      </w:r>
    </w:p>
    <w:p w14:paraId="366D8B95" w14:textId="77777777" w:rsidR="00C05BED" w:rsidRPr="00670519" w:rsidRDefault="00C05BED" w:rsidP="00C05BED">
      <w:pPr>
        <w:spacing w:before="120"/>
        <w:rPr>
          <w:b/>
          <w:sz w:val="32"/>
          <w:szCs w:val="24"/>
          <w:lang w:val="fr-FR"/>
        </w:rPr>
      </w:pPr>
      <w:r w:rsidRPr="00670519">
        <w:rPr>
          <w:b/>
          <w:bCs/>
          <w:sz w:val="24"/>
          <w:lang w:val="fr-FR"/>
        </w:rPr>
        <w:t>Groupe de travail des transports de marchandises dangereuses</w:t>
      </w:r>
    </w:p>
    <w:p w14:paraId="2390AC4C" w14:textId="77777777" w:rsidR="00C05BED" w:rsidRPr="00670519" w:rsidRDefault="00C05BED" w:rsidP="00C05BED">
      <w:pPr>
        <w:spacing w:before="120"/>
        <w:rPr>
          <w:rFonts w:eastAsia="SimSun"/>
          <w:b/>
          <w:lang w:val="fr-FR"/>
        </w:rPr>
      </w:pPr>
      <w:r w:rsidRPr="00670519">
        <w:rPr>
          <w:b/>
          <w:bCs/>
          <w:lang w:val="fr-FR"/>
        </w:rPr>
        <w:t>116</w:t>
      </w:r>
      <w:r w:rsidRPr="00670519">
        <w:rPr>
          <w:b/>
          <w:bCs/>
          <w:vertAlign w:val="superscript"/>
          <w:lang w:val="fr-FR"/>
        </w:rPr>
        <w:t>e</w:t>
      </w:r>
      <w:r w:rsidRPr="00670519">
        <w:rPr>
          <w:b/>
          <w:bCs/>
          <w:lang w:val="fr-FR"/>
        </w:rPr>
        <w:t xml:space="preserve"> session</w:t>
      </w:r>
      <w:r w:rsidRPr="00670519">
        <w:rPr>
          <w:lang w:val="fr-FR"/>
        </w:rPr>
        <w:t xml:space="preserve"> </w:t>
      </w:r>
    </w:p>
    <w:p w14:paraId="002E98EF" w14:textId="77777777" w:rsidR="00C05BED" w:rsidRPr="00670519" w:rsidRDefault="00C05BED" w:rsidP="00C05BED">
      <w:pPr>
        <w:rPr>
          <w:rFonts w:eastAsia="SimSun"/>
          <w:lang w:val="fr-FR"/>
        </w:rPr>
      </w:pPr>
      <w:r w:rsidRPr="00670519">
        <w:rPr>
          <w:lang w:val="fr-FR"/>
        </w:rPr>
        <w:t>Genève, 5-8 novembre 2024</w:t>
      </w:r>
    </w:p>
    <w:p w14:paraId="16ADBA94" w14:textId="77777777" w:rsidR="00C05BED" w:rsidRPr="00670519" w:rsidRDefault="00C05BED" w:rsidP="00C05BED">
      <w:pPr>
        <w:rPr>
          <w:lang w:val="fr-FR"/>
        </w:rPr>
      </w:pPr>
      <w:r w:rsidRPr="00670519">
        <w:rPr>
          <w:lang w:val="fr-FR"/>
        </w:rPr>
        <w:t>Point 4 b) de l</w:t>
      </w:r>
      <w:r>
        <w:rPr>
          <w:lang w:val="fr-FR"/>
        </w:rPr>
        <w:t>’</w:t>
      </w:r>
      <w:r w:rsidRPr="00670519">
        <w:rPr>
          <w:lang w:val="fr-FR"/>
        </w:rPr>
        <w:t>ordre du jour provisoire</w:t>
      </w:r>
    </w:p>
    <w:p w14:paraId="21DB8A9F" w14:textId="36C997FF" w:rsidR="00C05BED" w:rsidRPr="00670519" w:rsidRDefault="00C05BED" w:rsidP="00C05BED">
      <w:pPr>
        <w:rPr>
          <w:b/>
          <w:bCs/>
          <w:lang w:val="fr-FR"/>
        </w:rPr>
      </w:pPr>
      <w:r w:rsidRPr="00670519">
        <w:rPr>
          <w:b/>
          <w:bCs/>
          <w:lang w:val="fr-FR"/>
        </w:rPr>
        <w:t>Propositions d</w:t>
      </w:r>
      <w:r>
        <w:rPr>
          <w:b/>
          <w:bCs/>
          <w:lang w:val="fr-FR"/>
        </w:rPr>
        <w:t>’</w:t>
      </w:r>
      <w:r w:rsidRPr="00670519">
        <w:rPr>
          <w:b/>
          <w:bCs/>
          <w:lang w:val="fr-FR"/>
        </w:rPr>
        <w:t>amendements aux annexes A et B de l</w:t>
      </w:r>
      <w:r>
        <w:rPr>
          <w:b/>
          <w:bCs/>
          <w:lang w:val="fr-FR"/>
        </w:rPr>
        <w:t>’</w:t>
      </w:r>
      <w:r w:rsidRPr="00670519">
        <w:rPr>
          <w:b/>
          <w:bCs/>
          <w:lang w:val="fr-FR"/>
        </w:rPr>
        <w:t xml:space="preserve">ADR : </w:t>
      </w:r>
      <w:r>
        <w:rPr>
          <w:b/>
          <w:bCs/>
          <w:lang w:val="fr-FR"/>
        </w:rPr>
        <w:br/>
      </w:r>
      <w:r w:rsidRPr="00670519">
        <w:rPr>
          <w:b/>
          <w:bCs/>
          <w:lang w:val="fr-FR"/>
        </w:rPr>
        <w:t>Propositions diverses</w:t>
      </w:r>
    </w:p>
    <w:p w14:paraId="7E61C936" w14:textId="77777777" w:rsidR="00C05BED" w:rsidRPr="00670519" w:rsidRDefault="00C05BED" w:rsidP="00C05BED">
      <w:pPr>
        <w:pStyle w:val="HChG"/>
        <w:rPr>
          <w:lang w:val="fr-FR"/>
        </w:rPr>
      </w:pPr>
      <w:r w:rsidRPr="00670519">
        <w:rPr>
          <w:lang w:val="fr-FR"/>
        </w:rPr>
        <w:tab/>
      </w:r>
      <w:r w:rsidRPr="00670519">
        <w:rPr>
          <w:lang w:val="fr-FR"/>
        </w:rPr>
        <w:tab/>
        <w:t xml:space="preserve">Durée des examens </w:t>
      </w:r>
      <w:r>
        <w:rPr>
          <w:lang w:val="fr-FR"/>
        </w:rPr>
        <w:t>prescrits par l’</w:t>
      </w:r>
      <w:r w:rsidRPr="00670519">
        <w:rPr>
          <w:lang w:val="fr-FR"/>
        </w:rPr>
        <w:t>ADR</w:t>
      </w:r>
      <w:r>
        <w:rPr>
          <w:lang w:val="fr-FR"/>
        </w:rPr>
        <w:t xml:space="preserve"> pour les conducteurs</w:t>
      </w:r>
    </w:p>
    <w:p w14:paraId="08710BAA" w14:textId="77777777" w:rsidR="00C05BED" w:rsidRDefault="00C05BED" w:rsidP="00C05BED">
      <w:pPr>
        <w:pStyle w:val="H1G"/>
        <w:rPr>
          <w:b w:val="0"/>
          <w:bCs/>
          <w:sz w:val="20"/>
          <w:lang w:val="fr-FR"/>
        </w:rPr>
      </w:pPr>
      <w:r w:rsidRPr="00670519">
        <w:rPr>
          <w:lang w:val="fr-FR"/>
        </w:rPr>
        <w:tab/>
      </w:r>
      <w:r w:rsidRPr="00670519">
        <w:rPr>
          <w:lang w:val="fr-FR"/>
        </w:rPr>
        <w:tab/>
        <w:t>Communication de l</w:t>
      </w:r>
      <w:r>
        <w:rPr>
          <w:lang w:val="fr-FR"/>
        </w:rPr>
        <w:t>’</w:t>
      </w:r>
      <w:r w:rsidRPr="00670519">
        <w:rPr>
          <w:lang w:val="fr-FR"/>
        </w:rPr>
        <w:t>Union internationale des transports routiers (IRU)</w:t>
      </w:r>
      <w:r w:rsidRPr="00C05BED">
        <w:rPr>
          <w:rStyle w:val="Appelnotedebasdep"/>
          <w:b w:val="0"/>
          <w:bCs/>
          <w:sz w:val="20"/>
          <w:vertAlign w:val="baseline"/>
          <w:lang w:val="fr-FR"/>
        </w:rPr>
        <w:footnoteReference w:customMarkFollows="1" w:id="2"/>
        <w:t>*</w:t>
      </w:r>
    </w:p>
    <w:tbl>
      <w:tblPr>
        <w:tblStyle w:val="Grilledutableau"/>
        <w:tblW w:w="0" w:type="auto"/>
        <w:jc w:val="center"/>
        <w:tblBorders>
          <w:insideH w:val="none" w:sz="0" w:space="0" w:color="auto"/>
        </w:tblBorders>
        <w:tblLook w:val="05E0" w:firstRow="1" w:lastRow="1" w:firstColumn="1" w:lastColumn="1" w:noHBand="0" w:noVBand="1"/>
      </w:tblPr>
      <w:tblGrid>
        <w:gridCol w:w="9628"/>
      </w:tblGrid>
      <w:tr w:rsidR="00C05BED" w14:paraId="591721EA" w14:textId="77777777">
        <w:trPr>
          <w:jc w:val="center"/>
        </w:trPr>
        <w:tc>
          <w:tcPr>
            <w:tcW w:w="9637" w:type="dxa"/>
            <w:shd w:val="clear" w:color="auto" w:fill="auto"/>
          </w:tcPr>
          <w:p w14:paraId="23D5B896" w14:textId="77777777" w:rsidR="00C05BED" w:rsidRDefault="00C05BED">
            <w:pPr>
              <w:spacing w:before="240" w:after="120"/>
              <w:ind w:left="255"/>
              <w:rPr>
                <w:i/>
                <w:sz w:val="24"/>
              </w:rPr>
            </w:pPr>
            <w:r>
              <w:rPr>
                <w:i/>
                <w:sz w:val="24"/>
              </w:rPr>
              <w:t>Résumé</w:t>
            </w:r>
          </w:p>
        </w:tc>
      </w:tr>
      <w:tr w:rsidR="00C05BED" w14:paraId="40F09DCF" w14:textId="77777777">
        <w:trPr>
          <w:jc w:val="center"/>
        </w:trPr>
        <w:tc>
          <w:tcPr>
            <w:tcW w:w="9637" w:type="dxa"/>
            <w:shd w:val="clear" w:color="auto" w:fill="auto"/>
          </w:tcPr>
          <w:p w14:paraId="677CFC86" w14:textId="755F971A" w:rsidR="00C05BED" w:rsidRDefault="00C05BED" w:rsidP="00C05BED">
            <w:pPr>
              <w:pStyle w:val="SingleTxtG"/>
              <w:ind w:left="3402" w:hanging="2268"/>
            </w:pPr>
            <w:r w:rsidRPr="00670519">
              <w:rPr>
                <w:b/>
                <w:bCs/>
                <w:lang w:val="fr-FR"/>
              </w:rPr>
              <w:t>Résumé analytique :</w:t>
            </w:r>
            <w:r w:rsidRPr="00670519">
              <w:rPr>
                <w:lang w:val="fr-FR"/>
              </w:rPr>
              <w:tab/>
              <w:t>L</w:t>
            </w:r>
            <w:r>
              <w:rPr>
                <w:lang w:val="fr-FR"/>
              </w:rPr>
              <w:t>’</w:t>
            </w:r>
            <w:r w:rsidRPr="00670519">
              <w:rPr>
                <w:lang w:val="fr-FR"/>
              </w:rPr>
              <w:t>Accord relatif au transport international des marchandises dangereuses par route (ADR)</w:t>
            </w:r>
            <w:r>
              <w:rPr>
                <w:lang w:val="fr-FR"/>
              </w:rPr>
              <w:t xml:space="preserve">, qui prescrit des examens pour les conducteurs, en spécifie également la durée minimale, ce qui n’a toutefois </w:t>
            </w:r>
            <w:r w:rsidRPr="00670519">
              <w:rPr>
                <w:lang w:val="fr-FR"/>
              </w:rPr>
              <w:t xml:space="preserve">aucune incidence sur les examens eux-mêmes. Dans de nombreuses Parties contractantes, </w:t>
            </w:r>
            <w:r>
              <w:rPr>
                <w:lang w:val="fr-FR"/>
              </w:rPr>
              <w:t>c’est plutôt le temps maximal imparti</w:t>
            </w:r>
            <w:r w:rsidRPr="00670519">
              <w:rPr>
                <w:lang w:val="fr-FR"/>
              </w:rPr>
              <w:t xml:space="preserve"> </w:t>
            </w:r>
            <w:r>
              <w:rPr>
                <w:lang w:val="fr-FR"/>
              </w:rPr>
              <w:t>qui</w:t>
            </w:r>
            <w:r w:rsidRPr="00670519">
              <w:rPr>
                <w:lang w:val="fr-FR"/>
              </w:rPr>
              <w:t xml:space="preserve"> est réglementé. Dans la pratique, il n</w:t>
            </w:r>
            <w:r>
              <w:rPr>
                <w:lang w:val="fr-FR"/>
              </w:rPr>
              <w:t>’</w:t>
            </w:r>
            <w:r w:rsidRPr="00670519">
              <w:rPr>
                <w:lang w:val="fr-FR"/>
              </w:rPr>
              <w:t>est pas nécessaire de réglementer la durée minimale de ces examens.</w:t>
            </w:r>
          </w:p>
        </w:tc>
      </w:tr>
      <w:tr w:rsidR="00C05BED" w14:paraId="565E7CB2" w14:textId="77777777">
        <w:trPr>
          <w:jc w:val="center"/>
        </w:trPr>
        <w:tc>
          <w:tcPr>
            <w:tcW w:w="9637" w:type="dxa"/>
            <w:shd w:val="clear" w:color="auto" w:fill="auto"/>
          </w:tcPr>
          <w:p w14:paraId="72EBAD26" w14:textId="5CCC19A1" w:rsidR="00C05BED" w:rsidRDefault="00C05BED" w:rsidP="00C05BED">
            <w:pPr>
              <w:pStyle w:val="SingleTxtG"/>
              <w:ind w:left="3402" w:hanging="2268"/>
            </w:pPr>
            <w:r w:rsidRPr="00670519">
              <w:rPr>
                <w:b/>
                <w:bCs/>
                <w:lang w:val="fr-FR"/>
              </w:rPr>
              <w:t>Mesures à prendre :</w:t>
            </w:r>
            <w:r w:rsidRPr="00670519">
              <w:rPr>
                <w:lang w:val="fr-FR"/>
              </w:rPr>
              <w:tab/>
            </w:r>
            <w:r>
              <w:rPr>
                <w:lang w:val="fr-FR"/>
              </w:rPr>
              <w:t>La</w:t>
            </w:r>
            <w:r w:rsidRPr="00670519">
              <w:rPr>
                <w:lang w:val="fr-FR"/>
              </w:rPr>
              <w:t xml:space="preserve"> durée minimale n</w:t>
            </w:r>
            <w:r>
              <w:rPr>
                <w:lang w:val="fr-FR"/>
              </w:rPr>
              <w:t>’</w:t>
            </w:r>
            <w:r w:rsidRPr="00670519">
              <w:rPr>
                <w:lang w:val="fr-FR"/>
              </w:rPr>
              <w:t>étant pas nécessaire dans la pratique, les informations correspondantes doivent être supprimées.</w:t>
            </w:r>
          </w:p>
        </w:tc>
      </w:tr>
      <w:tr w:rsidR="00C05BED" w14:paraId="42E0C2CD" w14:textId="77777777">
        <w:trPr>
          <w:jc w:val="center"/>
        </w:trPr>
        <w:tc>
          <w:tcPr>
            <w:tcW w:w="9637" w:type="dxa"/>
            <w:shd w:val="clear" w:color="auto" w:fill="auto"/>
          </w:tcPr>
          <w:p w14:paraId="69E2F513" w14:textId="77777777" w:rsidR="00C05BED" w:rsidRDefault="00C05BED"/>
        </w:tc>
      </w:tr>
    </w:tbl>
    <w:p w14:paraId="6EA7BD28" w14:textId="77777777" w:rsidR="00C05BED" w:rsidRPr="00670519" w:rsidRDefault="00C05BED" w:rsidP="00C05BED">
      <w:pPr>
        <w:rPr>
          <w:lang w:val="fr-FR"/>
        </w:rPr>
      </w:pPr>
      <w:r w:rsidRPr="00670519">
        <w:rPr>
          <w:lang w:val="fr-FR"/>
        </w:rPr>
        <w:br w:type="page"/>
      </w:r>
    </w:p>
    <w:p w14:paraId="34108785" w14:textId="77777777" w:rsidR="00C05BED" w:rsidRPr="00670519" w:rsidRDefault="00C05BED" w:rsidP="00C05BED">
      <w:pPr>
        <w:pStyle w:val="HChG"/>
        <w:rPr>
          <w:rFonts w:eastAsia="Calibri"/>
          <w:lang w:val="fr-FR"/>
        </w:rPr>
      </w:pPr>
      <w:r w:rsidRPr="00670519">
        <w:rPr>
          <w:lang w:val="fr-FR"/>
        </w:rPr>
        <w:lastRenderedPageBreak/>
        <w:tab/>
        <w:t>I.</w:t>
      </w:r>
      <w:r w:rsidRPr="00670519">
        <w:rPr>
          <w:lang w:val="fr-FR"/>
        </w:rPr>
        <w:tab/>
        <w:t>Introduction</w:t>
      </w:r>
    </w:p>
    <w:p w14:paraId="792BB794" w14:textId="77777777" w:rsidR="00C05BED" w:rsidRPr="00670519" w:rsidRDefault="00C05BED" w:rsidP="00C05BED">
      <w:pPr>
        <w:pStyle w:val="SingleTxtG"/>
        <w:rPr>
          <w:lang w:val="fr-FR"/>
        </w:rPr>
      </w:pPr>
      <w:r w:rsidRPr="00670519">
        <w:rPr>
          <w:lang w:val="fr-FR"/>
        </w:rPr>
        <w:t>1.</w:t>
      </w:r>
      <w:r w:rsidRPr="00670519">
        <w:rPr>
          <w:lang w:val="fr-FR"/>
        </w:rPr>
        <w:tab/>
        <w:t xml:space="preserve">La durée minimale des examens </w:t>
      </w:r>
      <w:r>
        <w:rPr>
          <w:lang w:val="fr-FR"/>
        </w:rPr>
        <w:t>prescrits par l’</w:t>
      </w:r>
      <w:r w:rsidRPr="00670519">
        <w:rPr>
          <w:lang w:val="fr-FR"/>
        </w:rPr>
        <w:t>ADR</w:t>
      </w:r>
      <w:r>
        <w:rPr>
          <w:lang w:val="fr-FR"/>
        </w:rPr>
        <w:t xml:space="preserve"> pour les conducteurs</w:t>
      </w:r>
      <w:r w:rsidRPr="00670519">
        <w:rPr>
          <w:lang w:val="fr-FR"/>
        </w:rPr>
        <w:t xml:space="preserve"> est clairement </w:t>
      </w:r>
      <w:r>
        <w:rPr>
          <w:lang w:val="fr-FR"/>
        </w:rPr>
        <w:t>spécifiée</w:t>
      </w:r>
      <w:r w:rsidRPr="00670519">
        <w:rPr>
          <w:lang w:val="fr-FR"/>
        </w:rPr>
        <w:t xml:space="preserve"> au 8.2.2.7 de l</w:t>
      </w:r>
      <w:r>
        <w:rPr>
          <w:lang w:val="fr-FR"/>
        </w:rPr>
        <w:t>’</w:t>
      </w:r>
      <w:r w:rsidRPr="00670519">
        <w:rPr>
          <w:lang w:val="fr-FR"/>
        </w:rPr>
        <w:t>ADR. La durée minimale de</w:t>
      </w:r>
      <w:r>
        <w:rPr>
          <w:lang w:val="fr-FR"/>
        </w:rPr>
        <w:t xml:space="preserve">s </w:t>
      </w:r>
      <w:r w:rsidRPr="00670519">
        <w:rPr>
          <w:lang w:val="fr-FR"/>
        </w:rPr>
        <w:t>examen</w:t>
      </w:r>
      <w:r>
        <w:rPr>
          <w:lang w:val="fr-FR"/>
        </w:rPr>
        <w:t>s correspondant aux</w:t>
      </w:r>
      <w:r w:rsidRPr="00670519">
        <w:rPr>
          <w:lang w:val="fr-FR"/>
        </w:rPr>
        <w:t xml:space="preserve"> cours de formation de base et celle </w:t>
      </w:r>
      <w:r>
        <w:rPr>
          <w:lang w:val="fr-FR"/>
        </w:rPr>
        <w:t>des examens consécutifs aux</w:t>
      </w:r>
      <w:r w:rsidRPr="00670519">
        <w:rPr>
          <w:lang w:val="fr-FR"/>
        </w:rPr>
        <w:t xml:space="preserve"> cours de formation de recyclage correspondant</w:t>
      </w:r>
      <w:r>
        <w:rPr>
          <w:lang w:val="fr-FR"/>
        </w:rPr>
        <w:t>s</w:t>
      </w:r>
      <w:r w:rsidRPr="00670519">
        <w:rPr>
          <w:lang w:val="fr-FR"/>
        </w:rPr>
        <w:t xml:space="preserve"> sont fixées dans la quatrième phrase du 8.2.2.7.1.6, </w:t>
      </w:r>
      <w:r>
        <w:rPr>
          <w:lang w:val="fr-FR"/>
        </w:rPr>
        <w:t xml:space="preserve">libellée </w:t>
      </w:r>
      <w:r w:rsidRPr="00670519">
        <w:rPr>
          <w:lang w:val="fr-FR"/>
        </w:rPr>
        <w:t>comme suit :</w:t>
      </w:r>
    </w:p>
    <w:p w14:paraId="1D2EA6CC" w14:textId="77777777" w:rsidR="00C05BED" w:rsidRPr="00670519" w:rsidRDefault="00C05BED" w:rsidP="00C05BED">
      <w:pPr>
        <w:pStyle w:val="SingleTxtG"/>
        <w:ind w:firstLine="567"/>
        <w:rPr>
          <w:i/>
          <w:iCs/>
          <w:lang w:val="fr-FR"/>
        </w:rPr>
      </w:pPr>
      <w:r w:rsidRPr="00670519">
        <w:rPr>
          <w:lang w:val="fr-FR"/>
        </w:rPr>
        <w:t>« </w:t>
      </w:r>
      <w:r w:rsidRPr="00670519">
        <w:rPr>
          <w:i/>
          <w:iCs/>
          <w:lang w:val="fr-FR"/>
        </w:rPr>
        <w:t>Ces examens doivent durer au moins 45 et 30 minutes respectivement.</w:t>
      </w:r>
      <w:r w:rsidRPr="00670519">
        <w:rPr>
          <w:lang w:val="fr-FR"/>
        </w:rPr>
        <w:t> ».</w:t>
      </w:r>
    </w:p>
    <w:p w14:paraId="21C1A7AB" w14:textId="3414B0DF" w:rsidR="00C05BED" w:rsidRPr="00670519" w:rsidRDefault="00C05BED" w:rsidP="00C05BED">
      <w:pPr>
        <w:pStyle w:val="SingleTxtG"/>
        <w:rPr>
          <w:lang w:val="fr-FR"/>
        </w:rPr>
      </w:pPr>
      <w:r w:rsidRPr="00670519">
        <w:rPr>
          <w:lang w:val="fr-FR"/>
        </w:rPr>
        <w:t>2.</w:t>
      </w:r>
      <w:r w:rsidRPr="00670519">
        <w:rPr>
          <w:lang w:val="fr-FR"/>
        </w:rPr>
        <w:tab/>
        <w:t xml:space="preserve">La durée minimale des examens </w:t>
      </w:r>
      <w:r>
        <w:rPr>
          <w:lang w:val="fr-FR"/>
        </w:rPr>
        <w:t>de spécialisation</w:t>
      </w:r>
      <w:r w:rsidRPr="00670519">
        <w:rPr>
          <w:lang w:val="fr-FR"/>
        </w:rPr>
        <w:t xml:space="preserve"> et celles de</w:t>
      </w:r>
      <w:r>
        <w:rPr>
          <w:lang w:val="fr-FR"/>
        </w:rPr>
        <w:t xml:space="preserve">s </w:t>
      </w:r>
      <w:r w:rsidRPr="00670519">
        <w:rPr>
          <w:lang w:val="fr-FR"/>
        </w:rPr>
        <w:t>examen</w:t>
      </w:r>
      <w:r>
        <w:rPr>
          <w:lang w:val="fr-FR"/>
        </w:rPr>
        <w:t xml:space="preserve">s consécutifs aux </w:t>
      </w:r>
      <w:r w:rsidRPr="00670519">
        <w:rPr>
          <w:lang w:val="fr-FR"/>
        </w:rPr>
        <w:t>cours de formation de recyclage correspondant</w:t>
      </w:r>
      <w:r>
        <w:rPr>
          <w:lang w:val="fr-FR"/>
        </w:rPr>
        <w:t>s</w:t>
      </w:r>
      <w:r w:rsidRPr="00670519">
        <w:rPr>
          <w:lang w:val="fr-FR"/>
        </w:rPr>
        <w:t xml:space="preserve"> sont fixées dans la troisième phrase du</w:t>
      </w:r>
      <w:r w:rsidR="0082019F">
        <w:rPr>
          <w:lang w:val="fr-FR"/>
        </w:rPr>
        <w:t> </w:t>
      </w:r>
      <w:r w:rsidRPr="00670519">
        <w:rPr>
          <w:lang w:val="fr-FR"/>
        </w:rPr>
        <w:t xml:space="preserve">8.2.2.7.2.3, </w:t>
      </w:r>
      <w:r>
        <w:rPr>
          <w:lang w:val="fr-FR"/>
        </w:rPr>
        <w:t xml:space="preserve">libellée </w:t>
      </w:r>
      <w:r w:rsidRPr="00670519">
        <w:rPr>
          <w:lang w:val="fr-FR"/>
        </w:rPr>
        <w:t>comme suit :</w:t>
      </w:r>
    </w:p>
    <w:p w14:paraId="1D4A1082" w14:textId="77777777" w:rsidR="00C05BED" w:rsidRPr="00670519" w:rsidRDefault="00C05BED" w:rsidP="00C05BED">
      <w:pPr>
        <w:pStyle w:val="SingleTxtG"/>
        <w:ind w:firstLine="567"/>
        <w:rPr>
          <w:lang w:val="fr-FR"/>
        </w:rPr>
      </w:pPr>
      <w:r w:rsidRPr="00670519">
        <w:rPr>
          <w:lang w:val="fr-FR"/>
        </w:rPr>
        <w:t>« </w:t>
      </w:r>
      <w:r w:rsidRPr="00670519">
        <w:rPr>
          <w:i/>
          <w:iCs/>
          <w:lang w:val="fr-FR"/>
        </w:rPr>
        <w:t>Ces examens doivent durer au moins 30 et 20 minutes respectivement.</w:t>
      </w:r>
      <w:r w:rsidRPr="00670519">
        <w:rPr>
          <w:lang w:val="fr-FR"/>
        </w:rPr>
        <w:t> ».</w:t>
      </w:r>
    </w:p>
    <w:p w14:paraId="3D680658" w14:textId="77777777" w:rsidR="00C05BED" w:rsidRPr="00670519" w:rsidRDefault="00C05BED" w:rsidP="00C05BED">
      <w:pPr>
        <w:pStyle w:val="HChG"/>
        <w:rPr>
          <w:rFonts w:eastAsia="Calibri"/>
          <w:kern w:val="2"/>
          <w:sz w:val="40"/>
          <w:szCs w:val="22"/>
          <w:lang w:val="fr-FR"/>
          <w14:ligatures w14:val="standardContextual"/>
        </w:rPr>
      </w:pPr>
      <w:r w:rsidRPr="00670519">
        <w:rPr>
          <w:lang w:val="fr-FR"/>
        </w:rPr>
        <w:tab/>
        <w:t>II.</w:t>
      </w:r>
      <w:r w:rsidRPr="00670519">
        <w:rPr>
          <w:lang w:val="fr-FR"/>
        </w:rPr>
        <w:tab/>
        <w:t>Problème</w:t>
      </w:r>
    </w:p>
    <w:p w14:paraId="5AC843DF" w14:textId="77777777" w:rsidR="00C05BED" w:rsidRPr="00670519" w:rsidRDefault="00C05BED" w:rsidP="00C05BED">
      <w:pPr>
        <w:pStyle w:val="SingleTxtG"/>
        <w:rPr>
          <w:lang w:val="fr-FR"/>
        </w:rPr>
      </w:pPr>
      <w:r w:rsidRPr="00670519">
        <w:rPr>
          <w:lang w:val="fr-FR"/>
        </w:rPr>
        <w:t>3.</w:t>
      </w:r>
      <w:r w:rsidRPr="00670519">
        <w:rPr>
          <w:lang w:val="fr-FR"/>
        </w:rPr>
        <w:tab/>
        <w:t xml:space="preserve">Dans la pratique, cette prescription est très difficile à respecter. De nombreuses Parties contractantes réglementent la durée maximale </w:t>
      </w:r>
      <w:r>
        <w:rPr>
          <w:lang w:val="fr-FR"/>
        </w:rPr>
        <w:t xml:space="preserve">autorisée </w:t>
      </w:r>
      <w:r w:rsidRPr="00670519">
        <w:rPr>
          <w:lang w:val="fr-FR"/>
        </w:rPr>
        <w:t xml:space="preserve">des examens </w:t>
      </w:r>
      <w:r>
        <w:rPr>
          <w:lang w:val="fr-FR"/>
        </w:rPr>
        <w:t>prescrits par l’</w:t>
      </w:r>
      <w:r w:rsidRPr="00670519">
        <w:rPr>
          <w:lang w:val="fr-FR"/>
        </w:rPr>
        <w:t>ADR</w:t>
      </w:r>
      <w:r>
        <w:rPr>
          <w:lang w:val="fr-FR"/>
        </w:rPr>
        <w:t xml:space="preserve"> pour les conducteurs</w:t>
      </w:r>
      <w:r w:rsidRPr="00670519">
        <w:rPr>
          <w:lang w:val="fr-FR"/>
        </w:rPr>
        <w:t xml:space="preserve">. En général, </w:t>
      </w:r>
      <w:r>
        <w:rPr>
          <w:lang w:val="fr-FR"/>
        </w:rPr>
        <w:t>le temps maximal imparti</w:t>
      </w:r>
      <w:r w:rsidRPr="00670519">
        <w:rPr>
          <w:lang w:val="fr-FR"/>
        </w:rPr>
        <w:t xml:space="preserve"> est compris entre 1 et 2 minutes </w:t>
      </w:r>
      <w:r>
        <w:rPr>
          <w:lang w:val="fr-FR"/>
        </w:rPr>
        <w:t>par</w:t>
      </w:r>
      <w:r w:rsidRPr="00670519">
        <w:rPr>
          <w:lang w:val="fr-FR"/>
        </w:rPr>
        <w:t xml:space="preserve"> question à choix multiple.</w:t>
      </w:r>
    </w:p>
    <w:p w14:paraId="4FE09D0D" w14:textId="77777777" w:rsidR="00C05BED" w:rsidRPr="00670519" w:rsidRDefault="00C05BED" w:rsidP="0082019F">
      <w:pPr>
        <w:pStyle w:val="SingleTxtG"/>
        <w:keepNext/>
        <w:rPr>
          <w:lang w:val="fr-FR"/>
        </w:rPr>
      </w:pPr>
      <w:r w:rsidRPr="00670519">
        <w:rPr>
          <w:lang w:val="fr-FR"/>
        </w:rPr>
        <w:t>4.</w:t>
      </w:r>
      <w:r w:rsidRPr="00670519">
        <w:rPr>
          <w:lang w:val="fr-FR"/>
        </w:rPr>
        <w:tab/>
        <w:t>Selon les 8.2.2.7.1.6 et 8.2.2.7.2.3, le nombre minimal de questions est de :</w:t>
      </w:r>
    </w:p>
    <w:p w14:paraId="76F5C9CB" w14:textId="77777777" w:rsidR="00C05BED" w:rsidRPr="00670519" w:rsidRDefault="00C05BED" w:rsidP="00C05BED">
      <w:pPr>
        <w:pStyle w:val="Bullet1G"/>
        <w:numPr>
          <w:ilvl w:val="0"/>
          <w:numId w:val="0"/>
        </w:numPr>
        <w:tabs>
          <w:tab w:val="left" w:pos="1701"/>
        </w:tabs>
        <w:ind w:left="1701" w:hanging="170"/>
        <w:rPr>
          <w:lang w:val="fr-FR"/>
        </w:rPr>
      </w:pPr>
      <w:r w:rsidRPr="00670519">
        <w:rPr>
          <w:lang w:val="fr-FR"/>
        </w:rPr>
        <w:t>•</w:t>
      </w:r>
      <w:r w:rsidRPr="00670519">
        <w:rPr>
          <w:lang w:val="fr-FR"/>
        </w:rPr>
        <w:tab/>
        <w:t xml:space="preserve">25 pour les examens sanctionnant les cours de formation de base et 15 pour les examens consécutifs </w:t>
      </w:r>
      <w:r>
        <w:rPr>
          <w:lang w:val="fr-FR"/>
        </w:rPr>
        <w:t>aux</w:t>
      </w:r>
      <w:r w:rsidRPr="00670519">
        <w:rPr>
          <w:lang w:val="fr-FR"/>
        </w:rPr>
        <w:t xml:space="preserve"> cours de </w:t>
      </w:r>
      <w:r>
        <w:rPr>
          <w:lang w:val="fr-FR"/>
        </w:rPr>
        <w:t xml:space="preserve">formation de </w:t>
      </w:r>
      <w:r w:rsidRPr="00670519">
        <w:rPr>
          <w:lang w:val="fr-FR"/>
        </w:rPr>
        <w:t xml:space="preserve">recyclage </w:t>
      </w:r>
      <w:r>
        <w:rPr>
          <w:lang w:val="fr-FR"/>
        </w:rPr>
        <w:t>correspondants</w:t>
      </w:r>
      <w:r w:rsidRPr="00670519">
        <w:rPr>
          <w:lang w:val="fr-FR"/>
        </w:rPr>
        <w:t> ;</w:t>
      </w:r>
    </w:p>
    <w:p w14:paraId="4E4B7B4A" w14:textId="77777777" w:rsidR="00C05BED" w:rsidRPr="00670519" w:rsidRDefault="00C05BED" w:rsidP="00C05BED">
      <w:pPr>
        <w:pStyle w:val="Bullet1G"/>
        <w:numPr>
          <w:ilvl w:val="0"/>
          <w:numId w:val="0"/>
        </w:numPr>
        <w:tabs>
          <w:tab w:val="left" w:pos="1701"/>
        </w:tabs>
        <w:ind w:left="1701" w:hanging="170"/>
        <w:rPr>
          <w:lang w:val="fr-FR"/>
        </w:rPr>
      </w:pPr>
      <w:r w:rsidRPr="00670519">
        <w:rPr>
          <w:lang w:val="fr-FR"/>
        </w:rPr>
        <w:t>•</w:t>
      </w:r>
      <w:r w:rsidRPr="00670519">
        <w:rPr>
          <w:lang w:val="fr-FR"/>
        </w:rPr>
        <w:tab/>
        <w:t xml:space="preserve">15 pour les examens sanctionnant les cours de spécialisation et 10 pour les examens consécutifs </w:t>
      </w:r>
      <w:r>
        <w:rPr>
          <w:lang w:val="fr-FR"/>
        </w:rPr>
        <w:t>aux</w:t>
      </w:r>
      <w:r w:rsidRPr="00670519">
        <w:rPr>
          <w:lang w:val="fr-FR"/>
        </w:rPr>
        <w:t xml:space="preserve"> cours de</w:t>
      </w:r>
      <w:r>
        <w:rPr>
          <w:lang w:val="fr-FR"/>
        </w:rPr>
        <w:t xml:space="preserve"> formation de</w:t>
      </w:r>
      <w:r w:rsidRPr="00670519">
        <w:rPr>
          <w:lang w:val="fr-FR"/>
        </w:rPr>
        <w:t xml:space="preserve"> recyclage </w:t>
      </w:r>
      <w:r>
        <w:rPr>
          <w:lang w:val="fr-FR"/>
        </w:rPr>
        <w:t>correspondants</w:t>
      </w:r>
      <w:r w:rsidRPr="00670519">
        <w:rPr>
          <w:lang w:val="fr-FR"/>
        </w:rPr>
        <w:t xml:space="preserve">. </w:t>
      </w:r>
    </w:p>
    <w:p w14:paraId="40C59A2D" w14:textId="77B53AA1" w:rsidR="00C05BED" w:rsidRPr="00670519" w:rsidRDefault="00C05BED" w:rsidP="00C05BED">
      <w:pPr>
        <w:pStyle w:val="SingleTxtG"/>
        <w:rPr>
          <w:lang w:val="fr-FR"/>
        </w:rPr>
      </w:pPr>
      <w:r w:rsidRPr="00670519">
        <w:rPr>
          <w:lang w:val="fr-FR"/>
        </w:rPr>
        <w:t>5.</w:t>
      </w:r>
      <w:r w:rsidRPr="00670519">
        <w:rPr>
          <w:lang w:val="fr-FR"/>
        </w:rPr>
        <w:tab/>
        <w:t xml:space="preserve">À raison </w:t>
      </w:r>
      <w:r w:rsidR="0082019F">
        <w:rPr>
          <w:lang w:val="fr-FR"/>
        </w:rPr>
        <w:t>de 1</w:t>
      </w:r>
      <w:r w:rsidRPr="00670519">
        <w:rPr>
          <w:lang w:val="fr-FR"/>
        </w:rPr>
        <w:t xml:space="preserve"> minute par question, la durée maximale de ces examens sera inférieure à la durée minimale prescrite.</w:t>
      </w:r>
    </w:p>
    <w:p w14:paraId="77B89772" w14:textId="77777777" w:rsidR="00C05BED" w:rsidRPr="00670519" w:rsidRDefault="00C05BED" w:rsidP="00C05BED">
      <w:pPr>
        <w:pStyle w:val="SingleTxtG"/>
        <w:rPr>
          <w:lang w:val="fr-FR"/>
        </w:rPr>
      </w:pPr>
      <w:r w:rsidRPr="00670519">
        <w:rPr>
          <w:lang w:val="fr-FR"/>
        </w:rPr>
        <w:t>6.</w:t>
      </w:r>
      <w:r w:rsidRPr="00670519">
        <w:rPr>
          <w:lang w:val="fr-FR"/>
        </w:rPr>
        <w:tab/>
        <w:t>Les Parties contractantes peuvent augmenter le nombre de questions ou organiser des examens pratiques, mais ce n</w:t>
      </w:r>
      <w:r>
        <w:rPr>
          <w:lang w:val="fr-FR"/>
        </w:rPr>
        <w:t>’</w:t>
      </w:r>
      <w:r w:rsidRPr="00670519">
        <w:rPr>
          <w:lang w:val="fr-FR"/>
        </w:rPr>
        <w:t>est pas obligatoire.</w:t>
      </w:r>
    </w:p>
    <w:p w14:paraId="7F96EE37" w14:textId="77777777" w:rsidR="00C05BED" w:rsidRPr="00670519" w:rsidRDefault="00C05BED" w:rsidP="00C05BED">
      <w:pPr>
        <w:pStyle w:val="SingleTxtG"/>
        <w:rPr>
          <w:lang w:val="fr-FR"/>
        </w:rPr>
      </w:pPr>
      <w:r w:rsidRPr="00670519">
        <w:rPr>
          <w:lang w:val="fr-FR"/>
        </w:rPr>
        <w:t>7.</w:t>
      </w:r>
      <w:r w:rsidRPr="00670519">
        <w:rPr>
          <w:lang w:val="fr-FR"/>
        </w:rPr>
        <w:tab/>
        <w:t>Un conducteur bien préparé ou un</w:t>
      </w:r>
      <w:r>
        <w:rPr>
          <w:lang w:val="fr-FR"/>
        </w:rPr>
        <w:t>e personne ayant une connaissance approfondie de l’</w:t>
      </w:r>
      <w:r w:rsidRPr="00670519">
        <w:rPr>
          <w:lang w:val="fr-FR"/>
        </w:rPr>
        <w:t>ADR qui souhaite passer l</w:t>
      </w:r>
      <w:r>
        <w:rPr>
          <w:lang w:val="fr-FR"/>
        </w:rPr>
        <w:t>’</w:t>
      </w:r>
      <w:r w:rsidRPr="00670519">
        <w:rPr>
          <w:lang w:val="fr-FR"/>
        </w:rPr>
        <w:t xml:space="preserve">examen </w:t>
      </w:r>
      <w:r>
        <w:rPr>
          <w:lang w:val="fr-FR"/>
        </w:rPr>
        <w:t>destiné aux</w:t>
      </w:r>
      <w:r w:rsidRPr="00670519">
        <w:rPr>
          <w:lang w:val="fr-FR"/>
        </w:rPr>
        <w:t xml:space="preserve"> conducteurs </w:t>
      </w:r>
      <w:r>
        <w:rPr>
          <w:lang w:val="fr-FR"/>
        </w:rPr>
        <w:t>pourra mettre</w:t>
      </w:r>
      <w:r w:rsidRPr="00670519">
        <w:rPr>
          <w:lang w:val="fr-FR"/>
        </w:rPr>
        <w:t xml:space="preserve"> moins de temps. Par exemple, </w:t>
      </w:r>
      <w:r>
        <w:rPr>
          <w:lang w:val="fr-FR"/>
        </w:rPr>
        <w:t>il est possible de répondre à</w:t>
      </w:r>
      <w:r w:rsidRPr="00670519">
        <w:rPr>
          <w:lang w:val="fr-FR"/>
        </w:rPr>
        <w:t xml:space="preserve"> 25 questions en 3 minutes.</w:t>
      </w:r>
    </w:p>
    <w:p w14:paraId="5C3DB348" w14:textId="77777777" w:rsidR="00C05BED" w:rsidRPr="00670519" w:rsidRDefault="00C05BED" w:rsidP="00C05BED">
      <w:pPr>
        <w:pStyle w:val="HChG"/>
        <w:rPr>
          <w:lang w:val="fr-FR"/>
        </w:rPr>
      </w:pPr>
      <w:r w:rsidRPr="00670519">
        <w:rPr>
          <w:lang w:val="fr-FR"/>
        </w:rPr>
        <w:tab/>
        <w:t>III.</w:t>
      </w:r>
      <w:r w:rsidRPr="00670519">
        <w:rPr>
          <w:lang w:val="fr-FR"/>
        </w:rPr>
        <w:tab/>
        <w:t>Proposition</w:t>
      </w:r>
    </w:p>
    <w:p w14:paraId="4613C25F" w14:textId="77777777" w:rsidR="00C05BED" w:rsidRPr="00670519" w:rsidRDefault="00C05BED" w:rsidP="00C05BED">
      <w:pPr>
        <w:pStyle w:val="SingleTxtG"/>
        <w:rPr>
          <w:lang w:val="fr-FR"/>
        </w:rPr>
      </w:pPr>
      <w:bookmarkStart w:id="0" w:name="_Hlk141103608"/>
      <w:r w:rsidRPr="00670519">
        <w:rPr>
          <w:lang w:val="fr-FR"/>
        </w:rPr>
        <w:t>8.</w:t>
      </w:r>
      <w:r w:rsidRPr="00670519">
        <w:rPr>
          <w:lang w:val="fr-FR"/>
        </w:rPr>
        <w:tab/>
        <w:t>Supprimer la quatrième phrase du 8.2.2.7.1.6.</w:t>
      </w:r>
    </w:p>
    <w:p w14:paraId="7F14A1F5" w14:textId="77777777" w:rsidR="00C05BED" w:rsidRPr="00670519" w:rsidRDefault="00C05BED" w:rsidP="00C05BED">
      <w:pPr>
        <w:pStyle w:val="SingleTxtG"/>
        <w:rPr>
          <w:lang w:val="fr-FR"/>
        </w:rPr>
      </w:pPr>
      <w:r w:rsidRPr="00670519">
        <w:rPr>
          <w:lang w:val="fr-FR"/>
        </w:rPr>
        <w:t>9.</w:t>
      </w:r>
      <w:r w:rsidRPr="00670519">
        <w:rPr>
          <w:lang w:val="fr-FR"/>
        </w:rPr>
        <w:tab/>
        <w:t>Supprimer la quatrième phrase du 8.2.2.7.2.3.</w:t>
      </w:r>
      <w:bookmarkEnd w:id="0"/>
    </w:p>
    <w:p w14:paraId="6B73B506" w14:textId="3CAA0911" w:rsidR="00F9573C" w:rsidRPr="00C05BED" w:rsidRDefault="00C05BED" w:rsidP="00C05BED">
      <w:pPr>
        <w:pStyle w:val="SingleTxtG"/>
        <w:spacing w:before="240" w:after="0"/>
        <w:jc w:val="center"/>
        <w:rPr>
          <w:u w:val="single"/>
          <w:lang w:val="fr-FR"/>
        </w:rPr>
      </w:pP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</w:p>
    <w:sectPr w:rsidR="00F9573C" w:rsidRPr="00C05BED" w:rsidSect="00C05BED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51FD4" w14:textId="77777777" w:rsidR="00662425" w:rsidRDefault="00662425" w:rsidP="00F95C08">
      <w:pPr>
        <w:spacing w:line="240" w:lineRule="auto"/>
      </w:pPr>
    </w:p>
  </w:endnote>
  <w:endnote w:type="continuationSeparator" w:id="0">
    <w:p w14:paraId="524D4DFB" w14:textId="77777777" w:rsidR="00662425" w:rsidRPr="00AC3823" w:rsidRDefault="00662425" w:rsidP="00AC3823">
      <w:pPr>
        <w:pStyle w:val="Pieddepage"/>
      </w:pPr>
    </w:p>
  </w:endnote>
  <w:endnote w:type="continuationNotice" w:id="1">
    <w:p w14:paraId="1DBCC62C" w14:textId="77777777" w:rsidR="00662425" w:rsidRDefault="0066242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BF4C1" w14:textId="41B4C293" w:rsidR="00C05BED" w:rsidRPr="00C05BED" w:rsidRDefault="00C05BED" w:rsidP="00C05BED">
    <w:pPr>
      <w:pStyle w:val="Pieddepage"/>
      <w:tabs>
        <w:tab w:val="right" w:pos="9638"/>
      </w:tabs>
    </w:pPr>
    <w:r w:rsidRPr="00C05BED">
      <w:rPr>
        <w:b/>
        <w:sz w:val="18"/>
      </w:rPr>
      <w:fldChar w:fldCharType="begin"/>
    </w:r>
    <w:r w:rsidRPr="00C05BED">
      <w:rPr>
        <w:b/>
        <w:sz w:val="18"/>
      </w:rPr>
      <w:instrText xml:space="preserve"> PAGE  \* MERGEFORMAT </w:instrText>
    </w:r>
    <w:r w:rsidRPr="00C05BED">
      <w:rPr>
        <w:b/>
        <w:sz w:val="18"/>
      </w:rPr>
      <w:fldChar w:fldCharType="separate"/>
    </w:r>
    <w:r w:rsidRPr="00C05BED">
      <w:rPr>
        <w:b/>
        <w:noProof/>
        <w:sz w:val="18"/>
      </w:rPr>
      <w:t>2</w:t>
    </w:r>
    <w:r w:rsidRPr="00C05BED">
      <w:rPr>
        <w:b/>
        <w:sz w:val="18"/>
      </w:rPr>
      <w:fldChar w:fldCharType="end"/>
    </w:r>
    <w:r>
      <w:rPr>
        <w:b/>
        <w:sz w:val="18"/>
      </w:rPr>
      <w:tab/>
    </w:r>
    <w:r>
      <w:t>GE.24-14630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1AA44" w14:textId="094E779A" w:rsidR="00C05BED" w:rsidRPr="00C05BED" w:rsidRDefault="00C05BED" w:rsidP="00C05BED">
    <w:pPr>
      <w:pStyle w:val="Pieddepage"/>
      <w:tabs>
        <w:tab w:val="right" w:pos="9638"/>
      </w:tabs>
      <w:rPr>
        <w:b/>
        <w:sz w:val="18"/>
      </w:rPr>
    </w:pPr>
    <w:r>
      <w:t>GE.24-14630</w:t>
    </w:r>
    <w:r>
      <w:tab/>
    </w:r>
    <w:r w:rsidRPr="00C05BED">
      <w:rPr>
        <w:b/>
        <w:sz w:val="18"/>
      </w:rPr>
      <w:fldChar w:fldCharType="begin"/>
    </w:r>
    <w:r w:rsidRPr="00C05BED">
      <w:rPr>
        <w:b/>
        <w:sz w:val="18"/>
      </w:rPr>
      <w:instrText xml:space="preserve"> PAGE  \* MERGEFORMAT </w:instrText>
    </w:r>
    <w:r w:rsidRPr="00C05BED">
      <w:rPr>
        <w:b/>
        <w:sz w:val="18"/>
      </w:rPr>
      <w:fldChar w:fldCharType="separate"/>
    </w:r>
    <w:r w:rsidRPr="00C05BED">
      <w:rPr>
        <w:b/>
        <w:noProof/>
        <w:sz w:val="18"/>
      </w:rPr>
      <w:t>3</w:t>
    </w:r>
    <w:r w:rsidRPr="00C05BED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20E39" w14:textId="4AEC6ABA" w:rsidR="007F20FA" w:rsidRPr="00C05BED" w:rsidRDefault="00C05BED" w:rsidP="00C05BED">
    <w:pPr>
      <w:pStyle w:val="Pieddepage"/>
      <w:spacing w:before="120"/>
      <w:rPr>
        <w:sz w:val="20"/>
      </w:rPr>
    </w:pPr>
    <w:r>
      <w:rPr>
        <w:sz w:val="20"/>
      </w:rPr>
      <w:t>GE.</w:t>
    </w:r>
    <w:r w:rsidR="007F20FA">
      <w:rPr>
        <w:noProof/>
        <w:lang w:eastAsia="fr-CH"/>
      </w:rPr>
      <w:drawing>
        <wp:anchor distT="0" distB="0" distL="114300" distR="114300" simplePos="0" relativeHeight="251659264" behindDoc="0" locked="0" layoutInCell="1" allowOverlap="0" wp14:anchorId="30E945FE" wp14:editId="3617669C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24-14630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7DAEFA5C" wp14:editId="706545DC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28650" cy="628650"/>
          <wp:effectExtent l="0" t="0" r="0" b="0"/>
          <wp:wrapNone/>
          <wp:docPr id="49295757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060924    060924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D8D84" w14:textId="77777777" w:rsidR="00662425" w:rsidRPr="00AC3823" w:rsidRDefault="00662425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65935790" w14:textId="77777777" w:rsidR="00662425" w:rsidRPr="00AC3823" w:rsidRDefault="00662425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082B5CCB" w14:textId="77777777" w:rsidR="00662425" w:rsidRPr="00AC3823" w:rsidRDefault="00662425">
      <w:pPr>
        <w:spacing w:line="240" w:lineRule="auto"/>
        <w:rPr>
          <w:sz w:val="2"/>
          <w:szCs w:val="2"/>
        </w:rPr>
      </w:pPr>
    </w:p>
  </w:footnote>
  <w:footnote w:id="2">
    <w:p w14:paraId="55961FF9" w14:textId="77777777" w:rsidR="00C05BED" w:rsidRPr="00455C4D" w:rsidRDefault="00C05BED" w:rsidP="00C05BED">
      <w:pPr>
        <w:pStyle w:val="Notedebasdepage"/>
      </w:pPr>
      <w:r>
        <w:rPr>
          <w:lang w:val="fr-FR"/>
        </w:rPr>
        <w:tab/>
      </w:r>
      <w:r w:rsidRPr="00C05BED">
        <w:rPr>
          <w:sz w:val="20"/>
          <w:lang w:val="fr-FR"/>
        </w:rPr>
        <w:t>*</w:t>
      </w:r>
      <w:r>
        <w:rPr>
          <w:lang w:val="fr-FR"/>
        </w:rPr>
        <w:tab/>
        <w:t>A/78/6 (Sect. 20), tableau 20.5.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1F08E" w14:textId="4944B6C6" w:rsidR="00C05BED" w:rsidRPr="00C05BED" w:rsidRDefault="00C05BED">
    <w:pPr>
      <w:pStyle w:val="En-tte"/>
    </w:pPr>
    <w:fldSimple w:instr=" TITLE  \* MERGEFORMAT ">
      <w:r>
        <w:t>ECE/TRANS/WP.15/2024/14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6A47A" w14:textId="1D1812EB" w:rsidR="00C05BED" w:rsidRPr="00C05BED" w:rsidRDefault="00C05BED" w:rsidP="00C05BED">
    <w:pPr>
      <w:pStyle w:val="En-tte"/>
      <w:jc w:val="right"/>
    </w:pPr>
    <w:fldSimple w:instr=" TITLE  \* MERGEFORMAT ">
      <w:r>
        <w:t>ECE/TRANS/WP.15/2024/14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27C633E0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7C7C3350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2C7049BE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956716814">
    <w:abstractNumId w:val="12"/>
  </w:num>
  <w:num w:numId="2" w16cid:durableId="1714765659">
    <w:abstractNumId w:val="11"/>
  </w:num>
  <w:num w:numId="3" w16cid:durableId="1533760671">
    <w:abstractNumId w:val="10"/>
  </w:num>
  <w:num w:numId="4" w16cid:durableId="2058313733">
    <w:abstractNumId w:val="8"/>
  </w:num>
  <w:num w:numId="5" w16cid:durableId="1518302162">
    <w:abstractNumId w:val="3"/>
  </w:num>
  <w:num w:numId="6" w16cid:durableId="1231036781">
    <w:abstractNumId w:val="2"/>
  </w:num>
  <w:num w:numId="7" w16cid:durableId="1980986741">
    <w:abstractNumId w:val="1"/>
  </w:num>
  <w:num w:numId="8" w16cid:durableId="380174430">
    <w:abstractNumId w:val="0"/>
  </w:num>
  <w:num w:numId="9" w16cid:durableId="769546365">
    <w:abstractNumId w:val="9"/>
  </w:num>
  <w:num w:numId="10" w16cid:durableId="1332564825">
    <w:abstractNumId w:val="7"/>
  </w:num>
  <w:num w:numId="11" w16cid:durableId="51851542">
    <w:abstractNumId w:val="6"/>
  </w:num>
  <w:num w:numId="12" w16cid:durableId="1979920322">
    <w:abstractNumId w:val="5"/>
  </w:num>
  <w:num w:numId="13" w16cid:durableId="892695419">
    <w:abstractNumId w:val="4"/>
  </w:num>
  <w:num w:numId="14" w16cid:durableId="2041584480">
    <w:abstractNumId w:val="12"/>
  </w:num>
  <w:num w:numId="15" w16cid:durableId="69542872">
    <w:abstractNumId w:val="11"/>
  </w:num>
  <w:num w:numId="16" w16cid:durableId="1390105543">
    <w:abstractNumId w:val="10"/>
  </w:num>
  <w:num w:numId="17" w16cid:durableId="14112727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attachedTemplate r:id="rId1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425"/>
    <w:rsid w:val="00017F94"/>
    <w:rsid w:val="00023842"/>
    <w:rsid w:val="000334F9"/>
    <w:rsid w:val="00045FEB"/>
    <w:rsid w:val="00056B3C"/>
    <w:rsid w:val="0007796D"/>
    <w:rsid w:val="000B7790"/>
    <w:rsid w:val="00111F2F"/>
    <w:rsid w:val="0014365E"/>
    <w:rsid w:val="00143C66"/>
    <w:rsid w:val="00176178"/>
    <w:rsid w:val="001772E5"/>
    <w:rsid w:val="001F525A"/>
    <w:rsid w:val="00201148"/>
    <w:rsid w:val="00223272"/>
    <w:rsid w:val="0024779E"/>
    <w:rsid w:val="00257168"/>
    <w:rsid w:val="002672D9"/>
    <w:rsid w:val="002744B8"/>
    <w:rsid w:val="002832AC"/>
    <w:rsid w:val="002D7C93"/>
    <w:rsid w:val="00305801"/>
    <w:rsid w:val="003916DE"/>
    <w:rsid w:val="00421996"/>
    <w:rsid w:val="00441C3B"/>
    <w:rsid w:val="00446FE5"/>
    <w:rsid w:val="00452396"/>
    <w:rsid w:val="00477EB2"/>
    <w:rsid w:val="004837D8"/>
    <w:rsid w:val="004E2EED"/>
    <w:rsid w:val="004E468C"/>
    <w:rsid w:val="005505B7"/>
    <w:rsid w:val="00573BE5"/>
    <w:rsid w:val="00586ED3"/>
    <w:rsid w:val="00596AA9"/>
    <w:rsid w:val="00662425"/>
    <w:rsid w:val="0071601D"/>
    <w:rsid w:val="007A62E6"/>
    <w:rsid w:val="007F20FA"/>
    <w:rsid w:val="0080684C"/>
    <w:rsid w:val="0082019F"/>
    <w:rsid w:val="00871C75"/>
    <w:rsid w:val="008776DC"/>
    <w:rsid w:val="008D5EF9"/>
    <w:rsid w:val="00934F8E"/>
    <w:rsid w:val="009446C0"/>
    <w:rsid w:val="009705C8"/>
    <w:rsid w:val="009C1CF4"/>
    <w:rsid w:val="009F6B74"/>
    <w:rsid w:val="00A3029F"/>
    <w:rsid w:val="00A30353"/>
    <w:rsid w:val="00AC3823"/>
    <w:rsid w:val="00AE323C"/>
    <w:rsid w:val="00AF0CB5"/>
    <w:rsid w:val="00B00181"/>
    <w:rsid w:val="00B00B0D"/>
    <w:rsid w:val="00B45F2E"/>
    <w:rsid w:val="00B765F7"/>
    <w:rsid w:val="00B77993"/>
    <w:rsid w:val="00BA0CA9"/>
    <w:rsid w:val="00C02897"/>
    <w:rsid w:val="00C05BED"/>
    <w:rsid w:val="00C97039"/>
    <w:rsid w:val="00D3439C"/>
    <w:rsid w:val="00D7622E"/>
    <w:rsid w:val="00DB1831"/>
    <w:rsid w:val="00DD3BFD"/>
    <w:rsid w:val="00DF6678"/>
    <w:rsid w:val="00E0299A"/>
    <w:rsid w:val="00E85C74"/>
    <w:rsid w:val="00EA6547"/>
    <w:rsid w:val="00ED7237"/>
    <w:rsid w:val="00EE0DB7"/>
    <w:rsid w:val="00EF2E22"/>
    <w:rsid w:val="00F35BAF"/>
    <w:rsid w:val="00F660DF"/>
    <w:rsid w:val="00F94664"/>
    <w:rsid w:val="00F9573C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012C86"/>
  <w15:docId w15:val="{5BB3D86E-AFA5-4D48-AD1E-B524AD71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99A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E0299A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qFormat/>
    <w:rsid w:val="00E0299A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E0299A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E0299A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E0299A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0299A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E0299A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link w:val="SingleTxtGChar"/>
    <w:qFormat/>
    <w:rsid w:val="002672D9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E0299A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E0299A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0299A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E0299A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2672D9"/>
    <w:pPr>
      <w:numPr>
        <w:numId w:val="17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styleId="Appelnotedebasdep">
    <w:name w:val="footnote reference"/>
    <w:aliases w:val="4_G"/>
    <w:basedOn w:val="Policepardfaut"/>
    <w:qFormat/>
    <w:rsid w:val="00E0299A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E0299A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E0299A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E0299A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E0299A"/>
    <w:rPr>
      <w:color w:val="0000FF"/>
      <w:u w:val="none"/>
    </w:rPr>
  </w:style>
  <w:style w:type="paragraph" w:styleId="Notedebasdepage">
    <w:name w:val="footnote text"/>
    <w:aliases w:val="5_G"/>
    <w:basedOn w:val="Normal"/>
    <w:link w:val="NotedebasdepageCar"/>
    <w:qFormat/>
    <w:rsid w:val="00E0299A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"/>
    <w:basedOn w:val="Policepardfaut"/>
    <w:link w:val="Notedebasdepage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E0299A"/>
  </w:style>
  <w:style w:type="character" w:customStyle="1" w:styleId="NotedefinCar">
    <w:name w:val="Note de fin Car"/>
    <w:aliases w:val="2_G Car"/>
    <w:basedOn w:val="Policepardfaut"/>
    <w:link w:val="Notedefin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E0299A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E0299A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5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BAF"/>
    <w:rPr>
      <w:rFonts w:ascii="Tahoma" w:hAnsi="Tahoma" w:cs="Tahoma"/>
      <w:sz w:val="16"/>
      <w:szCs w:val="16"/>
      <w:lang w:eastAsia="en-US"/>
    </w:rPr>
  </w:style>
  <w:style w:type="character" w:customStyle="1" w:styleId="SingleTxtGChar">
    <w:name w:val="_ Single Txt_G Char"/>
    <w:link w:val="SingleTxtG"/>
    <w:locked/>
    <w:rsid w:val="00C05BED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ChGChar">
    <w:name w:val="_ H _Ch_G Char"/>
    <w:link w:val="HChG"/>
    <w:qFormat/>
    <w:rsid w:val="00C05BED"/>
    <w:rPr>
      <w:rFonts w:ascii="Times New Roman" w:eastAsiaTheme="minorHAnsi" w:hAnsi="Times New Roman" w:cs="Times New Roman"/>
      <w:b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_TRA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ée un document." ma:contentTypeScope="" ma:versionID="e18bef637d0f1ddca225288e0d432ec3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a115814b681581b4d823fe6aeb4d21e0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36E1B6-4FB4-4B65-B02D-845776998776}"/>
</file>

<file path=customXml/itemProps2.xml><?xml version="1.0" encoding="utf-8"?>
<ds:datastoreItem xmlns:ds="http://schemas.openxmlformats.org/officeDocument/2006/customXml" ds:itemID="{6C2A0168-DAAA-42B0-B71D-C45722D84439}"/>
</file>

<file path=docProps/app.xml><?xml version="1.0" encoding="utf-8"?>
<Properties xmlns="http://schemas.openxmlformats.org/officeDocument/2006/extended-properties" xmlns:vt="http://schemas.openxmlformats.org/officeDocument/2006/docPropsVTypes">
  <Template>ECE_TRANS.dotm</Template>
  <TotalTime>5</TotalTime>
  <Pages>2</Pages>
  <Words>401</Words>
  <Characters>2808</Characters>
  <Application>Microsoft Office Word</Application>
  <DocSecurity>0</DocSecurity>
  <Lines>234</Lines>
  <Paragraphs>128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DCM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ECE/TRANS/WP.15/2024/14</dc:title>
  <dc:subject/>
  <dc:creator>Nathalie VITTOZ</dc:creator>
  <cp:keywords/>
  <cp:lastModifiedBy>Nathalie VITTOZ</cp:lastModifiedBy>
  <cp:revision>2</cp:revision>
  <cp:lastPrinted>2014-05-14T10:59:00Z</cp:lastPrinted>
  <dcterms:created xsi:type="dcterms:W3CDTF">2024-09-06T10:13:00Z</dcterms:created>
  <dcterms:modified xsi:type="dcterms:W3CDTF">2024-09-06T10:13:00Z</dcterms:modified>
</cp:coreProperties>
</file>