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64116" w14:paraId="3D2F401E" w14:textId="77777777" w:rsidTr="00B20551">
        <w:trPr>
          <w:cantSplit/>
          <w:trHeight w:hRule="exact" w:val="851"/>
        </w:trPr>
        <w:tc>
          <w:tcPr>
            <w:tcW w:w="1276" w:type="dxa"/>
            <w:tcBorders>
              <w:bottom w:val="single" w:sz="4" w:space="0" w:color="auto"/>
            </w:tcBorders>
            <w:vAlign w:val="bottom"/>
          </w:tcPr>
          <w:p w14:paraId="5E2E638F" w14:textId="77777777" w:rsidR="009E6CB7" w:rsidRPr="00764116" w:rsidRDefault="009E6CB7" w:rsidP="00B20551">
            <w:pPr>
              <w:spacing w:after="80"/>
            </w:pPr>
          </w:p>
        </w:tc>
        <w:tc>
          <w:tcPr>
            <w:tcW w:w="2268" w:type="dxa"/>
            <w:tcBorders>
              <w:bottom w:val="single" w:sz="4" w:space="0" w:color="auto"/>
            </w:tcBorders>
            <w:vAlign w:val="bottom"/>
          </w:tcPr>
          <w:p w14:paraId="34AE4276" w14:textId="77777777" w:rsidR="009E6CB7" w:rsidRPr="00764116" w:rsidRDefault="009E6CB7" w:rsidP="00B20551">
            <w:pPr>
              <w:spacing w:after="80" w:line="300" w:lineRule="exact"/>
              <w:rPr>
                <w:b/>
                <w:sz w:val="24"/>
                <w:szCs w:val="24"/>
              </w:rPr>
            </w:pPr>
            <w:r w:rsidRPr="00764116">
              <w:rPr>
                <w:sz w:val="28"/>
                <w:szCs w:val="28"/>
              </w:rPr>
              <w:t>United Nations</w:t>
            </w:r>
          </w:p>
        </w:tc>
        <w:tc>
          <w:tcPr>
            <w:tcW w:w="6095" w:type="dxa"/>
            <w:gridSpan w:val="2"/>
            <w:tcBorders>
              <w:bottom w:val="single" w:sz="4" w:space="0" w:color="auto"/>
            </w:tcBorders>
            <w:vAlign w:val="bottom"/>
          </w:tcPr>
          <w:p w14:paraId="1C3876B8" w14:textId="568BB979" w:rsidR="009E6CB7" w:rsidRPr="00764116" w:rsidRDefault="00E34913" w:rsidP="00E34913">
            <w:pPr>
              <w:jc w:val="right"/>
            </w:pPr>
            <w:r w:rsidRPr="00764116">
              <w:rPr>
                <w:sz w:val="40"/>
              </w:rPr>
              <w:t>ECE</w:t>
            </w:r>
            <w:r w:rsidRPr="00764116">
              <w:t>/TRANS/WP.29/GRSP/2024/25</w:t>
            </w:r>
          </w:p>
        </w:tc>
      </w:tr>
      <w:tr w:rsidR="009E6CB7" w:rsidRPr="00764116" w14:paraId="09C6118B" w14:textId="77777777" w:rsidTr="00B20551">
        <w:trPr>
          <w:cantSplit/>
          <w:trHeight w:hRule="exact" w:val="2835"/>
        </w:trPr>
        <w:tc>
          <w:tcPr>
            <w:tcW w:w="1276" w:type="dxa"/>
            <w:tcBorders>
              <w:top w:val="single" w:sz="4" w:space="0" w:color="auto"/>
              <w:bottom w:val="single" w:sz="12" w:space="0" w:color="auto"/>
            </w:tcBorders>
          </w:tcPr>
          <w:p w14:paraId="58BB9F7B" w14:textId="77777777" w:rsidR="009E6CB7" w:rsidRPr="00764116" w:rsidRDefault="00686A48" w:rsidP="00B20551">
            <w:pPr>
              <w:spacing w:before="120"/>
            </w:pPr>
            <w:r w:rsidRPr="00764116">
              <w:rPr>
                <w:noProof/>
                <w:lang w:eastAsia="fr-CH"/>
              </w:rPr>
              <w:drawing>
                <wp:inline distT="0" distB="0" distL="0" distR="0" wp14:anchorId="08A26D4D" wp14:editId="5A47E46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E210B2" w14:textId="77777777" w:rsidR="009E6CB7" w:rsidRPr="00764116" w:rsidRDefault="009E6CB7" w:rsidP="00B20551">
            <w:pPr>
              <w:spacing w:before="120" w:line="420" w:lineRule="exact"/>
              <w:rPr>
                <w:sz w:val="40"/>
                <w:szCs w:val="40"/>
              </w:rPr>
            </w:pPr>
            <w:r w:rsidRPr="00764116">
              <w:rPr>
                <w:b/>
                <w:sz w:val="40"/>
                <w:szCs w:val="40"/>
              </w:rPr>
              <w:t>Economic and Social Council</w:t>
            </w:r>
          </w:p>
        </w:tc>
        <w:tc>
          <w:tcPr>
            <w:tcW w:w="2835" w:type="dxa"/>
            <w:tcBorders>
              <w:top w:val="single" w:sz="4" w:space="0" w:color="auto"/>
              <w:bottom w:val="single" w:sz="12" w:space="0" w:color="auto"/>
            </w:tcBorders>
          </w:tcPr>
          <w:p w14:paraId="39C178E0" w14:textId="77777777" w:rsidR="009E6CB7" w:rsidRPr="00764116" w:rsidRDefault="00E34913" w:rsidP="00E34913">
            <w:pPr>
              <w:spacing w:before="240" w:line="240" w:lineRule="exact"/>
            </w:pPr>
            <w:r w:rsidRPr="00764116">
              <w:t>Distr.: General</w:t>
            </w:r>
          </w:p>
          <w:p w14:paraId="3DE47ADE" w14:textId="093E4D65" w:rsidR="00E34913" w:rsidRPr="00764116" w:rsidRDefault="00E34913" w:rsidP="00E34913">
            <w:pPr>
              <w:spacing w:line="240" w:lineRule="exact"/>
            </w:pPr>
            <w:r w:rsidRPr="00764116">
              <w:t>1</w:t>
            </w:r>
            <w:r w:rsidR="00F12C2E">
              <w:t>7</w:t>
            </w:r>
            <w:r w:rsidRPr="00764116">
              <w:t xml:space="preserve"> September 2024</w:t>
            </w:r>
          </w:p>
          <w:p w14:paraId="21540B5E" w14:textId="77777777" w:rsidR="00E34913" w:rsidRPr="00764116" w:rsidRDefault="00E34913" w:rsidP="00E34913">
            <w:pPr>
              <w:spacing w:line="240" w:lineRule="exact"/>
            </w:pPr>
          </w:p>
          <w:p w14:paraId="6BA73C6D" w14:textId="3044D30B" w:rsidR="00E34913" w:rsidRPr="00764116" w:rsidRDefault="00E34913" w:rsidP="00E34913">
            <w:pPr>
              <w:spacing w:line="240" w:lineRule="exact"/>
            </w:pPr>
            <w:r w:rsidRPr="00764116">
              <w:t>Original: English</w:t>
            </w:r>
          </w:p>
        </w:tc>
      </w:tr>
    </w:tbl>
    <w:p w14:paraId="21056DD2" w14:textId="77777777" w:rsidR="00E34913" w:rsidRPr="00764116" w:rsidRDefault="00E34913" w:rsidP="00E34913">
      <w:pPr>
        <w:spacing w:before="120"/>
        <w:rPr>
          <w:rFonts w:asciiTheme="majorBidi" w:hAnsiTheme="majorBidi" w:cstheme="majorBidi"/>
          <w:b/>
          <w:sz w:val="28"/>
          <w:szCs w:val="28"/>
        </w:rPr>
      </w:pPr>
      <w:r w:rsidRPr="00764116">
        <w:rPr>
          <w:rFonts w:asciiTheme="majorBidi" w:hAnsiTheme="majorBidi" w:cstheme="majorBidi"/>
          <w:b/>
          <w:sz w:val="28"/>
          <w:szCs w:val="28"/>
        </w:rPr>
        <w:t>Economic Commission for Europe</w:t>
      </w:r>
    </w:p>
    <w:p w14:paraId="6852E2A9" w14:textId="77777777" w:rsidR="00E34913" w:rsidRPr="00764116" w:rsidRDefault="00E34913" w:rsidP="00E34913">
      <w:pPr>
        <w:spacing w:before="120"/>
        <w:rPr>
          <w:rFonts w:asciiTheme="majorBidi" w:hAnsiTheme="majorBidi" w:cstheme="majorBidi"/>
          <w:sz w:val="28"/>
          <w:szCs w:val="28"/>
        </w:rPr>
      </w:pPr>
      <w:r w:rsidRPr="00764116">
        <w:rPr>
          <w:rFonts w:asciiTheme="majorBidi" w:hAnsiTheme="majorBidi" w:cstheme="majorBidi"/>
          <w:sz w:val="28"/>
          <w:szCs w:val="28"/>
        </w:rPr>
        <w:t>Inland Transport Committee</w:t>
      </w:r>
    </w:p>
    <w:p w14:paraId="4ECE5146" w14:textId="77777777" w:rsidR="00E34913" w:rsidRPr="00764116" w:rsidRDefault="00E34913" w:rsidP="00E34913">
      <w:pPr>
        <w:spacing w:before="120"/>
        <w:rPr>
          <w:rFonts w:asciiTheme="majorBidi" w:hAnsiTheme="majorBidi" w:cstheme="majorBidi"/>
          <w:b/>
          <w:sz w:val="24"/>
          <w:szCs w:val="24"/>
        </w:rPr>
      </w:pPr>
      <w:r w:rsidRPr="00764116">
        <w:rPr>
          <w:rFonts w:asciiTheme="majorBidi" w:hAnsiTheme="majorBidi" w:cstheme="majorBidi"/>
          <w:b/>
          <w:sz w:val="24"/>
          <w:szCs w:val="24"/>
        </w:rPr>
        <w:t>World Forum for Harmonization of Vehicle Regulations</w:t>
      </w:r>
    </w:p>
    <w:p w14:paraId="5C10C923" w14:textId="77777777"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Working Party on Passive Safety</w:t>
      </w:r>
    </w:p>
    <w:p w14:paraId="0B013456" w14:textId="77777777" w:rsidR="00E34913" w:rsidRPr="00764116" w:rsidRDefault="00E34913" w:rsidP="00E34913">
      <w:pPr>
        <w:spacing w:before="120"/>
        <w:rPr>
          <w:rFonts w:asciiTheme="majorBidi" w:hAnsiTheme="majorBidi" w:cstheme="majorBidi"/>
          <w:b/>
        </w:rPr>
      </w:pPr>
      <w:r w:rsidRPr="00764116">
        <w:rPr>
          <w:rFonts w:asciiTheme="majorBidi" w:hAnsiTheme="majorBidi" w:cstheme="majorBidi"/>
          <w:b/>
        </w:rPr>
        <w:t>Seventy-sixth session</w:t>
      </w:r>
    </w:p>
    <w:p w14:paraId="48417AF1" w14:textId="77777777" w:rsidR="00E34913" w:rsidRPr="00764116" w:rsidRDefault="00E34913" w:rsidP="00E34913">
      <w:pPr>
        <w:rPr>
          <w:rFonts w:asciiTheme="majorBidi" w:hAnsiTheme="majorBidi" w:cstheme="majorBidi"/>
        </w:rPr>
      </w:pPr>
      <w:r w:rsidRPr="00764116">
        <w:rPr>
          <w:rFonts w:asciiTheme="majorBidi" w:hAnsiTheme="majorBidi" w:cstheme="majorBidi"/>
        </w:rPr>
        <w:t>Geneva, 2–6 December 2024</w:t>
      </w:r>
    </w:p>
    <w:p w14:paraId="13165621" w14:textId="66E4AA0C" w:rsidR="00E34913" w:rsidRPr="00764116" w:rsidRDefault="00E34913" w:rsidP="00E34913">
      <w:pPr>
        <w:rPr>
          <w:rFonts w:asciiTheme="majorBidi" w:hAnsiTheme="majorBidi" w:cstheme="majorBidi"/>
        </w:rPr>
      </w:pPr>
      <w:r w:rsidRPr="00764116">
        <w:rPr>
          <w:rFonts w:asciiTheme="majorBidi" w:hAnsiTheme="majorBidi" w:cstheme="majorBidi"/>
        </w:rPr>
        <w:t>Item 2 of the provisional agenda</w:t>
      </w:r>
    </w:p>
    <w:p w14:paraId="5AF2FD03" w14:textId="051789E9" w:rsidR="00E34913" w:rsidRPr="00764116" w:rsidRDefault="00E34913" w:rsidP="00E34913">
      <w:pPr>
        <w:rPr>
          <w:bCs/>
        </w:rPr>
      </w:pPr>
      <w:r w:rsidRPr="00764116">
        <w:rPr>
          <w:b/>
        </w:rPr>
        <w:t>UN Global Technical Regulation No. 13 (Hydrogen and Fuel Cells Vehicles)</w:t>
      </w:r>
    </w:p>
    <w:p w14:paraId="36E151CE" w14:textId="258002B9" w:rsidR="00E34913" w:rsidRPr="00764116" w:rsidRDefault="00E34913" w:rsidP="00E34913">
      <w:pPr>
        <w:pStyle w:val="HChG"/>
        <w:jc w:val="both"/>
      </w:pPr>
      <w:r w:rsidRPr="00764116">
        <w:tab/>
      </w:r>
      <w:r w:rsidRPr="00764116">
        <w:tab/>
      </w:r>
      <w:r w:rsidRPr="00764116">
        <w:rPr>
          <w:color w:val="000000" w:themeColor="text1"/>
        </w:rPr>
        <w:t xml:space="preserve">Proposal for </w:t>
      </w:r>
      <w:r w:rsidR="00764116" w:rsidRPr="00764116">
        <w:rPr>
          <w:color w:val="000000" w:themeColor="text1"/>
        </w:rPr>
        <w:t>an A</w:t>
      </w:r>
      <w:r w:rsidRPr="00764116">
        <w:rPr>
          <w:color w:val="000000" w:themeColor="text1"/>
        </w:rPr>
        <w:t>mendment to UN Global Technical Regulation No. 13 (Hydrogen and Fuel Cells Vehicles)</w:t>
      </w:r>
    </w:p>
    <w:p w14:paraId="7D0C0D05" w14:textId="1BA5F4F0" w:rsidR="00E34913" w:rsidRPr="00764116" w:rsidRDefault="00E34913" w:rsidP="00E34913">
      <w:pPr>
        <w:pStyle w:val="H1G"/>
        <w:rPr>
          <w:b w:val="0"/>
        </w:rPr>
      </w:pPr>
      <w:r w:rsidRPr="00764116">
        <w:tab/>
      </w:r>
      <w:r w:rsidRPr="00764116">
        <w:tab/>
      </w:r>
      <w:r w:rsidRPr="00764116">
        <w:rPr>
          <w:rFonts w:eastAsia="MS Mincho"/>
          <w:lang w:eastAsia="en-US"/>
        </w:rPr>
        <w:t xml:space="preserve">Submitted by </w:t>
      </w:r>
      <w:r w:rsidRPr="00764116">
        <w:t xml:space="preserve">the </w:t>
      </w:r>
      <w:r w:rsidRPr="00764116">
        <w:rPr>
          <w:color w:val="000000" w:themeColor="text1"/>
        </w:rPr>
        <w:t xml:space="preserve">Task Force amending UN Regulation No. 134 (Hydrogen and Fuel Cells Vehicles) </w:t>
      </w:r>
      <w:r w:rsidRPr="00764116">
        <w:rPr>
          <w:rStyle w:val="FootnoteReference"/>
          <w:szCs w:val="24"/>
        </w:rPr>
        <w:footnoteReference w:customMarkFollows="1" w:id="2"/>
        <w:sym w:font="Symbol" w:char="F02A"/>
      </w:r>
    </w:p>
    <w:p w14:paraId="670CBAB6" w14:textId="646EC40C" w:rsidR="00E34913" w:rsidRPr="00764116" w:rsidRDefault="00E34913" w:rsidP="00E34913">
      <w:pPr>
        <w:pStyle w:val="SingleTxtG"/>
        <w:rPr>
          <w:snapToGrid w:val="0"/>
          <w:color w:val="000000" w:themeColor="text1"/>
        </w:rPr>
      </w:pPr>
      <w:r w:rsidRPr="00764116">
        <w:rPr>
          <w:snapToGrid w:val="0"/>
          <w:color w:val="000000" w:themeColor="text1"/>
        </w:rPr>
        <w:tab/>
        <w:t xml:space="preserve">The text reproduced below was prepared by the </w:t>
      </w:r>
      <w:r w:rsidR="00764116" w:rsidRPr="00764116">
        <w:rPr>
          <w:snapToGrid w:val="0"/>
          <w:color w:val="000000" w:themeColor="text1"/>
        </w:rPr>
        <w:t xml:space="preserve">Task Force </w:t>
      </w:r>
      <w:r w:rsidRPr="00764116">
        <w:rPr>
          <w:snapToGrid w:val="0"/>
          <w:color w:val="000000" w:themeColor="text1"/>
        </w:rPr>
        <w:t xml:space="preserve">involving </w:t>
      </w:r>
      <w:r w:rsidR="00877877" w:rsidRPr="00764116">
        <w:rPr>
          <w:snapToGrid w:val="0"/>
          <w:color w:val="000000" w:themeColor="text1"/>
        </w:rPr>
        <w:t xml:space="preserve">the experts from </w:t>
      </w:r>
      <w:r w:rsidRPr="00764116">
        <w:rPr>
          <w:snapToGrid w:val="0"/>
          <w:color w:val="000000" w:themeColor="text1"/>
        </w:rPr>
        <w:t xml:space="preserve">France, Japan, the Netherlands, the European Commission, the European Association of Automotive Suppliers (CLEPA) and the International Organization of Motor Vehicle Manufacturers (OICA) as well as related industry experts on transposing </w:t>
      </w:r>
      <w:r w:rsidR="00877877" w:rsidRPr="00764116">
        <w:rPr>
          <w:snapToGrid w:val="0"/>
          <w:color w:val="000000" w:themeColor="text1"/>
        </w:rPr>
        <w:t>A</w:t>
      </w:r>
      <w:r w:rsidRPr="00764116">
        <w:rPr>
          <w:snapToGrid w:val="0"/>
          <w:color w:val="000000" w:themeColor="text1"/>
        </w:rPr>
        <w:t xml:space="preserve">mendment 1 to UN Global Technical Regulation No. 13, Phase 2 (GTR13-PH2) into the UN Regulation </w:t>
      </w:r>
      <w:r w:rsidR="00877877" w:rsidRPr="00764116">
        <w:rPr>
          <w:snapToGrid w:val="0"/>
          <w:color w:val="000000" w:themeColor="text1"/>
        </w:rPr>
        <w:t>No. 134</w:t>
      </w:r>
      <w:r w:rsidRPr="00764116">
        <w:rPr>
          <w:color w:val="000000" w:themeColor="text1"/>
        </w:rPr>
        <w:t>.</w:t>
      </w:r>
      <w:r w:rsidRPr="00764116">
        <w:rPr>
          <w:iCs/>
          <w:color w:val="000000" w:themeColor="text1"/>
        </w:rPr>
        <w:t xml:space="preserve"> </w:t>
      </w:r>
      <w:r w:rsidRPr="00764116">
        <w:rPr>
          <w:color w:val="000000" w:themeColor="text1"/>
        </w:rPr>
        <w:t>The modifications to the existing text of the UN Regulation No</w:t>
      </w:r>
      <w:r w:rsidR="001124A0">
        <w:rPr>
          <w:color w:val="000000" w:themeColor="text1"/>
        </w:rPr>
        <w:t>.</w:t>
      </w:r>
      <w:r w:rsidRPr="00764116">
        <w:rPr>
          <w:color w:val="000000" w:themeColor="text1"/>
        </w:rPr>
        <w:t xml:space="preserve"> 134</w:t>
      </w:r>
      <w:r w:rsidRPr="00764116">
        <w:rPr>
          <w:iCs/>
          <w:color w:val="000000" w:themeColor="text1"/>
        </w:rPr>
        <w:t xml:space="preserve"> </w:t>
      </w:r>
      <w:r w:rsidRPr="00764116">
        <w:rPr>
          <w:color w:val="000000" w:themeColor="text1"/>
        </w:rPr>
        <w:t>are marked in bold for new or strikethrough for deleted characters</w:t>
      </w:r>
      <w:r w:rsidRPr="00764116">
        <w:rPr>
          <w:color w:val="000000" w:themeColor="text1"/>
          <w:sz w:val="18"/>
        </w:rPr>
        <w:t>.</w:t>
      </w:r>
    </w:p>
    <w:p w14:paraId="40C3C4C1" w14:textId="77777777" w:rsidR="00E34913" w:rsidRPr="00764116" w:rsidRDefault="00E34913" w:rsidP="00E34913">
      <w:pPr>
        <w:pStyle w:val="SingleTxtG"/>
        <w:ind w:firstLine="567"/>
        <w:rPr>
          <w:bCs/>
          <w:color w:val="000000" w:themeColor="text1"/>
        </w:rPr>
      </w:pPr>
    </w:p>
    <w:p w14:paraId="315FED24" w14:textId="77777777" w:rsidR="00E34913" w:rsidRPr="00764116" w:rsidRDefault="00E34913" w:rsidP="00E34913">
      <w:pPr>
        <w:pStyle w:val="HChG"/>
        <w:tabs>
          <w:tab w:val="left" w:pos="8505"/>
        </w:tabs>
        <w:spacing w:before="0" w:after="0" w:line="240" w:lineRule="auto"/>
        <w:ind w:firstLine="425"/>
        <w:jc w:val="lowKashida"/>
        <w:rPr>
          <w:rFonts w:asciiTheme="majorBidi" w:hAnsiTheme="majorBidi" w:cstheme="majorBidi"/>
        </w:rPr>
      </w:pPr>
      <w:r w:rsidRPr="00764116">
        <w:rPr>
          <w:rFonts w:asciiTheme="majorBidi" w:hAnsiTheme="majorBidi" w:cstheme="majorBidi"/>
        </w:rPr>
        <w:br w:type="page"/>
      </w:r>
    </w:p>
    <w:p w14:paraId="5105B8B8" w14:textId="77777777" w:rsidR="00877877" w:rsidRPr="00764116" w:rsidRDefault="00877877" w:rsidP="00877877">
      <w:pPr>
        <w:keepNext/>
        <w:keepLines/>
        <w:tabs>
          <w:tab w:val="right" w:pos="851"/>
        </w:tabs>
        <w:spacing w:before="360" w:after="240" w:line="300" w:lineRule="exact"/>
        <w:ind w:left="1134" w:right="1134" w:hanging="1134"/>
        <w:rPr>
          <w:b/>
          <w:sz w:val="28"/>
        </w:rPr>
      </w:pPr>
      <w:r w:rsidRPr="00764116">
        <w:rPr>
          <w:b/>
          <w:sz w:val="28"/>
        </w:rPr>
        <w:lastRenderedPageBreak/>
        <w:tab/>
        <w:t>I.</w:t>
      </w:r>
      <w:r w:rsidRPr="00764116">
        <w:rPr>
          <w:b/>
          <w:sz w:val="28"/>
        </w:rPr>
        <w:tab/>
        <w:t>Proposal</w:t>
      </w:r>
    </w:p>
    <w:p w14:paraId="5C9DC2DB" w14:textId="77777777" w:rsidR="00877877" w:rsidRPr="00764116" w:rsidRDefault="00877877" w:rsidP="00877877">
      <w:pPr>
        <w:pStyle w:val="HChG"/>
        <w:rPr>
          <w:b w:val="0"/>
          <w:bCs/>
          <w:sz w:val="21"/>
          <w:szCs w:val="14"/>
        </w:rPr>
      </w:pPr>
      <w:r w:rsidRPr="00764116">
        <w:rPr>
          <w:b w:val="0"/>
          <w:bCs/>
          <w:sz w:val="21"/>
          <w:szCs w:val="14"/>
        </w:rPr>
        <w:tab/>
      </w:r>
      <w:r w:rsidRPr="00764116">
        <w:rPr>
          <w:b w:val="0"/>
          <w:bCs/>
          <w:i/>
          <w:sz w:val="21"/>
          <w:szCs w:val="14"/>
        </w:rPr>
        <w:tab/>
      </w:r>
      <w:r w:rsidRPr="00764116">
        <w:rPr>
          <w:b w:val="0"/>
          <w:i/>
          <w:sz w:val="20"/>
          <w:szCs w:val="12"/>
        </w:rPr>
        <w:t xml:space="preserve">Part 1, </w:t>
      </w:r>
      <w:r w:rsidRPr="00764116">
        <w:rPr>
          <w:b w:val="0"/>
          <w:i/>
          <w:sz w:val="20"/>
        </w:rPr>
        <w:t>p</w:t>
      </w:r>
      <w:r w:rsidRPr="00764116">
        <w:rPr>
          <w:b w:val="0"/>
          <w:bCs/>
          <w:i/>
          <w:sz w:val="20"/>
        </w:rPr>
        <w:t>aragraph 51.</w:t>
      </w:r>
      <w:r w:rsidRPr="00764116">
        <w:rPr>
          <w:b w:val="0"/>
          <w:bCs/>
          <w:sz w:val="20"/>
        </w:rPr>
        <w:t>, amend to read:</w:t>
      </w:r>
    </w:p>
    <w:p w14:paraId="2B492B9E" w14:textId="77777777" w:rsidR="00877877" w:rsidRPr="00764116" w:rsidRDefault="00877877" w:rsidP="00877877">
      <w:pPr>
        <w:spacing w:after="120"/>
        <w:ind w:left="1134" w:right="1134"/>
        <w:jc w:val="both"/>
        <w:rPr>
          <w:b/>
        </w:rPr>
      </w:pPr>
      <w:r w:rsidRPr="00764116">
        <w:rPr>
          <w:bCs/>
        </w:rPr>
        <w:t>"51.</w:t>
      </w:r>
      <w:r w:rsidRPr="00764116">
        <w:rPr>
          <w:bCs/>
        </w:rPr>
        <w:tab/>
        <w:t xml:space="preserve">Requirements for Compressed Hydrogen Storage System (CHSS) and its primary closures are defined in paragraph 5.1. The provision in paragraph 5.1.(b) allows Contracting Parties to require that primary closure devices be mounted directly on the container. If needed, manufacturers can choose to locate additional TPRDs in alternative locations on the container. However, any additional TPRDs should be connected directly to the containers by using supply lines that have demonstrated mechanical integrity and durability as part of qualification tests for CHSS </w:t>
      </w:r>
      <w:r w:rsidRPr="00764116">
        <w:rPr>
          <w:bCs/>
          <w:strike/>
        </w:rPr>
        <w:t xml:space="preserve">(paragraphs 5.1.1. and 5.1.2.) </w:t>
      </w:r>
      <w:r w:rsidRPr="00764116">
        <w:rPr>
          <w:b/>
        </w:rPr>
        <w:t>(paragraphs 5.1.1. and 5.1.2. excluding the drop test).</w:t>
      </w:r>
      <w:r w:rsidRPr="00764116">
        <w:rPr>
          <w:bCs/>
        </w:rPr>
        <w:t xml:space="preserve"> "</w:t>
      </w:r>
    </w:p>
    <w:p w14:paraId="311B20FE" w14:textId="77777777" w:rsidR="00877877" w:rsidRPr="00764116" w:rsidRDefault="00877877" w:rsidP="00877877">
      <w:pPr>
        <w:keepNext/>
        <w:keepLines/>
        <w:tabs>
          <w:tab w:val="right" w:pos="851"/>
        </w:tabs>
        <w:spacing w:before="240" w:after="120" w:line="240" w:lineRule="exact"/>
        <w:ind w:left="1701" w:right="1140" w:hanging="567"/>
        <w:rPr>
          <w:bCs/>
        </w:rPr>
      </w:pPr>
      <w:r w:rsidRPr="00764116">
        <w:rPr>
          <w:bCs/>
          <w:i/>
        </w:rPr>
        <w:t>Part 1, paragraph 81. (c) (i)</w:t>
      </w:r>
      <w:r w:rsidRPr="00764116">
        <w:rPr>
          <w:bCs/>
        </w:rPr>
        <w:t>, amend to read:</w:t>
      </w:r>
    </w:p>
    <w:p w14:paraId="78CD8CE2" w14:textId="77777777" w:rsidR="00877877" w:rsidRPr="00764116" w:rsidRDefault="00877877" w:rsidP="00877877">
      <w:pPr>
        <w:keepNext/>
        <w:keepLines/>
        <w:tabs>
          <w:tab w:val="right" w:pos="851"/>
        </w:tabs>
        <w:spacing w:before="240" w:after="120" w:line="240" w:lineRule="exact"/>
        <w:ind w:left="1701" w:right="1140" w:hanging="567"/>
        <w:rPr>
          <w:bCs/>
        </w:rPr>
      </w:pPr>
      <w:r w:rsidRPr="00764116">
        <w:rPr>
          <w:bCs/>
        </w:rPr>
        <w:t>"81.</w:t>
      </w:r>
      <w:r w:rsidRPr="00764116">
        <w:rPr>
          <w:bCs/>
        </w:rPr>
        <w:tab/>
        <w:t>These assumptions include:</w:t>
      </w:r>
    </w:p>
    <w:p w14:paraId="00A2A76D" w14:textId="77777777" w:rsidR="00877877" w:rsidRPr="00764116" w:rsidRDefault="00877877" w:rsidP="00877877">
      <w:pPr>
        <w:spacing w:after="120"/>
        <w:ind w:left="2268" w:right="1140" w:hanging="567"/>
        <w:jc w:val="both"/>
        <w:rPr>
          <w:bCs/>
        </w:rPr>
      </w:pPr>
      <w:r w:rsidRPr="00764116">
        <w:rPr>
          <w:bCs/>
        </w:rPr>
        <w:t>(c)</w:t>
      </w:r>
      <w:r w:rsidRPr="00764116">
        <w:rPr>
          <w:bCs/>
        </w:rPr>
        <w:tab/>
        <w:t>Severe usage: exposure to physical impacts</w:t>
      </w:r>
    </w:p>
    <w:p w14:paraId="7AFDB4AB" w14:textId="2E7BC1F5" w:rsidR="00877877" w:rsidRPr="00764116" w:rsidRDefault="00877877" w:rsidP="00877877">
      <w:pPr>
        <w:spacing w:after="120"/>
        <w:ind w:left="2835" w:right="1140" w:hanging="567"/>
        <w:jc w:val="both"/>
        <w:rPr>
          <w:bCs/>
        </w:rPr>
      </w:pPr>
      <w:r w:rsidRPr="00764116">
        <w:rPr>
          <w:bCs/>
        </w:rPr>
        <w:t>(i)</w:t>
      </w:r>
      <w:r w:rsidRPr="00764116">
        <w:rPr>
          <w:bCs/>
        </w:rPr>
        <w:tab/>
        <w:t>Drop impact (para. 5.1.2.2.) – the risk is primarily an aftermarket risk during vehicle repair where a new storage system, or an older system removed during vehicle service, is dropped from a fork</w:t>
      </w:r>
      <w:r w:rsidR="00764116" w:rsidRPr="00764116">
        <w:rPr>
          <w:bCs/>
        </w:rPr>
        <w:t xml:space="preserve"> </w:t>
      </w:r>
      <w:r w:rsidRPr="00764116">
        <w:rPr>
          <w:bCs/>
        </w:rPr>
        <w:t xml:space="preserve">lift during handling. The test procedure requires drops from several angles from a maximum utility forklift height. The test is designed to demonstrate that containers </w:t>
      </w:r>
      <w:r w:rsidRPr="00764116">
        <w:rPr>
          <w:b/>
        </w:rPr>
        <w:t>(without supply lines and valves)</w:t>
      </w:r>
      <w:r w:rsidRPr="00764116">
        <w:rPr>
          <w:bCs/>
        </w:rPr>
        <w:t xml:space="preserve"> have the capability to survive representative pre-installation drop impacts. </w:t>
      </w:r>
    </w:p>
    <w:p w14:paraId="72090D8A" w14:textId="6AE098AD" w:rsidR="00877877" w:rsidRPr="00764116" w:rsidRDefault="00877877" w:rsidP="00877877">
      <w:pPr>
        <w:spacing w:after="120"/>
        <w:ind w:left="2835" w:right="1140"/>
        <w:jc w:val="both"/>
        <w:rPr>
          <w:b/>
        </w:rPr>
      </w:pPr>
      <w:r w:rsidRPr="00C25725">
        <w:rPr>
          <w:b/>
          <w:i/>
          <w:iCs/>
        </w:rPr>
        <w:t>Note</w:t>
      </w:r>
      <w:r w:rsidRPr="00764116">
        <w:rPr>
          <w:b/>
        </w:rPr>
        <w:t>: Damage to supply lines or valves would be visible after a drop impact and</w:t>
      </w:r>
      <w:r w:rsidR="00764116">
        <w:rPr>
          <w:b/>
        </w:rPr>
        <w:t>,</w:t>
      </w:r>
      <w:r w:rsidRPr="00764116">
        <w:rPr>
          <w:b/>
        </w:rPr>
        <w:t xml:space="preserve"> as a consequence</w:t>
      </w:r>
      <w:r w:rsidR="00764116">
        <w:rPr>
          <w:b/>
        </w:rPr>
        <w:t>,</w:t>
      </w:r>
      <w:r w:rsidRPr="00764116">
        <w:rPr>
          <w:b/>
        </w:rPr>
        <w:t xml:space="preserve"> the devices would need to be replaced;</w:t>
      </w:r>
      <w:r w:rsidRPr="00764116">
        <w:rPr>
          <w:bCs/>
        </w:rPr>
        <w:t>"</w:t>
      </w:r>
    </w:p>
    <w:p w14:paraId="60595174" w14:textId="77777777" w:rsidR="00877877" w:rsidRPr="00764116" w:rsidRDefault="00877877" w:rsidP="00877877">
      <w:pPr>
        <w:spacing w:after="120"/>
        <w:ind w:left="2268" w:right="1134" w:hanging="1134"/>
        <w:jc w:val="both"/>
      </w:pPr>
      <w:r w:rsidRPr="00764116">
        <w:rPr>
          <w:i/>
        </w:rPr>
        <w:t>Part 2, paragraph 3.8.,</w:t>
      </w:r>
      <w:r w:rsidRPr="00764116">
        <w:t xml:space="preserve"> amend to read:</w:t>
      </w:r>
    </w:p>
    <w:p w14:paraId="5D96C5C0" w14:textId="77777777" w:rsidR="00877877" w:rsidRPr="00764116" w:rsidRDefault="00877877" w:rsidP="00877877">
      <w:pPr>
        <w:spacing w:after="120"/>
        <w:ind w:left="2268" w:right="1134" w:hanging="1134"/>
        <w:jc w:val="both"/>
      </w:pPr>
      <w:r w:rsidRPr="00764116">
        <w:rPr>
          <w:bCs/>
        </w:rPr>
        <w:t>"</w:t>
      </w:r>
      <w:r w:rsidRPr="00764116">
        <w:t>3.8.</w:t>
      </w:r>
      <w:r w:rsidRPr="00764116">
        <w:tab/>
        <w:t>"</w:t>
      </w:r>
      <w:r w:rsidRPr="00764116">
        <w:rPr>
          <w:i/>
        </w:rPr>
        <w:t>Compressed hydrogen storage system (CHSS)</w:t>
      </w:r>
      <w:r w:rsidRPr="00764116">
        <w:t>" is a system designed to store compressed hydrogen fuel for a hydrogen-fuelled vehicle, composed of a container, container attachments (if any),</w:t>
      </w:r>
      <w:r w:rsidRPr="00764116">
        <w:rPr>
          <w:b/>
          <w:bCs/>
          <w:color w:val="FF0000"/>
        </w:rPr>
        <w:t xml:space="preserve"> </w:t>
      </w:r>
      <w:r w:rsidRPr="00764116">
        <w:rPr>
          <w:b/>
          <w:bCs/>
        </w:rPr>
        <w:t>supply lines for additional Thermally activated Pressure Relief Device (TPRD) (if any),</w:t>
      </w:r>
      <w:r w:rsidRPr="00764116">
        <w:t xml:space="preserve"> and all primary closure devices required to isolate the stored hydrogen from the remainder of the fuel system and the environment.</w:t>
      </w:r>
      <w:r w:rsidRPr="00764116">
        <w:rPr>
          <w:bCs/>
        </w:rPr>
        <w:t xml:space="preserve"> "</w:t>
      </w:r>
    </w:p>
    <w:p w14:paraId="7C2D4531" w14:textId="77777777" w:rsidR="00877877" w:rsidRPr="00764116" w:rsidRDefault="00877877" w:rsidP="00877877">
      <w:pPr>
        <w:spacing w:after="120"/>
        <w:ind w:left="2268" w:right="1134" w:hanging="1134"/>
        <w:jc w:val="both"/>
      </w:pPr>
      <w:r w:rsidRPr="00764116">
        <w:rPr>
          <w:i/>
        </w:rPr>
        <w:t xml:space="preserve">Part 2, paragraph 6.2.3.2., </w:t>
      </w:r>
      <w:r w:rsidRPr="00764116">
        <w:t>amend to read:</w:t>
      </w:r>
    </w:p>
    <w:p w14:paraId="6FC45EF6" w14:textId="77777777" w:rsidR="00877877" w:rsidRPr="00764116" w:rsidRDefault="00877877" w:rsidP="00877877">
      <w:pPr>
        <w:spacing w:after="120"/>
        <w:ind w:left="2268" w:right="1134" w:hanging="1134"/>
        <w:jc w:val="both"/>
        <w:rPr>
          <w:lang w:eastAsia="ja-JP"/>
        </w:rPr>
      </w:pPr>
      <w:r w:rsidRPr="00764116">
        <w:rPr>
          <w:bCs/>
        </w:rPr>
        <w:t>"</w:t>
      </w:r>
      <w:r w:rsidRPr="00764116">
        <w:t>6.2.3.2.</w:t>
      </w:r>
      <w:r w:rsidRPr="00764116">
        <w:tab/>
        <w:t xml:space="preserve">Drop (impact) test (unpressurized) </w:t>
      </w:r>
    </w:p>
    <w:p w14:paraId="5B7BEE70" w14:textId="77777777" w:rsidR="00877877" w:rsidRPr="00764116" w:rsidRDefault="00877877" w:rsidP="00877877">
      <w:pPr>
        <w:spacing w:after="120"/>
        <w:ind w:left="2268" w:right="1134"/>
        <w:jc w:val="both"/>
      </w:pPr>
      <w:r w:rsidRPr="00764116">
        <w:t xml:space="preserve">The container </w:t>
      </w:r>
      <w:r w:rsidRPr="00764116">
        <w:rPr>
          <w:lang w:eastAsia="ja-JP"/>
        </w:rPr>
        <w:t xml:space="preserve">and its container attachments (if any) </w:t>
      </w:r>
      <w:r w:rsidRPr="00764116">
        <w:t>is drop tested without internal pressurization</w:t>
      </w:r>
      <w:r w:rsidRPr="00764116">
        <w:rPr>
          <w:b/>
          <w:bCs/>
        </w:rPr>
        <w:t>,</w:t>
      </w:r>
      <w:r w:rsidRPr="00764116">
        <w:t xml:space="preserve"> </w:t>
      </w:r>
      <w:r w:rsidRPr="00764116">
        <w:rPr>
          <w:strike/>
        </w:rPr>
        <w:t xml:space="preserve">or </w:t>
      </w:r>
      <w:r w:rsidRPr="00764116">
        <w:t xml:space="preserve">attached valves </w:t>
      </w:r>
      <w:r w:rsidRPr="00764116">
        <w:rPr>
          <w:b/>
          <w:bCs/>
        </w:rPr>
        <w:t>or supply lines (if any)</w:t>
      </w:r>
      <w:r w:rsidRPr="00764116">
        <w:t>. The surface onto which the test article is dropped shall be a smooth, horizontal concrete pad or other flooring type with equivalent hardness. No attempt shall be made to prevent the test article from bouncing or falling over during a drop test, but the test article shall be prevented from falling over during the vertical drop test.</w:t>
      </w:r>
    </w:p>
    <w:p w14:paraId="3C772E42" w14:textId="77777777" w:rsidR="00877877" w:rsidRPr="00764116" w:rsidRDefault="00877877" w:rsidP="00877877">
      <w:pPr>
        <w:spacing w:after="120"/>
        <w:ind w:left="2268" w:right="1134"/>
        <w:jc w:val="both"/>
        <w:rPr>
          <w:bCs/>
        </w:rPr>
      </w:pPr>
      <w:r w:rsidRPr="00764116">
        <w:t xml:space="preserve">… </w:t>
      </w:r>
      <w:r w:rsidRPr="00764116">
        <w:rPr>
          <w:bCs/>
        </w:rPr>
        <w:t>"</w:t>
      </w:r>
    </w:p>
    <w:p w14:paraId="5762090A" w14:textId="77777777" w:rsidR="00877877" w:rsidRPr="00764116" w:rsidRDefault="00877877" w:rsidP="00877877">
      <w:pPr>
        <w:spacing w:line="240" w:lineRule="auto"/>
        <w:rPr>
          <w:b/>
          <w:color w:val="000000" w:themeColor="text1"/>
          <w:sz w:val="28"/>
        </w:rPr>
      </w:pPr>
      <w:r w:rsidRPr="00764116">
        <w:rPr>
          <w:color w:val="000000" w:themeColor="text1"/>
        </w:rPr>
        <w:br w:type="page"/>
      </w:r>
    </w:p>
    <w:p w14:paraId="67019EEB" w14:textId="77777777" w:rsidR="00877877" w:rsidRPr="00764116" w:rsidRDefault="00877877" w:rsidP="00877877">
      <w:pPr>
        <w:pStyle w:val="HChG"/>
        <w:jc w:val="both"/>
        <w:rPr>
          <w:color w:val="000000" w:themeColor="text1"/>
        </w:rPr>
      </w:pPr>
      <w:r w:rsidRPr="00764116">
        <w:rPr>
          <w:color w:val="000000" w:themeColor="text1"/>
        </w:rPr>
        <w:lastRenderedPageBreak/>
        <w:tab/>
        <w:t>II.</w:t>
      </w:r>
      <w:r w:rsidRPr="00764116">
        <w:rPr>
          <w:color w:val="000000" w:themeColor="text1"/>
        </w:rPr>
        <w:tab/>
        <w:t>Justification</w:t>
      </w:r>
    </w:p>
    <w:p w14:paraId="443A98DA" w14:textId="25B7FEA4" w:rsidR="00877877" w:rsidRPr="00764116" w:rsidRDefault="009218DA" w:rsidP="009218DA">
      <w:pPr>
        <w:spacing w:after="120"/>
        <w:ind w:left="1134" w:right="1134"/>
        <w:jc w:val="both"/>
      </w:pPr>
      <w:r w:rsidRPr="00764116">
        <w:t>1.</w:t>
      </w:r>
      <w:r w:rsidRPr="00764116">
        <w:tab/>
        <w:t xml:space="preserve">UN </w:t>
      </w:r>
      <w:r w:rsidR="00877877" w:rsidRPr="00764116">
        <w:t xml:space="preserve">GTR </w:t>
      </w:r>
      <w:r w:rsidRPr="00764116">
        <w:t xml:space="preserve">No. </w:t>
      </w:r>
      <w:r w:rsidR="00877877" w:rsidRPr="00764116">
        <w:t>13, amendment 1 includes contradictory wording in Part</w:t>
      </w:r>
      <w:r w:rsidR="00764116">
        <w:t>s</w:t>
      </w:r>
      <w:r w:rsidR="00877877" w:rsidRPr="00764116">
        <w:t xml:space="preserve"> 1 and 2, which lead to different interpretations among </w:t>
      </w:r>
      <w:r w:rsidR="00764116">
        <w:t>the c</w:t>
      </w:r>
      <w:r w:rsidR="00764116" w:rsidRPr="00764116">
        <w:t xml:space="preserve">ontracting </w:t>
      </w:r>
      <w:r w:rsidR="00764116">
        <w:t>p</w:t>
      </w:r>
      <w:r w:rsidR="00764116" w:rsidRPr="00764116">
        <w:t>arties</w:t>
      </w:r>
      <w:r w:rsidR="00877877" w:rsidRPr="00764116">
        <w:t xml:space="preserve">. </w:t>
      </w:r>
    </w:p>
    <w:p w14:paraId="1706CA39" w14:textId="7DD651AF" w:rsidR="00877877" w:rsidRPr="00764116" w:rsidRDefault="009218DA" w:rsidP="009218DA">
      <w:pPr>
        <w:spacing w:after="120"/>
        <w:ind w:left="1134" w:right="1134"/>
        <w:jc w:val="both"/>
      </w:pPr>
      <w:r w:rsidRPr="00764116">
        <w:t>2.</w:t>
      </w:r>
      <w:r w:rsidRPr="00764116">
        <w:tab/>
      </w:r>
      <w:r w:rsidR="00877877" w:rsidRPr="00764116">
        <w:t>This proposal does not introduce new requirements but clarifies the rationale and test requirements for the mechanical integrity and durability tests for supply lines for additional TPRDs. Part 1 stipulates that supply lines for additional TPRDs need to show mechanical integrity following tests 5.1.1. and 5.1.2. in Part 2. The test procedure in 6.2.3.2. in Part 2 includes drop testing of the container and its container attachments without pressurization or attached valves.</w:t>
      </w:r>
    </w:p>
    <w:p w14:paraId="7A88BD2D" w14:textId="729E53E7" w:rsidR="00877877" w:rsidRPr="00764116" w:rsidRDefault="009218DA" w:rsidP="009218DA">
      <w:pPr>
        <w:spacing w:after="120"/>
        <w:ind w:left="1134" w:right="1134"/>
        <w:jc w:val="both"/>
      </w:pPr>
      <w:r w:rsidRPr="00764116">
        <w:t>3.</w:t>
      </w:r>
      <w:r w:rsidRPr="00764116">
        <w:tab/>
        <w:t xml:space="preserve">UN </w:t>
      </w:r>
      <w:r w:rsidR="00877877" w:rsidRPr="00764116">
        <w:t xml:space="preserve">GTR </w:t>
      </w:r>
      <w:r w:rsidRPr="00764116">
        <w:t xml:space="preserve">No. </w:t>
      </w:r>
      <w:r w:rsidR="00877877" w:rsidRPr="00764116">
        <w:t>13, amendment 1, therefore, needs clarification regarding the test requirements in 6.2.3.2. in Part 2 and the exclusion of supply lines for additional TPRDs from the drop test.</w:t>
      </w:r>
    </w:p>
    <w:p w14:paraId="6ACE6AB2" w14:textId="6D317840" w:rsidR="00877877" w:rsidRPr="00764116" w:rsidRDefault="009218DA" w:rsidP="009218DA">
      <w:pPr>
        <w:spacing w:after="120"/>
        <w:ind w:left="1134" w:right="1134"/>
        <w:jc w:val="both"/>
      </w:pPr>
      <w:r w:rsidRPr="00764116">
        <w:t>4.</w:t>
      </w:r>
      <w:r w:rsidRPr="00764116">
        <w:tab/>
      </w:r>
      <w:r w:rsidR="00877877" w:rsidRPr="00764116">
        <w:t>Damage to supply lines or valves would be visible after a drop impact and</w:t>
      </w:r>
      <w:r w:rsidR="00764116">
        <w:t>,</w:t>
      </w:r>
      <w:r w:rsidR="00877877" w:rsidRPr="00764116">
        <w:t xml:space="preserve"> as a consequence</w:t>
      </w:r>
      <w:r w:rsidR="00764116">
        <w:t>,</w:t>
      </w:r>
      <w:r w:rsidR="00877877" w:rsidRPr="00764116">
        <w:t xml:space="preserve"> the devices would need to be replaced.</w:t>
      </w:r>
    </w:p>
    <w:p w14:paraId="0BE0188B" w14:textId="35097E4F" w:rsidR="00877877" w:rsidRPr="00764116" w:rsidRDefault="009218DA" w:rsidP="009218DA">
      <w:pPr>
        <w:spacing w:after="120"/>
        <w:ind w:left="1134" w:right="1134"/>
        <w:jc w:val="both"/>
      </w:pPr>
      <w:r w:rsidRPr="00764116">
        <w:t>5.</w:t>
      </w:r>
      <w:r w:rsidRPr="00764116">
        <w:tab/>
      </w:r>
      <w:r w:rsidR="00877877" w:rsidRPr="00764116">
        <w:t xml:space="preserve">In the definition </w:t>
      </w:r>
      <w:r w:rsidR="00764116">
        <w:t xml:space="preserve">of </w:t>
      </w:r>
      <w:r w:rsidR="00877877" w:rsidRPr="00764116">
        <w:t>section 3.8.</w:t>
      </w:r>
      <w:r w:rsidR="00764116">
        <w:t>,</w:t>
      </w:r>
      <w:r w:rsidR="00877877" w:rsidRPr="00764116">
        <w:t xml:space="preserve"> it is clarified that the supply lines for additional TPRDs are part of the Compressed Hydrogen Storage System (CHSS). </w:t>
      </w:r>
    </w:p>
    <w:p w14:paraId="2F1A32F0" w14:textId="187FE97A" w:rsidR="00877877" w:rsidRPr="00764116" w:rsidRDefault="009218DA" w:rsidP="009218DA">
      <w:pPr>
        <w:spacing w:before="240"/>
        <w:jc w:val="center"/>
        <w:rPr>
          <w:u w:val="single"/>
        </w:rPr>
      </w:pPr>
      <w:r w:rsidRPr="00764116">
        <w:rPr>
          <w:u w:val="single"/>
        </w:rPr>
        <w:tab/>
      </w:r>
      <w:r w:rsidRPr="00764116">
        <w:rPr>
          <w:u w:val="single"/>
        </w:rPr>
        <w:tab/>
      </w:r>
      <w:r w:rsidRPr="00764116">
        <w:rPr>
          <w:u w:val="single"/>
        </w:rPr>
        <w:tab/>
      </w:r>
    </w:p>
    <w:p w14:paraId="0476DDB3" w14:textId="77777777" w:rsidR="001C6663" w:rsidRPr="00764116" w:rsidRDefault="001C6663" w:rsidP="00595520"/>
    <w:sectPr w:rsidR="001C6663" w:rsidRPr="00764116" w:rsidSect="00E34913">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1777" w14:textId="77777777" w:rsidR="00D52643" w:rsidRDefault="00D52643"/>
  </w:endnote>
  <w:endnote w:type="continuationSeparator" w:id="0">
    <w:p w14:paraId="789FA6AB" w14:textId="77777777" w:rsidR="00D52643" w:rsidRDefault="00D52643"/>
  </w:endnote>
  <w:endnote w:type="continuationNotice" w:id="1">
    <w:p w14:paraId="2080DB36" w14:textId="77777777" w:rsidR="00D52643" w:rsidRDefault="00D5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014" w14:textId="171AFD10" w:rsidR="00E34913" w:rsidRPr="00E34913" w:rsidRDefault="00E34913" w:rsidP="00E34913">
    <w:pPr>
      <w:pStyle w:val="Footer"/>
      <w:tabs>
        <w:tab w:val="right" w:pos="9638"/>
      </w:tabs>
      <w:rPr>
        <w:sz w:val="18"/>
      </w:rPr>
    </w:pPr>
    <w:r w:rsidRPr="00E34913">
      <w:rPr>
        <w:b/>
        <w:sz w:val="18"/>
      </w:rPr>
      <w:fldChar w:fldCharType="begin"/>
    </w:r>
    <w:r w:rsidRPr="00E34913">
      <w:rPr>
        <w:b/>
        <w:sz w:val="18"/>
      </w:rPr>
      <w:instrText xml:space="preserve"> PAGE  \* MERGEFORMAT </w:instrText>
    </w:r>
    <w:r w:rsidRPr="00E34913">
      <w:rPr>
        <w:b/>
        <w:sz w:val="18"/>
      </w:rPr>
      <w:fldChar w:fldCharType="separate"/>
    </w:r>
    <w:r w:rsidRPr="00E34913">
      <w:rPr>
        <w:b/>
        <w:noProof/>
        <w:sz w:val="18"/>
      </w:rPr>
      <w:t>2</w:t>
    </w:r>
    <w:r w:rsidRPr="00E3491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8FDB" w14:textId="5086A4E7" w:rsidR="00E34913" w:rsidRPr="00E34913" w:rsidRDefault="00E34913" w:rsidP="00E34913">
    <w:pPr>
      <w:pStyle w:val="Footer"/>
      <w:tabs>
        <w:tab w:val="right" w:pos="9638"/>
      </w:tabs>
      <w:rPr>
        <w:b/>
        <w:sz w:val="18"/>
      </w:rPr>
    </w:pPr>
    <w:r>
      <w:tab/>
    </w:r>
    <w:r w:rsidRPr="00E34913">
      <w:rPr>
        <w:b/>
        <w:sz w:val="18"/>
      </w:rPr>
      <w:fldChar w:fldCharType="begin"/>
    </w:r>
    <w:r w:rsidRPr="00E34913">
      <w:rPr>
        <w:b/>
        <w:sz w:val="18"/>
      </w:rPr>
      <w:instrText xml:space="preserve"> PAGE  \* MERGEFORMAT </w:instrText>
    </w:r>
    <w:r w:rsidRPr="00E34913">
      <w:rPr>
        <w:b/>
        <w:sz w:val="18"/>
      </w:rPr>
      <w:fldChar w:fldCharType="separate"/>
    </w:r>
    <w:r w:rsidRPr="00E34913">
      <w:rPr>
        <w:b/>
        <w:noProof/>
        <w:sz w:val="18"/>
      </w:rPr>
      <w:t>3</w:t>
    </w:r>
    <w:r w:rsidRPr="00E3491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B6B2" w14:textId="77777777" w:rsidR="00D52643" w:rsidRPr="000B175B" w:rsidRDefault="00D52643" w:rsidP="000B175B">
      <w:pPr>
        <w:tabs>
          <w:tab w:val="right" w:pos="2155"/>
        </w:tabs>
        <w:spacing w:after="80"/>
        <w:ind w:left="680"/>
        <w:rPr>
          <w:u w:val="single"/>
        </w:rPr>
      </w:pPr>
      <w:r>
        <w:rPr>
          <w:u w:val="single"/>
        </w:rPr>
        <w:tab/>
      </w:r>
    </w:p>
  </w:footnote>
  <w:footnote w:type="continuationSeparator" w:id="0">
    <w:p w14:paraId="420F040D" w14:textId="77777777" w:rsidR="00D52643" w:rsidRPr="00FC68B7" w:rsidRDefault="00D52643" w:rsidP="00FC68B7">
      <w:pPr>
        <w:tabs>
          <w:tab w:val="left" w:pos="2155"/>
        </w:tabs>
        <w:spacing w:after="80"/>
        <w:ind w:left="680"/>
        <w:rPr>
          <w:u w:val="single"/>
        </w:rPr>
      </w:pPr>
      <w:r>
        <w:rPr>
          <w:u w:val="single"/>
        </w:rPr>
        <w:tab/>
      </w:r>
    </w:p>
  </w:footnote>
  <w:footnote w:type="continuationNotice" w:id="1">
    <w:p w14:paraId="0E7DA909" w14:textId="77777777" w:rsidR="00D52643" w:rsidRDefault="00D52643"/>
  </w:footnote>
  <w:footnote w:id="2">
    <w:p w14:paraId="7B21C5B2" w14:textId="00A3C4BF" w:rsidR="00E34913" w:rsidRPr="00C2754A" w:rsidRDefault="00E34913" w:rsidP="00E34913">
      <w:pPr>
        <w:pStyle w:val="FootnoteText"/>
        <w:rPr>
          <w:lang w:val="fr-CH"/>
        </w:rPr>
      </w:pPr>
      <w:r>
        <w:tab/>
      </w:r>
      <w:r w:rsidRPr="00C2754A">
        <w:rPr>
          <w:rStyle w:val="FootnoteReference"/>
        </w:rPr>
        <w:sym w:font="Symbol" w:char="F02A"/>
      </w:r>
      <w:r>
        <w:t xml:space="preserve"> </w:t>
      </w:r>
      <w: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6060" w14:textId="5A8170FD" w:rsidR="00E34913" w:rsidRPr="001124A0" w:rsidRDefault="001124A0">
    <w:pPr>
      <w:pStyle w:val="Header"/>
      <w:rPr>
        <w:lang w:val="fr-CH"/>
      </w:rPr>
    </w:pPr>
    <w:r>
      <w:rPr>
        <w:lang w:val="fr-CH"/>
      </w:rPr>
      <w:t>ECE/TRANS/WP.29/GRSP/2024/25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6C54" w14:textId="0B5B1D41" w:rsidR="00E34913" w:rsidRPr="001124A0" w:rsidRDefault="00974386" w:rsidP="001124A0">
    <w:pPr>
      <w:pStyle w:val="Header"/>
      <w:jc w:val="right"/>
      <w:rPr>
        <w:lang w:val="fr-CH"/>
      </w:rPr>
    </w:pPr>
    <w:r>
      <w:rPr>
        <w:lang w:val="fr-CH"/>
      </w:rPr>
      <w:t>ECE/TRANS/WP.29/GRSP/2024/25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08555498">
    <w:abstractNumId w:val="1"/>
  </w:num>
  <w:num w:numId="2" w16cid:durableId="769085493">
    <w:abstractNumId w:val="0"/>
  </w:num>
  <w:num w:numId="3" w16cid:durableId="987444222">
    <w:abstractNumId w:val="2"/>
  </w:num>
  <w:num w:numId="4" w16cid:durableId="1732078785">
    <w:abstractNumId w:val="3"/>
  </w:num>
  <w:num w:numId="5" w16cid:durableId="2103531083">
    <w:abstractNumId w:val="8"/>
  </w:num>
  <w:num w:numId="6" w16cid:durableId="1149204533">
    <w:abstractNumId w:val="9"/>
  </w:num>
  <w:num w:numId="7" w16cid:durableId="2099908235">
    <w:abstractNumId w:val="7"/>
  </w:num>
  <w:num w:numId="8" w16cid:durableId="1174538690">
    <w:abstractNumId w:val="6"/>
  </w:num>
  <w:num w:numId="9" w16cid:durableId="1728339844">
    <w:abstractNumId w:val="5"/>
  </w:num>
  <w:num w:numId="10" w16cid:durableId="744379363">
    <w:abstractNumId w:val="4"/>
  </w:num>
  <w:num w:numId="11" w16cid:durableId="1749578269">
    <w:abstractNumId w:val="15"/>
  </w:num>
  <w:num w:numId="12" w16cid:durableId="2146654144">
    <w:abstractNumId w:val="14"/>
  </w:num>
  <w:num w:numId="13" w16cid:durableId="423116039">
    <w:abstractNumId w:val="10"/>
  </w:num>
  <w:num w:numId="14" w16cid:durableId="649022472">
    <w:abstractNumId w:val="12"/>
  </w:num>
  <w:num w:numId="15" w16cid:durableId="979306342">
    <w:abstractNumId w:val="16"/>
  </w:num>
  <w:num w:numId="16" w16cid:durableId="2076274933">
    <w:abstractNumId w:val="13"/>
  </w:num>
  <w:num w:numId="17" w16cid:durableId="390155725">
    <w:abstractNumId w:val="17"/>
  </w:num>
  <w:num w:numId="18" w16cid:durableId="1191525195">
    <w:abstractNumId w:val="18"/>
  </w:num>
  <w:num w:numId="19" w16cid:durableId="163725045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13"/>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124A0"/>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F6BA0"/>
    <w:rsid w:val="00503BEA"/>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116"/>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77877"/>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18DA"/>
    <w:rsid w:val="0092556A"/>
    <w:rsid w:val="00926E47"/>
    <w:rsid w:val="00947162"/>
    <w:rsid w:val="009610D0"/>
    <w:rsid w:val="0096375C"/>
    <w:rsid w:val="009662E6"/>
    <w:rsid w:val="0097095E"/>
    <w:rsid w:val="00974386"/>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725"/>
    <w:rsid w:val="00C463DD"/>
    <w:rsid w:val="00C7009F"/>
    <w:rsid w:val="00C745C3"/>
    <w:rsid w:val="00C978F5"/>
    <w:rsid w:val="00CA24A4"/>
    <w:rsid w:val="00CB348D"/>
    <w:rsid w:val="00CD46F5"/>
    <w:rsid w:val="00CE4A8F"/>
    <w:rsid w:val="00CF071D"/>
    <w:rsid w:val="00D0123D"/>
    <w:rsid w:val="00D15B04"/>
    <w:rsid w:val="00D2031B"/>
    <w:rsid w:val="00D25FE2"/>
    <w:rsid w:val="00D37DA9"/>
    <w:rsid w:val="00D406A7"/>
    <w:rsid w:val="00D41AE9"/>
    <w:rsid w:val="00D43252"/>
    <w:rsid w:val="00D44D86"/>
    <w:rsid w:val="00D50B7D"/>
    <w:rsid w:val="00D52012"/>
    <w:rsid w:val="00D52643"/>
    <w:rsid w:val="00D704E5"/>
    <w:rsid w:val="00D72727"/>
    <w:rsid w:val="00D978C6"/>
    <w:rsid w:val="00DA0956"/>
    <w:rsid w:val="00DA357F"/>
    <w:rsid w:val="00DA3E12"/>
    <w:rsid w:val="00DC18AD"/>
    <w:rsid w:val="00DF7CAE"/>
    <w:rsid w:val="00E34913"/>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12C2E"/>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217E"/>
  <w15:docId w15:val="{DDA7FF3A-C70C-4FF5-B6D8-2ECA9A53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E34913"/>
    <w:rPr>
      <w:b/>
      <w:sz w:val="28"/>
      <w:lang w:val="en-GB"/>
    </w:rPr>
  </w:style>
  <w:style w:type="character" w:customStyle="1" w:styleId="H1GChar">
    <w:name w:val="_ H_1_G Char"/>
    <w:link w:val="H1G"/>
    <w:locked/>
    <w:rsid w:val="00E34913"/>
    <w:rPr>
      <w:b/>
      <w:sz w:val="24"/>
      <w:lang w:val="en-GB"/>
    </w:rPr>
  </w:style>
  <w:style w:type="character" w:customStyle="1" w:styleId="SingleTxtGChar">
    <w:name w:val="_ Single Txt_G Char"/>
    <w:link w:val="SingleTxtG"/>
    <w:qFormat/>
    <w:rsid w:val="00E34913"/>
    <w:rPr>
      <w:lang w:val="en-GB"/>
    </w:rPr>
  </w:style>
  <w:style w:type="paragraph" w:styleId="Revision">
    <w:name w:val="Revision"/>
    <w:hidden/>
    <w:uiPriority w:val="99"/>
    <w:semiHidden/>
    <w:rsid w:val="0076411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documentManagement/types"/>
    <ds:schemaRef ds:uri="http://purl.org/dc/elements/1.1/"/>
    <ds:schemaRef ds:uri="http://schemas.microsoft.com/office/2006/metadata/properties"/>
    <ds:schemaRef ds:uri="acccb6d4-dbe5-46d2-b4d3-5733603d8cc6"/>
    <ds:schemaRef ds:uri="http://schemas.openxmlformats.org/package/2006/metadata/core-properties"/>
    <ds:schemaRef ds:uri="4b4a1c0d-4a69-4996-a84a-fc699b9f49de"/>
    <ds:schemaRef ds:uri="http://schemas.microsoft.com/office/infopath/2007/PartnerControls"/>
    <ds:schemaRef ds:uri="http://purl.org/dc/terms/"/>
    <ds:schemaRef ds:uri="985ec44e-1bab-4c0b-9df0-6ba128686fc9"/>
    <ds:schemaRef ds:uri="http://www.w3.org/XML/1998/namespace"/>
    <ds:schemaRef ds:uri="http://purl.org/dc/dcmitype/"/>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4E023031-A871-4639-AFB4-8F3C0838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11</TotalTime>
  <Pages>3</Pages>
  <Words>718</Words>
  <Characters>4098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ECE/TRANS/WP.29/GRSP/2024/25</vt:lpstr>
      <vt:lpstr/>
    </vt:vector>
  </TitlesOfParts>
  <Company>CSD</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ECE/TRANS/WP.29/GRSP/2024/25</dc:title>
  <dc:creator>Edoardo Gianotti</dc:creator>
  <cp:lastModifiedBy>Benedicte Boudol</cp:lastModifiedBy>
  <cp:revision>5</cp:revision>
  <cp:lastPrinted>2024-09-13T14:05:00Z</cp:lastPrinted>
  <dcterms:created xsi:type="dcterms:W3CDTF">2024-09-13T14:05:00Z</dcterms:created>
  <dcterms:modified xsi:type="dcterms:W3CDTF">2024-09-17T12:51:00Z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