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551AB2" w14:paraId="3DE9832D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A197F15" w14:textId="77777777" w:rsidR="00F35BAF" w:rsidRPr="00551AB2" w:rsidRDefault="00F35BAF" w:rsidP="006078E5">
            <w:pPr>
              <w:rPr>
                <w:lang w:val="fr-CH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F2D14C1" w14:textId="77777777" w:rsidR="00F35BAF" w:rsidRPr="00551AB2" w:rsidRDefault="00F35BAF" w:rsidP="00C97039">
            <w:pPr>
              <w:spacing w:after="80" w:line="300" w:lineRule="exact"/>
              <w:rPr>
                <w:sz w:val="28"/>
                <w:lang w:val="fr-CH"/>
              </w:rPr>
            </w:pPr>
            <w:r w:rsidRPr="00551AB2">
              <w:rPr>
                <w:sz w:val="28"/>
                <w:lang w:val="fr-CH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F821EEE" w14:textId="5607E404" w:rsidR="00F35BAF" w:rsidRPr="00551AB2" w:rsidRDefault="006078E5" w:rsidP="006078E5">
            <w:pPr>
              <w:jc w:val="right"/>
              <w:rPr>
                <w:lang w:val="fr-CH"/>
              </w:rPr>
            </w:pPr>
            <w:r w:rsidRPr="00551AB2">
              <w:rPr>
                <w:sz w:val="40"/>
                <w:lang w:val="fr-CH"/>
              </w:rPr>
              <w:t>ECE</w:t>
            </w:r>
            <w:r w:rsidRPr="00551AB2">
              <w:rPr>
                <w:lang w:val="fr-CH"/>
              </w:rPr>
              <w:t>/TRANS/WP.29/2024/95</w:t>
            </w:r>
          </w:p>
        </w:tc>
      </w:tr>
      <w:tr w:rsidR="00F35BAF" w:rsidRPr="00551AB2" w14:paraId="59ACB145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25A32C9" w14:textId="77777777" w:rsidR="00F35BAF" w:rsidRPr="00551AB2" w:rsidRDefault="00F35BAF" w:rsidP="00C97039">
            <w:pPr>
              <w:spacing w:before="120"/>
              <w:jc w:val="center"/>
              <w:rPr>
                <w:lang w:val="fr-CH"/>
              </w:rPr>
            </w:pPr>
            <w:r w:rsidRPr="00551AB2">
              <w:rPr>
                <w:lang w:val="fr-CH" w:eastAsia="fr-CH"/>
              </w:rPr>
              <w:drawing>
                <wp:inline distT="0" distB="0" distL="0" distR="0" wp14:anchorId="7AD648A6" wp14:editId="09AE07E9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95B0FE8" w14:textId="77777777" w:rsidR="00F35BAF" w:rsidRPr="00551AB2" w:rsidRDefault="00F35BAF" w:rsidP="00C97039">
            <w:pPr>
              <w:spacing w:before="120" w:line="420" w:lineRule="exact"/>
              <w:rPr>
                <w:b/>
                <w:sz w:val="40"/>
                <w:szCs w:val="40"/>
                <w:lang w:val="fr-CH"/>
              </w:rPr>
            </w:pPr>
            <w:r w:rsidRPr="00551AB2">
              <w:rPr>
                <w:b/>
                <w:sz w:val="40"/>
                <w:szCs w:val="40"/>
                <w:lang w:val="fr-CH"/>
              </w:rPr>
              <w:t>Conseil économique 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A5F2642" w14:textId="77777777" w:rsidR="00F35BAF" w:rsidRPr="00551AB2" w:rsidRDefault="006078E5" w:rsidP="00C97039">
            <w:pPr>
              <w:spacing w:before="240"/>
              <w:rPr>
                <w:lang w:val="fr-CH"/>
              </w:rPr>
            </w:pPr>
            <w:r w:rsidRPr="00551AB2">
              <w:rPr>
                <w:lang w:val="fr-CH"/>
              </w:rPr>
              <w:t>Distr. générale</w:t>
            </w:r>
          </w:p>
          <w:p w14:paraId="0D757963" w14:textId="77777777" w:rsidR="006078E5" w:rsidRPr="00551AB2" w:rsidRDefault="006078E5" w:rsidP="006078E5">
            <w:pPr>
              <w:spacing w:line="240" w:lineRule="exact"/>
              <w:rPr>
                <w:lang w:val="fr-CH"/>
              </w:rPr>
            </w:pPr>
            <w:r w:rsidRPr="00551AB2">
              <w:rPr>
                <w:lang w:val="fr-CH"/>
              </w:rPr>
              <w:t>29 août 2024</w:t>
            </w:r>
          </w:p>
          <w:p w14:paraId="745F95A6" w14:textId="77777777" w:rsidR="006078E5" w:rsidRPr="00551AB2" w:rsidRDefault="006078E5" w:rsidP="006078E5">
            <w:pPr>
              <w:spacing w:line="240" w:lineRule="exact"/>
              <w:rPr>
                <w:lang w:val="fr-CH"/>
              </w:rPr>
            </w:pPr>
            <w:r w:rsidRPr="00551AB2">
              <w:rPr>
                <w:lang w:val="fr-CH"/>
              </w:rPr>
              <w:t>Français</w:t>
            </w:r>
          </w:p>
          <w:p w14:paraId="557DE450" w14:textId="2F8C284B" w:rsidR="006078E5" w:rsidRPr="00551AB2" w:rsidRDefault="006078E5" w:rsidP="006078E5">
            <w:pPr>
              <w:spacing w:line="240" w:lineRule="exact"/>
              <w:rPr>
                <w:lang w:val="fr-CH"/>
              </w:rPr>
            </w:pPr>
            <w:r w:rsidRPr="00551AB2">
              <w:rPr>
                <w:lang w:val="fr-CH"/>
              </w:rPr>
              <w:t>Original : anglais</w:t>
            </w:r>
          </w:p>
        </w:tc>
      </w:tr>
    </w:tbl>
    <w:p w14:paraId="51198699" w14:textId="77777777" w:rsidR="007F20FA" w:rsidRPr="00551AB2" w:rsidRDefault="007F20FA" w:rsidP="007F20FA">
      <w:pPr>
        <w:spacing w:before="120"/>
        <w:rPr>
          <w:b/>
          <w:sz w:val="28"/>
          <w:szCs w:val="28"/>
          <w:lang w:val="fr-CH"/>
        </w:rPr>
      </w:pPr>
      <w:r w:rsidRPr="00551AB2">
        <w:rPr>
          <w:b/>
          <w:sz w:val="28"/>
          <w:szCs w:val="28"/>
          <w:lang w:val="fr-CH"/>
        </w:rPr>
        <w:t>Commission économique pour l’Europe</w:t>
      </w:r>
    </w:p>
    <w:p w14:paraId="5B4D6FF3" w14:textId="77777777" w:rsidR="007F20FA" w:rsidRPr="00551AB2" w:rsidRDefault="007F20FA" w:rsidP="007F20FA">
      <w:pPr>
        <w:spacing w:before="120"/>
        <w:rPr>
          <w:sz w:val="28"/>
          <w:szCs w:val="28"/>
          <w:lang w:val="fr-CH"/>
        </w:rPr>
      </w:pPr>
      <w:r w:rsidRPr="00551AB2">
        <w:rPr>
          <w:sz w:val="28"/>
          <w:szCs w:val="28"/>
          <w:lang w:val="fr-CH"/>
        </w:rPr>
        <w:t>Comité des transports intérieurs</w:t>
      </w:r>
    </w:p>
    <w:p w14:paraId="416D0226" w14:textId="020C959D" w:rsidR="006078E5" w:rsidRPr="00551AB2" w:rsidRDefault="006078E5" w:rsidP="00551AB2">
      <w:pPr>
        <w:spacing w:before="120" w:after="120"/>
        <w:rPr>
          <w:b/>
          <w:sz w:val="24"/>
          <w:szCs w:val="24"/>
          <w:lang w:val="fr-CH"/>
        </w:rPr>
      </w:pPr>
      <w:r w:rsidRPr="00551AB2">
        <w:rPr>
          <w:b/>
          <w:sz w:val="24"/>
          <w:szCs w:val="24"/>
          <w:lang w:val="fr-CH"/>
        </w:rPr>
        <w:t>Forum mondial de l’harmonisation</w:t>
      </w:r>
      <w:r w:rsidR="00551AB2" w:rsidRPr="00551AB2">
        <w:rPr>
          <w:b/>
          <w:sz w:val="24"/>
          <w:szCs w:val="24"/>
          <w:lang w:val="fr-CH"/>
        </w:rPr>
        <w:t xml:space="preserve"> </w:t>
      </w:r>
      <w:r w:rsidRPr="00551AB2">
        <w:rPr>
          <w:b/>
          <w:sz w:val="24"/>
          <w:szCs w:val="24"/>
          <w:lang w:val="fr-CH"/>
        </w:rPr>
        <w:t xml:space="preserve">des Règlements </w:t>
      </w:r>
      <w:r w:rsidR="00551AB2" w:rsidRPr="00551AB2">
        <w:rPr>
          <w:b/>
          <w:sz w:val="24"/>
          <w:szCs w:val="24"/>
          <w:lang w:val="fr-CH"/>
        </w:rPr>
        <w:br/>
      </w:r>
      <w:r w:rsidRPr="00551AB2">
        <w:rPr>
          <w:b/>
          <w:sz w:val="24"/>
          <w:szCs w:val="24"/>
          <w:lang w:val="fr-CH"/>
        </w:rPr>
        <w:t>concernant les véhicules</w:t>
      </w:r>
    </w:p>
    <w:p w14:paraId="0DF8505D" w14:textId="77777777" w:rsidR="006078E5" w:rsidRPr="00551AB2" w:rsidRDefault="006078E5" w:rsidP="006078E5">
      <w:pPr>
        <w:ind w:right="1134"/>
        <w:rPr>
          <w:b/>
          <w:lang w:val="fr-CH"/>
        </w:rPr>
      </w:pPr>
      <w:r w:rsidRPr="00551AB2">
        <w:rPr>
          <w:b/>
          <w:bCs/>
          <w:lang w:val="fr-CH"/>
        </w:rPr>
        <w:t>194</w:t>
      </w:r>
      <w:r w:rsidRPr="00551AB2">
        <w:rPr>
          <w:b/>
          <w:bCs/>
          <w:vertAlign w:val="superscript"/>
          <w:lang w:val="fr-CH"/>
        </w:rPr>
        <w:t>e</w:t>
      </w:r>
      <w:r w:rsidRPr="00551AB2">
        <w:rPr>
          <w:b/>
          <w:bCs/>
          <w:lang w:val="fr-CH"/>
        </w:rPr>
        <w:t xml:space="preserve"> session</w:t>
      </w:r>
    </w:p>
    <w:p w14:paraId="0A2FAA20" w14:textId="77777777" w:rsidR="006078E5" w:rsidRPr="00551AB2" w:rsidRDefault="006078E5" w:rsidP="006078E5">
      <w:pPr>
        <w:ind w:right="1134"/>
        <w:rPr>
          <w:lang w:val="fr-CH"/>
        </w:rPr>
      </w:pPr>
      <w:r w:rsidRPr="00551AB2">
        <w:rPr>
          <w:lang w:val="fr-CH"/>
        </w:rPr>
        <w:t>Genève, 12-15 novembre 2024</w:t>
      </w:r>
    </w:p>
    <w:p w14:paraId="619E32CA" w14:textId="77777777" w:rsidR="006078E5" w:rsidRPr="00551AB2" w:rsidRDefault="006078E5" w:rsidP="006078E5">
      <w:pPr>
        <w:ind w:right="1134"/>
        <w:rPr>
          <w:bCs/>
          <w:lang w:val="fr-CH"/>
        </w:rPr>
      </w:pPr>
      <w:r w:rsidRPr="00551AB2">
        <w:rPr>
          <w:lang w:val="fr-CH"/>
        </w:rPr>
        <w:t>Point 4.6.6 de l’ordre du jour provisoire</w:t>
      </w:r>
    </w:p>
    <w:p w14:paraId="0D0F4CD2" w14:textId="77777777" w:rsidR="006078E5" w:rsidRPr="00551AB2" w:rsidRDefault="006078E5" w:rsidP="006078E5">
      <w:pPr>
        <w:ind w:right="1467"/>
        <w:rPr>
          <w:b/>
          <w:bCs/>
          <w:lang w:val="fr-CH"/>
        </w:rPr>
      </w:pPr>
      <w:r w:rsidRPr="00551AB2">
        <w:rPr>
          <w:b/>
          <w:bCs/>
          <w:lang w:val="fr-CH"/>
        </w:rPr>
        <w:t>Accord de 1958 :</w:t>
      </w:r>
    </w:p>
    <w:p w14:paraId="1F02DB2C" w14:textId="403D09AE" w:rsidR="006078E5" w:rsidRPr="00551AB2" w:rsidRDefault="006078E5" w:rsidP="006078E5">
      <w:pPr>
        <w:ind w:right="1467"/>
        <w:rPr>
          <w:b/>
          <w:bCs/>
          <w:lang w:val="fr-CH"/>
        </w:rPr>
      </w:pPr>
      <w:r w:rsidRPr="00551AB2">
        <w:rPr>
          <w:b/>
          <w:bCs/>
          <w:lang w:val="fr-CH"/>
        </w:rPr>
        <w:t xml:space="preserve">Examen de projets d’amendements à des Règlements ONU </w:t>
      </w:r>
      <w:r w:rsidR="00551AB2" w:rsidRPr="00551AB2">
        <w:rPr>
          <w:b/>
          <w:bCs/>
          <w:lang w:val="fr-CH"/>
        </w:rPr>
        <w:br/>
      </w:r>
      <w:r w:rsidRPr="00551AB2">
        <w:rPr>
          <w:b/>
          <w:bCs/>
          <w:lang w:val="fr-CH"/>
        </w:rPr>
        <w:t xml:space="preserve">existants soumis par le GRE </w:t>
      </w:r>
    </w:p>
    <w:p w14:paraId="4B9EFA61" w14:textId="36E10968" w:rsidR="006078E5" w:rsidRPr="00551AB2" w:rsidRDefault="006078E5" w:rsidP="00551AB2">
      <w:pPr>
        <w:pStyle w:val="HChG"/>
        <w:rPr>
          <w:lang w:val="fr-CH"/>
        </w:rPr>
      </w:pPr>
      <w:r w:rsidRPr="00551AB2">
        <w:rPr>
          <w:lang w:val="fr-CH"/>
        </w:rPr>
        <w:tab/>
      </w:r>
      <w:r w:rsidRPr="00551AB2">
        <w:rPr>
          <w:lang w:val="fr-CH"/>
        </w:rPr>
        <w:tab/>
        <w:t xml:space="preserve">Proposition de complément 3 à la série 01 d’amendements </w:t>
      </w:r>
      <w:r w:rsidR="00551AB2" w:rsidRPr="00551AB2">
        <w:rPr>
          <w:lang w:val="fr-CH"/>
        </w:rPr>
        <w:br/>
      </w:r>
      <w:r w:rsidRPr="00551AB2">
        <w:rPr>
          <w:lang w:val="fr-CH"/>
        </w:rPr>
        <w:t>au Règlement ONU n</w:t>
      </w:r>
      <w:r w:rsidRPr="00551AB2">
        <w:rPr>
          <w:vertAlign w:val="superscript"/>
          <w:lang w:val="fr-CH"/>
        </w:rPr>
        <w:t>o</w:t>
      </w:r>
      <w:r w:rsidRPr="00551AB2">
        <w:rPr>
          <w:lang w:val="fr-CH"/>
        </w:rPr>
        <w:t> 148 (Dispositifs de signalisation lumineuse)</w:t>
      </w:r>
    </w:p>
    <w:p w14:paraId="2CF83B73" w14:textId="022957D4" w:rsidR="006078E5" w:rsidRPr="00551AB2" w:rsidRDefault="006078E5" w:rsidP="00551AB2">
      <w:pPr>
        <w:pStyle w:val="H1G"/>
        <w:rPr>
          <w:szCs w:val="24"/>
          <w:lang w:val="fr-CH"/>
        </w:rPr>
      </w:pPr>
      <w:r w:rsidRPr="00551AB2">
        <w:rPr>
          <w:lang w:val="fr-CH"/>
        </w:rPr>
        <w:tab/>
      </w:r>
      <w:r w:rsidRPr="00551AB2">
        <w:rPr>
          <w:lang w:val="fr-CH"/>
        </w:rPr>
        <w:tab/>
        <w:t>Communication du</w:t>
      </w:r>
      <w:r w:rsidRPr="00551AB2">
        <w:rPr>
          <w:sz w:val="20"/>
          <w:lang w:val="fr-CH"/>
        </w:rPr>
        <w:t xml:space="preserve"> </w:t>
      </w:r>
      <w:r w:rsidRPr="00551AB2">
        <w:rPr>
          <w:lang w:val="fr-CH"/>
        </w:rPr>
        <w:t xml:space="preserve">Groupe de travail de l’éclairage </w:t>
      </w:r>
      <w:r w:rsidR="00551AB2" w:rsidRPr="00551AB2">
        <w:rPr>
          <w:lang w:val="fr-CH"/>
        </w:rPr>
        <w:br/>
      </w:r>
      <w:r w:rsidRPr="00551AB2">
        <w:rPr>
          <w:lang w:val="fr-CH"/>
        </w:rPr>
        <w:t>et de la signalisation lumineuse</w:t>
      </w:r>
      <w:r w:rsidRPr="00551AB2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4A0D66F2" w14:textId="3C0B5180" w:rsidR="006078E5" w:rsidRPr="00551AB2" w:rsidRDefault="006078E5" w:rsidP="006078E5">
      <w:pPr>
        <w:pStyle w:val="SingleTxtG"/>
        <w:ind w:firstLine="567"/>
        <w:rPr>
          <w:lang w:val="fr-CH"/>
        </w:rPr>
      </w:pPr>
      <w:r w:rsidRPr="00551AB2">
        <w:rPr>
          <w:lang w:val="fr-CH"/>
        </w:rPr>
        <w:footnoteReference w:customMarkFollows="1" w:id="3"/>
        <w:t>Le texte ci-après, adopté par le Groupe de travail de l’éclairage et de la signalisation lumineuse (GRE) à sa quatre-vingt-dixième session (ECE/TRANS/WP.29/GRE/90, par.</w:t>
      </w:r>
      <w:r w:rsidR="00551AB2" w:rsidRPr="00551AB2">
        <w:rPr>
          <w:lang w:val="fr-CH"/>
        </w:rPr>
        <w:t> </w:t>
      </w:r>
      <w:r w:rsidRPr="00551AB2">
        <w:rPr>
          <w:lang w:val="fr-CH"/>
        </w:rPr>
        <w:t>22), est fondé sur le document ECE/TRANS/WP.29/GRE/2024/6, tel que modifié par le document informel GRE-90-39.</w:t>
      </w:r>
      <w:r w:rsidRPr="00551AB2">
        <w:rPr>
          <w:rFonts w:ascii="Roboto" w:hAnsi="Roboto"/>
          <w:color w:val="212529"/>
          <w:sz w:val="18"/>
          <w:szCs w:val="18"/>
          <w:shd w:val="clear" w:color="auto" w:fill="F8F7F7"/>
          <w:lang w:val="fr-CH"/>
        </w:rPr>
        <w:t xml:space="preserve"> </w:t>
      </w:r>
      <w:r w:rsidRPr="00551AB2">
        <w:rPr>
          <w:lang w:val="fr-CH"/>
        </w:rPr>
        <w:t>Il est soumis au Forum mondial de l’harmonisation des Règlements concernant les véhicules (WP.29) et au Comité d’administration de l’Accord de 1958 (AC.1) pour examen à leurs sessions de novembre 2024.</w:t>
      </w:r>
    </w:p>
    <w:p w14:paraId="7F332648" w14:textId="77777777" w:rsidR="006078E5" w:rsidRPr="00551AB2" w:rsidRDefault="006078E5" w:rsidP="006078E5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CH"/>
        </w:rPr>
      </w:pPr>
      <w:r w:rsidRPr="00551AB2">
        <w:rPr>
          <w:lang w:val="fr-CH"/>
        </w:rPr>
        <w:br w:type="page"/>
      </w:r>
    </w:p>
    <w:p w14:paraId="68508639" w14:textId="77777777" w:rsidR="006078E5" w:rsidRPr="00551AB2" w:rsidRDefault="006078E5" w:rsidP="006078E5">
      <w:pPr>
        <w:pStyle w:val="SingleTxtG"/>
        <w:rPr>
          <w:lang w:val="fr-CH"/>
        </w:rPr>
      </w:pPr>
      <w:r w:rsidRPr="00551AB2">
        <w:rPr>
          <w:i/>
          <w:iCs/>
          <w:lang w:val="fr-CH"/>
        </w:rPr>
        <w:lastRenderedPageBreak/>
        <w:t>Paragraphe 5.4.1</w:t>
      </w:r>
      <w:r w:rsidRPr="00551AB2">
        <w:rPr>
          <w:lang w:val="fr-CH"/>
        </w:rPr>
        <w:t>, lire :</w:t>
      </w:r>
    </w:p>
    <w:p w14:paraId="743A3276" w14:textId="77777777" w:rsidR="006078E5" w:rsidRPr="00551AB2" w:rsidRDefault="006078E5" w:rsidP="00551AB2">
      <w:pPr>
        <w:pStyle w:val="SingleTxtG"/>
        <w:tabs>
          <w:tab w:val="clear" w:pos="1701"/>
        </w:tabs>
        <w:ind w:left="2268" w:hanging="1134"/>
        <w:rPr>
          <w:lang w:val="fr-CH"/>
        </w:rPr>
      </w:pPr>
      <w:bookmarkStart w:id="0" w:name="_Hlk127515917"/>
      <w:r w:rsidRPr="00551AB2">
        <w:rPr>
          <w:lang w:val="fr-CH"/>
        </w:rPr>
        <w:t>« 5.4.1</w:t>
      </w:r>
      <w:r w:rsidRPr="00551AB2">
        <w:rPr>
          <w:lang w:val="fr-CH"/>
        </w:rPr>
        <w:tab/>
        <w:t xml:space="preserve">Intensité lumineuse et répartition normalisée de la lumière : </w:t>
      </w:r>
    </w:p>
    <w:p w14:paraId="77AEDF6F" w14:textId="77777777" w:rsidR="006078E5" w:rsidRPr="00551AB2" w:rsidRDefault="006078E5" w:rsidP="00551AB2">
      <w:pPr>
        <w:pStyle w:val="SingleTxtG"/>
        <w:ind w:left="2268"/>
        <w:rPr>
          <w:lang w:val="fr-CH"/>
        </w:rPr>
      </w:pPr>
      <w:r w:rsidRPr="00551AB2">
        <w:rPr>
          <w:lang w:val="fr-CH"/>
        </w:rPr>
        <w:t xml:space="preserve">La lumière émise par chacun des deux échantillons fournis doit satisfaire aux prescriptions du tableau 6. </w:t>
      </w:r>
    </w:p>
    <w:p w14:paraId="0ABEAE39" w14:textId="77777777" w:rsidR="006078E5" w:rsidRPr="00551AB2" w:rsidRDefault="006078E5" w:rsidP="006078E5">
      <w:pPr>
        <w:pStyle w:val="Titre1"/>
        <w:spacing w:before="120" w:after="120"/>
        <w:ind w:left="0"/>
        <w:rPr>
          <w:rStyle w:val="Carpredefinitoparagrafo1"/>
          <w:b/>
          <w:bCs/>
          <w:lang w:val="fr-CH"/>
        </w:rPr>
      </w:pPr>
      <w:r w:rsidRPr="00551AB2">
        <w:rPr>
          <w:lang w:val="fr-CH"/>
        </w:rPr>
        <w:t>Tableau 6</w:t>
      </w:r>
      <w:r w:rsidRPr="00551AB2">
        <w:rPr>
          <w:lang w:val="fr-CH"/>
        </w:rPr>
        <w:br/>
      </w:r>
      <w:r w:rsidRPr="00551AB2">
        <w:rPr>
          <w:b/>
          <w:bCs/>
          <w:lang w:val="fr-CH"/>
        </w:rPr>
        <w:t>Intensité lumineuse des feux de circulation diurne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1580"/>
        <w:gridCol w:w="1245"/>
        <w:gridCol w:w="1284"/>
        <w:gridCol w:w="1483"/>
        <w:gridCol w:w="1246"/>
        <w:gridCol w:w="1284"/>
      </w:tblGrid>
      <w:tr w:rsidR="006078E5" w:rsidRPr="00551AB2" w14:paraId="3FDF3741" w14:textId="77777777" w:rsidTr="0051351E">
        <w:trPr>
          <w:cantSplit/>
        </w:trPr>
        <w:tc>
          <w:tcPr>
            <w:tcW w:w="133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E6ECA" w14:textId="77777777" w:rsidR="006078E5" w:rsidRPr="00551AB2" w:rsidRDefault="006078E5" w:rsidP="00551AB2">
            <w:pPr>
              <w:keepNext/>
              <w:spacing w:before="80" w:after="80" w:line="200" w:lineRule="exact"/>
              <w:ind w:left="57" w:right="57"/>
              <w:rPr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Feu de circulation diurne</w:t>
            </w:r>
          </w:p>
        </w:tc>
        <w:tc>
          <w:tcPr>
            <w:tcW w:w="1396" w:type="dxa"/>
            <w:vMerge w:val="restart"/>
            <w:shd w:val="clear" w:color="auto" w:fill="auto"/>
            <w:vAlign w:val="bottom"/>
          </w:tcPr>
          <w:p w14:paraId="205D0A0F" w14:textId="73B227E7" w:rsidR="006078E5" w:rsidRPr="00551AB2" w:rsidRDefault="006078E5" w:rsidP="00551AB2">
            <w:pPr>
              <w:keepNext/>
              <w:spacing w:before="80" w:after="80" w:line="200" w:lineRule="exact"/>
              <w:ind w:left="57" w:right="57"/>
              <w:jc w:val="right"/>
              <w:rPr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Intensité lumineuse</w:t>
            </w:r>
            <w:r w:rsidR="00551AB2"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br/>
            </w: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minimale en cd</w:t>
            </w:r>
            <w:r w:rsidR="00551AB2"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br/>
            </w: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(par.</w:t>
            </w:r>
            <w:r w:rsidR="00551AB2"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 </w:t>
            </w: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4.8.3.1 a))</w:t>
            </w:r>
          </w:p>
        </w:tc>
        <w:tc>
          <w:tcPr>
            <w:tcW w:w="22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7B0A6" w14:textId="77777777" w:rsidR="006078E5" w:rsidRPr="00551AB2" w:rsidRDefault="006078E5" w:rsidP="00551AB2">
            <w:pPr>
              <w:keepNext/>
              <w:spacing w:before="80" w:after="80" w:line="200" w:lineRule="exact"/>
              <w:ind w:left="57" w:right="57"/>
              <w:jc w:val="center"/>
              <w:rPr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 xml:space="preserve">Intensité lumineuse maximale </w:t>
            </w: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br/>
              <w:t>(en cd) lorsque le feu est utilisé</w:t>
            </w: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br/>
              <w:t>(par. 4.8.3.1 b))</w:t>
            </w:r>
          </w:p>
        </w:tc>
        <w:tc>
          <w:tcPr>
            <w:tcW w:w="13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A9EB" w14:textId="62463A9B" w:rsidR="006078E5" w:rsidRPr="00551AB2" w:rsidRDefault="006078E5" w:rsidP="00551AB2">
            <w:pPr>
              <w:keepNext/>
              <w:spacing w:before="80" w:after="80" w:line="200" w:lineRule="exact"/>
              <w:ind w:left="57" w:right="57"/>
              <w:jc w:val="right"/>
              <w:rPr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Répartition normalisée de la lumière</w:t>
            </w: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br/>
              <w:t>(par. 4.8.3.1 c))</w:t>
            </w:r>
          </w:p>
        </w:tc>
        <w:tc>
          <w:tcPr>
            <w:tcW w:w="22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37F80" w14:textId="77777777" w:rsidR="006078E5" w:rsidRPr="00551AB2" w:rsidRDefault="006078E5" w:rsidP="00551AB2">
            <w:pPr>
              <w:keepNext/>
              <w:spacing w:before="80" w:after="80" w:line="200" w:lineRule="exact"/>
              <w:ind w:left="57" w:right="57"/>
              <w:jc w:val="center"/>
              <w:rPr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Angles de visibilité géométrique</w:t>
            </w: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br/>
              <w:t>(par. 4.8.3.1 d))</w:t>
            </w:r>
          </w:p>
        </w:tc>
      </w:tr>
      <w:tr w:rsidR="006078E5" w:rsidRPr="00551AB2" w14:paraId="371A718B" w14:textId="77777777" w:rsidTr="0051351E">
        <w:trPr>
          <w:cantSplit/>
          <w:trHeight w:val="860"/>
        </w:trPr>
        <w:tc>
          <w:tcPr>
            <w:tcW w:w="133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785DD" w14:textId="77777777" w:rsidR="006078E5" w:rsidRPr="00551AB2" w:rsidRDefault="006078E5" w:rsidP="00551AB2">
            <w:pPr>
              <w:pStyle w:val="Normale1"/>
              <w:keepNext/>
              <w:spacing w:before="80" w:after="80" w:line="200" w:lineRule="exact"/>
              <w:ind w:left="57" w:right="57"/>
              <w:jc w:val="center"/>
              <w:rPr>
                <w:b/>
                <w:bCs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14:paraId="45B7538A" w14:textId="77777777" w:rsidR="006078E5" w:rsidRPr="00551AB2" w:rsidRDefault="006078E5" w:rsidP="00551AB2">
            <w:pPr>
              <w:pStyle w:val="Normale1"/>
              <w:keepNext/>
              <w:spacing w:before="80" w:after="80" w:line="200" w:lineRule="exact"/>
              <w:ind w:left="57" w:right="57"/>
              <w:jc w:val="center"/>
              <w:rPr>
                <w:b/>
                <w:bCs/>
                <w:i/>
                <w:iCs/>
                <w:sz w:val="18"/>
                <w:szCs w:val="18"/>
                <w:lang w:val="fr-CH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B079" w14:textId="77777777" w:rsidR="006078E5" w:rsidRPr="00551AB2" w:rsidRDefault="006078E5" w:rsidP="00551AB2">
            <w:pPr>
              <w:keepNext/>
              <w:spacing w:before="80" w:after="80" w:line="200" w:lineRule="exact"/>
              <w:ind w:left="57" w:right="57"/>
              <w:jc w:val="right"/>
              <w:rPr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Comme feu simple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AD58A" w14:textId="71DA6449" w:rsidR="006078E5" w:rsidRPr="00551AB2" w:rsidRDefault="006078E5" w:rsidP="00551AB2">
            <w:pPr>
              <w:keepNext/>
              <w:spacing w:before="80" w:after="80" w:line="200" w:lineRule="exact"/>
              <w:ind w:left="57" w:right="57"/>
              <w:jc w:val="right"/>
              <w:rPr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 xml:space="preserve">Comme feu portant la marque </w:t>
            </w:r>
            <w:r w:rsidR="00551AB2"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“</w:t>
            </w: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D</w:t>
            </w:r>
            <w:r w:rsidR="00551AB2"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”</w:t>
            </w:r>
            <w:r w:rsidR="00551AB2"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br/>
            </w: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(par. 3.3.2.5.2)</w:t>
            </w:r>
          </w:p>
        </w:tc>
        <w:tc>
          <w:tcPr>
            <w:tcW w:w="131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F0931" w14:textId="77777777" w:rsidR="006078E5" w:rsidRPr="00551AB2" w:rsidRDefault="006078E5" w:rsidP="00551AB2">
            <w:pPr>
              <w:pStyle w:val="Normale1"/>
              <w:keepNext/>
              <w:spacing w:before="80" w:after="80" w:line="200" w:lineRule="exact"/>
              <w:ind w:left="57" w:right="57"/>
              <w:jc w:val="center"/>
              <w:rPr>
                <w:b/>
                <w:bCs/>
                <w:i/>
                <w:iCs/>
                <w:sz w:val="16"/>
                <w:szCs w:val="16"/>
                <w:lang w:val="fr-CH"/>
              </w:rPr>
            </w:pPr>
          </w:p>
        </w:tc>
        <w:tc>
          <w:tcPr>
            <w:tcW w:w="1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07299" w14:textId="77777777" w:rsidR="006078E5" w:rsidRPr="00551AB2" w:rsidRDefault="006078E5" w:rsidP="00551AB2">
            <w:pPr>
              <w:pStyle w:val="Normale1"/>
              <w:keepNext/>
              <w:spacing w:before="80" w:after="80" w:line="200" w:lineRule="exact"/>
              <w:ind w:left="57" w:right="57"/>
              <w:jc w:val="right"/>
              <w:rPr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Définition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90A3C" w14:textId="77777777" w:rsidR="006078E5" w:rsidRPr="00551AB2" w:rsidRDefault="006078E5" w:rsidP="00551AB2">
            <w:pPr>
              <w:pStyle w:val="Normale1"/>
              <w:keepNext/>
              <w:spacing w:before="80" w:after="80" w:line="200" w:lineRule="exact"/>
              <w:ind w:left="57" w:right="57"/>
              <w:jc w:val="right"/>
              <w:rPr>
                <w:rStyle w:val="Carpredefinitoparagrafo1"/>
                <w:b/>
                <w:bCs/>
                <w:i/>
                <w:iCs/>
                <w:sz w:val="16"/>
                <w:szCs w:val="16"/>
                <w:shd w:val="clear" w:color="auto" w:fill="FFFF00"/>
                <w:lang w:val="fr-CH"/>
              </w:rPr>
            </w:pPr>
            <w:r w:rsidRPr="00551AB2">
              <w:rPr>
                <w:b/>
                <w:bCs/>
                <w:i/>
                <w:iCs/>
                <w:sz w:val="16"/>
                <w:szCs w:val="16"/>
                <w:lang w:val="fr-CH"/>
              </w:rPr>
              <w:t>Intensité lumineuse minimale en cd</w:t>
            </w:r>
          </w:p>
        </w:tc>
      </w:tr>
      <w:tr w:rsidR="006078E5" w:rsidRPr="00551AB2" w14:paraId="2BCCD9C6" w14:textId="77777777" w:rsidTr="0051351E">
        <w:trPr>
          <w:cantSplit/>
        </w:trPr>
        <w:tc>
          <w:tcPr>
            <w:tcW w:w="13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2C1DB" w14:textId="77777777" w:rsidR="006078E5" w:rsidRPr="00551AB2" w:rsidRDefault="006078E5" w:rsidP="0051351E">
            <w:pPr>
              <w:keepNext/>
              <w:spacing w:before="120" w:after="120"/>
              <w:ind w:left="57" w:right="57"/>
              <w:rPr>
                <w:sz w:val="18"/>
                <w:szCs w:val="18"/>
                <w:lang w:val="fr-CH"/>
              </w:rPr>
            </w:pPr>
            <w:r w:rsidRPr="00551AB2">
              <w:rPr>
                <w:sz w:val="18"/>
                <w:szCs w:val="18"/>
                <w:lang w:val="fr-CH"/>
              </w:rPr>
              <w:t>RL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B8AA" w14:textId="77777777" w:rsidR="006078E5" w:rsidRPr="00551AB2" w:rsidRDefault="006078E5" w:rsidP="0051351E">
            <w:pPr>
              <w:keepNext/>
              <w:spacing w:before="120" w:after="120"/>
              <w:ind w:left="57" w:right="57"/>
              <w:jc w:val="right"/>
              <w:rPr>
                <w:sz w:val="18"/>
                <w:szCs w:val="18"/>
                <w:lang w:val="fr-CH"/>
              </w:rPr>
            </w:pPr>
            <w:r w:rsidRPr="00551AB2">
              <w:rPr>
                <w:sz w:val="18"/>
                <w:szCs w:val="18"/>
                <w:lang w:val="fr-CH"/>
              </w:rPr>
              <w:t>4,00∙10</w:t>
            </w:r>
            <w:r w:rsidRPr="00551AB2">
              <w:rPr>
                <w:sz w:val="18"/>
                <w:szCs w:val="18"/>
                <w:vertAlign w:val="superscript"/>
                <w:lang w:val="fr-CH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1DE3" w14:textId="77777777" w:rsidR="006078E5" w:rsidRPr="00551AB2" w:rsidRDefault="006078E5" w:rsidP="0051351E">
            <w:pPr>
              <w:keepNext/>
              <w:spacing w:before="120" w:after="120"/>
              <w:ind w:left="57" w:right="57"/>
              <w:jc w:val="right"/>
              <w:rPr>
                <w:sz w:val="18"/>
                <w:szCs w:val="18"/>
                <w:lang w:val="fr-CH"/>
              </w:rPr>
            </w:pPr>
            <w:r w:rsidRPr="00551AB2">
              <w:rPr>
                <w:sz w:val="18"/>
                <w:szCs w:val="18"/>
                <w:lang w:val="fr-CH"/>
              </w:rPr>
              <w:t>1,20∙10</w:t>
            </w:r>
            <w:r w:rsidRPr="00551AB2">
              <w:rPr>
                <w:sz w:val="18"/>
                <w:szCs w:val="18"/>
                <w:vertAlign w:val="superscript"/>
                <w:lang w:val="fr-CH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55EC" w14:textId="77777777" w:rsidR="006078E5" w:rsidRPr="00551AB2" w:rsidRDefault="006078E5" w:rsidP="0051351E">
            <w:pPr>
              <w:keepNext/>
              <w:spacing w:before="120" w:after="120"/>
              <w:ind w:left="57" w:right="57"/>
              <w:jc w:val="right"/>
              <w:rPr>
                <w:sz w:val="18"/>
                <w:szCs w:val="18"/>
                <w:lang w:val="fr-CH"/>
              </w:rPr>
            </w:pPr>
            <w:r w:rsidRPr="00551AB2">
              <w:rPr>
                <w:sz w:val="18"/>
                <w:szCs w:val="18"/>
                <w:lang w:val="fr-CH"/>
              </w:rPr>
              <w:t>6,00∙10²</w:t>
            </w:r>
          </w:p>
        </w:tc>
        <w:tc>
          <w:tcPr>
            <w:tcW w:w="1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80B03" w14:textId="77777777" w:rsidR="006078E5" w:rsidRPr="00551AB2" w:rsidRDefault="006078E5" w:rsidP="0051351E">
            <w:pPr>
              <w:keepNext/>
              <w:spacing w:before="120" w:after="120"/>
              <w:ind w:left="57" w:right="57"/>
              <w:jc w:val="right"/>
              <w:rPr>
                <w:sz w:val="18"/>
                <w:szCs w:val="18"/>
                <w:lang w:val="fr-CH"/>
              </w:rPr>
            </w:pPr>
            <w:r w:rsidRPr="00551AB2">
              <w:rPr>
                <w:sz w:val="18"/>
                <w:szCs w:val="18"/>
                <w:lang w:val="fr-CH"/>
              </w:rPr>
              <w:t>Figure A3-II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B487C" w14:textId="77777777" w:rsidR="006078E5" w:rsidRPr="00551AB2" w:rsidRDefault="006078E5" w:rsidP="0051351E">
            <w:pPr>
              <w:keepNext/>
              <w:spacing w:before="120" w:after="120"/>
              <w:ind w:left="57" w:right="57"/>
              <w:jc w:val="right"/>
              <w:rPr>
                <w:sz w:val="18"/>
                <w:szCs w:val="18"/>
                <w:lang w:val="fr-CH"/>
              </w:rPr>
            </w:pPr>
            <w:r w:rsidRPr="00551AB2">
              <w:rPr>
                <w:sz w:val="18"/>
                <w:szCs w:val="18"/>
                <w:lang w:val="fr-CH"/>
              </w:rPr>
              <w:t>Tableau A2-1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88115" w14:textId="77777777" w:rsidR="006078E5" w:rsidRPr="00551AB2" w:rsidRDefault="006078E5" w:rsidP="0051351E">
            <w:pPr>
              <w:keepNext/>
              <w:spacing w:before="120" w:after="120"/>
              <w:ind w:left="57" w:right="57"/>
              <w:jc w:val="right"/>
              <w:rPr>
                <w:sz w:val="18"/>
                <w:szCs w:val="18"/>
                <w:lang w:val="fr-CH"/>
              </w:rPr>
            </w:pPr>
            <w:r w:rsidRPr="00551AB2">
              <w:rPr>
                <w:sz w:val="18"/>
                <w:szCs w:val="18"/>
                <w:lang w:val="fr-CH"/>
              </w:rPr>
              <w:t>1,0∙10</w:t>
            </w:r>
            <w:r w:rsidRPr="00551AB2">
              <w:rPr>
                <w:sz w:val="18"/>
                <w:szCs w:val="18"/>
                <w:vertAlign w:val="superscript"/>
                <w:lang w:val="fr-CH"/>
              </w:rPr>
              <w:t>0</w:t>
            </w:r>
          </w:p>
        </w:tc>
      </w:tr>
    </w:tbl>
    <w:p w14:paraId="6CCB3DEB" w14:textId="00FB455F" w:rsidR="006078E5" w:rsidRPr="00551AB2" w:rsidRDefault="006078E5" w:rsidP="00551AB2">
      <w:pPr>
        <w:pStyle w:val="SingleTxtG"/>
        <w:tabs>
          <w:tab w:val="clear" w:pos="1701"/>
        </w:tabs>
        <w:spacing w:before="240"/>
        <w:ind w:left="2268" w:hanging="1134"/>
        <w:rPr>
          <w:i/>
          <w:iCs/>
          <w:lang w:val="fr-CH"/>
        </w:rPr>
      </w:pPr>
      <w:r w:rsidRPr="00551AB2">
        <w:rPr>
          <w:bCs/>
          <w:lang w:val="fr-CH"/>
        </w:rPr>
        <w:t>5.4.1.1</w:t>
      </w:r>
      <w:r w:rsidRPr="00551AB2">
        <w:rPr>
          <w:lang w:val="fr-CH"/>
        </w:rPr>
        <w:tab/>
      </w:r>
      <w:r w:rsidRPr="00551AB2">
        <w:rPr>
          <w:bCs/>
          <w:lang w:val="fr-CH"/>
        </w:rPr>
        <w:t>Si l’intensité lumineuse du feu de circulation diurne est destinée à être réduite, conformément aux prescriptions applicables énoncées au paragraphe</w:t>
      </w:r>
      <w:r w:rsidR="00551AB2" w:rsidRPr="00551AB2">
        <w:rPr>
          <w:bCs/>
          <w:lang w:val="fr-CH"/>
        </w:rPr>
        <w:t> </w:t>
      </w:r>
      <w:r w:rsidRPr="00551AB2">
        <w:rPr>
          <w:lang w:val="fr-CH"/>
        </w:rPr>
        <w:t>6.19.7 de la série</w:t>
      </w:r>
      <w:r w:rsidR="00551AB2" w:rsidRPr="00551AB2">
        <w:rPr>
          <w:lang w:val="fr-CH"/>
        </w:rPr>
        <w:t> </w:t>
      </w:r>
      <w:r w:rsidRPr="00551AB2">
        <w:rPr>
          <w:lang w:val="fr-CH"/>
        </w:rPr>
        <w:t>08 d’amendements ou de l’une quelconque des séries ultérieures d’amendements au Règlement ONU n</w:t>
      </w:r>
      <w:r w:rsidRPr="00551AB2">
        <w:rPr>
          <w:vertAlign w:val="superscript"/>
          <w:lang w:val="fr-CH"/>
        </w:rPr>
        <w:t>o</w:t>
      </w:r>
      <w:r w:rsidRPr="00551AB2">
        <w:rPr>
          <w:lang w:val="fr-CH"/>
        </w:rPr>
        <w:t> 48</w:t>
      </w:r>
      <w:r w:rsidRPr="00551AB2">
        <w:rPr>
          <w:bCs/>
          <w:lang w:val="fr-CH"/>
        </w:rPr>
        <w:t>, l’intensité lumineuse maximale théorique réduite ne doit pas dépasser 1,40∙10</w:t>
      </w:r>
      <w:r w:rsidRPr="00551AB2">
        <w:rPr>
          <w:bCs/>
          <w:vertAlign w:val="superscript"/>
          <w:lang w:val="fr-CH"/>
        </w:rPr>
        <w:t>2</w:t>
      </w:r>
      <w:r w:rsidRPr="00551AB2">
        <w:rPr>
          <w:bCs/>
          <w:lang w:val="fr-CH"/>
        </w:rPr>
        <w:t> cd.</w:t>
      </w:r>
      <w:r w:rsidRPr="00551AB2">
        <w:rPr>
          <w:lang w:val="fr-CH"/>
        </w:rPr>
        <w:t> ».</w:t>
      </w:r>
      <w:bookmarkStart w:id="1" w:name="_Hlk151641957"/>
      <w:bookmarkEnd w:id="0"/>
      <w:bookmarkEnd w:id="1"/>
    </w:p>
    <w:p w14:paraId="4C135B07" w14:textId="77777777" w:rsidR="006078E5" w:rsidRPr="00551AB2" w:rsidRDefault="006078E5" w:rsidP="006078E5">
      <w:pPr>
        <w:pStyle w:val="SingleTxtG"/>
        <w:rPr>
          <w:i/>
          <w:iCs/>
          <w:lang w:val="fr-CH"/>
        </w:rPr>
      </w:pPr>
      <w:r w:rsidRPr="00551AB2">
        <w:rPr>
          <w:i/>
          <w:iCs/>
          <w:lang w:val="fr-CH"/>
        </w:rPr>
        <w:t>Annexe 1</w:t>
      </w:r>
      <w:r w:rsidRPr="00551AB2">
        <w:rPr>
          <w:lang w:val="fr-CH"/>
        </w:rPr>
        <w:t xml:space="preserve">, </w:t>
      </w:r>
    </w:p>
    <w:p w14:paraId="1D9802B9" w14:textId="77777777" w:rsidR="006078E5" w:rsidRPr="00551AB2" w:rsidRDefault="006078E5" w:rsidP="006078E5">
      <w:pPr>
        <w:pStyle w:val="SingleTxtG"/>
        <w:rPr>
          <w:lang w:val="fr-CH"/>
        </w:rPr>
      </w:pPr>
      <w:r w:rsidRPr="00551AB2">
        <w:rPr>
          <w:i/>
          <w:iCs/>
          <w:lang w:val="fr-CH"/>
        </w:rPr>
        <w:t>Point 9.1.5</w:t>
      </w:r>
      <w:r w:rsidRPr="00551AB2">
        <w:rPr>
          <w:lang w:val="fr-CH"/>
        </w:rPr>
        <w:t>, lire :</w:t>
      </w:r>
    </w:p>
    <w:p w14:paraId="6BAD2B40" w14:textId="77777777" w:rsidR="006078E5" w:rsidRPr="00551AB2" w:rsidRDefault="006078E5" w:rsidP="00551AB2">
      <w:pPr>
        <w:pStyle w:val="SingleTxtG"/>
        <w:tabs>
          <w:tab w:val="clear" w:pos="1701"/>
        </w:tabs>
        <w:ind w:left="2268" w:hanging="1134"/>
        <w:rPr>
          <w:lang w:val="fr-CH"/>
        </w:rPr>
      </w:pPr>
      <w:r w:rsidRPr="00551AB2">
        <w:rPr>
          <w:lang w:val="fr-CH"/>
        </w:rPr>
        <w:t>« 9.1.5</w:t>
      </w:r>
      <w:r w:rsidRPr="00551AB2">
        <w:rPr>
          <w:lang w:val="fr-CH"/>
        </w:rPr>
        <w:tab/>
        <w:t>Feu de circulation diurne :</w:t>
      </w:r>
    </w:p>
    <w:p w14:paraId="6D61315B" w14:textId="77777777" w:rsidR="006078E5" w:rsidRPr="00551AB2" w:rsidRDefault="006078E5" w:rsidP="00551AB2">
      <w:pPr>
        <w:pStyle w:val="SingleTxtG"/>
        <w:tabs>
          <w:tab w:val="clear" w:pos="1701"/>
        </w:tabs>
        <w:ind w:left="2268" w:hanging="1134"/>
        <w:rPr>
          <w:b/>
          <w:bCs/>
          <w:lang w:val="fr-CH"/>
        </w:rPr>
      </w:pPr>
      <w:r w:rsidRPr="00551AB2">
        <w:rPr>
          <w:bCs/>
          <w:lang w:val="fr-CH"/>
        </w:rPr>
        <w:t>9.1.5.1</w:t>
      </w:r>
      <w:r w:rsidRPr="00551AB2">
        <w:rPr>
          <w:lang w:val="fr-CH"/>
        </w:rPr>
        <w:tab/>
        <w:t>Le feu de circulation diurne est destiné à être monté exclusivement sur des véhicules de la catégorie L</w:t>
      </w:r>
      <w:r w:rsidRPr="00551AB2">
        <w:rPr>
          <w:vertAlign w:val="subscript"/>
          <w:lang w:val="fr-CH"/>
        </w:rPr>
        <w:t>3</w:t>
      </w:r>
      <w:r w:rsidRPr="00551AB2">
        <w:rPr>
          <w:lang w:val="fr-CH"/>
        </w:rPr>
        <w:t xml:space="preserve"> et son intensité lumineuse maximale théorique ne dépasse pas 7,00∙10</w:t>
      </w:r>
      <w:r w:rsidRPr="00551AB2">
        <w:rPr>
          <w:vertAlign w:val="superscript"/>
          <w:lang w:val="fr-CH"/>
        </w:rPr>
        <w:t>2</w:t>
      </w:r>
      <w:r w:rsidRPr="00551AB2">
        <w:rPr>
          <w:lang w:val="fr-CH"/>
        </w:rPr>
        <w:t> cd : oui/non</w:t>
      </w:r>
      <w:r w:rsidRPr="00551AB2">
        <w:rPr>
          <w:vertAlign w:val="superscript"/>
          <w:lang w:val="fr-CH"/>
        </w:rPr>
        <w:t>2</w:t>
      </w:r>
    </w:p>
    <w:p w14:paraId="44AF5AAE" w14:textId="77777777" w:rsidR="006078E5" w:rsidRPr="00551AB2" w:rsidRDefault="006078E5" w:rsidP="00524C4E">
      <w:pPr>
        <w:pStyle w:val="SingleTxtG"/>
        <w:tabs>
          <w:tab w:val="clear" w:pos="1701"/>
        </w:tabs>
        <w:ind w:left="2268" w:hanging="1134"/>
        <w:rPr>
          <w:lang w:val="fr-CH"/>
        </w:rPr>
      </w:pPr>
      <w:r w:rsidRPr="00551AB2">
        <w:rPr>
          <w:bCs/>
          <w:lang w:val="fr-CH"/>
        </w:rPr>
        <w:t>9.1.5.2</w:t>
      </w:r>
      <w:r w:rsidRPr="00551AB2">
        <w:rPr>
          <w:lang w:val="fr-CH"/>
        </w:rPr>
        <w:tab/>
      </w:r>
      <w:r w:rsidRPr="00551AB2">
        <w:rPr>
          <w:bCs/>
          <w:lang w:val="fr-CH"/>
        </w:rPr>
        <w:t>L’intensité lumineuse du feu de circulation diurne est destinée à être réduite de sorte que l’intensité lumineuse maximale ne dépasse pas 1,4∙10</w:t>
      </w:r>
      <w:r w:rsidRPr="00551AB2">
        <w:rPr>
          <w:vertAlign w:val="superscript"/>
          <w:lang w:val="fr-CH"/>
        </w:rPr>
        <w:t>2</w:t>
      </w:r>
      <w:r w:rsidRPr="00551AB2">
        <w:rPr>
          <w:bCs/>
          <w:lang w:val="fr-CH"/>
        </w:rPr>
        <w:t> cd : oui/non</w:t>
      </w:r>
      <w:r w:rsidRPr="00551AB2">
        <w:rPr>
          <w:vertAlign w:val="superscript"/>
          <w:lang w:val="fr-CH"/>
        </w:rPr>
        <w:t>2</w:t>
      </w:r>
      <w:r w:rsidRPr="00551AB2">
        <w:rPr>
          <w:lang w:val="fr-CH"/>
        </w:rPr>
        <w:t> ».</w:t>
      </w:r>
    </w:p>
    <w:p w14:paraId="1636B156" w14:textId="77777777" w:rsidR="006078E5" w:rsidRPr="00551AB2" w:rsidRDefault="006078E5" w:rsidP="006078E5">
      <w:pPr>
        <w:pStyle w:val="SingleTxtG"/>
        <w:rPr>
          <w:lang w:val="fr-CH"/>
        </w:rPr>
      </w:pPr>
      <w:r w:rsidRPr="00551AB2">
        <w:rPr>
          <w:i/>
          <w:iCs/>
          <w:lang w:val="fr-CH"/>
        </w:rPr>
        <w:t>Point 9.3</w:t>
      </w:r>
      <w:r w:rsidRPr="00551AB2">
        <w:rPr>
          <w:lang w:val="fr-CH"/>
        </w:rPr>
        <w:t>, lire :</w:t>
      </w:r>
    </w:p>
    <w:p w14:paraId="4B3DE7D7" w14:textId="6856A82A" w:rsidR="006078E5" w:rsidRPr="00551AB2" w:rsidRDefault="006078E5" w:rsidP="00551AB2">
      <w:pPr>
        <w:pStyle w:val="SingleTxtG"/>
        <w:tabs>
          <w:tab w:val="clear" w:pos="1701"/>
        </w:tabs>
        <w:ind w:left="2268" w:hanging="1134"/>
        <w:rPr>
          <w:lang w:val="fr-CH"/>
        </w:rPr>
      </w:pPr>
      <w:r w:rsidRPr="00551AB2">
        <w:rPr>
          <w:lang w:val="fr-CH"/>
        </w:rPr>
        <w:t>« 9.3</w:t>
      </w:r>
      <w:r w:rsidRPr="00551AB2">
        <w:rPr>
          <w:lang w:val="fr-CH"/>
        </w:rPr>
        <w:tab/>
        <w:t>Les feux de position</w:t>
      </w:r>
      <w:r w:rsidR="00551AB2" w:rsidRPr="00551AB2">
        <w:rPr>
          <w:lang w:val="fr-CH"/>
        </w:rPr>
        <w:t xml:space="preserve"> </w:t>
      </w:r>
      <w:r w:rsidRPr="00551AB2">
        <w:rPr>
          <w:lang w:val="fr-CH"/>
        </w:rPr>
        <w:t>avant</w:t>
      </w:r>
      <w:r w:rsidRPr="00551AB2">
        <w:rPr>
          <w:vertAlign w:val="superscript"/>
          <w:lang w:val="fr-CH"/>
        </w:rPr>
        <w:t>2</w:t>
      </w:r>
      <w:r w:rsidRPr="00551AB2">
        <w:rPr>
          <w:lang w:val="fr-CH"/>
        </w:rPr>
        <w:t>, les feux de position</w:t>
      </w:r>
      <w:r w:rsidR="00551AB2" w:rsidRPr="00551AB2">
        <w:rPr>
          <w:lang w:val="fr-CH"/>
        </w:rPr>
        <w:t xml:space="preserve"> </w:t>
      </w:r>
      <w:r w:rsidRPr="00551AB2">
        <w:rPr>
          <w:lang w:val="fr-CH"/>
        </w:rPr>
        <w:t>arrière</w:t>
      </w:r>
      <w:r w:rsidRPr="00551AB2">
        <w:rPr>
          <w:vertAlign w:val="superscript"/>
          <w:lang w:val="fr-CH"/>
        </w:rPr>
        <w:t>2</w:t>
      </w:r>
      <w:r w:rsidRPr="00551AB2">
        <w:rPr>
          <w:lang w:val="fr-CH"/>
        </w:rPr>
        <w:t>, les feux-stop</w:t>
      </w:r>
      <w:r w:rsidRPr="00551AB2">
        <w:rPr>
          <w:vertAlign w:val="superscript"/>
          <w:lang w:val="fr-CH"/>
        </w:rPr>
        <w:t>2</w:t>
      </w:r>
      <w:r w:rsidRPr="00551AB2">
        <w:rPr>
          <w:lang w:val="fr-CH"/>
        </w:rPr>
        <w:t>, les feux d’encombrement</w:t>
      </w:r>
      <w:r w:rsidRPr="00551AB2">
        <w:rPr>
          <w:vertAlign w:val="superscript"/>
          <w:lang w:val="fr-CH"/>
        </w:rPr>
        <w:t>2</w:t>
      </w:r>
      <w:r w:rsidRPr="00551AB2">
        <w:rPr>
          <w:lang w:val="fr-CH"/>
        </w:rPr>
        <w:t>, les feux de circulation</w:t>
      </w:r>
      <w:r w:rsidR="00551AB2" w:rsidRPr="00551AB2">
        <w:rPr>
          <w:lang w:val="fr-CH"/>
        </w:rPr>
        <w:t xml:space="preserve"> </w:t>
      </w:r>
      <w:r w:rsidRPr="00551AB2">
        <w:rPr>
          <w:lang w:val="fr-CH"/>
        </w:rPr>
        <w:t>diurne</w:t>
      </w:r>
      <w:r w:rsidRPr="00551AB2">
        <w:rPr>
          <w:vertAlign w:val="superscript"/>
          <w:lang w:val="fr-CH"/>
        </w:rPr>
        <w:t>2</w:t>
      </w:r>
      <w:r w:rsidRPr="00551AB2">
        <w:rPr>
          <w:b/>
          <w:bCs/>
          <w:lang w:val="fr-CH"/>
        </w:rPr>
        <w:t xml:space="preserve">, </w:t>
      </w:r>
      <w:r w:rsidRPr="00551AB2">
        <w:rPr>
          <w:lang w:val="fr-CH"/>
        </w:rPr>
        <w:t>les feux de stationnement</w:t>
      </w:r>
      <w:r w:rsidRPr="00551AB2">
        <w:rPr>
          <w:vertAlign w:val="superscript"/>
          <w:lang w:val="fr-CH"/>
        </w:rPr>
        <w:t>2</w:t>
      </w:r>
      <w:r w:rsidRPr="00551AB2">
        <w:rPr>
          <w:bCs/>
          <w:lang w:val="fr-CH"/>
        </w:rPr>
        <w:t>, les feux de marche</w:t>
      </w:r>
      <w:r w:rsidR="00551AB2" w:rsidRPr="00551AB2">
        <w:rPr>
          <w:bCs/>
          <w:lang w:val="fr-CH"/>
        </w:rPr>
        <w:t xml:space="preserve"> </w:t>
      </w:r>
      <w:r w:rsidRPr="00551AB2">
        <w:rPr>
          <w:bCs/>
          <w:lang w:val="fr-CH"/>
        </w:rPr>
        <w:t>arrière</w:t>
      </w:r>
      <w:r w:rsidRPr="00551AB2">
        <w:rPr>
          <w:bCs/>
          <w:vertAlign w:val="superscript"/>
          <w:lang w:val="fr-CH"/>
        </w:rPr>
        <w:t>2</w:t>
      </w:r>
      <w:r w:rsidRPr="00551AB2">
        <w:rPr>
          <w:bCs/>
          <w:lang w:val="fr-CH"/>
        </w:rPr>
        <w:t>, les feux de brouillard</w:t>
      </w:r>
      <w:r w:rsidR="00551AB2" w:rsidRPr="00551AB2">
        <w:rPr>
          <w:bCs/>
          <w:lang w:val="fr-CH"/>
        </w:rPr>
        <w:t xml:space="preserve"> </w:t>
      </w:r>
      <w:r w:rsidRPr="00551AB2">
        <w:rPr>
          <w:bCs/>
          <w:lang w:val="fr-CH"/>
        </w:rPr>
        <w:t>arrière</w:t>
      </w:r>
      <w:r w:rsidRPr="00551AB2">
        <w:rPr>
          <w:bCs/>
          <w:vertAlign w:val="superscript"/>
          <w:lang w:val="fr-CH"/>
        </w:rPr>
        <w:t>2</w:t>
      </w:r>
      <w:r w:rsidRPr="00551AB2">
        <w:rPr>
          <w:bCs/>
          <w:lang w:val="fr-CH"/>
        </w:rPr>
        <w:t xml:space="preserve"> et les feux de position</w:t>
      </w:r>
      <w:r w:rsidR="00551AB2" w:rsidRPr="00551AB2">
        <w:rPr>
          <w:bCs/>
          <w:lang w:val="fr-CH"/>
        </w:rPr>
        <w:t xml:space="preserve"> </w:t>
      </w:r>
      <w:r w:rsidRPr="00551AB2">
        <w:rPr>
          <w:bCs/>
          <w:lang w:val="fr-CH"/>
        </w:rPr>
        <w:t>latéraux</w:t>
      </w:r>
      <w:r w:rsidRPr="00551AB2">
        <w:rPr>
          <w:bCs/>
          <w:vertAlign w:val="superscript"/>
          <w:lang w:val="fr-CH"/>
        </w:rPr>
        <w:t>2</w:t>
      </w:r>
      <w:r w:rsidRPr="00551AB2">
        <w:rPr>
          <w:b/>
          <w:bCs/>
          <w:lang w:val="fr-CH"/>
        </w:rPr>
        <w:t xml:space="preserve"> </w:t>
      </w:r>
      <w:r w:rsidRPr="00551AB2">
        <w:rPr>
          <w:lang w:val="fr-CH"/>
        </w:rPr>
        <w:t>sont réservés aux véhicules équipés d’un témoin de défaillance : oui/non</w:t>
      </w:r>
      <w:r w:rsidRPr="00551AB2">
        <w:rPr>
          <w:vertAlign w:val="superscript"/>
          <w:lang w:val="fr-CH"/>
        </w:rPr>
        <w:t>2</w:t>
      </w:r>
      <w:r w:rsidRPr="00551AB2">
        <w:rPr>
          <w:lang w:val="fr-CH"/>
        </w:rPr>
        <w:t> ».</w:t>
      </w:r>
      <w:bookmarkStart w:id="2" w:name="_Hlk134520964"/>
      <w:bookmarkEnd w:id="2"/>
    </w:p>
    <w:p w14:paraId="3F5494A6" w14:textId="651A8A22" w:rsidR="00551AB2" w:rsidRPr="00551AB2" w:rsidRDefault="00551AB2" w:rsidP="00551AB2">
      <w:pPr>
        <w:pStyle w:val="SingleTxtG"/>
        <w:spacing w:before="240" w:after="0"/>
        <w:jc w:val="center"/>
        <w:rPr>
          <w:u w:val="single"/>
          <w:lang w:val="fr-CH"/>
        </w:rPr>
      </w:pPr>
      <w:r w:rsidRPr="00551AB2">
        <w:rPr>
          <w:u w:val="single"/>
          <w:lang w:val="fr-CH"/>
        </w:rPr>
        <w:tab/>
      </w:r>
      <w:r w:rsidRPr="00551AB2">
        <w:rPr>
          <w:u w:val="single"/>
          <w:lang w:val="fr-CH"/>
        </w:rPr>
        <w:tab/>
      </w:r>
      <w:r w:rsidRPr="00551AB2">
        <w:rPr>
          <w:u w:val="single"/>
          <w:lang w:val="fr-CH"/>
        </w:rPr>
        <w:tab/>
      </w:r>
    </w:p>
    <w:sectPr w:rsidR="00551AB2" w:rsidRPr="00551AB2" w:rsidSect="006078E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7304" w14:textId="77777777" w:rsidR="005D4D1E" w:rsidRPr="00551AB2" w:rsidRDefault="005D4D1E" w:rsidP="00F95C08">
      <w:pPr>
        <w:spacing w:line="240" w:lineRule="auto"/>
      </w:pPr>
    </w:p>
  </w:endnote>
  <w:endnote w:type="continuationSeparator" w:id="0">
    <w:p w14:paraId="01BE5C02" w14:textId="77777777" w:rsidR="005D4D1E" w:rsidRPr="00551AB2" w:rsidRDefault="005D4D1E" w:rsidP="00AC3823">
      <w:pPr>
        <w:pStyle w:val="Pieddepage"/>
      </w:pPr>
    </w:p>
  </w:endnote>
  <w:endnote w:type="continuationNotice" w:id="1">
    <w:p w14:paraId="68A5DEC5" w14:textId="77777777" w:rsidR="005D4D1E" w:rsidRPr="00551AB2" w:rsidRDefault="005D4D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7C1A" w14:textId="56363EAE" w:rsidR="006078E5" w:rsidRPr="00551AB2" w:rsidRDefault="006078E5" w:rsidP="006078E5">
    <w:pPr>
      <w:pStyle w:val="Pieddepage"/>
      <w:tabs>
        <w:tab w:val="right" w:pos="9638"/>
      </w:tabs>
    </w:pPr>
    <w:r w:rsidRPr="00551AB2">
      <w:rPr>
        <w:b/>
        <w:sz w:val="18"/>
      </w:rPr>
      <w:fldChar w:fldCharType="begin"/>
    </w:r>
    <w:r w:rsidRPr="00551AB2">
      <w:rPr>
        <w:b/>
        <w:sz w:val="18"/>
      </w:rPr>
      <w:instrText xml:space="preserve"> PAGE  \* MERGEFORMAT </w:instrText>
    </w:r>
    <w:r w:rsidRPr="00551AB2">
      <w:rPr>
        <w:b/>
        <w:sz w:val="18"/>
      </w:rPr>
      <w:fldChar w:fldCharType="separate"/>
    </w:r>
    <w:r w:rsidRPr="00551AB2">
      <w:rPr>
        <w:b/>
        <w:sz w:val="18"/>
      </w:rPr>
      <w:t>2</w:t>
    </w:r>
    <w:r w:rsidRPr="00551AB2">
      <w:rPr>
        <w:b/>
        <w:sz w:val="18"/>
      </w:rPr>
      <w:fldChar w:fldCharType="end"/>
    </w:r>
    <w:r w:rsidRPr="00551AB2">
      <w:rPr>
        <w:b/>
        <w:sz w:val="18"/>
      </w:rPr>
      <w:tab/>
    </w:r>
    <w:r w:rsidRPr="00551AB2">
      <w:t>GE.24-15473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35FF" w14:textId="3E910F95" w:rsidR="006078E5" w:rsidRPr="00551AB2" w:rsidRDefault="006078E5" w:rsidP="006078E5">
    <w:pPr>
      <w:pStyle w:val="Pieddepage"/>
      <w:tabs>
        <w:tab w:val="right" w:pos="9638"/>
      </w:tabs>
      <w:rPr>
        <w:b/>
        <w:sz w:val="18"/>
      </w:rPr>
    </w:pPr>
    <w:r w:rsidRPr="00551AB2">
      <w:t>GE.24-15473</w:t>
    </w:r>
    <w:r w:rsidRPr="00551AB2">
      <w:tab/>
    </w:r>
    <w:r w:rsidRPr="00551AB2">
      <w:rPr>
        <w:b/>
        <w:sz w:val="18"/>
      </w:rPr>
      <w:fldChar w:fldCharType="begin"/>
    </w:r>
    <w:r w:rsidRPr="00551AB2">
      <w:rPr>
        <w:b/>
        <w:sz w:val="18"/>
      </w:rPr>
      <w:instrText xml:space="preserve"> PAGE  \* MERGEFORMAT </w:instrText>
    </w:r>
    <w:r w:rsidRPr="00551AB2">
      <w:rPr>
        <w:b/>
        <w:sz w:val="18"/>
      </w:rPr>
      <w:fldChar w:fldCharType="separate"/>
    </w:r>
    <w:r w:rsidRPr="00551AB2">
      <w:rPr>
        <w:b/>
        <w:sz w:val="18"/>
      </w:rPr>
      <w:t>3</w:t>
    </w:r>
    <w:r w:rsidRPr="00551AB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470E" w14:textId="09F45028" w:rsidR="007F20FA" w:rsidRPr="00551AB2" w:rsidRDefault="006078E5" w:rsidP="006078E5">
    <w:pPr>
      <w:pStyle w:val="Pieddepage"/>
      <w:spacing w:before="120"/>
      <w:rPr>
        <w:sz w:val="20"/>
      </w:rPr>
    </w:pPr>
    <w:r w:rsidRPr="00551AB2">
      <w:rPr>
        <w:sz w:val="20"/>
      </w:rPr>
      <w:t>GE.</w:t>
    </w:r>
    <w:r w:rsidR="007F20FA" w:rsidRPr="00551AB2">
      <w:rPr>
        <w:lang w:eastAsia="fr-CH"/>
      </w:rPr>
      <w:drawing>
        <wp:anchor distT="0" distB="0" distL="114300" distR="114300" simplePos="0" relativeHeight="251659264" behindDoc="0" locked="0" layoutInCell="1" allowOverlap="0" wp14:anchorId="33E6EF90" wp14:editId="77C0BCCD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AB2">
      <w:rPr>
        <w:sz w:val="20"/>
      </w:rPr>
      <w:t>24-15473  (F)</w:t>
    </w:r>
    <w:r w:rsidRPr="00551AB2">
      <w:rPr>
        <w:sz w:val="20"/>
      </w:rPr>
      <w:drawing>
        <wp:anchor distT="0" distB="0" distL="114300" distR="114300" simplePos="0" relativeHeight="251660288" behindDoc="0" locked="0" layoutInCell="1" allowOverlap="1" wp14:anchorId="3D7CAE06" wp14:editId="551CA434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4408924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AB2">
      <w:rPr>
        <w:sz w:val="20"/>
      </w:rPr>
      <w:t xml:space="preserve">    130924    160924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EC5B0" w14:textId="77777777" w:rsidR="005D4D1E" w:rsidRPr="00551AB2" w:rsidRDefault="005D4D1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 w:rsidRPr="00551AB2">
        <w:rPr>
          <w:u w:val="single"/>
        </w:rPr>
        <w:tab/>
      </w:r>
    </w:p>
  </w:footnote>
  <w:footnote w:type="continuationSeparator" w:id="0">
    <w:p w14:paraId="5C60E3D2" w14:textId="77777777" w:rsidR="005D4D1E" w:rsidRPr="00551AB2" w:rsidRDefault="005D4D1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 w:rsidRPr="00551AB2">
        <w:rPr>
          <w:u w:val="single"/>
        </w:rPr>
        <w:tab/>
      </w:r>
    </w:p>
  </w:footnote>
  <w:footnote w:type="continuationNotice" w:id="1">
    <w:p w14:paraId="7EA41EC1" w14:textId="77777777" w:rsidR="005D4D1E" w:rsidRPr="00551AB2" w:rsidRDefault="005D4D1E">
      <w:pPr>
        <w:spacing w:line="240" w:lineRule="auto"/>
        <w:rPr>
          <w:sz w:val="2"/>
          <w:szCs w:val="2"/>
        </w:rPr>
      </w:pPr>
    </w:p>
  </w:footnote>
  <w:footnote w:id="2">
    <w:p w14:paraId="49F3F054" w14:textId="77777777" w:rsidR="006078E5" w:rsidRPr="00551AB2" w:rsidRDefault="006078E5" w:rsidP="006078E5">
      <w:pPr>
        <w:pStyle w:val="Notedebasdepage"/>
        <w:rPr>
          <w:lang w:val="fr-FR"/>
        </w:rPr>
      </w:pPr>
      <w:r w:rsidRPr="00551AB2">
        <w:rPr>
          <w:rStyle w:val="Appelnotedebasdep"/>
          <w:lang w:val="fr-FR"/>
        </w:rPr>
        <w:tab/>
      </w:r>
      <w:r w:rsidRPr="00551AB2">
        <w:rPr>
          <w:rStyle w:val="Appelnotedebasdep"/>
          <w:sz w:val="20"/>
          <w:vertAlign w:val="baseline"/>
          <w:lang w:val="fr-FR"/>
        </w:rPr>
        <w:t>*</w:t>
      </w:r>
      <w:r w:rsidRPr="00551AB2">
        <w:rPr>
          <w:rStyle w:val="Appelnotedebasdep"/>
          <w:sz w:val="20"/>
          <w:vertAlign w:val="baseline"/>
          <w:lang w:val="fr-FR"/>
        </w:rPr>
        <w:tab/>
      </w:r>
      <w:r w:rsidRPr="00551AB2">
        <w:rPr>
          <w:lang w:val="fr-FR"/>
        </w:rPr>
        <w:t>Conformément au programme de travail du Comité des transports intérieurs pour 2024 tel qu’il figure dans le projet de budget-programme pour 2024 (A/78/6 (Sect. 20), tableau 20.5),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  <w:footnote w:id="3">
    <w:p w14:paraId="2E57A959" w14:textId="77777777" w:rsidR="006078E5" w:rsidRPr="00551AB2" w:rsidRDefault="006078E5" w:rsidP="006078E5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8FB3" w14:textId="055AA7D5" w:rsidR="006078E5" w:rsidRPr="00551AB2" w:rsidRDefault="006078E5">
    <w:pPr>
      <w:pStyle w:val="En-tte"/>
    </w:pPr>
    <w:fldSimple w:instr=" TITLE  \* MERGEFORMAT ">
      <w:r w:rsidR="00A1434A">
        <w:t>ECE/TRANS/WP.29/2024/95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C945" w14:textId="52E4F886" w:rsidR="006078E5" w:rsidRPr="00551AB2" w:rsidRDefault="006078E5" w:rsidP="006078E5">
    <w:pPr>
      <w:pStyle w:val="En-tte"/>
      <w:jc w:val="right"/>
    </w:pPr>
    <w:fldSimple w:instr=" TITLE  \* MERGEFORMAT ">
      <w:r w:rsidR="00A1434A">
        <w:t>ECE/TRANS/WP.29/2024/95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1E"/>
    <w:rsid w:val="00017F94"/>
    <w:rsid w:val="00022AC9"/>
    <w:rsid w:val="00023842"/>
    <w:rsid w:val="000334F9"/>
    <w:rsid w:val="00037549"/>
    <w:rsid w:val="00045FEB"/>
    <w:rsid w:val="0007796D"/>
    <w:rsid w:val="000B7790"/>
    <w:rsid w:val="00111F2F"/>
    <w:rsid w:val="0014365E"/>
    <w:rsid w:val="00143C66"/>
    <w:rsid w:val="00176178"/>
    <w:rsid w:val="001772E5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27AED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24C4E"/>
    <w:rsid w:val="005505B7"/>
    <w:rsid w:val="00551AB2"/>
    <w:rsid w:val="00573BE5"/>
    <w:rsid w:val="00586ED3"/>
    <w:rsid w:val="00596AA9"/>
    <w:rsid w:val="005D4D1E"/>
    <w:rsid w:val="006078E5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1434A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  <w:rsid w:val="00F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FBF8F"/>
  <w15:docId w15:val="{3AE3A5AA-93AD-4F4A-BCEC-3160A6E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styleId="Titre1">
    <w:name w:val="heading 1"/>
    <w:aliases w:val="Table_G,Heading 1*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,Heading 1*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6078E5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rsid w:val="006078E5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rsid w:val="006078E5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customStyle="1" w:styleId="para">
    <w:name w:val="para"/>
    <w:basedOn w:val="Normal"/>
    <w:link w:val="paraChar"/>
    <w:qFormat/>
    <w:rsid w:val="006078E5"/>
    <w:pPr>
      <w:suppressAutoHyphens w:val="0"/>
      <w:kinsoku/>
      <w:overflowPunct/>
      <w:autoSpaceDE/>
      <w:autoSpaceDN/>
      <w:adjustRightInd/>
      <w:snapToGrid/>
      <w:spacing w:after="120"/>
      <w:ind w:left="2268" w:right="1134" w:hanging="1134"/>
      <w:jc w:val="both"/>
    </w:pPr>
    <w:rPr>
      <w:rFonts w:eastAsia="Times New Roman"/>
      <w:snapToGrid w:val="0"/>
      <w:lang w:val="fr-FR"/>
    </w:rPr>
  </w:style>
  <w:style w:type="character" w:customStyle="1" w:styleId="paraChar">
    <w:name w:val="para Char"/>
    <w:link w:val="para"/>
    <w:rsid w:val="006078E5"/>
    <w:rPr>
      <w:rFonts w:ascii="Times New Roman" w:hAnsi="Times New Roman" w:cs="Times New Roman"/>
      <w:snapToGrid w:val="0"/>
      <w:sz w:val="20"/>
      <w:szCs w:val="20"/>
      <w:lang w:val="fr-FR" w:eastAsia="en-US"/>
    </w:rPr>
  </w:style>
  <w:style w:type="character" w:customStyle="1" w:styleId="Carpredefinitoparagrafo1">
    <w:name w:val="Car. predefinito paragrafo1"/>
    <w:rsid w:val="006078E5"/>
  </w:style>
  <w:style w:type="paragraph" w:customStyle="1" w:styleId="Normale1">
    <w:name w:val="Normale1"/>
    <w:rsid w:val="00607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BE21D-5351-48C6-9C92-1D11E5E24E44}"/>
</file>

<file path=customXml/itemProps2.xml><?xml version="1.0" encoding="utf-8"?>
<ds:datastoreItem xmlns:ds="http://schemas.openxmlformats.org/officeDocument/2006/customXml" ds:itemID="{15DAA64C-B191-40D0-B492-E1A32B07F828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2</Pages>
  <Words>450</Words>
  <Characters>2545</Characters>
  <Application>Microsoft Office Word</Application>
  <DocSecurity>0</DocSecurity>
  <Lines>92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ECE/TRANS/WP.29/2024/95</dc:title>
  <dc:subject/>
  <dc:creator>Christine CHAUTAGNAT</dc:creator>
  <cp:keywords/>
  <cp:lastModifiedBy>Christine Chautagnat</cp:lastModifiedBy>
  <cp:revision>3</cp:revision>
  <cp:lastPrinted>2024-09-16T09:24:00Z</cp:lastPrinted>
  <dcterms:created xsi:type="dcterms:W3CDTF">2024-09-16T09:24:00Z</dcterms:created>
  <dcterms:modified xsi:type="dcterms:W3CDTF">2024-09-16T09:25:00Z</dcterms:modified>
</cp:coreProperties>
</file>