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11850C61" w:rsidR="009E6CB7" w:rsidRPr="00D47EEA" w:rsidRDefault="00DA4201" w:rsidP="00DA4201">
            <w:pPr>
              <w:jc w:val="right"/>
            </w:pPr>
            <w:r w:rsidRPr="00DA4201">
              <w:rPr>
                <w:sz w:val="40"/>
              </w:rPr>
              <w:t>ECE</w:t>
            </w:r>
            <w:r>
              <w:t>/TRANS/WP.29/2024/</w:t>
            </w:r>
            <w:r w:rsidR="00BF1F86">
              <w:t>9</w:t>
            </w:r>
            <w:r w:rsidR="004B1987">
              <w:t>5</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7FC3C1FA" w:rsidR="00DA4201" w:rsidRDefault="005455C7" w:rsidP="00DA4201">
            <w:pPr>
              <w:spacing w:line="240" w:lineRule="exact"/>
            </w:pPr>
            <w:r>
              <w:t>2</w:t>
            </w:r>
            <w:r w:rsidR="00B60844">
              <w:t>9</w:t>
            </w:r>
            <w:r>
              <w:t xml:space="preserve"> </w:t>
            </w:r>
            <w:r w:rsidR="00BF1F86">
              <w:t xml:space="preserve">August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77777777" w:rsidR="005B5427" w:rsidRDefault="005B5427" w:rsidP="005B5427">
      <w:pPr>
        <w:spacing w:before="120"/>
        <w:rPr>
          <w:b/>
          <w:lang w:val="en-US"/>
        </w:rPr>
      </w:pPr>
      <w:r>
        <w:rPr>
          <w:b/>
          <w:lang w:val="en-US"/>
        </w:rPr>
        <w:t>194th session</w:t>
      </w:r>
    </w:p>
    <w:p w14:paraId="77B038CA" w14:textId="77777777" w:rsidR="005B5427" w:rsidRDefault="005B5427" w:rsidP="005B5427">
      <w:pPr>
        <w:tabs>
          <w:tab w:val="left" w:pos="5560"/>
        </w:tabs>
      </w:pPr>
      <w:r>
        <w:t>Geneva, 12–15 November 2024</w:t>
      </w:r>
      <w:r>
        <w:tab/>
      </w:r>
    </w:p>
    <w:p w14:paraId="3E7FA082" w14:textId="690300F7" w:rsidR="005B5427" w:rsidRDefault="005B5427" w:rsidP="005B5427">
      <w:r>
        <w:t>Item 4.</w:t>
      </w:r>
      <w:r w:rsidR="00BF1F86">
        <w:t>6</w:t>
      </w:r>
      <w:r>
        <w:t>.</w:t>
      </w:r>
      <w:r w:rsidR="004B1987">
        <w:t>6</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0029A767" w:rsidR="005B5427" w:rsidRDefault="005B5427" w:rsidP="005B5427">
      <w:pPr>
        <w:rPr>
          <w:b/>
          <w:bCs/>
        </w:rPr>
      </w:pPr>
      <w:r>
        <w:rPr>
          <w:b/>
        </w:rPr>
        <w:t xml:space="preserve">UN Regulations submitted by </w:t>
      </w:r>
      <w:r w:rsidR="00C6171D">
        <w:rPr>
          <w:b/>
        </w:rPr>
        <w:t>GRE</w:t>
      </w:r>
    </w:p>
    <w:p w14:paraId="15C4C008" w14:textId="19F54FAF" w:rsidR="005B5427" w:rsidRDefault="007F5996" w:rsidP="005B5427">
      <w:pPr>
        <w:pStyle w:val="HChG"/>
        <w:ind w:left="1124" w:right="1138" w:firstLine="0"/>
      </w:pPr>
      <w:r w:rsidRPr="007F5996">
        <w:rPr>
          <w:lang w:eastAsia="en-GB"/>
        </w:rPr>
        <w:t xml:space="preserve">Proposal for Supplement </w:t>
      </w:r>
      <w:r w:rsidR="00493A76">
        <w:rPr>
          <w:lang w:eastAsia="en-GB"/>
        </w:rPr>
        <w:t>3</w:t>
      </w:r>
      <w:r w:rsidRPr="007F5996">
        <w:rPr>
          <w:lang w:eastAsia="en-GB"/>
        </w:rPr>
        <w:t xml:space="preserve"> to the 0</w:t>
      </w:r>
      <w:r w:rsidR="00493A76">
        <w:rPr>
          <w:lang w:eastAsia="en-GB"/>
        </w:rPr>
        <w:t>1</w:t>
      </w:r>
      <w:r w:rsidRPr="007F5996">
        <w:rPr>
          <w:lang w:eastAsia="en-GB"/>
        </w:rPr>
        <w:t xml:space="preserve"> series of amendments to UN Regulation No. 148 (Light-Signalling Devices)</w:t>
      </w:r>
      <w:r w:rsidR="00F51631">
        <w:rPr>
          <w:lang w:eastAsia="en-GB"/>
        </w:rPr>
        <w:t xml:space="preserve"> </w:t>
      </w:r>
    </w:p>
    <w:p w14:paraId="3807C0D5" w14:textId="4E524606" w:rsidR="005B5427" w:rsidRDefault="005B5427" w:rsidP="005B5427">
      <w:pPr>
        <w:pStyle w:val="H1G"/>
        <w:rPr>
          <w:szCs w:val="24"/>
        </w:rPr>
      </w:pPr>
      <w:r>
        <w:tab/>
      </w:r>
      <w:r>
        <w:tab/>
      </w:r>
      <w:r>
        <w:rPr>
          <w:szCs w:val="24"/>
        </w:rPr>
        <w:t xml:space="preserve">Submitted by the Working Party on </w:t>
      </w:r>
      <w:r w:rsidR="0063224C">
        <w:rPr>
          <w:szCs w:val="24"/>
        </w:rPr>
        <w:t>Lighting and Light-Signalling</w:t>
      </w:r>
      <w:r>
        <w:footnoteReference w:customMarkFollows="1" w:id="2"/>
        <w:t>*</w:t>
      </w:r>
    </w:p>
    <w:p w14:paraId="1C7D81A0" w14:textId="1685CAF1" w:rsidR="005B5427" w:rsidRDefault="005B5427" w:rsidP="005B5427">
      <w:pPr>
        <w:pStyle w:val="SingleTxtG"/>
        <w:rPr>
          <w:sz w:val="24"/>
          <w:szCs w:val="24"/>
          <w:lang w:eastAsia="zh-CN"/>
        </w:rPr>
      </w:pPr>
      <w:r>
        <w:rPr>
          <w:lang w:val="en-US"/>
        </w:rPr>
        <w:tab/>
        <w:t xml:space="preserve">The text reproduced below was adopted by the Working Party on </w:t>
      </w:r>
      <w:r w:rsidR="005C768B" w:rsidRPr="005C768B">
        <w:rPr>
          <w:lang w:val="en-US"/>
        </w:rPr>
        <w:t xml:space="preserve">Lighting and </w:t>
      </w:r>
      <w:r w:rsidR="005C768B">
        <w:rPr>
          <w:lang w:val="en-US"/>
        </w:rPr>
        <w:t>L</w:t>
      </w:r>
      <w:r w:rsidR="005C768B" w:rsidRPr="005C768B">
        <w:rPr>
          <w:lang w:val="en-US"/>
        </w:rPr>
        <w:t>ight-</w:t>
      </w:r>
      <w:proofErr w:type="spellStart"/>
      <w:r w:rsidR="005C768B" w:rsidRPr="005C768B">
        <w:rPr>
          <w:lang w:val="en-US"/>
        </w:rPr>
        <w:t>Signalling</w:t>
      </w:r>
      <w:proofErr w:type="spellEnd"/>
      <w:r w:rsidR="005C768B" w:rsidRPr="005C768B">
        <w:rPr>
          <w:lang w:val="en-US"/>
        </w:rPr>
        <w:t xml:space="preserve"> </w:t>
      </w:r>
      <w:r>
        <w:rPr>
          <w:lang w:val="en-US"/>
        </w:rPr>
        <w:t>(GR</w:t>
      </w:r>
      <w:r w:rsidR="005C768B">
        <w:rPr>
          <w:lang w:val="en-US"/>
        </w:rPr>
        <w:t>E</w:t>
      </w:r>
      <w:r>
        <w:rPr>
          <w:lang w:val="en-US"/>
        </w:rPr>
        <w:t xml:space="preserve">) </w:t>
      </w:r>
      <w:r w:rsidR="00FC2B46">
        <w:rPr>
          <w:lang w:val="en-US"/>
        </w:rPr>
        <w:t>at its</w:t>
      </w:r>
      <w:r>
        <w:rPr>
          <w:lang w:val="en-US"/>
        </w:rPr>
        <w:t xml:space="preserve"> </w:t>
      </w:r>
      <w:r w:rsidR="005C768B">
        <w:rPr>
          <w:lang w:val="en-US"/>
        </w:rPr>
        <w:t xml:space="preserve">ninetieth </w:t>
      </w:r>
      <w:r>
        <w:rPr>
          <w:lang w:val="en-US"/>
        </w:rPr>
        <w:t>session (ECE/TRANS/WP.29/GR</w:t>
      </w:r>
      <w:r w:rsidR="00FC2B46">
        <w:rPr>
          <w:lang w:val="en-US"/>
        </w:rPr>
        <w:t>E</w:t>
      </w:r>
      <w:r>
        <w:rPr>
          <w:lang w:val="en-US"/>
        </w:rPr>
        <w:t>/</w:t>
      </w:r>
      <w:r w:rsidR="00FC2B46">
        <w:rPr>
          <w:lang w:val="en-US"/>
        </w:rPr>
        <w:t>90</w:t>
      </w:r>
      <w:r>
        <w:rPr>
          <w:lang w:val="en-US"/>
        </w:rPr>
        <w:t xml:space="preserve">, para. </w:t>
      </w:r>
      <w:r w:rsidR="00FC2B46">
        <w:rPr>
          <w:lang w:val="en-US"/>
        </w:rPr>
        <w:t>2</w:t>
      </w:r>
      <w:r w:rsidR="00792F48">
        <w:rPr>
          <w:lang w:val="en-US"/>
        </w:rPr>
        <w:t>2</w:t>
      </w:r>
      <w:r>
        <w:rPr>
          <w:lang w:val="en-US"/>
        </w:rPr>
        <w:t>).</w:t>
      </w:r>
      <w:r>
        <w:rPr>
          <w:lang w:val="en-US" w:eastAsia="en-GB"/>
        </w:rPr>
        <w:t xml:space="preserve"> </w:t>
      </w:r>
      <w:r>
        <w:rPr>
          <w:lang w:eastAsia="en-GB"/>
        </w:rPr>
        <w:t xml:space="preserve">It is based on </w:t>
      </w:r>
      <w:r w:rsidR="00D425DF" w:rsidRPr="00D425DF">
        <w:rPr>
          <w:lang w:eastAsia="en-GB"/>
        </w:rPr>
        <w:t>ECE/TRANS/WP.29/GRE/202</w:t>
      </w:r>
      <w:r w:rsidR="00166ADD">
        <w:rPr>
          <w:lang w:eastAsia="en-GB"/>
        </w:rPr>
        <w:t>4</w:t>
      </w:r>
      <w:r w:rsidR="00D425DF" w:rsidRPr="00D425DF">
        <w:rPr>
          <w:lang w:eastAsia="en-GB"/>
        </w:rPr>
        <w:t>/</w:t>
      </w:r>
      <w:r w:rsidR="00792F48">
        <w:rPr>
          <w:lang w:eastAsia="en-GB"/>
        </w:rPr>
        <w:t>6</w:t>
      </w:r>
      <w:r w:rsidR="00D425DF" w:rsidRPr="00D425DF">
        <w:rPr>
          <w:lang w:eastAsia="en-GB"/>
        </w:rPr>
        <w:t xml:space="preserve"> as amended by </w:t>
      </w:r>
      <w:r w:rsidR="00D425DF">
        <w:rPr>
          <w:lang w:eastAsia="en-GB"/>
        </w:rPr>
        <w:t xml:space="preserve">informal document </w:t>
      </w:r>
      <w:r w:rsidR="00D425DF" w:rsidRPr="00D425DF">
        <w:rPr>
          <w:lang w:eastAsia="en-GB"/>
        </w:rPr>
        <w:t>GRE-90-</w:t>
      </w:r>
      <w:r w:rsidR="00DB77F8">
        <w:rPr>
          <w:lang w:eastAsia="en-GB"/>
        </w:rPr>
        <w:t>3</w:t>
      </w:r>
      <w:r w:rsidR="00792F48">
        <w:rPr>
          <w:lang w:eastAsia="en-GB"/>
        </w:rPr>
        <w:t>9</w:t>
      </w:r>
      <w:r w:rsidR="00D425DF">
        <w:rPr>
          <w:lang w:eastAsia="en-GB"/>
        </w:rPr>
        <w:t xml:space="preserve">. </w:t>
      </w:r>
      <w:r>
        <w:rPr>
          <w:lang w:val="en-US"/>
        </w:rPr>
        <w:t xml:space="preserve">It is submitted to the World Forum for Harmonization of Vehicle Regulations (WP.29) and to the Administrative Committee (AC.1) for consideration at their </w:t>
      </w:r>
      <w:r w:rsidR="00B35A75">
        <w:rPr>
          <w:lang w:val="en-US"/>
        </w:rPr>
        <w:t>November</w:t>
      </w:r>
      <w:r>
        <w:rPr>
          <w:lang w:val="en-US"/>
        </w:rPr>
        <w:t xml:space="preserve"> 2024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28BFAEF8" w14:textId="77777777" w:rsidR="00205741" w:rsidRPr="003978C1" w:rsidRDefault="00205741" w:rsidP="00205741">
      <w:pPr>
        <w:pStyle w:val="SingleTxtG"/>
      </w:pPr>
      <w:r w:rsidRPr="003978C1">
        <w:rPr>
          <w:i/>
          <w:iCs/>
        </w:rPr>
        <w:lastRenderedPageBreak/>
        <w:t>Paragraph 5.4.1.</w:t>
      </w:r>
      <w:r w:rsidRPr="003978C1">
        <w:t>, amend to read:</w:t>
      </w:r>
    </w:p>
    <w:p w14:paraId="5CA82181" w14:textId="77777777" w:rsidR="00205741" w:rsidRDefault="00205741" w:rsidP="00205741">
      <w:pPr>
        <w:pStyle w:val="para0"/>
        <w:rPr>
          <w:lang w:val="en-US"/>
        </w:rPr>
      </w:pPr>
      <w:bookmarkStart w:id="0" w:name="_Hlk127515917"/>
      <w:r>
        <w:rPr>
          <w:lang w:val="en-US"/>
        </w:rPr>
        <w:t>“</w:t>
      </w:r>
      <w:r w:rsidRPr="00DE1DBA">
        <w:rPr>
          <w:lang w:val="en-US"/>
        </w:rPr>
        <w:t>5.4.1.</w:t>
      </w:r>
      <w:r>
        <w:rPr>
          <w:lang w:val="en-US"/>
        </w:rPr>
        <w:tab/>
      </w:r>
      <w:r w:rsidRPr="00DE1DBA">
        <w:rPr>
          <w:lang w:val="en-US"/>
        </w:rPr>
        <w:t xml:space="preserve">Luminous intensity and standard light distribution: </w:t>
      </w:r>
    </w:p>
    <w:p w14:paraId="391A41A8" w14:textId="77777777" w:rsidR="00205741" w:rsidRDefault="00205741" w:rsidP="00205741">
      <w:pPr>
        <w:pStyle w:val="para0"/>
        <w:ind w:firstLine="0"/>
        <w:rPr>
          <w:lang w:val="en-US"/>
        </w:rPr>
      </w:pPr>
      <w:r w:rsidRPr="00DE1DBA">
        <w:rPr>
          <w:lang w:val="en-US"/>
        </w:rPr>
        <w:t xml:space="preserve">The light emitted by each of the two samples supplied shall meet the requirements in Table 6. </w:t>
      </w:r>
    </w:p>
    <w:p w14:paraId="3F55A42C" w14:textId="77777777" w:rsidR="00205741" w:rsidRPr="007C4B85" w:rsidRDefault="00205741" w:rsidP="00747422">
      <w:pPr>
        <w:keepNext/>
        <w:spacing w:line="240" w:lineRule="auto"/>
        <w:ind w:left="1134" w:right="1134"/>
        <w:jc w:val="both"/>
        <w:rPr>
          <w:rStyle w:val="Carpredefinitoparagrafo1"/>
          <w:bCs/>
        </w:rPr>
      </w:pPr>
      <w:r>
        <w:rPr>
          <w:lang w:val="en-US"/>
        </w:rPr>
        <w:tab/>
      </w:r>
      <w:r w:rsidRPr="007C4B85">
        <w:rPr>
          <w:rStyle w:val="Carpredefinitoparagrafo1"/>
          <w:bCs/>
        </w:rPr>
        <w:t>Table 6</w:t>
      </w:r>
    </w:p>
    <w:p w14:paraId="5387F32A" w14:textId="77777777" w:rsidR="00205741" w:rsidRPr="007C4B85" w:rsidRDefault="00205741" w:rsidP="00747422">
      <w:pPr>
        <w:keepNext/>
        <w:spacing w:after="120" w:line="240" w:lineRule="auto"/>
        <w:ind w:left="1134" w:right="849"/>
        <w:rPr>
          <w:rStyle w:val="Carpredefinitoparagrafo1"/>
          <w:b/>
          <w:bCs/>
        </w:rPr>
      </w:pPr>
      <w:r w:rsidRPr="007C4B85">
        <w:rPr>
          <w:rStyle w:val="Carpredefinitoparagrafo1"/>
          <w:b/>
          <w:bCs/>
        </w:rPr>
        <w:t>Luminous intensities for daytime running lamps</w:t>
      </w:r>
    </w:p>
    <w:tbl>
      <w:tblPr>
        <w:tblW w:w="8514" w:type="dxa"/>
        <w:tblInd w:w="695" w:type="dxa"/>
        <w:tblLayout w:type="fixed"/>
        <w:tblCellMar>
          <w:left w:w="10" w:type="dxa"/>
          <w:right w:w="10" w:type="dxa"/>
        </w:tblCellMar>
        <w:tblLook w:val="0000" w:firstRow="0" w:lastRow="0" w:firstColumn="0" w:lastColumn="0" w:noHBand="0" w:noVBand="0"/>
      </w:tblPr>
      <w:tblGrid>
        <w:gridCol w:w="1427"/>
        <w:gridCol w:w="1308"/>
        <w:gridCol w:w="1100"/>
        <w:gridCol w:w="1134"/>
        <w:gridCol w:w="1310"/>
        <w:gridCol w:w="1101"/>
        <w:gridCol w:w="1134"/>
      </w:tblGrid>
      <w:tr w:rsidR="00205741" w:rsidRPr="007C4B85" w14:paraId="664B64D9" w14:textId="77777777" w:rsidTr="00EC3DF0">
        <w:trPr>
          <w:cantSplit/>
        </w:trPr>
        <w:tc>
          <w:tcPr>
            <w:tcW w:w="1427" w:type="dxa"/>
            <w:vMerge w:val="restart"/>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21888187" w14:textId="77777777" w:rsidR="00205741" w:rsidRPr="007C526E" w:rsidRDefault="00205741" w:rsidP="00EC3DF0">
            <w:pPr>
              <w:keepNext/>
              <w:spacing w:line="240" w:lineRule="auto"/>
              <w:jc w:val="center"/>
              <w:rPr>
                <w:b/>
                <w:bCs/>
                <w:i/>
                <w:iCs/>
                <w:sz w:val="18"/>
                <w:szCs w:val="18"/>
                <w:lang w:val="fr-CH"/>
              </w:rPr>
            </w:pPr>
            <w:proofErr w:type="spellStart"/>
            <w:r w:rsidRPr="007C526E">
              <w:rPr>
                <w:b/>
                <w:bCs/>
                <w:i/>
                <w:iCs/>
                <w:sz w:val="18"/>
                <w:szCs w:val="18"/>
                <w:lang w:val="fr-CH"/>
              </w:rPr>
              <w:t>Daytime</w:t>
            </w:r>
            <w:proofErr w:type="spellEnd"/>
            <w:r w:rsidRPr="007C526E">
              <w:rPr>
                <w:b/>
                <w:bCs/>
                <w:i/>
                <w:iCs/>
                <w:sz w:val="18"/>
                <w:szCs w:val="18"/>
                <w:lang w:val="fr-CH"/>
              </w:rPr>
              <w:t xml:space="preserve"> running </w:t>
            </w:r>
            <w:proofErr w:type="spellStart"/>
            <w:r w:rsidRPr="007C526E">
              <w:rPr>
                <w:b/>
                <w:bCs/>
                <w:i/>
                <w:iCs/>
                <w:sz w:val="18"/>
                <w:szCs w:val="18"/>
                <w:lang w:val="fr-CH"/>
              </w:rPr>
              <w:t>lamp</w:t>
            </w:r>
            <w:proofErr w:type="spellEnd"/>
          </w:p>
        </w:tc>
        <w:tc>
          <w:tcPr>
            <w:tcW w:w="1308"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0CDDE7C5" w14:textId="77777777" w:rsidR="00205741" w:rsidRPr="007C526E" w:rsidRDefault="00205741" w:rsidP="00EC3DF0">
            <w:pPr>
              <w:keepNext/>
              <w:spacing w:line="240" w:lineRule="auto"/>
              <w:jc w:val="center"/>
              <w:rPr>
                <w:b/>
                <w:bCs/>
                <w:i/>
                <w:iCs/>
                <w:sz w:val="18"/>
                <w:szCs w:val="18"/>
                <w:lang w:val="fr-CH"/>
              </w:rPr>
            </w:pPr>
            <w:r w:rsidRPr="007C526E">
              <w:rPr>
                <w:b/>
                <w:bCs/>
                <w:i/>
                <w:iCs/>
                <w:sz w:val="18"/>
                <w:szCs w:val="18"/>
                <w:lang w:val="fr-CH"/>
              </w:rPr>
              <w:t xml:space="preserve">Minimum </w:t>
            </w:r>
            <w:proofErr w:type="spellStart"/>
            <w:r w:rsidRPr="007C526E">
              <w:rPr>
                <w:b/>
                <w:bCs/>
                <w:i/>
                <w:iCs/>
                <w:sz w:val="18"/>
                <w:szCs w:val="18"/>
                <w:lang w:val="fr-CH"/>
              </w:rPr>
              <w:t>luminous</w:t>
            </w:r>
            <w:proofErr w:type="spellEnd"/>
            <w:r w:rsidRPr="007C526E">
              <w:rPr>
                <w:b/>
                <w:bCs/>
                <w:i/>
                <w:iCs/>
                <w:sz w:val="18"/>
                <w:szCs w:val="18"/>
                <w:lang w:val="fr-CH"/>
              </w:rPr>
              <w:t xml:space="preserve"> </w:t>
            </w:r>
            <w:proofErr w:type="spellStart"/>
            <w:r w:rsidRPr="007C526E">
              <w:rPr>
                <w:b/>
                <w:bCs/>
                <w:i/>
                <w:iCs/>
                <w:sz w:val="18"/>
                <w:szCs w:val="18"/>
                <w:lang w:val="fr-CH"/>
              </w:rPr>
              <w:t>intensity</w:t>
            </w:r>
            <w:proofErr w:type="spellEnd"/>
            <w:r w:rsidRPr="007C526E">
              <w:rPr>
                <w:b/>
                <w:bCs/>
                <w:i/>
                <w:iCs/>
                <w:sz w:val="18"/>
                <w:szCs w:val="18"/>
                <w:lang w:val="fr-CH"/>
              </w:rPr>
              <w:t xml:space="preserve"> in cd (Par. 4.8.3.1. (a))</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8112E3C" w14:textId="77777777" w:rsidR="00205741" w:rsidRPr="007C526E" w:rsidRDefault="00205741" w:rsidP="00EC3DF0">
            <w:pPr>
              <w:keepNext/>
              <w:spacing w:line="240" w:lineRule="auto"/>
              <w:jc w:val="center"/>
              <w:rPr>
                <w:b/>
                <w:bCs/>
                <w:i/>
                <w:iCs/>
                <w:sz w:val="18"/>
                <w:szCs w:val="18"/>
              </w:rPr>
            </w:pPr>
            <w:r w:rsidRPr="007C526E">
              <w:rPr>
                <w:b/>
                <w:bCs/>
                <w:i/>
                <w:iCs/>
                <w:sz w:val="18"/>
                <w:szCs w:val="18"/>
              </w:rPr>
              <w:t>Maximum luminous intensity in cd when used as</w:t>
            </w:r>
          </w:p>
          <w:p w14:paraId="06277A15" w14:textId="77777777" w:rsidR="00205741" w:rsidRPr="007C526E" w:rsidRDefault="00205741" w:rsidP="00EC3DF0">
            <w:pPr>
              <w:keepNext/>
              <w:spacing w:line="240" w:lineRule="auto"/>
              <w:jc w:val="center"/>
              <w:rPr>
                <w:b/>
                <w:bCs/>
                <w:i/>
                <w:iCs/>
                <w:sz w:val="18"/>
                <w:szCs w:val="18"/>
              </w:rPr>
            </w:pPr>
            <w:r w:rsidRPr="007C526E">
              <w:rPr>
                <w:b/>
                <w:bCs/>
                <w:i/>
                <w:iCs/>
                <w:sz w:val="18"/>
                <w:szCs w:val="18"/>
              </w:rPr>
              <w:t>(Par. 4.8.3.1. (b))</w:t>
            </w:r>
          </w:p>
        </w:tc>
        <w:tc>
          <w:tcPr>
            <w:tcW w:w="1310" w:type="dxa"/>
            <w:vMerge w:val="restart"/>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338339A4" w14:textId="77777777" w:rsidR="00205741" w:rsidRPr="007C526E" w:rsidRDefault="00205741" w:rsidP="00EC3DF0">
            <w:pPr>
              <w:keepNext/>
              <w:spacing w:line="240" w:lineRule="auto"/>
              <w:jc w:val="center"/>
              <w:rPr>
                <w:b/>
                <w:bCs/>
                <w:i/>
                <w:iCs/>
                <w:sz w:val="18"/>
                <w:szCs w:val="18"/>
              </w:rPr>
            </w:pPr>
            <w:r w:rsidRPr="007C526E">
              <w:rPr>
                <w:b/>
                <w:bCs/>
                <w:i/>
                <w:iCs/>
                <w:sz w:val="18"/>
                <w:szCs w:val="18"/>
              </w:rPr>
              <w:t>Standard light distribution</w:t>
            </w:r>
          </w:p>
          <w:p w14:paraId="4C472364" w14:textId="77777777" w:rsidR="00205741" w:rsidRPr="007C526E" w:rsidRDefault="00205741" w:rsidP="00EC3DF0">
            <w:pPr>
              <w:keepNext/>
              <w:spacing w:line="240" w:lineRule="auto"/>
              <w:jc w:val="center"/>
              <w:rPr>
                <w:b/>
                <w:bCs/>
                <w:i/>
                <w:iCs/>
                <w:sz w:val="18"/>
                <w:szCs w:val="18"/>
              </w:rPr>
            </w:pPr>
            <w:r w:rsidRPr="007C526E">
              <w:rPr>
                <w:b/>
                <w:bCs/>
                <w:i/>
                <w:iCs/>
                <w:sz w:val="18"/>
                <w:szCs w:val="18"/>
              </w:rPr>
              <w:t>(Par. 4.8.3.1. (c))</w:t>
            </w:r>
          </w:p>
        </w:tc>
        <w:tc>
          <w:tcPr>
            <w:tcW w:w="2235" w:type="dxa"/>
            <w:gridSpan w:val="2"/>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vAlign w:val="center"/>
          </w:tcPr>
          <w:p w14:paraId="602592DC" w14:textId="77777777" w:rsidR="00205741" w:rsidRPr="007C526E" w:rsidRDefault="00205741" w:rsidP="00EC3DF0">
            <w:pPr>
              <w:keepNext/>
              <w:spacing w:line="240" w:lineRule="auto"/>
              <w:jc w:val="center"/>
              <w:rPr>
                <w:b/>
                <w:bCs/>
                <w:i/>
                <w:iCs/>
                <w:sz w:val="18"/>
                <w:szCs w:val="18"/>
              </w:rPr>
            </w:pPr>
            <w:r w:rsidRPr="007C526E">
              <w:rPr>
                <w:b/>
                <w:bCs/>
                <w:i/>
                <w:iCs/>
                <w:sz w:val="18"/>
                <w:szCs w:val="18"/>
              </w:rPr>
              <w:t>Angles of</w:t>
            </w:r>
          </w:p>
          <w:p w14:paraId="1C7FF277" w14:textId="77777777" w:rsidR="00205741" w:rsidRPr="007C526E" w:rsidRDefault="00205741" w:rsidP="00EC3DF0">
            <w:pPr>
              <w:keepNext/>
              <w:spacing w:line="240" w:lineRule="auto"/>
              <w:jc w:val="center"/>
              <w:rPr>
                <w:b/>
                <w:bCs/>
                <w:i/>
                <w:iCs/>
                <w:sz w:val="18"/>
                <w:szCs w:val="18"/>
              </w:rPr>
            </w:pPr>
            <w:r w:rsidRPr="007C526E">
              <w:rPr>
                <w:b/>
                <w:bCs/>
                <w:i/>
                <w:iCs/>
                <w:sz w:val="18"/>
                <w:szCs w:val="18"/>
              </w:rPr>
              <w:t>geometric visibility</w:t>
            </w:r>
          </w:p>
          <w:p w14:paraId="73859253" w14:textId="77777777" w:rsidR="00205741" w:rsidRPr="007C526E" w:rsidRDefault="00205741" w:rsidP="00EC3DF0">
            <w:pPr>
              <w:keepNext/>
              <w:spacing w:line="240" w:lineRule="auto"/>
              <w:jc w:val="center"/>
              <w:rPr>
                <w:b/>
                <w:bCs/>
                <w:i/>
                <w:iCs/>
                <w:sz w:val="18"/>
                <w:szCs w:val="18"/>
              </w:rPr>
            </w:pPr>
            <w:r w:rsidRPr="007C526E">
              <w:rPr>
                <w:b/>
                <w:bCs/>
                <w:i/>
                <w:iCs/>
                <w:sz w:val="18"/>
                <w:szCs w:val="18"/>
              </w:rPr>
              <w:t>(Par. 4.8.3.1. (d))</w:t>
            </w:r>
          </w:p>
        </w:tc>
      </w:tr>
      <w:tr w:rsidR="00205741" w:rsidRPr="007C4B85" w14:paraId="4209657E" w14:textId="77777777" w:rsidTr="00EC3DF0">
        <w:trPr>
          <w:cantSplit/>
          <w:trHeight w:val="860"/>
        </w:trPr>
        <w:tc>
          <w:tcPr>
            <w:tcW w:w="1427" w:type="dxa"/>
            <w:vMerge/>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568CBD8" w14:textId="77777777" w:rsidR="00205741" w:rsidRPr="007C526E" w:rsidRDefault="00205741" w:rsidP="00EC3DF0">
            <w:pPr>
              <w:pStyle w:val="Normale1"/>
              <w:keepNext/>
              <w:jc w:val="center"/>
              <w:rPr>
                <w:b/>
                <w:bCs/>
                <w:i/>
                <w:iCs/>
                <w:sz w:val="18"/>
                <w:szCs w:val="18"/>
                <w:lang w:val="en-GB"/>
              </w:rPr>
            </w:pPr>
          </w:p>
        </w:tc>
        <w:tc>
          <w:tcPr>
            <w:tcW w:w="1308"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506116B4" w14:textId="77777777" w:rsidR="00205741" w:rsidRPr="007C526E" w:rsidRDefault="00205741" w:rsidP="00EC3DF0">
            <w:pPr>
              <w:pStyle w:val="Normale1"/>
              <w:keepNext/>
              <w:jc w:val="center"/>
              <w:rPr>
                <w:b/>
                <w:bCs/>
                <w:i/>
                <w:iCs/>
                <w:sz w:val="18"/>
                <w:szCs w:val="18"/>
                <w:lang w:val="en-GB"/>
              </w:rPr>
            </w:pPr>
          </w:p>
        </w:tc>
        <w:tc>
          <w:tcPr>
            <w:tcW w:w="1100" w:type="dxa"/>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37B0CD56" w14:textId="77777777" w:rsidR="00205741" w:rsidRPr="007C526E" w:rsidRDefault="00205741" w:rsidP="00EC3DF0">
            <w:pPr>
              <w:keepNext/>
              <w:spacing w:line="240" w:lineRule="auto"/>
              <w:jc w:val="center"/>
              <w:rPr>
                <w:b/>
                <w:bCs/>
                <w:i/>
                <w:iCs/>
                <w:sz w:val="18"/>
                <w:szCs w:val="18"/>
              </w:rPr>
            </w:pPr>
            <w:r w:rsidRPr="007C526E">
              <w:rPr>
                <w:b/>
                <w:bCs/>
                <w:i/>
                <w:iCs/>
                <w:sz w:val="18"/>
                <w:szCs w:val="18"/>
              </w:rPr>
              <w:t>A single lamp</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4C21CD5" w14:textId="77777777" w:rsidR="00205741" w:rsidRPr="007C526E" w:rsidRDefault="00205741" w:rsidP="00EC3DF0">
            <w:pPr>
              <w:keepNext/>
              <w:spacing w:line="240" w:lineRule="auto"/>
              <w:jc w:val="center"/>
              <w:rPr>
                <w:b/>
                <w:bCs/>
                <w:i/>
                <w:iCs/>
                <w:sz w:val="18"/>
                <w:szCs w:val="18"/>
              </w:rPr>
            </w:pPr>
            <w:r w:rsidRPr="007C526E">
              <w:rPr>
                <w:b/>
                <w:bCs/>
                <w:i/>
                <w:iCs/>
                <w:sz w:val="18"/>
                <w:szCs w:val="18"/>
              </w:rPr>
              <w:t>A lamp marked "D" (Par. 3.3.2.5.2.)</w:t>
            </w:r>
          </w:p>
        </w:tc>
        <w:tc>
          <w:tcPr>
            <w:tcW w:w="1310" w:type="dxa"/>
            <w:vMerge/>
            <w:tcBorders>
              <w:top w:val="single" w:sz="4"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5D8E0E1" w14:textId="77777777" w:rsidR="00205741" w:rsidRPr="007C526E" w:rsidRDefault="00205741" w:rsidP="00EC3DF0">
            <w:pPr>
              <w:pStyle w:val="Normale1"/>
              <w:keepNext/>
              <w:jc w:val="center"/>
              <w:rPr>
                <w:b/>
                <w:bCs/>
                <w:i/>
                <w:iCs/>
                <w:sz w:val="18"/>
                <w:szCs w:val="18"/>
                <w:lang w:val="en-GB"/>
              </w:rPr>
            </w:pPr>
          </w:p>
        </w:tc>
        <w:tc>
          <w:tcPr>
            <w:tcW w:w="1101" w:type="dxa"/>
            <w:tcBorders>
              <w:top w:val="single" w:sz="4" w:space="0" w:color="auto"/>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C381F36" w14:textId="77777777" w:rsidR="00205741" w:rsidRPr="007C526E" w:rsidRDefault="00205741" w:rsidP="00EC3DF0">
            <w:pPr>
              <w:pStyle w:val="Normale1"/>
              <w:keepNext/>
              <w:jc w:val="center"/>
              <w:rPr>
                <w:b/>
                <w:bCs/>
                <w:i/>
                <w:iCs/>
                <w:sz w:val="18"/>
                <w:szCs w:val="18"/>
                <w:lang w:val="en-GB"/>
              </w:rPr>
            </w:pPr>
            <w:r w:rsidRPr="007C526E">
              <w:rPr>
                <w:b/>
                <w:bCs/>
                <w:i/>
                <w:iCs/>
                <w:sz w:val="18"/>
                <w:szCs w:val="18"/>
                <w:lang w:val="en-GB"/>
              </w:rPr>
              <w:t>Definition</w:t>
            </w:r>
          </w:p>
        </w:tc>
        <w:tc>
          <w:tcPr>
            <w:tcW w:w="1134" w:type="dxa"/>
            <w:tcBorders>
              <w:top w:val="single" w:sz="4" w:space="0" w:color="auto"/>
              <w:left w:val="single" w:sz="4" w:space="0" w:color="000000"/>
              <w:bottom w:val="single" w:sz="12" w:space="0" w:color="000000"/>
              <w:right w:val="single" w:sz="4" w:space="0" w:color="000000"/>
            </w:tcBorders>
            <w:shd w:val="clear" w:color="auto" w:fill="auto"/>
            <w:vAlign w:val="center"/>
          </w:tcPr>
          <w:p w14:paraId="30121DAE" w14:textId="77777777" w:rsidR="00205741" w:rsidRPr="007C526E" w:rsidRDefault="00205741" w:rsidP="00EC3DF0">
            <w:pPr>
              <w:pStyle w:val="Normale1"/>
              <w:keepNext/>
              <w:jc w:val="center"/>
              <w:rPr>
                <w:rStyle w:val="Carpredefinitoparagrafo1"/>
                <w:b/>
                <w:bCs/>
                <w:i/>
                <w:iCs/>
                <w:sz w:val="18"/>
                <w:szCs w:val="18"/>
                <w:shd w:val="clear" w:color="auto" w:fill="FFFF00"/>
                <w:lang w:val="en-GB"/>
              </w:rPr>
            </w:pPr>
            <w:r w:rsidRPr="007C526E">
              <w:rPr>
                <w:b/>
                <w:bCs/>
                <w:i/>
                <w:iCs/>
                <w:sz w:val="18"/>
                <w:szCs w:val="18"/>
                <w:lang w:val="en-GB"/>
              </w:rPr>
              <w:t>Minimum luminous intensity in cd</w:t>
            </w:r>
          </w:p>
        </w:tc>
      </w:tr>
      <w:tr w:rsidR="00205741" w:rsidRPr="007C4B85" w14:paraId="06EB9949" w14:textId="77777777" w:rsidTr="00EC3DF0">
        <w:trPr>
          <w:cantSplit/>
        </w:trPr>
        <w:tc>
          <w:tcPr>
            <w:tcW w:w="1427"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D875EF9" w14:textId="77777777" w:rsidR="00205741" w:rsidRPr="00885C09" w:rsidRDefault="00205741" w:rsidP="00EC3DF0">
            <w:pPr>
              <w:keepNext/>
              <w:spacing w:before="120" w:after="120"/>
              <w:ind w:left="57" w:right="57"/>
              <w:jc w:val="center"/>
              <w:rPr>
                <w:sz w:val="18"/>
                <w:szCs w:val="18"/>
              </w:rPr>
            </w:pPr>
            <w:r w:rsidRPr="00885C09">
              <w:rPr>
                <w:sz w:val="18"/>
                <w:szCs w:val="18"/>
              </w:rPr>
              <w:t>RL</w:t>
            </w:r>
          </w:p>
        </w:tc>
        <w:tc>
          <w:tcPr>
            <w:tcW w:w="1308"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4D536C3E" w14:textId="77777777" w:rsidR="00205741" w:rsidRPr="00885C09" w:rsidRDefault="00205741" w:rsidP="00EC3DF0">
            <w:pPr>
              <w:keepNext/>
              <w:spacing w:before="120" w:after="120"/>
              <w:ind w:left="57" w:right="57"/>
              <w:jc w:val="center"/>
              <w:rPr>
                <w:sz w:val="18"/>
                <w:szCs w:val="18"/>
              </w:rPr>
            </w:pPr>
            <w:r w:rsidRPr="00885C09">
              <w:rPr>
                <w:sz w:val="18"/>
                <w:szCs w:val="18"/>
              </w:rPr>
              <w:t>4.00∙10</w:t>
            </w:r>
            <w:r w:rsidRPr="00885C09">
              <w:rPr>
                <w:sz w:val="18"/>
                <w:szCs w:val="18"/>
                <w:vertAlign w:val="superscript"/>
              </w:rPr>
              <w:t>2</w:t>
            </w:r>
          </w:p>
        </w:tc>
        <w:tc>
          <w:tcPr>
            <w:tcW w:w="1100"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46C750C" w14:textId="77777777" w:rsidR="00205741" w:rsidRPr="00885C09" w:rsidRDefault="00205741" w:rsidP="00EC3DF0">
            <w:pPr>
              <w:keepNext/>
              <w:spacing w:before="120" w:after="120"/>
              <w:ind w:left="57" w:right="57"/>
              <w:jc w:val="center"/>
              <w:rPr>
                <w:sz w:val="18"/>
                <w:szCs w:val="18"/>
              </w:rPr>
            </w:pPr>
            <w:r w:rsidRPr="00885C09">
              <w:rPr>
                <w:sz w:val="18"/>
                <w:szCs w:val="18"/>
              </w:rPr>
              <w:t>1.20∙10</w:t>
            </w:r>
            <w:r w:rsidRPr="00885C09">
              <w:rPr>
                <w:sz w:val="18"/>
                <w:szCs w:val="18"/>
                <w:vertAlign w:val="superscript"/>
              </w:rPr>
              <w:t>3</w:t>
            </w: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1FD2FDC4" w14:textId="77777777" w:rsidR="00205741" w:rsidRPr="00885C09" w:rsidRDefault="00205741" w:rsidP="00EC3DF0">
            <w:pPr>
              <w:keepNext/>
              <w:spacing w:before="120" w:after="120"/>
              <w:ind w:left="57" w:right="57"/>
              <w:jc w:val="center"/>
              <w:rPr>
                <w:sz w:val="18"/>
                <w:szCs w:val="18"/>
              </w:rPr>
            </w:pPr>
            <w:r w:rsidRPr="00885C09">
              <w:rPr>
                <w:sz w:val="18"/>
                <w:szCs w:val="18"/>
              </w:rPr>
              <w:t>6.00∙10²</w:t>
            </w:r>
          </w:p>
        </w:tc>
        <w:tc>
          <w:tcPr>
            <w:tcW w:w="1310"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tcPr>
          <w:p w14:paraId="7C5E08B7" w14:textId="77777777" w:rsidR="00205741" w:rsidRPr="00885C09" w:rsidRDefault="00205741" w:rsidP="00EC3DF0">
            <w:pPr>
              <w:keepNext/>
              <w:spacing w:before="120" w:after="120"/>
              <w:ind w:left="57" w:right="57"/>
              <w:jc w:val="center"/>
              <w:rPr>
                <w:sz w:val="18"/>
                <w:szCs w:val="18"/>
              </w:rPr>
            </w:pPr>
            <w:r w:rsidRPr="00885C09">
              <w:rPr>
                <w:sz w:val="18"/>
                <w:szCs w:val="18"/>
              </w:rPr>
              <w:t>Figure A3-II</w:t>
            </w:r>
          </w:p>
        </w:tc>
        <w:tc>
          <w:tcPr>
            <w:tcW w:w="1101"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tcPr>
          <w:p w14:paraId="3E813D61" w14:textId="77777777" w:rsidR="00205741" w:rsidRPr="00885C09" w:rsidRDefault="00205741" w:rsidP="00EC3DF0">
            <w:pPr>
              <w:keepNext/>
              <w:spacing w:before="120" w:after="120"/>
              <w:ind w:left="57" w:right="57"/>
              <w:jc w:val="center"/>
              <w:rPr>
                <w:sz w:val="18"/>
                <w:szCs w:val="18"/>
              </w:rPr>
            </w:pPr>
            <w:r w:rsidRPr="00885C09">
              <w:rPr>
                <w:sz w:val="18"/>
                <w:szCs w:val="18"/>
              </w:rPr>
              <w:t>Table A2-1</w:t>
            </w: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28" w:type="dxa"/>
              <w:left w:w="28" w:type="dxa"/>
              <w:bottom w:w="28" w:type="dxa"/>
              <w:right w:w="28" w:type="dxa"/>
            </w:tcMar>
            <w:vAlign w:val="center"/>
          </w:tcPr>
          <w:p w14:paraId="7F1C9776" w14:textId="77777777" w:rsidR="00205741" w:rsidRPr="00885C09" w:rsidRDefault="00205741" w:rsidP="00EC3DF0">
            <w:pPr>
              <w:keepNext/>
              <w:spacing w:before="120" w:after="120"/>
              <w:ind w:left="57" w:right="57"/>
              <w:jc w:val="center"/>
              <w:rPr>
                <w:sz w:val="18"/>
                <w:szCs w:val="18"/>
              </w:rPr>
            </w:pPr>
            <w:r w:rsidRPr="00885C09">
              <w:rPr>
                <w:sz w:val="18"/>
                <w:szCs w:val="18"/>
              </w:rPr>
              <w:t>1.0∙10</w:t>
            </w:r>
            <w:r w:rsidRPr="00885C09">
              <w:rPr>
                <w:sz w:val="18"/>
                <w:szCs w:val="18"/>
                <w:vertAlign w:val="superscript"/>
              </w:rPr>
              <w:t>0</w:t>
            </w:r>
          </w:p>
        </w:tc>
      </w:tr>
    </w:tbl>
    <w:p w14:paraId="17642C1C" w14:textId="77777777" w:rsidR="00205741" w:rsidRPr="00747422" w:rsidRDefault="00205741" w:rsidP="00205741">
      <w:pPr>
        <w:pStyle w:val="para0"/>
        <w:spacing w:before="120"/>
        <w:rPr>
          <w:lang w:val="en-US"/>
        </w:rPr>
      </w:pPr>
      <w:r w:rsidRPr="00747422">
        <w:rPr>
          <w:lang w:val="en-US"/>
        </w:rPr>
        <w:t>5.4.1.1.</w:t>
      </w:r>
      <w:r w:rsidRPr="00747422">
        <w:rPr>
          <w:lang w:val="en-US"/>
        </w:rPr>
        <w:tab/>
        <w:t xml:space="preserve">In case the luminous intensity of the daytime running lamp is intended to be reduced, according to the relevant requirements of paragraph 6.19.7. of the 08 or any of the subsequent series of amendments to UN Regulation No. 48, the reduced designed maximum luminous intensity shall not exceed </w:t>
      </w:r>
      <w:bookmarkStart w:id="1" w:name="_Hlk165544592"/>
      <w:r w:rsidRPr="00747422">
        <w:rPr>
          <w:lang w:val="en-US"/>
        </w:rPr>
        <w:t>1.40∙10</w:t>
      </w:r>
      <w:r w:rsidRPr="00747422">
        <w:rPr>
          <w:vertAlign w:val="superscript"/>
          <w:lang w:val="en-US"/>
        </w:rPr>
        <w:t>2</w:t>
      </w:r>
      <w:r w:rsidRPr="00747422">
        <w:rPr>
          <w:lang w:val="en-US"/>
        </w:rPr>
        <w:t xml:space="preserve"> </w:t>
      </w:r>
      <w:bookmarkEnd w:id="1"/>
      <w:r w:rsidRPr="00747422">
        <w:rPr>
          <w:lang w:val="en-US"/>
        </w:rPr>
        <w:t>cd.”</w:t>
      </w:r>
    </w:p>
    <w:bookmarkEnd w:id="0"/>
    <w:p w14:paraId="78FCF68D" w14:textId="77777777" w:rsidR="00205741" w:rsidRDefault="00205741" w:rsidP="00205741">
      <w:pPr>
        <w:pStyle w:val="SingleTxtG"/>
        <w:rPr>
          <w:i/>
          <w:iCs/>
          <w:lang w:val="en-US" w:eastAsia="zh-CN"/>
        </w:rPr>
      </w:pPr>
      <w:r w:rsidRPr="009B5DD0">
        <w:rPr>
          <w:i/>
          <w:iCs/>
          <w:lang w:val="en-US" w:eastAsia="zh-CN"/>
        </w:rPr>
        <w:t xml:space="preserve">Annex 1, </w:t>
      </w:r>
    </w:p>
    <w:p w14:paraId="1B8B6AE6" w14:textId="77777777" w:rsidR="00205741" w:rsidRPr="009B5DD0" w:rsidRDefault="00205741" w:rsidP="00205741">
      <w:pPr>
        <w:pStyle w:val="SingleTxtG"/>
        <w:rPr>
          <w:lang w:val="en-US" w:eastAsia="zh-CN"/>
        </w:rPr>
      </w:pPr>
      <w:r>
        <w:rPr>
          <w:i/>
          <w:iCs/>
          <w:lang w:val="en-US" w:eastAsia="zh-CN"/>
        </w:rPr>
        <w:t>I</w:t>
      </w:r>
      <w:r w:rsidRPr="009B5DD0">
        <w:rPr>
          <w:i/>
          <w:iCs/>
          <w:lang w:val="en-US" w:eastAsia="zh-CN"/>
        </w:rPr>
        <w:t>tem 9.1.5.,</w:t>
      </w:r>
      <w:r w:rsidRPr="009B5DD0">
        <w:rPr>
          <w:lang w:val="en-US" w:eastAsia="zh-CN"/>
        </w:rPr>
        <w:t xml:space="preserve"> amend to read:</w:t>
      </w:r>
    </w:p>
    <w:p w14:paraId="4E90ADC7" w14:textId="77777777" w:rsidR="00205741" w:rsidRPr="009B5DD0" w:rsidRDefault="00205741" w:rsidP="00205741">
      <w:pPr>
        <w:pStyle w:val="para0"/>
        <w:rPr>
          <w:lang w:val="en-US" w:eastAsia="zh-CN"/>
        </w:rPr>
      </w:pPr>
      <w:r w:rsidRPr="009B5DD0">
        <w:rPr>
          <w:lang w:val="en-US" w:eastAsia="zh-CN"/>
        </w:rPr>
        <w:t>“9.1.5.</w:t>
      </w:r>
      <w:r w:rsidRPr="009B5DD0">
        <w:rPr>
          <w:lang w:val="en-US" w:eastAsia="zh-CN"/>
        </w:rPr>
        <w:tab/>
        <w:t>A daytime running lamp</w:t>
      </w:r>
    </w:p>
    <w:p w14:paraId="1F679C4A" w14:textId="77777777" w:rsidR="00205741" w:rsidRPr="00631D95" w:rsidRDefault="00205741" w:rsidP="00205741">
      <w:pPr>
        <w:pStyle w:val="para0"/>
        <w:rPr>
          <w:lang w:val="en-US"/>
        </w:rPr>
      </w:pPr>
      <w:r w:rsidRPr="00631D95">
        <w:rPr>
          <w:lang w:val="en-US"/>
        </w:rPr>
        <w:t>9.1.5.1.</w:t>
      </w:r>
      <w:r w:rsidRPr="00631D95">
        <w:rPr>
          <w:lang w:val="en-US"/>
        </w:rPr>
        <w:tab/>
        <w:t>The daytime running lamp is intended exclusively for installation on vehicles of category L</w:t>
      </w:r>
      <w:r w:rsidRPr="00631D95">
        <w:rPr>
          <w:vertAlign w:val="subscript"/>
          <w:lang w:val="en-US"/>
        </w:rPr>
        <w:t>3</w:t>
      </w:r>
      <w:r w:rsidRPr="00631D95">
        <w:rPr>
          <w:lang w:val="en-US"/>
        </w:rPr>
        <w:t>, and its designed maximum luminous intensity does not exceed 7.00∙10</w:t>
      </w:r>
      <w:r w:rsidRPr="00631D95">
        <w:rPr>
          <w:vertAlign w:val="superscript"/>
          <w:lang w:val="en-US"/>
        </w:rPr>
        <w:t>2</w:t>
      </w:r>
      <w:r w:rsidRPr="00631D95">
        <w:rPr>
          <w:lang w:val="en-US"/>
        </w:rPr>
        <w:t xml:space="preserve"> cd: yes/no</w:t>
      </w:r>
      <w:r w:rsidRPr="00631D95">
        <w:rPr>
          <w:vertAlign w:val="superscript"/>
          <w:lang w:val="en-US"/>
        </w:rPr>
        <w:t>2</w:t>
      </w:r>
    </w:p>
    <w:p w14:paraId="64E3730F" w14:textId="77777777" w:rsidR="00205741" w:rsidRPr="00631D95" w:rsidRDefault="00205741" w:rsidP="00205741">
      <w:pPr>
        <w:pStyle w:val="para0"/>
        <w:rPr>
          <w:lang w:val="en-US" w:eastAsia="zh-CN"/>
        </w:rPr>
      </w:pPr>
      <w:r w:rsidRPr="00631D95">
        <w:rPr>
          <w:lang w:val="en-US"/>
        </w:rPr>
        <w:t>9.1.5.2.</w:t>
      </w:r>
      <w:r w:rsidRPr="00631D95">
        <w:rPr>
          <w:lang w:val="en-US"/>
        </w:rPr>
        <w:tab/>
        <w:t>The daytime running lamp is intended to be reduced so that the maximum luminous intensity does not exceed 1.4∙10</w:t>
      </w:r>
      <w:r w:rsidRPr="00631D95">
        <w:rPr>
          <w:vertAlign w:val="superscript"/>
          <w:lang w:val="en-US"/>
        </w:rPr>
        <w:t>2</w:t>
      </w:r>
      <w:r w:rsidRPr="00631D95">
        <w:rPr>
          <w:lang w:val="en-US"/>
        </w:rPr>
        <w:t xml:space="preserve"> cd: yes/no</w:t>
      </w:r>
      <w:r w:rsidRPr="00631D95">
        <w:rPr>
          <w:vertAlign w:val="superscript"/>
          <w:lang w:val="en-US"/>
        </w:rPr>
        <w:t>2</w:t>
      </w:r>
      <w:r w:rsidRPr="00631D95">
        <w:rPr>
          <w:lang w:val="en-US"/>
        </w:rPr>
        <w:t>”</w:t>
      </w:r>
    </w:p>
    <w:p w14:paraId="04C1FECA" w14:textId="77777777" w:rsidR="00205741" w:rsidRPr="001E4BBB" w:rsidRDefault="00205741" w:rsidP="00205741">
      <w:pPr>
        <w:pStyle w:val="SingleTxtG"/>
        <w:rPr>
          <w:lang w:val="en-US"/>
        </w:rPr>
      </w:pPr>
      <w:r>
        <w:rPr>
          <w:i/>
          <w:iCs/>
          <w:lang w:val="en-US"/>
        </w:rPr>
        <w:t>I</w:t>
      </w:r>
      <w:r w:rsidRPr="001E4BBB">
        <w:rPr>
          <w:i/>
          <w:iCs/>
          <w:lang w:val="en-US"/>
        </w:rPr>
        <w:t>tem 9.3.,</w:t>
      </w:r>
      <w:r w:rsidRPr="001E4BBB">
        <w:rPr>
          <w:lang w:val="en-US"/>
        </w:rPr>
        <w:t xml:space="preserve"> amend to read:</w:t>
      </w:r>
    </w:p>
    <w:p w14:paraId="73F9C060" w14:textId="30E0A9E8" w:rsidR="00C777D8" w:rsidRPr="00470585" w:rsidRDefault="00205741" w:rsidP="00631D95">
      <w:pPr>
        <w:pStyle w:val="para0"/>
        <w:rPr>
          <w:lang w:val="en-US"/>
        </w:rPr>
      </w:pPr>
      <w:r w:rsidRPr="00631D95">
        <w:rPr>
          <w:lang w:val="en-US"/>
        </w:rPr>
        <w:t>“9.3.</w:t>
      </w:r>
      <w:r w:rsidRPr="00631D95">
        <w:rPr>
          <w:lang w:val="en-US"/>
        </w:rPr>
        <w:tab/>
        <w:t>The front position lamp</w:t>
      </w:r>
      <w:bookmarkStart w:id="2" w:name="_Hlk134520964"/>
      <w:r w:rsidRPr="00631D95">
        <w:rPr>
          <w:vertAlign w:val="superscript"/>
          <w:lang w:val="en-US"/>
        </w:rPr>
        <w:t>2</w:t>
      </w:r>
      <w:r w:rsidRPr="00631D95">
        <w:rPr>
          <w:lang w:val="en-US"/>
        </w:rPr>
        <w:t>,</w:t>
      </w:r>
      <w:bookmarkEnd w:id="2"/>
      <w:r w:rsidRPr="00631D95">
        <w:rPr>
          <w:lang w:val="en-US"/>
        </w:rPr>
        <w:t xml:space="preserve"> rear position lamp</w:t>
      </w:r>
      <w:r w:rsidRPr="00631D95">
        <w:rPr>
          <w:vertAlign w:val="superscript"/>
          <w:lang w:val="en-US"/>
        </w:rPr>
        <w:t>2</w:t>
      </w:r>
      <w:r w:rsidRPr="00631D95">
        <w:rPr>
          <w:lang w:val="en-US"/>
        </w:rPr>
        <w:t>, stop lamp</w:t>
      </w:r>
      <w:r w:rsidRPr="00631D95">
        <w:rPr>
          <w:vertAlign w:val="superscript"/>
          <w:lang w:val="en-US"/>
        </w:rPr>
        <w:t>2</w:t>
      </w:r>
      <w:r w:rsidRPr="00631D95">
        <w:rPr>
          <w:lang w:val="en-US"/>
        </w:rPr>
        <w:t>, end-outline marker lamp</w:t>
      </w:r>
      <w:r w:rsidRPr="00631D95">
        <w:rPr>
          <w:vertAlign w:val="superscript"/>
          <w:lang w:val="en-US"/>
        </w:rPr>
        <w:t>2</w:t>
      </w:r>
      <w:r w:rsidRPr="00631D95">
        <w:rPr>
          <w:lang w:val="en-US"/>
        </w:rPr>
        <w:t>, daytime running lamp</w:t>
      </w:r>
      <w:r w:rsidRPr="00631D95">
        <w:rPr>
          <w:vertAlign w:val="superscript"/>
          <w:lang w:val="en-US"/>
        </w:rPr>
        <w:t>2</w:t>
      </w:r>
      <w:r w:rsidRPr="00631D95">
        <w:rPr>
          <w:lang w:val="en-US"/>
        </w:rPr>
        <w:t>, parking lamp</w:t>
      </w:r>
      <w:r w:rsidRPr="00631D95">
        <w:rPr>
          <w:vertAlign w:val="superscript"/>
          <w:lang w:val="en-US"/>
        </w:rPr>
        <w:t>2</w:t>
      </w:r>
      <w:r w:rsidRPr="00631D95">
        <w:rPr>
          <w:lang w:val="en-US"/>
        </w:rPr>
        <w:t>, reversing lamp</w:t>
      </w:r>
      <w:r w:rsidRPr="00631D95">
        <w:rPr>
          <w:vertAlign w:val="superscript"/>
          <w:lang w:val="en-US"/>
        </w:rPr>
        <w:t>2</w:t>
      </w:r>
      <w:r w:rsidRPr="00631D95">
        <w:rPr>
          <w:lang w:val="en-US"/>
        </w:rPr>
        <w:t>, rear fog lamp</w:t>
      </w:r>
      <w:r w:rsidRPr="00631D95">
        <w:rPr>
          <w:vertAlign w:val="superscript"/>
          <w:lang w:val="en-US"/>
        </w:rPr>
        <w:t>2</w:t>
      </w:r>
      <w:r w:rsidRPr="00631D95">
        <w:rPr>
          <w:lang w:val="en-US"/>
        </w:rPr>
        <w:t xml:space="preserve"> and side marker lamp</w:t>
      </w:r>
      <w:r w:rsidRPr="00631D95">
        <w:rPr>
          <w:vertAlign w:val="superscript"/>
          <w:lang w:val="en-US"/>
        </w:rPr>
        <w:t>2</w:t>
      </w:r>
      <w:r w:rsidRPr="00631D95">
        <w:rPr>
          <w:lang w:val="en-US"/>
        </w:rPr>
        <w:t xml:space="preserve"> is only for use on a vehicle fitted with a tell-tale indicating failure: yes/no</w:t>
      </w:r>
      <w:r w:rsidRPr="00631D95">
        <w:rPr>
          <w:vertAlign w:val="superscript"/>
          <w:lang w:val="en-US"/>
        </w:rPr>
        <w:t>2</w:t>
      </w:r>
      <w:r w:rsidRPr="00631D95">
        <w:rPr>
          <w:lang w:val="en-US"/>
        </w:rPr>
        <w:t>”</w:t>
      </w:r>
    </w:p>
    <w:p w14:paraId="34D98FD2" w14:textId="63622B25"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12DC" w14:textId="77777777" w:rsidR="00F524BB" w:rsidRDefault="00F524BB"/>
  </w:endnote>
  <w:endnote w:type="continuationSeparator" w:id="0">
    <w:p w14:paraId="621E3CE0" w14:textId="77777777" w:rsidR="00F524BB" w:rsidRDefault="00F524BB"/>
  </w:endnote>
  <w:endnote w:type="continuationNotice" w:id="1">
    <w:p w14:paraId="00B75551" w14:textId="77777777" w:rsidR="00F524BB" w:rsidRDefault="00F5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1FCA" w14:textId="0230FF95" w:rsidR="00AD767A" w:rsidRDefault="00AD767A" w:rsidP="00AD767A">
    <w:pPr>
      <w:pStyle w:val="Footer"/>
    </w:pPr>
    <w:r w:rsidRPr="0027112F">
      <w:rPr>
        <w:noProof/>
        <w:lang w:val="en-US"/>
      </w:rPr>
      <w:drawing>
        <wp:anchor distT="0" distB="0" distL="114300" distR="114300" simplePos="0" relativeHeight="251659264" behindDoc="0" locked="1" layoutInCell="1" allowOverlap="1" wp14:anchorId="2CC9B03A" wp14:editId="507A644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FF5A022" w14:textId="0247732A" w:rsidR="00AD767A" w:rsidRPr="00AD767A" w:rsidRDefault="00AD767A" w:rsidP="00AD767A">
    <w:pPr>
      <w:pStyle w:val="Footer"/>
      <w:ind w:right="1134"/>
      <w:rPr>
        <w:sz w:val="20"/>
      </w:rPr>
    </w:pPr>
    <w:r>
      <w:rPr>
        <w:sz w:val="20"/>
      </w:rPr>
      <w:t>GE.24-15473  (E)</w:t>
    </w:r>
    <w:r>
      <w:rPr>
        <w:noProof/>
        <w:sz w:val="20"/>
      </w:rPr>
      <w:drawing>
        <wp:anchor distT="0" distB="0" distL="114300" distR="114300" simplePos="0" relativeHeight="251660288" behindDoc="0" locked="0" layoutInCell="1" allowOverlap="1" wp14:anchorId="0DDF37B1" wp14:editId="09ACDD85">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995A" w14:textId="77777777" w:rsidR="00F524BB" w:rsidRPr="000B175B" w:rsidRDefault="00F524BB" w:rsidP="000B175B">
      <w:pPr>
        <w:tabs>
          <w:tab w:val="right" w:pos="2155"/>
        </w:tabs>
        <w:spacing w:after="80"/>
        <w:ind w:left="680"/>
        <w:rPr>
          <w:u w:val="single"/>
        </w:rPr>
      </w:pPr>
      <w:r>
        <w:rPr>
          <w:u w:val="single"/>
        </w:rPr>
        <w:tab/>
      </w:r>
    </w:p>
  </w:footnote>
  <w:footnote w:type="continuationSeparator" w:id="0">
    <w:p w14:paraId="1125A7E4" w14:textId="77777777" w:rsidR="00F524BB" w:rsidRPr="00FC68B7" w:rsidRDefault="00F524BB" w:rsidP="00FC68B7">
      <w:pPr>
        <w:tabs>
          <w:tab w:val="left" w:pos="2155"/>
        </w:tabs>
        <w:spacing w:after="80"/>
        <w:ind w:left="680"/>
        <w:rPr>
          <w:u w:val="single"/>
        </w:rPr>
      </w:pPr>
      <w:r>
        <w:rPr>
          <w:u w:val="single"/>
        </w:rPr>
        <w:tab/>
      </w:r>
    </w:p>
  </w:footnote>
  <w:footnote w:type="continuationNotice" w:id="1">
    <w:p w14:paraId="4D4CF73B" w14:textId="77777777" w:rsidR="00F524BB" w:rsidRDefault="00F524BB"/>
  </w:footnote>
  <w:footnote w:id="2">
    <w:p w14:paraId="2F50A318" w14:textId="7777777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7E625B56" w:rsidR="00DA4201" w:rsidRPr="00DA4201" w:rsidRDefault="00D232E6">
    <w:pPr>
      <w:pStyle w:val="Header"/>
    </w:pPr>
    <w:r>
      <w:fldChar w:fldCharType="begin"/>
    </w:r>
    <w:r>
      <w:instrText xml:space="preserve"> TITLE  \* MERGEFORMAT </w:instrText>
    </w:r>
    <w:r>
      <w:fldChar w:fldCharType="separate"/>
    </w:r>
    <w:r w:rsidR="00DA4201">
      <w:t>ECE/TRANS/WP.29/2024/</w:t>
    </w:r>
    <w:r w:rsidR="00BF1F86">
      <w:t>9</w:t>
    </w:r>
    <w:r w:rsidR="00493A76">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19E2CAAD" w:rsidR="00DA4201" w:rsidRPr="00DA4201" w:rsidRDefault="00D232E6" w:rsidP="00DA4201">
    <w:pPr>
      <w:pStyle w:val="Header"/>
      <w:jc w:val="right"/>
    </w:pPr>
    <w:r>
      <w:fldChar w:fldCharType="begin"/>
    </w:r>
    <w:r>
      <w:instrText xml:space="preserve"> TITLE  \* MERGEFORMAT </w:instrText>
    </w:r>
    <w:r>
      <w:fldChar w:fldCharType="separate"/>
    </w:r>
    <w:r w:rsidR="00DA4201">
      <w:t>ECE/TRANS/WP.29/2024/</w:t>
    </w:r>
    <w:r w:rsidR="00A661A4">
      <w:t>9</w:t>
    </w:r>
    <w:r w:rsidR="00552482">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5"/>
  </w:num>
  <w:num w:numId="12" w16cid:durableId="616915869">
    <w:abstractNumId w:val="14"/>
  </w:num>
  <w:num w:numId="13" w16cid:durableId="1155418512">
    <w:abstractNumId w:val="10"/>
  </w:num>
  <w:num w:numId="14" w16cid:durableId="1991515697">
    <w:abstractNumId w:val="12"/>
  </w:num>
  <w:num w:numId="15" w16cid:durableId="684475659">
    <w:abstractNumId w:val="16"/>
  </w:num>
  <w:num w:numId="16" w16cid:durableId="1063142324">
    <w:abstractNumId w:val="13"/>
  </w:num>
  <w:num w:numId="17" w16cid:durableId="531768949">
    <w:abstractNumId w:val="17"/>
  </w:num>
  <w:num w:numId="18" w16cid:durableId="917792690">
    <w:abstractNumId w:val="18"/>
  </w:num>
  <w:num w:numId="19" w16cid:durableId="114401088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26035"/>
    <w:rsid w:val="00027624"/>
    <w:rsid w:val="00031D10"/>
    <w:rsid w:val="000438B8"/>
    <w:rsid w:val="00050F6B"/>
    <w:rsid w:val="0005359E"/>
    <w:rsid w:val="00063410"/>
    <w:rsid w:val="00063C18"/>
    <w:rsid w:val="000678CD"/>
    <w:rsid w:val="00072C8C"/>
    <w:rsid w:val="00076291"/>
    <w:rsid w:val="00081CE0"/>
    <w:rsid w:val="00084D30"/>
    <w:rsid w:val="00090320"/>
    <w:rsid w:val="000931C0"/>
    <w:rsid w:val="00097003"/>
    <w:rsid w:val="000A2E09"/>
    <w:rsid w:val="000B175B"/>
    <w:rsid w:val="000B3A0F"/>
    <w:rsid w:val="000C0383"/>
    <w:rsid w:val="000C2E9C"/>
    <w:rsid w:val="000E0415"/>
    <w:rsid w:val="000F0620"/>
    <w:rsid w:val="000F7715"/>
    <w:rsid w:val="001312CD"/>
    <w:rsid w:val="00156B99"/>
    <w:rsid w:val="00166124"/>
    <w:rsid w:val="00166ADD"/>
    <w:rsid w:val="00184DDA"/>
    <w:rsid w:val="001900CD"/>
    <w:rsid w:val="001A0452"/>
    <w:rsid w:val="001B4B04"/>
    <w:rsid w:val="001B5875"/>
    <w:rsid w:val="001C4B9C"/>
    <w:rsid w:val="001C6663"/>
    <w:rsid w:val="001C7895"/>
    <w:rsid w:val="001D26DF"/>
    <w:rsid w:val="001F1599"/>
    <w:rsid w:val="001F19C4"/>
    <w:rsid w:val="002043F0"/>
    <w:rsid w:val="00205741"/>
    <w:rsid w:val="00211E0B"/>
    <w:rsid w:val="00225B54"/>
    <w:rsid w:val="00227E2E"/>
    <w:rsid w:val="00232575"/>
    <w:rsid w:val="00247258"/>
    <w:rsid w:val="00257CAC"/>
    <w:rsid w:val="00264DD5"/>
    <w:rsid w:val="0027237A"/>
    <w:rsid w:val="002727FA"/>
    <w:rsid w:val="0027613F"/>
    <w:rsid w:val="002974E9"/>
    <w:rsid w:val="00297D15"/>
    <w:rsid w:val="002A306B"/>
    <w:rsid w:val="002A621D"/>
    <w:rsid w:val="002A634B"/>
    <w:rsid w:val="002A7F94"/>
    <w:rsid w:val="002B109A"/>
    <w:rsid w:val="002C6D45"/>
    <w:rsid w:val="002D218E"/>
    <w:rsid w:val="002D4B42"/>
    <w:rsid w:val="002D6E53"/>
    <w:rsid w:val="002D7369"/>
    <w:rsid w:val="002E1733"/>
    <w:rsid w:val="002F046D"/>
    <w:rsid w:val="002F3023"/>
    <w:rsid w:val="00301764"/>
    <w:rsid w:val="00301ED1"/>
    <w:rsid w:val="00307AA5"/>
    <w:rsid w:val="003169FD"/>
    <w:rsid w:val="003229D8"/>
    <w:rsid w:val="00336C97"/>
    <w:rsid w:val="00337F88"/>
    <w:rsid w:val="00342432"/>
    <w:rsid w:val="00347F4F"/>
    <w:rsid w:val="0035223F"/>
    <w:rsid w:val="00352D4B"/>
    <w:rsid w:val="0035638C"/>
    <w:rsid w:val="00362BC7"/>
    <w:rsid w:val="003A46BB"/>
    <w:rsid w:val="003A4EC7"/>
    <w:rsid w:val="003A7295"/>
    <w:rsid w:val="003B1F60"/>
    <w:rsid w:val="003C07D6"/>
    <w:rsid w:val="003C2CC4"/>
    <w:rsid w:val="003D4B23"/>
    <w:rsid w:val="003D7076"/>
    <w:rsid w:val="003E278A"/>
    <w:rsid w:val="00403091"/>
    <w:rsid w:val="00412A88"/>
    <w:rsid w:val="00413520"/>
    <w:rsid w:val="004325CB"/>
    <w:rsid w:val="0044046A"/>
    <w:rsid w:val="00440A07"/>
    <w:rsid w:val="00462880"/>
    <w:rsid w:val="00470585"/>
    <w:rsid w:val="0047230B"/>
    <w:rsid w:val="00476F24"/>
    <w:rsid w:val="00483DB1"/>
    <w:rsid w:val="00493A76"/>
    <w:rsid w:val="00496148"/>
    <w:rsid w:val="004A5D33"/>
    <w:rsid w:val="004B1987"/>
    <w:rsid w:val="004C55B0"/>
    <w:rsid w:val="004D1F38"/>
    <w:rsid w:val="004F0FCD"/>
    <w:rsid w:val="004F6BA0"/>
    <w:rsid w:val="00503BEA"/>
    <w:rsid w:val="005159CC"/>
    <w:rsid w:val="00533616"/>
    <w:rsid w:val="00535ABA"/>
    <w:rsid w:val="00536913"/>
    <w:rsid w:val="0053768B"/>
    <w:rsid w:val="005420F2"/>
    <w:rsid w:val="0054285C"/>
    <w:rsid w:val="005455C7"/>
    <w:rsid w:val="00552482"/>
    <w:rsid w:val="005526A5"/>
    <w:rsid w:val="005646D4"/>
    <w:rsid w:val="00584173"/>
    <w:rsid w:val="00595520"/>
    <w:rsid w:val="005A17C6"/>
    <w:rsid w:val="005A44B9"/>
    <w:rsid w:val="005B1BA0"/>
    <w:rsid w:val="005B3DB3"/>
    <w:rsid w:val="005B5427"/>
    <w:rsid w:val="005C0268"/>
    <w:rsid w:val="005C41B1"/>
    <w:rsid w:val="005C768B"/>
    <w:rsid w:val="005D15CA"/>
    <w:rsid w:val="005E0192"/>
    <w:rsid w:val="005F08DF"/>
    <w:rsid w:val="005F3066"/>
    <w:rsid w:val="005F3E61"/>
    <w:rsid w:val="00604DDD"/>
    <w:rsid w:val="00605D01"/>
    <w:rsid w:val="006107D6"/>
    <w:rsid w:val="006115CC"/>
    <w:rsid w:val="00611FC4"/>
    <w:rsid w:val="006176FB"/>
    <w:rsid w:val="00622B1F"/>
    <w:rsid w:val="00630FCB"/>
    <w:rsid w:val="00631D95"/>
    <w:rsid w:val="0063224C"/>
    <w:rsid w:val="00640B26"/>
    <w:rsid w:val="00650445"/>
    <w:rsid w:val="0065766B"/>
    <w:rsid w:val="006770A8"/>
    <w:rsid w:val="006770B2"/>
    <w:rsid w:val="00686A48"/>
    <w:rsid w:val="0068763C"/>
    <w:rsid w:val="006940E1"/>
    <w:rsid w:val="006A3C72"/>
    <w:rsid w:val="006A4F48"/>
    <w:rsid w:val="006A7392"/>
    <w:rsid w:val="006B03A1"/>
    <w:rsid w:val="006B67D9"/>
    <w:rsid w:val="006C3C95"/>
    <w:rsid w:val="006C5535"/>
    <w:rsid w:val="006D0589"/>
    <w:rsid w:val="006E564B"/>
    <w:rsid w:val="006E7154"/>
    <w:rsid w:val="006F31C2"/>
    <w:rsid w:val="006F69E5"/>
    <w:rsid w:val="007003CD"/>
    <w:rsid w:val="0070701E"/>
    <w:rsid w:val="0072632A"/>
    <w:rsid w:val="007358E8"/>
    <w:rsid w:val="00736ECE"/>
    <w:rsid w:val="0074533B"/>
    <w:rsid w:val="00747422"/>
    <w:rsid w:val="00752D37"/>
    <w:rsid w:val="007643BC"/>
    <w:rsid w:val="00780C68"/>
    <w:rsid w:val="00792F48"/>
    <w:rsid w:val="007931EA"/>
    <w:rsid w:val="007959FE"/>
    <w:rsid w:val="007A0CF1"/>
    <w:rsid w:val="007B6BA5"/>
    <w:rsid w:val="007C3390"/>
    <w:rsid w:val="007C42D8"/>
    <w:rsid w:val="007C4F4B"/>
    <w:rsid w:val="007D6F65"/>
    <w:rsid w:val="007D7362"/>
    <w:rsid w:val="007E10A8"/>
    <w:rsid w:val="007F5996"/>
    <w:rsid w:val="007F5CE2"/>
    <w:rsid w:val="007F6611"/>
    <w:rsid w:val="00810BAC"/>
    <w:rsid w:val="00814C29"/>
    <w:rsid w:val="008175E9"/>
    <w:rsid w:val="008242D7"/>
    <w:rsid w:val="0082577B"/>
    <w:rsid w:val="00825CB5"/>
    <w:rsid w:val="00856F9E"/>
    <w:rsid w:val="00866893"/>
    <w:rsid w:val="00866F02"/>
    <w:rsid w:val="00867D18"/>
    <w:rsid w:val="00871F9A"/>
    <w:rsid w:val="00871FD5"/>
    <w:rsid w:val="0088172E"/>
    <w:rsid w:val="00881EFA"/>
    <w:rsid w:val="008879CB"/>
    <w:rsid w:val="008979B1"/>
    <w:rsid w:val="008A0998"/>
    <w:rsid w:val="008A6B25"/>
    <w:rsid w:val="008A6C4F"/>
    <w:rsid w:val="008B389E"/>
    <w:rsid w:val="008D045E"/>
    <w:rsid w:val="008D3F25"/>
    <w:rsid w:val="008D4D82"/>
    <w:rsid w:val="008E0E46"/>
    <w:rsid w:val="008E7116"/>
    <w:rsid w:val="008F143B"/>
    <w:rsid w:val="008F3882"/>
    <w:rsid w:val="008F4B7C"/>
    <w:rsid w:val="008F5382"/>
    <w:rsid w:val="00921C70"/>
    <w:rsid w:val="0092556A"/>
    <w:rsid w:val="00926E47"/>
    <w:rsid w:val="00933D8E"/>
    <w:rsid w:val="00947162"/>
    <w:rsid w:val="009610D0"/>
    <w:rsid w:val="0096375C"/>
    <w:rsid w:val="009662E6"/>
    <w:rsid w:val="0097095E"/>
    <w:rsid w:val="0098592B"/>
    <w:rsid w:val="00985FC4"/>
    <w:rsid w:val="00990766"/>
    <w:rsid w:val="00991261"/>
    <w:rsid w:val="009928E7"/>
    <w:rsid w:val="009964C4"/>
    <w:rsid w:val="009A7B81"/>
    <w:rsid w:val="009B011B"/>
    <w:rsid w:val="009B7EB7"/>
    <w:rsid w:val="009D01C0"/>
    <w:rsid w:val="009D6A08"/>
    <w:rsid w:val="009E0A16"/>
    <w:rsid w:val="009E305E"/>
    <w:rsid w:val="009E6CB7"/>
    <w:rsid w:val="009E7970"/>
    <w:rsid w:val="009F2EAC"/>
    <w:rsid w:val="009F57E3"/>
    <w:rsid w:val="00A077A2"/>
    <w:rsid w:val="00A10F4F"/>
    <w:rsid w:val="00A11067"/>
    <w:rsid w:val="00A1704A"/>
    <w:rsid w:val="00A254A1"/>
    <w:rsid w:val="00A25897"/>
    <w:rsid w:val="00A36AC2"/>
    <w:rsid w:val="00A425EB"/>
    <w:rsid w:val="00A53D88"/>
    <w:rsid w:val="00A661A4"/>
    <w:rsid w:val="00A72F22"/>
    <w:rsid w:val="00A733BC"/>
    <w:rsid w:val="00A748A6"/>
    <w:rsid w:val="00A76A69"/>
    <w:rsid w:val="00A879A4"/>
    <w:rsid w:val="00A917A4"/>
    <w:rsid w:val="00AA0FF8"/>
    <w:rsid w:val="00AB0E6B"/>
    <w:rsid w:val="00AB3953"/>
    <w:rsid w:val="00AC0F2C"/>
    <w:rsid w:val="00AC502A"/>
    <w:rsid w:val="00AD767A"/>
    <w:rsid w:val="00AE1E26"/>
    <w:rsid w:val="00AF58C1"/>
    <w:rsid w:val="00AF784F"/>
    <w:rsid w:val="00B04A3F"/>
    <w:rsid w:val="00B06643"/>
    <w:rsid w:val="00B14C6C"/>
    <w:rsid w:val="00B15055"/>
    <w:rsid w:val="00B20551"/>
    <w:rsid w:val="00B249D9"/>
    <w:rsid w:val="00B30179"/>
    <w:rsid w:val="00B31DF2"/>
    <w:rsid w:val="00B31E0B"/>
    <w:rsid w:val="00B33FC7"/>
    <w:rsid w:val="00B35A75"/>
    <w:rsid w:val="00B37B15"/>
    <w:rsid w:val="00B4162A"/>
    <w:rsid w:val="00B43877"/>
    <w:rsid w:val="00B45C02"/>
    <w:rsid w:val="00B60844"/>
    <w:rsid w:val="00B70B63"/>
    <w:rsid w:val="00B72A1E"/>
    <w:rsid w:val="00B81E12"/>
    <w:rsid w:val="00B96983"/>
    <w:rsid w:val="00BA339B"/>
    <w:rsid w:val="00BB23CC"/>
    <w:rsid w:val="00BC1E7E"/>
    <w:rsid w:val="00BC74E9"/>
    <w:rsid w:val="00BE36A9"/>
    <w:rsid w:val="00BE618E"/>
    <w:rsid w:val="00BE7BEC"/>
    <w:rsid w:val="00BF0A5A"/>
    <w:rsid w:val="00BF0E63"/>
    <w:rsid w:val="00BF12A3"/>
    <w:rsid w:val="00BF16D7"/>
    <w:rsid w:val="00BF1F86"/>
    <w:rsid w:val="00BF2373"/>
    <w:rsid w:val="00BF279B"/>
    <w:rsid w:val="00BF4CE1"/>
    <w:rsid w:val="00C044E2"/>
    <w:rsid w:val="00C048CB"/>
    <w:rsid w:val="00C066F3"/>
    <w:rsid w:val="00C150DA"/>
    <w:rsid w:val="00C16422"/>
    <w:rsid w:val="00C43D3E"/>
    <w:rsid w:val="00C463DD"/>
    <w:rsid w:val="00C6171D"/>
    <w:rsid w:val="00C745C3"/>
    <w:rsid w:val="00C777D8"/>
    <w:rsid w:val="00C978F5"/>
    <w:rsid w:val="00CA24A4"/>
    <w:rsid w:val="00CB348D"/>
    <w:rsid w:val="00CB489E"/>
    <w:rsid w:val="00CC0FF7"/>
    <w:rsid w:val="00CC639D"/>
    <w:rsid w:val="00CD46F5"/>
    <w:rsid w:val="00CD5664"/>
    <w:rsid w:val="00CE4A8F"/>
    <w:rsid w:val="00CF071D"/>
    <w:rsid w:val="00D0123D"/>
    <w:rsid w:val="00D05EEA"/>
    <w:rsid w:val="00D15B04"/>
    <w:rsid w:val="00D2031B"/>
    <w:rsid w:val="00D25FE2"/>
    <w:rsid w:val="00D30059"/>
    <w:rsid w:val="00D37DA9"/>
    <w:rsid w:val="00D406A7"/>
    <w:rsid w:val="00D41AE9"/>
    <w:rsid w:val="00D425DF"/>
    <w:rsid w:val="00D43252"/>
    <w:rsid w:val="00D44D86"/>
    <w:rsid w:val="00D50B7D"/>
    <w:rsid w:val="00D52012"/>
    <w:rsid w:val="00D5202F"/>
    <w:rsid w:val="00D704E5"/>
    <w:rsid w:val="00D72727"/>
    <w:rsid w:val="00D76C0F"/>
    <w:rsid w:val="00D91A92"/>
    <w:rsid w:val="00D978C6"/>
    <w:rsid w:val="00DA0956"/>
    <w:rsid w:val="00DA357F"/>
    <w:rsid w:val="00DA3E12"/>
    <w:rsid w:val="00DA4201"/>
    <w:rsid w:val="00DB6C9E"/>
    <w:rsid w:val="00DB77F8"/>
    <w:rsid w:val="00DC18AD"/>
    <w:rsid w:val="00DF7CAE"/>
    <w:rsid w:val="00E071E7"/>
    <w:rsid w:val="00E2494A"/>
    <w:rsid w:val="00E423C0"/>
    <w:rsid w:val="00E44BCE"/>
    <w:rsid w:val="00E6414C"/>
    <w:rsid w:val="00E7260F"/>
    <w:rsid w:val="00E8702D"/>
    <w:rsid w:val="00E905F4"/>
    <w:rsid w:val="00E916A9"/>
    <w:rsid w:val="00E916DE"/>
    <w:rsid w:val="00E925AD"/>
    <w:rsid w:val="00E96630"/>
    <w:rsid w:val="00E96AF4"/>
    <w:rsid w:val="00ED18DC"/>
    <w:rsid w:val="00ED6201"/>
    <w:rsid w:val="00ED7A2A"/>
    <w:rsid w:val="00EF1D7F"/>
    <w:rsid w:val="00F0137E"/>
    <w:rsid w:val="00F04E44"/>
    <w:rsid w:val="00F21786"/>
    <w:rsid w:val="00F23425"/>
    <w:rsid w:val="00F25D06"/>
    <w:rsid w:val="00F31CFF"/>
    <w:rsid w:val="00F3742B"/>
    <w:rsid w:val="00F41BFA"/>
    <w:rsid w:val="00F41FDB"/>
    <w:rsid w:val="00F4613D"/>
    <w:rsid w:val="00F50597"/>
    <w:rsid w:val="00F51631"/>
    <w:rsid w:val="00F524BB"/>
    <w:rsid w:val="00F56D63"/>
    <w:rsid w:val="00F609A9"/>
    <w:rsid w:val="00F80C99"/>
    <w:rsid w:val="00F867EC"/>
    <w:rsid w:val="00F91B2B"/>
    <w:rsid w:val="00FA394D"/>
    <w:rsid w:val="00FC03CD"/>
    <w:rsid w:val="00FC0646"/>
    <w:rsid w:val="00FC2B46"/>
    <w:rsid w:val="00FC68B7"/>
    <w:rsid w:val="00FE6985"/>
    <w:rsid w:val="00FF53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para0">
    <w:name w:val="para"/>
    <w:basedOn w:val="Normal"/>
    <w:link w:val="paraChar"/>
    <w:qFormat/>
    <w:rsid w:val="00AB0E6B"/>
    <w:pPr>
      <w:spacing w:after="120"/>
      <w:ind w:left="2268" w:right="1134" w:hanging="1134"/>
      <w:jc w:val="both"/>
    </w:pPr>
    <w:rPr>
      <w:snapToGrid w:val="0"/>
      <w:lang w:val="fr-FR" w:eastAsia="en-US"/>
    </w:rPr>
  </w:style>
  <w:style w:type="character" w:customStyle="1" w:styleId="paraChar">
    <w:name w:val="para Char"/>
    <w:link w:val="para0"/>
    <w:rsid w:val="00AB0E6B"/>
    <w:rPr>
      <w:snapToGrid w:val="0"/>
      <w:lang w:eastAsia="en-US"/>
    </w:rPr>
  </w:style>
  <w:style w:type="character" w:customStyle="1" w:styleId="Carpredefinitoparagrafo1">
    <w:name w:val="Car. predefinito paragrafo1"/>
    <w:rsid w:val="00205741"/>
  </w:style>
  <w:style w:type="paragraph" w:customStyle="1" w:styleId="Normale1">
    <w:name w:val="Normale1"/>
    <w:rsid w:val="00205741"/>
    <w:pPr>
      <w:widowControl w:val="0"/>
      <w:suppressAutoHyphens/>
      <w:autoSpaceDN w:val="0"/>
      <w:spacing w:line="240" w:lineRule="auto"/>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D7CC1081-D87A-473C-A849-C5E18F67F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393</Words>
  <Characters>2235</Characters>
  <Application>Microsoft Office Word</Application>
  <DocSecurity>0</DocSecurity>
  <Lines>86</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ECE/TRANS/WP.29/2024/95</dc:title>
  <dc:subject>2415473</dc:subject>
  <dc:creator>Edoardo Gianotti</dc:creator>
  <cp:keywords/>
  <dc:description/>
  <cp:lastModifiedBy>Maria Rosario Corazon Gatmaytan</cp:lastModifiedBy>
  <cp:revision>2</cp:revision>
  <cp:lastPrinted>2009-02-18T09:36:00Z</cp:lastPrinted>
  <dcterms:created xsi:type="dcterms:W3CDTF">2024-08-29T06:10:00Z</dcterms:created>
  <dcterms:modified xsi:type="dcterms:W3CDTF">2024-08-29T06:10:00Z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