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261C37BD" w14:textId="77777777" w:rsidTr="00C97039">
        <w:trPr>
          <w:trHeight w:hRule="exact" w:val="851"/>
        </w:trPr>
        <w:tc>
          <w:tcPr>
            <w:tcW w:w="1276" w:type="dxa"/>
            <w:tcBorders>
              <w:bottom w:val="single" w:sz="4" w:space="0" w:color="auto"/>
            </w:tcBorders>
          </w:tcPr>
          <w:p w14:paraId="22E9AC98" w14:textId="77777777" w:rsidR="00F35BAF" w:rsidRPr="00DB58B5" w:rsidRDefault="00F35BAF" w:rsidP="00CD4AEE"/>
        </w:tc>
        <w:tc>
          <w:tcPr>
            <w:tcW w:w="2268" w:type="dxa"/>
            <w:tcBorders>
              <w:bottom w:val="single" w:sz="4" w:space="0" w:color="auto"/>
            </w:tcBorders>
            <w:vAlign w:val="bottom"/>
          </w:tcPr>
          <w:p w14:paraId="798F1423"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01048984" w14:textId="305B3A71" w:rsidR="00F35BAF" w:rsidRPr="00DB58B5" w:rsidRDefault="00CD4AEE" w:rsidP="00CD4AEE">
            <w:pPr>
              <w:jc w:val="right"/>
            </w:pPr>
            <w:r w:rsidRPr="00CD4AEE">
              <w:rPr>
                <w:sz w:val="40"/>
              </w:rPr>
              <w:t>ECE</w:t>
            </w:r>
            <w:r>
              <w:t>/TRANS/WP.29/2024/165</w:t>
            </w:r>
          </w:p>
        </w:tc>
      </w:tr>
      <w:tr w:rsidR="00F35BAF" w:rsidRPr="00DB58B5" w14:paraId="4E6811E1" w14:textId="77777777" w:rsidTr="00C97039">
        <w:trPr>
          <w:trHeight w:hRule="exact" w:val="2835"/>
        </w:trPr>
        <w:tc>
          <w:tcPr>
            <w:tcW w:w="1276" w:type="dxa"/>
            <w:tcBorders>
              <w:top w:val="single" w:sz="4" w:space="0" w:color="auto"/>
              <w:bottom w:val="single" w:sz="12" w:space="0" w:color="auto"/>
            </w:tcBorders>
          </w:tcPr>
          <w:p w14:paraId="23931CA3" w14:textId="77777777" w:rsidR="00F35BAF" w:rsidRPr="00DB58B5" w:rsidRDefault="00F35BAF" w:rsidP="00C97039">
            <w:pPr>
              <w:spacing w:before="120"/>
              <w:jc w:val="center"/>
            </w:pPr>
            <w:r>
              <w:rPr>
                <w:noProof/>
                <w:lang w:eastAsia="fr-CH"/>
              </w:rPr>
              <w:drawing>
                <wp:inline distT="0" distB="0" distL="0" distR="0" wp14:anchorId="33F2C528" wp14:editId="0382615B">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DBE696D"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71139390" w14:textId="77777777" w:rsidR="00F35BAF" w:rsidRDefault="00CD4AEE" w:rsidP="00C97039">
            <w:pPr>
              <w:spacing w:before="240"/>
            </w:pPr>
            <w:r>
              <w:t>Distr. générale</w:t>
            </w:r>
          </w:p>
          <w:p w14:paraId="0E1545BE" w14:textId="77777777" w:rsidR="00CD4AEE" w:rsidRDefault="00CD4AEE" w:rsidP="00CD4AEE">
            <w:pPr>
              <w:spacing w:line="240" w:lineRule="exact"/>
            </w:pPr>
            <w:r>
              <w:t>3 septembre 2024</w:t>
            </w:r>
          </w:p>
          <w:p w14:paraId="1F1BF1E5" w14:textId="77777777" w:rsidR="00CD4AEE" w:rsidRDefault="00CD4AEE" w:rsidP="00CD4AEE">
            <w:pPr>
              <w:spacing w:line="240" w:lineRule="exact"/>
            </w:pPr>
            <w:r>
              <w:t>Français</w:t>
            </w:r>
          </w:p>
          <w:p w14:paraId="6CDF5260" w14:textId="55B83BE0" w:rsidR="00CD4AEE" w:rsidRPr="00DB58B5" w:rsidRDefault="00CD4AEE" w:rsidP="00CD4AEE">
            <w:pPr>
              <w:spacing w:line="240" w:lineRule="exact"/>
            </w:pPr>
            <w:r>
              <w:t>Original : anglais</w:t>
            </w:r>
          </w:p>
        </w:tc>
      </w:tr>
    </w:tbl>
    <w:p w14:paraId="0982B8E3" w14:textId="77777777" w:rsidR="007F20FA" w:rsidRPr="000312C0" w:rsidRDefault="007F20FA" w:rsidP="007F20FA">
      <w:pPr>
        <w:spacing w:before="120"/>
        <w:rPr>
          <w:b/>
          <w:sz w:val="28"/>
          <w:szCs w:val="28"/>
        </w:rPr>
      </w:pPr>
      <w:r w:rsidRPr="000312C0">
        <w:rPr>
          <w:b/>
          <w:sz w:val="28"/>
          <w:szCs w:val="28"/>
        </w:rPr>
        <w:t>Commission économique pour l’Europe</w:t>
      </w:r>
    </w:p>
    <w:p w14:paraId="76FB8F43" w14:textId="77777777" w:rsidR="007F20FA" w:rsidRDefault="007F20FA" w:rsidP="007F20FA">
      <w:pPr>
        <w:spacing w:before="120"/>
        <w:rPr>
          <w:sz w:val="28"/>
          <w:szCs w:val="28"/>
        </w:rPr>
      </w:pPr>
      <w:r w:rsidRPr="00685843">
        <w:rPr>
          <w:sz w:val="28"/>
          <w:szCs w:val="28"/>
        </w:rPr>
        <w:t>Comité des transports intérieurs</w:t>
      </w:r>
    </w:p>
    <w:p w14:paraId="64FEBB49" w14:textId="77777777" w:rsidR="00CD4AEE" w:rsidRDefault="00CD4AEE" w:rsidP="00AF0CB5">
      <w:pPr>
        <w:spacing w:before="120"/>
        <w:rPr>
          <w:b/>
          <w:sz w:val="24"/>
          <w:szCs w:val="24"/>
        </w:rPr>
      </w:pPr>
      <w:r w:rsidRPr="00685843">
        <w:rPr>
          <w:b/>
          <w:sz w:val="24"/>
          <w:szCs w:val="24"/>
        </w:rPr>
        <w:t>Forum mondial de l’harmonisation</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14:paraId="2A3E1A0A" w14:textId="507E99EE" w:rsidR="00CD4AEE" w:rsidRPr="00963D57" w:rsidRDefault="00CD4AEE" w:rsidP="00CD4AEE">
      <w:pPr>
        <w:spacing w:before="120"/>
        <w:rPr>
          <w:b/>
          <w:lang w:val="fr-FR"/>
        </w:rPr>
      </w:pPr>
      <w:r>
        <w:rPr>
          <w:b/>
          <w:bCs/>
          <w:lang w:val="fr-FR"/>
        </w:rPr>
        <w:t>194</w:t>
      </w:r>
      <w:r w:rsidRPr="00CD4AEE">
        <w:rPr>
          <w:b/>
          <w:bCs/>
          <w:vertAlign w:val="superscript"/>
          <w:lang w:val="fr-FR"/>
        </w:rPr>
        <w:t>e</w:t>
      </w:r>
      <w:r>
        <w:rPr>
          <w:b/>
          <w:bCs/>
          <w:lang w:val="fr-FR"/>
        </w:rPr>
        <w:t xml:space="preserve"> session</w:t>
      </w:r>
    </w:p>
    <w:p w14:paraId="2B79A82F" w14:textId="23E4116F" w:rsidR="00CD4AEE" w:rsidRPr="00963D57" w:rsidRDefault="00CD4AEE" w:rsidP="00CD4AEE">
      <w:pPr>
        <w:tabs>
          <w:tab w:val="left" w:pos="5560"/>
        </w:tabs>
        <w:rPr>
          <w:lang w:val="fr-FR"/>
        </w:rPr>
      </w:pPr>
      <w:r>
        <w:rPr>
          <w:lang w:val="fr-FR"/>
        </w:rPr>
        <w:t>Genève, 12-15 novembre 2024</w:t>
      </w:r>
    </w:p>
    <w:p w14:paraId="7535CF8A" w14:textId="77777777" w:rsidR="00CD4AEE" w:rsidRPr="00963D57" w:rsidRDefault="00CD4AEE" w:rsidP="00CD4AEE">
      <w:pPr>
        <w:rPr>
          <w:lang w:val="fr-FR"/>
        </w:rPr>
      </w:pPr>
      <w:r>
        <w:rPr>
          <w:lang w:val="fr-FR"/>
        </w:rPr>
        <w:t>Point 16.1 de l’ordre du jour provisoire</w:t>
      </w:r>
    </w:p>
    <w:p w14:paraId="2C67D160" w14:textId="7F7D9E38" w:rsidR="00CD4AEE" w:rsidRPr="00963D57" w:rsidRDefault="00CD4AEE" w:rsidP="00CD4AEE">
      <w:pPr>
        <w:rPr>
          <w:b/>
          <w:lang w:val="fr-FR"/>
        </w:rPr>
      </w:pPr>
      <w:r>
        <w:rPr>
          <w:b/>
          <w:bCs/>
          <w:lang w:val="fr-FR"/>
        </w:rPr>
        <w:t xml:space="preserve">Examen des règlements techniques à inscrire dans le Recueil </w:t>
      </w:r>
      <w:r>
        <w:rPr>
          <w:b/>
          <w:bCs/>
          <w:lang w:val="fr-FR"/>
        </w:rPr>
        <w:br/>
        <w:t>des règlements admissibles (s’il y a lieu)</w:t>
      </w:r>
    </w:p>
    <w:p w14:paraId="25D82D9D" w14:textId="618716CB" w:rsidR="00CD4AEE" w:rsidRPr="00963D57" w:rsidRDefault="00CD4AEE" w:rsidP="00CD4AEE">
      <w:pPr>
        <w:rPr>
          <w:b/>
          <w:bCs/>
          <w:lang w:val="fr-FR"/>
        </w:rPr>
      </w:pPr>
      <w:r>
        <w:rPr>
          <w:b/>
          <w:bCs/>
          <w:lang w:val="fr-FR"/>
        </w:rPr>
        <w:t xml:space="preserve">Demande d’inscription numéro 8 : </w:t>
      </w:r>
      <w:r w:rsidRPr="000E29C3">
        <w:rPr>
          <w:b/>
          <w:bCs/>
          <w:lang w:val="fr-FR"/>
        </w:rPr>
        <w:t xml:space="preserve">Norme fédérale de sécurité </w:t>
      </w:r>
      <w:r>
        <w:rPr>
          <w:b/>
          <w:bCs/>
          <w:lang w:val="fr-FR"/>
        </w:rPr>
        <w:br/>
      </w:r>
      <w:r w:rsidRPr="000E29C3">
        <w:rPr>
          <w:b/>
          <w:bCs/>
          <w:lang w:val="fr-FR"/>
        </w:rPr>
        <w:t xml:space="preserve">des véhicules automobiles (FMVSS) </w:t>
      </w:r>
      <w:r w:rsidRPr="00CD4AEE">
        <w:rPr>
          <w:rFonts w:eastAsia="MS Mincho"/>
          <w:b/>
          <w:bCs/>
          <w:lang w:val="fr-FR"/>
        </w:rPr>
        <w:t>n</w:t>
      </w:r>
      <w:r w:rsidRPr="00CD4AEE">
        <w:rPr>
          <w:rFonts w:eastAsia="MS Mincho"/>
          <w:b/>
          <w:bCs/>
          <w:vertAlign w:val="superscript"/>
          <w:lang w:val="fr-FR"/>
        </w:rPr>
        <w:t>o</w:t>
      </w:r>
      <w:r w:rsidRPr="000E29C3">
        <w:rPr>
          <w:b/>
          <w:bCs/>
          <w:lang w:val="fr-FR"/>
        </w:rPr>
        <w:t xml:space="preserve"> 205 des États-Unis </w:t>
      </w:r>
      <w:r>
        <w:rPr>
          <w:b/>
          <w:bCs/>
          <w:lang w:val="fr-FR"/>
        </w:rPr>
        <w:br/>
      </w:r>
      <w:r w:rsidRPr="000E29C3">
        <w:rPr>
          <w:b/>
          <w:bCs/>
          <w:lang w:val="fr-FR"/>
        </w:rPr>
        <w:t>sur les vitrages et documents annexés</w:t>
      </w:r>
    </w:p>
    <w:p w14:paraId="715A9C6D" w14:textId="5420EA21" w:rsidR="00CD4AEE" w:rsidRPr="00963D57" w:rsidRDefault="00CD4AEE" w:rsidP="00CD4AEE">
      <w:pPr>
        <w:pStyle w:val="HChG"/>
        <w:rPr>
          <w:lang w:val="fr-FR"/>
        </w:rPr>
      </w:pPr>
      <w:r>
        <w:rPr>
          <w:lang w:val="fr-FR"/>
        </w:rPr>
        <w:tab/>
      </w:r>
      <w:r>
        <w:rPr>
          <w:lang w:val="fr-FR"/>
        </w:rPr>
        <w:tab/>
        <w:t xml:space="preserve">Demande visant à réintégrer la norme FMVSS </w:t>
      </w:r>
      <w:r w:rsidRPr="00CD4AEE">
        <w:rPr>
          <w:rFonts w:eastAsia="MS Mincho"/>
          <w:lang w:val="fr-FR"/>
        </w:rPr>
        <w:t>n</w:t>
      </w:r>
      <w:r w:rsidRPr="00CD4AEE">
        <w:rPr>
          <w:rFonts w:eastAsia="MS Mincho"/>
          <w:vertAlign w:val="superscript"/>
          <w:lang w:val="fr-FR"/>
        </w:rPr>
        <w:t>o</w:t>
      </w:r>
      <w:r>
        <w:rPr>
          <w:lang w:val="fr-FR"/>
        </w:rPr>
        <w:t xml:space="preserve"> 205 (Vitrages) dans le Recueil des règlements admissibles</w:t>
      </w:r>
    </w:p>
    <w:p w14:paraId="3C2FEADF" w14:textId="45F69692" w:rsidR="00CD4AEE" w:rsidRPr="00963D57" w:rsidRDefault="00CD4AEE" w:rsidP="00CD4AEE">
      <w:pPr>
        <w:pStyle w:val="H1G"/>
        <w:rPr>
          <w:szCs w:val="24"/>
          <w:lang w:val="fr-FR"/>
        </w:rPr>
      </w:pPr>
      <w:r>
        <w:rPr>
          <w:lang w:val="fr-FR"/>
        </w:rPr>
        <w:tab/>
      </w:r>
      <w:r>
        <w:rPr>
          <w:lang w:val="fr-FR"/>
        </w:rPr>
        <w:tab/>
        <w:t>Communication du représentant des États-Unis d’Amérique</w:t>
      </w:r>
      <w:r w:rsidRPr="00CD4AEE">
        <w:rPr>
          <w:rStyle w:val="Appelnotedebasdep"/>
          <w:sz w:val="20"/>
          <w:vertAlign w:val="baseline"/>
        </w:rPr>
        <w:footnoteReference w:customMarkFollows="1" w:id="2"/>
        <w:t>*</w:t>
      </w:r>
    </w:p>
    <w:p w14:paraId="15524ECC" w14:textId="3B81C912" w:rsidR="00CD4AEE" w:rsidRDefault="00CD4AEE" w:rsidP="00CD4AEE">
      <w:pPr>
        <w:pStyle w:val="SingleTxtG"/>
        <w:rPr>
          <w:sz w:val="24"/>
          <w:szCs w:val="24"/>
          <w:lang w:val="fr-FR"/>
        </w:rPr>
      </w:pPr>
      <w:r>
        <w:rPr>
          <w:lang w:val="fr-FR"/>
        </w:rPr>
        <w:tab/>
        <w:t xml:space="preserve">Le texte ci-après est soumis par le représentant des États-Unis d’Amérique au Comité exécutif de l’Accord de 1998 (AC.3) pour examen. Il s’agit d’une demande visant à réintégrer la norme FMVSS </w:t>
      </w:r>
      <w:r w:rsidRPr="00CD4AEE">
        <w:rPr>
          <w:rFonts w:eastAsia="MS Mincho"/>
          <w:lang w:val="fr-FR"/>
        </w:rPr>
        <w:t>n</w:t>
      </w:r>
      <w:r w:rsidRPr="00CD4AEE">
        <w:rPr>
          <w:rFonts w:eastAsia="MS Mincho"/>
          <w:vertAlign w:val="superscript"/>
          <w:lang w:val="fr-FR"/>
        </w:rPr>
        <w:t>o</w:t>
      </w:r>
      <w:r>
        <w:rPr>
          <w:lang w:val="fr-FR"/>
        </w:rPr>
        <w:t xml:space="preserve"> 205 (Vitrages) dans le Recueil des règlements admissibles. Afin de pouvoir être examinée par l’AC.3, cette demande est accompagnée d’un exemplaire de ladite norme (voir les paragraphes 5.2.1, 5.2.1.1 et 5.2.2 de l’article 5 de l’Accord de 1998). </w:t>
      </w:r>
    </w:p>
    <w:p w14:paraId="11A59D29" w14:textId="77777777" w:rsidR="00CD4AEE" w:rsidRPr="00963D57" w:rsidRDefault="00CD4AEE" w:rsidP="00CD4AEE">
      <w:pPr>
        <w:pStyle w:val="SingleTxtG"/>
        <w:rPr>
          <w:sz w:val="24"/>
          <w:szCs w:val="24"/>
          <w:lang w:val="fr-FR" w:eastAsia="zh-CN"/>
        </w:rPr>
      </w:pPr>
      <w:r w:rsidRPr="00963D57">
        <w:rPr>
          <w:sz w:val="24"/>
          <w:szCs w:val="24"/>
          <w:lang w:val="fr-FR" w:eastAsia="zh-CN"/>
        </w:rPr>
        <w:br w:type="page"/>
      </w:r>
    </w:p>
    <w:p w14:paraId="198AF873" w14:textId="68B88C21" w:rsidR="00CD4AEE" w:rsidRPr="00963D57" w:rsidRDefault="00CD4AEE" w:rsidP="00CD4AEE">
      <w:pPr>
        <w:pStyle w:val="HChG"/>
        <w:rPr>
          <w:lang w:val="fr-FR"/>
        </w:rPr>
      </w:pPr>
      <w:r>
        <w:rPr>
          <w:lang w:val="fr-FR"/>
        </w:rPr>
        <w:lastRenderedPageBreak/>
        <w:tab/>
      </w:r>
      <w:r>
        <w:rPr>
          <w:lang w:val="fr-FR"/>
        </w:rPr>
        <w:tab/>
        <w:t xml:space="preserve">Demande visant à réintégrer la norme FMVSS </w:t>
      </w:r>
      <w:r w:rsidRPr="00CD4AEE">
        <w:rPr>
          <w:rFonts w:eastAsia="MS Mincho"/>
          <w:lang w:val="fr-FR"/>
        </w:rPr>
        <w:t>n</w:t>
      </w:r>
      <w:r w:rsidRPr="00CD4AEE">
        <w:rPr>
          <w:rFonts w:eastAsia="MS Mincho"/>
          <w:vertAlign w:val="superscript"/>
          <w:lang w:val="fr-FR"/>
        </w:rPr>
        <w:t>o</w:t>
      </w:r>
      <w:r>
        <w:rPr>
          <w:lang w:val="fr-FR"/>
        </w:rPr>
        <w:t xml:space="preserve"> 205 (Vitrages) dans le Recueil des règlements admissibles </w:t>
      </w:r>
    </w:p>
    <w:p w14:paraId="036A235B" w14:textId="3716D7B2" w:rsidR="00CD4AEE" w:rsidRPr="00963D57" w:rsidRDefault="00CD4AEE" w:rsidP="00CD4AEE">
      <w:pPr>
        <w:pStyle w:val="SingleTxtG"/>
        <w:rPr>
          <w:spacing w:val="-4"/>
          <w:lang w:val="fr-FR"/>
        </w:rPr>
      </w:pPr>
      <w:r>
        <w:rPr>
          <w:lang w:val="fr-FR"/>
        </w:rPr>
        <w:t>1.</w:t>
      </w:r>
      <w:r>
        <w:rPr>
          <w:lang w:val="fr-FR"/>
        </w:rPr>
        <w:tab/>
        <w:t xml:space="preserve">Les États-Unis d’Amérique demandent que la norme FMVSS </w:t>
      </w:r>
      <w:r w:rsidRPr="00CD4AEE">
        <w:rPr>
          <w:rFonts w:eastAsia="MS Mincho"/>
          <w:lang w:val="fr-FR"/>
        </w:rPr>
        <w:t>n</w:t>
      </w:r>
      <w:r w:rsidRPr="00CD4AEE">
        <w:rPr>
          <w:rFonts w:eastAsia="MS Mincho"/>
          <w:vertAlign w:val="superscript"/>
          <w:lang w:val="fr-FR"/>
        </w:rPr>
        <w:t>o</w:t>
      </w:r>
      <w:r>
        <w:rPr>
          <w:lang w:val="fr-FR"/>
        </w:rPr>
        <w:t xml:space="preserve"> 205 (Vitrages) soit réintégrée dans le Recueil des règlements admissibles. Elle y figurait en tant qu’inscription </w:t>
      </w:r>
      <w:r w:rsidRPr="00CD4AEE">
        <w:rPr>
          <w:rFonts w:eastAsia="MS Mincho"/>
          <w:lang w:val="fr-FR"/>
        </w:rPr>
        <w:t>n</w:t>
      </w:r>
      <w:r w:rsidRPr="00CD4AEE">
        <w:rPr>
          <w:rFonts w:eastAsia="MS Mincho"/>
          <w:vertAlign w:val="superscript"/>
          <w:lang w:val="fr-FR"/>
        </w:rPr>
        <w:t>o</w:t>
      </w:r>
      <w:r>
        <w:rPr>
          <w:lang w:val="fr-FR"/>
        </w:rPr>
        <w:t xml:space="preserve"> 8 avant d’être supprimée en raison de la création du RTM ONU </w:t>
      </w:r>
      <w:r w:rsidRPr="00CD4AEE">
        <w:rPr>
          <w:rFonts w:eastAsia="MS Mincho"/>
          <w:lang w:val="fr-FR"/>
        </w:rPr>
        <w:t>n</w:t>
      </w:r>
      <w:r w:rsidRPr="00CD4AEE">
        <w:rPr>
          <w:rFonts w:eastAsia="MS Mincho"/>
          <w:vertAlign w:val="superscript"/>
          <w:lang w:val="fr-FR"/>
        </w:rPr>
        <w:t>o</w:t>
      </w:r>
      <w:r>
        <w:rPr>
          <w:lang w:val="fr-FR"/>
        </w:rPr>
        <w:t xml:space="preserve"> 6.</w:t>
      </w:r>
    </w:p>
    <w:p w14:paraId="19DB09CA" w14:textId="7E3776B5" w:rsidR="00CD4AEE" w:rsidRPr="00963D57" w:rsidRDefault="00CD4AEE" w:rsidP="00CD4AEE">
      <w:pPr>
        <w:pStyle w:val="HChG"/>
        <w:rPr>
          <w:lang w:val="fr-FR"/>
        </w:rPr>
      </w:pPr>
      <w:r>
        <w:rPr>
          <w:lang w:val="fr-FR"/>
        </w:rPr>
        <w:tab/>
        <w:t>I.</w:t>
      </w:r>
      <w:r>
        <w:rPr>
          <w:lang w:val="fr-FR"/>
        </w:rPr>
        <w:tab/>
        <w:t xml:space="preserve">Contexte </w:t>
      </w:r>
    </w:p>
    <w:p w14:paraId="031358E9" w14:textId="299D95F5" w:rsidR="00CD4AEE" w:rsidRPr="00963D57" w:rsidRDefault="00CD4AEE" w:rsidP="00CD4AEE">
      <w:pPr>
        <w:pStyle w:val="SingleTxtG"/>
        <w:rPr>
          <w:lang w:val="fr-FR"/>
        </w:rPr>
      </w:pPr>
      <w:r>
        <w:rPr>
          <w:lang w:val="fr-FR"/>
        </w:rPr>
        <w:t>2.</w:t>
      </w:r>
      <w:r>
        <w:rPr>
          <w:lang w:val="fr-FR"/>
        </w:rPr>
        <w:tab/>
        <w:t xml:space="preserve">La norme FMVSS </w:t>
      </w:r>
      <w:r w:rsidRPr="00CD4AEE">
        <w:rPr>
          <w:rFonts w:eastAsia="MS Mincho"/>
          <w:lang w:val="fr-FR"/>
        </w:rPr>
        <w:t>n</w:t>
      </w:r>
      <w:r w:rsidRPr="00CD4AEE">
        <w:rPr>
          <w:rFonts w:eastAsia="MS Mincho"/>
          <w:vertAlign w:val="superscript"/>
          <w:lang w:val="fr-FR"/>
        </w:rPr>
        <w:t>o</w:t>
      </w:r>
      <w:r>
        <w:rPr>
          <w:lang w:val="fr-FR"/>
        </w:rPr>
        <w:t xml:space="preserve"> 205 établit des prescriptions applicables aux vitrages utilisés sur les véhicules à moteur et leurs équipements et vise à limiter les blessures résultant d’un choc contre les surfaces vitrées, à assurer une transparence suffisante des vitres du véhicule pour offrir une bonne visibilité au conducteur et à réduire autant que possible le risque que les occupants soient projetés à travers les vitres en cas de collision. Elle s’applique aux voitures particulières, aux véhicules de transport de personnes à usages multiples, aux camions conçus pour transporter au moins une personne, aux autobus, aux motocycles, aux autocaravanes à cellule amovible, aux capots de caisse de fourgonnette à plateau conçus pour le transport de personnes et aux véhicules à faible vitesse, ainsi qu’aux </w:t>
      </w:r>
      <w:r w:rsidRPr="0036722A">
        <w:rPr>
          <w:lang w:val="fr-FR"/>
        </w:rPr>
        <w:t>vitrages destiné</w:t>
      </w:r>
      <w:r w:rsidR="0036722A" w:rsidRPr="0036722A">
        <w:rPr>
          <w:lang w:val="fr-FR"/>
        </w:rPr>
        <w:t>s</w:t>
      </w:r>
      <w:r w:rsidRPr="0036722A">
        <w:rPr>
          <w:lang w:val="fr-FR"/>
        </w:rPr>
        <w:t xml:space="preserve"> à être utilisés dans ces véhicules.</w:t>
      </w:r>
    </w:p>
    <w:p w14:paraId="1846A3E9" w14:textId="27938F77" w:rsidR="00CD4AEE" w:rsidRPr="00963D57" w:rsidRDefault="00CD4AEE" w:rsidP="00BF4471">
      <w:pPr>
        <w:pStyle w:val="HChG"/>
        <w:rPr>
          <w:rStyle w:val="lev"/>
          <w:b/>
          <w:bCs w:val="0"/>
          <w:lang w:val="fr-FR"/>
        </w:rPr>
      </w:pPr>
      <w:r>
        <w:rPr>
          <w:lang w:val="fr-FR"/>
        </w:rPr>
        <w:tab/>
        <w:t>II.</w:t>
      </w:r>
      <w:r>
        <w:rPr>
          <w:lang w:val="fr-FR"/>
        </w:rPr>
        <w:tab/>
        <w:t>Description de la norme</w:t>
      </w:r>
    </w:p>
    <w:p w14:paraId="690ADD23" w14:textId="369FF0F8" w:rsidR="00CD4AEE" w:rsidRPr="00963D57" w:rsidRDefault="00CD4AEE" w:rsidP="00BF4471">
      <w:pPr>
        <w:pStyle w:val="SingleTxtG"/>
        <w:rPr>
          <w:lang w:val="fr-FR"/>
        </w:rPr>
      </w:pPr>
      <w:r>
        <w:rPr>
          <w:lang w:val="fr-FR"/>
        </w:rPr>
        <w:t>3.</w:t>
      </w:r>
      <w:r>
        <w:rPr>
          <w:lang w:val="fr-FR"/>
        </w:rPr>
        <w:tab/>
        <w:t xml:space="preserve">La norme </w:t>
      </w:r>
      <w:r w:rsidR="00BF4471" w:rsidRPr="00BF4471">
        <w:rPr>
          <w:rFonts w:eastAsia="MS Mincho"/>
          <w:lang w:val="fr-FR"/>
        </w:rPr>
        <w:t>n</w:t>
      </w:r>
      <w:r w:rsidR="00BF4471" w:rsidRPr="00BF4471">
        <w:rPr>
          <w:rFonts w:eastAsia="MS Mincho"/>
          <w:vertAlign w:val="superscript"/>
          <w:lang w:val="fr-FR"/>
        </w:rPr>
        <w:t>o</w:t>
      </w:r>
      <w:r w:rsidR="000F16AD">
        <w:rPr>
          <w:lang w:val="fr-FR"/>
        </w:rPr>
        <w:t> </w:t>
      </w:r>
      <w:r>
        <w:rPr>
          <w:lang w:val="fr-FR"/>
        </w:rPr>
        <w:t>205 établit les prescriptions fonctionnelles applicables aux vitrages utilisés sur les véhicules à moteur et précise également à quel emplacement les différents types de vitrage peuvent être installés. Elle reprend, au moyen d’un renvoi, la norme Z26.1 de l’Institut national américain de normalisation, «</w:t>
      </w:r>
      <w:r w:rsidR="00BF4471">
        <w:rPr>
          <w:lang w:val="fr-FR"/>
        </w:rPr>
        <w:t> </w:t>
      </w:r>
      <w:proofErr w:type="spellStart"/>
      <w:r>
        <w:rPr>
          <w:lang w:val="fr-FR"/>
        </w:rPr>
        <w:t>Safety</w:t>
      </w:r>
      <w:proofErr w:type="spellEnd"/>
      <w:r>
        <w:rPr>
          <w:lang w:val="fr-FR"/>
        </w:rPr>
        <w:t xml:space="preserve"> Code for </w:t>
      </w:r>
      <w:proofErr w:type="spellStart"/>
      <w:r>
        <w:rPr>
          <w:lang w:val="fr-FR"/>
        </w:rPr>
        <w:t>Safety</w:t>
      </w:r>
      <w:proofErr w:type="spellEnd"/>
      <w:r>
        <w:rPr>
          <w:lang w:val="fr-FR"/>
        </w:rPr>
        <w:t xml:space="preserve"> </w:t>
      </w:r>
      <w:proofErr w:type="spellStart"/>
      <w:r>
        <w:rPr>
          <w:lang w:val="fr-FR"/>
        </w:rPr>
        <w:t>Glazing</w:t>
      </w:r>
      <w:proofErr w:type="spellEnd"/>
      <w:r>
        <w:rPr>
          <w:lang w:val="fr-FR"/>
        </w:rPr>
        <w:t xml:space="preserve"> Materials for </w:t>
      </w:r>
      <w:proofErr w:type="spellStart"/>
      <w:r>
        <w:rPr>
          <w:lang w:val="fr-FR"/>
        </w:rPr>
        <w:t>Glazing</w:t>
      </w:r>
      <w:proofErr w:type="spellEnd"/>
      <w:r>
        <w:rPr>
          <w:lang w:val="fr-FR"/>
        </w:rPr>
        <w:t xml:space="preserve"> </w:t>
      </w:r>
      <w:proofErr w:type="spellStart"/>
      <w:r>
        <w:rPr>
          <w:lang w:val="fr-FR"/>
        </w:rPr>
        <w:t>Motor</w:t>
      </w:r>
      <w:proofErr w:type="spellEnd"/>
      <w:r>
        <w:rPr>
          <w:lang w:val="fr-FR"/>
        </w:rPr>
        <w:t xml:space="preserve"> </w:t>
      </w:r>
      <w:proofErr w:type="spellStart"/>
      <w:r>
        <w:rPr>
          <w:lang w:val="fr-FR"/>
        </w:rPr>
        <w:t>Vehicles</w:t>
      </w:r>
      <w:proofErr w:type="spellEnd"/>
      <w:r>
        <w:rPr>
          <w:lang w:val="fr-FR"/>
        </w:rPr>
        <w:t xml:space="preserve"> Operating on Land Highways</w:t>
      </w:r>
      <w:r w:rsidR="00BF4471">
        <w:rPr>
          <w:lang w:val="fr-FR"/>
        </w:rPr>
        <w:t> </w:t>
      </w:r>
      <w:r>
        <w:rPr>
          <w:lang w:val="fr-FR"/>
        </w:rPr>
        <w:t>» (Code de sécurité applicable aux vitrages de sécurité des véhicules routiers à moteur habilités à circuler sur autoroute), telle qu’amendée en 1980 (Z26). Les prescriptions de la norme ANS Z26.1 se présentent sous forme d’essais fonctionnels auxquels les différents types ou éléments de vitrage doivent satisfaire</w:t>
      </w:r>
      <w:r w:rsidR="00BF4471">
        <w:rPr>
          <w:lang w:val="fr-FR"/>
        </w:rPr>
        <w:t> </w:t>
      </w:r>
      <w:r>
        <w:rPr>
          <w:lang w:val="fr-FR"/>
        </w:rPr>
        <w:t xml:space="preserve">: 21 éléments font actuellement l’objet de prescriptions. Pour garantir la sécurité des vitrages de véhicules, la norme </w:t>
      </w:r>
      <w:r w:rsidR="00BF4471" w:rsidRPr="00BF4471">
        <w:rPr>
          <w:rFonts w:eastAsia="MS Mincho"/>
          <w:lang w:val="fr-FR"/>
        </w:rPr>
        <w:t>n</w:t>
      </w:r>
      <w:r w:rsidR="00BF4471" w:rsidRPr="00BF4471">
        <w:rPr>
          <w:rFonts w:eastAsia="MS Mincho"/>
          <w:vertAlign w:val="superscript"/>
          <w:lang w:val="fr-FR"/>
        </w:rPr>
        <w:t>o</w:t>
      </w:r>
      <w:r>
        <w:rPr>
          <w:lang w:val="fr-FR"/>
        </w:rPr>
        <w:t xml:space="preserve"> 205 compte 32 essais différents. Chaque élément de vitrage est soumis à un ensemble de ces essais, sélectionnés selon qu’il convient. La combinaison d’essais associée à un vitrage détermine les propriétés qui sont attendues de lui ainsi que l’emplacement où il peut être installé sur un véhicule à moteur.</w:t>
      </w:r>
    </w:p>
    <w:p w14:paraId="60D28119" w14:textId="2568B6FB" w:rsidR="00CD4AEE" w:rsidRPr="00963D57" w:rsidRDefault="00CD4AEE" w:rsidP="00CD4AEE">
      <w:pPr>
        <w:pStyle w:val="HChG"/>
        <w:rPr>
          <w:lang w:val="fr-FR"/>
        </w:rPr>
      </w:pPr>
      <w:r>
        <w:rPr>
          <w:lang w:val="fr-FR"/>
        </w:rPr>
        <w:tab/>
        <w:t>III.</w:t>
      </w:r>
      <w:r>
        <w:rPr>
          <w:lang w:val="fr-FR"/>
        </w:rPr>
        <w:tab/>
        <w:t>Documents connexes</w:t>
      </w:r>
    </w:p>
    <w:p w14:paraId="06AF7FD1" w14:textId="771A0013" w:rsidR="00CD4AEE" w:rsidRDefault="00CD4AEE" w:rsidP="00CD4AEE">
      <w:pPr>
        <w:pStyle w:val="SingleTxtG"/>
        <w:rPr>
          <w:lang w:val="fr-FR"/>
        </w:rPr>
      </w:pPr>
      <w:r>
        <w:rPr>
          <w:lang w:val="fr-FR"/>
        </w:rPr>
        <w:t>6.</w:t>
      </w:r>
      <w:r>
        <w:rPr>
          <w:lang w:val="fr-FR"/>
        </w:rPr>
        <w:tab/>
        <w:t>Pièces jointes</w:t>
      </w:r>
      <w:r w:rsidR="00BF4471">
        <w:rPr>
          <w:lang w:val="fr-FR"/>
        </w:rPr>
        <w:t> </w:t>
      </w:r>
      <w:r>
        <w:rPr>
          <w:lang w:val="fr-FR"/>
        </w:rPr>
        <w:t xml:space="preserve">: </w:t>
      </w:r>
      <w:r w:rsidRPr="00204583">
        <w:rPr>
          <w:lang w:val="fr-FR"/>
        </w:rPr>
        <w:t xml:space="preserve">titre 49 du recueil des règlements fédéraux </w:t>
      </w:r>
      <w:r>
        <w:rPr>
          <w:lang w:val="fr-FR"/>
        </w:rPr>
        <w:t xml:space="preserve">(CFR 49), partie 571 (consultée le 19 juillet 2024) et paragraphe 571.205 de la norme </w:t>
      </w:r>
      <w:r w:rsidR="00BF4471" w:rsidRPr="00BF4471">
        <w:rPr>
          <w:rFonts w:eastAsia="MS Mincho"/>
          <w:lang w:val="fr-FR"/>
        </w:rPr>
        <w:t>n</w:t>
      </w:r>
      <w:r w:rsidR="00BF4471" w:rsidRPr="00BF4471">
        <w:rPr>
          <w:rFonts w:eastAsia="MS Mincho"/>
          <w:vertAlign w:val="superscript"/>
          <w:lang w:val="fr-FR"/>
        </w:rPr>
        <w:t>o</w:t>
      </w:r>
      <w:r>
        <w:rPr>
          <w:lang w:val="fr-FR"/>
        </w:rPr>
        <w:t xml:space="preserve"> 205 (Vitrages). </w:t>
      </w:r>
    </w:p>
    <w:p w14:paraId="4230F7C7" w14:textId="3F122A2F" w:rsidR="00F9573C" w:rsidRPr="00CD4AEE" w:rsidRDefault="00CD4AEE" w:rsidP="00CD4AEE">
      <w:pPr>
        <w:pStyle w:val="SingleTxtG"/>
        <w:spacing w:before="240" w:after="0"/>
        <w:jc w:val="center"/>
        <w:rPr>
          <w:u w:val="single"/>
          <w:lang w:val="fr-FR"/>
        </w:rPr>
      </w:pPr>
      <w:r w:rsidRPr="00963D57">
        <w:rPr>
          <w:u w:val="single"/>
          <w:lang w:val="fr-FR"/>
        </w:rPr>
        <w:tab/>
      </w:r>
      <w:r w:rsidRPr="00963D57">
        <w:rPr>
          <w:u w:val="single"/>
          <w:lang w:val="fr-FR"/>
        </w:rPr>
        <w:tab/>
      </w:r>
      <w:r w:rsidRPr="00963D57">
        <w:rPr>
          <w:u w:val="single"/>
          <w:lang w:val="fr-FR"/>
        </w:rPr>
        <w:tab/>
      </w:r>
    </w:p>
    <w:sectPr w:rsidR="00F9573C" w:rsidRPr="00CD4AEE" w:rsidSect="00CD4AEE">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08ED9" w14:textId="77777777" w:rsidR="00497D0F" w:rsidRDefault="00497D0F" w:rsidP="00F95C08">
      <w:pPr>
        <w:spacing w:line="240" w:lineRule="auto"/>
      </w:pPr>
    </w:p>
  </w:endnote>
  <w:endnote w:type="continuationSeparator" w:id="0">
    <w:p w14:paraId="1145274C" w14:textId="77777777" w:rsidR="00497D0F" w:rsidRPr="00AC3823" w:rsidRDefault="00497D0F" w:rsidP="00AC3823">
      <w:pPr>
        <w:pStyle w:val="Pieddepage"/>
      </w:pPr>
    </w:p>
  </w:endnote>
  <w:endnote w:type="continuationNotice" w:id="1">
    <w:p w14:paraId="3E9E5D27" w14:textId="77777777" w:rsidR="00497D0F" w:rsidRDefault="00497D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CEC3C" w14:textId="71158959" w:rsidR="00CD4AEE" w:rsidRPr="00CD4AEE" w:rsidRDefault="00CD4AEE" w:rsidP="00CD4AEE">
    <w:pPr>
      <w:pStyle w:val="Pieddepage"/>
      <w:tabs>
        <w:tab w:val="right" w:pos="9638"/>
      </w:tabs>
    </w:pPr>
    <w:r w:rsidRPr="00CD4AEE">
      <w:rPr>
        <w:b/>
        <w:sz w:val="18"/>
      </w:rPr>
      <w:fldChar w:fldCharType="begin"/>
    </w:r>
    <w:r w:rsidRPr="00CD4AEE">
      <w:rPr>
        <w:b/>
        <w:sz w:val="18"/>
      </w:rPr>
      <w:instrText xml:space="preserve"> PAGE  \* MERGEFORMAT </w:instrText>
    </w:r>
    <w:r w:rsidRPr="00CD4AEE">
      <w:rPr>
        <w:b/>
        <w:sz w:val="18"/>
      </w:rPr>
      <w:fldChar w:fldCharType="separate"/>
    </w:r>
    <w:r w:rsidRPr="00CD4AEE">
      <w:rPr>
        <w:b/>
        <w:noProof/>
        <w:sz w:val="18"/>
      </w:rPr>
      <w:t>2</w:t>
    </w:r>
    <w:r w:rsidRPr="00CD4AEE">
      <w:rPr>
        <w:b/>
        <w:sz w:val="18"/>
      </w:rPr>
      <w:fldChar w:fldCharType="end"/>
    </w:r>
    <w:r>
      <w:rPr>
        <w:b/>
        <w:sz w:val="18"/>
      </w:rPr>
      <w:tab/>
    </w:r>
    <w:r>
      <w:t>GE.24-15779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4FFA7" w14:textId="6D7510BD" w:rsidR="00CD4AEE" w:rsidRPr="00CD4AEE" w:rsidRDefault="00CD4AEE" w:rsidP="00CD4AEE">
    <w:pPr>
      <w:pStyle w:val="Pieddepage"/>
      <w:tabs>
        <w:tab w:val="right" w:pos="9638"/>
      </w:tabs>
      <w:rPr>
        <w:b/>
        <w:sz w:val="18"/>
      </w:rPr>
    </w:pPr>
    <w:r>
      <w:t>GE.24-15779</w:t>
    </w:r>
    <w:r>
      <w:tab/>
    </w:r>
    <w:r w:rsidRPr="00CD4AEE">
      <w:rPr>
        <w:b/>
        <w:sz w:val="18"/>
      </w:rPr>
      <w:fldChar w:fldCharType="begin"/>
    </w:r>
    <w:r w:rsidRPr="00CD4AEE">
      <w:rPr>
        <w:b/>
        <w:sz w:val="18"/>
      </w:rPr>
      <w:instrText xml:space="preserve"> PAGE  \* MERGEFORMAT </w:instrText>
    </w:r>
    <w:r w:rsidRPr="00CD4AEE">
      <w:rPr>
        <w:b/>
        <w:sz w:val="18"/>
      </w:rPr>
      <w:fldChar w:fldCharType="separate"/>
    </w:r>
    <w:r w:rsidRPr="00CD4AEE">
      <w:rPr>
        <w:b/>
        <w:noProof/>
        <w:sz w:val="18"/>
      </w:rPr>
      <w:t>3</w:t>
    </w:r>
    <w:r w:rsidRPr="00CD4AE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2EF99" w14:textId="3E295766" w:rsidR="007F20FA" w:rsidRPr="00CD4AEE" w:rsidRDefault="00CD4AEE" w:rsidP="00CD4AEE">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3BB03C0F" wp14:editId="540EDFDA">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24-15779  (F)</w:t>
    </w:r>
    <w:r>
      <w:rPr>
        <w:noProof/>
        <w:sz w:val="20"/>
      </w:rPr>
      <w:drawing>
        <wp:anchor distT="0" distB="0" distL="114300" distR="114300" simplePos="0" relativeHeight="251660288" behindDoc="0" locked="0" layoutInCell="1" allowOverlap="1" wp14:anchorId="2454EBA8" wp14:editId="3D464A39">
          <wp:simplePos x="0" y="0"/>
          <wp:positionH relativeFrom="margin">
            <wp:posOffset>5489575</wp:posOffset>
          </wp:positionH>
          <wp:positionV relativeFrom="margin">
            <wp:posOffset>8891905</wp:posOffset>
          </wp:positionV>
          <wp:extent cx="628650" cy="628650"/>
          <wp:effectExtent l="0" t="0" r="0" b="0"/>
          <wp:wrapNone/>
          <wp:docPr id="16055801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160924    160924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7292A" w14:textId="77777777" w:rsidR="00497D0F" w:rsidRPr="00AC3823" w:rsidRDefault="00497D0F" w:rsidP="00AC3823">
      <w:pPr>
        <w:pStyle w:val="Pieddepage"/>
        <w:tabs>
          <w:tab w:val="right" w:pos="2155"/>
        </w:tabs>
        <w:spacing w:after="80" w:line="240" w:lineRule="atLeast"/>
        <w:ind w:left="680"/>
        <w:rPr>
          <w:u w:val="single"/>
        </w:rPr>
      </w:pPr>
      <w:r>
        <w:rPr>
          <w:u w:val="single"/>
        </w:rPr>
        <w:tab/>
      </w:r>
    </w:p>
  </w:footnote>
  <w:footnote w:type="continuationSeparator" w:id="0">
    <w:p w14:paraId="745789C5" w14:textId="77777777" w:rsidR="00497D0F" w:rsidRPr="00AC3823" w:rsidRDefault="00497D0F" w:rsidP="00AC3823">
      <w:pPr>
        <w:pStyle w:val="Pieddepage"/>
        <w:tabs>
          <w:tab w:val="right" w:pos="2155"/>
        </w:tabs>
        <w:spacing w:after="80" w:line="240" w:lineRule="atLeast"/>
        <w:ind w:left="680"/>
        <w:rPr>
          <w:u w:val="single"/>
        </w:rPr>
      </w:pPr>
      <w:r>
        <w:rPr>
          <w:u w:val="single"/>
        </w:rPr>
        <w:tab/>
      </w:r>
    </w:p>
  </w:footnote>
  <w:footnote w:type="continuationNotice" w:id="1">
    <w:p w14:paraId="79DB3211" w14:textId="77777777" w:rsidR="00497D0F" w:rsidRPr="00AC3823" w:rsidRDefault="00497D0F">
      <w:pPr>
        <w:spacing w:line="240" w:lineRule="auto"/>
        <w:rPr>
          <w:sz w:val="2"/>
          <w:szCs w:val="2"/>
        </w:rPr>
      </w:pPr>
    </w:p>
  </w:footnote>
  <w:footnote w:id="2">
    <w:p w14:paraId="1FFB3176" w14:textId="1D9BDBC1" w:rsidR="00CD4AEE" w:rsidRPr="00CD4AEE" w:rsidRDefault="00CD4AEE">
      <w:pPr>
        <w:pStyle w:val="Notedebasdepage"/>
      </w:pPr>
      <w:r>
        <w:rPr>
          <w:rStyle w:val="Appelnotedebasdep"/>
        </w:rPr>
        <w:tab/>
      </w:r>
      <w:r w:rsidRPr="00CD4AEE">
        <w:rPr>
          <w:rStyle w:val="Appelnotedebasdep"/>
          <w:sz w:val="20"/>
          <w:vertAlign w:val="baseline"/>
        </w:rPr>
        <w:t>*</w:t>
      </w:r>
      <w:r>
        <w:rPr>
          <w:rStyle w:val="Appelnotedebasdep"/>
          <w:sz w:val="20"/>
          <w:vertAlign w:val="baseline"/>
        </w:rPr>
        <w:tab/>
      </w:r>
      <w:r>
        <w:rPr>
          <w:lang w:val="fr-FR"/>
        </w:rPr>
        <w:t>Conformément au programme de travail du Comité des transports intérieurs pour 2024 tel qu’il figure dans le projet de budget-programme pour 2024 (A/78/6 (Sect. 20), tableau 20.5), le Forum mondial a pour mission d’élaborer, d’harmoniser et de mettre à jour les Règlements ONU en vue d’améliorer les caractéristiques fonctionnelles des véhicules. Le présent document est soumis en vertu de ce mandat.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74E20" w14:textId="487DA500" w:rsidR="00CD4AEE" w:rsidRPr="00CD4AEE" w:rsidRDefault="002263E0">
    <w:pPr>
      <w:pStyle w:val="En-tte"/>
    </w:pPr>
    <w:r>
      <w:fldChar w:fldCharType="begin"/>
    </w:r>
    <w:r>
      <w:instrText xml:space="preserve"> TITLE  \* MERGEFORMAT </w:instrText>
    </w:r>
    <w:r>
      <w:fldChar w:fldCharType="separate"/>
    </w:r>
    <w:r w:rsidR="00CD4AEE">
      <w:t>ECE/TRANS/WP.29/2024/165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43F3E" w14:textId="2F0D6956" w:rsidR="00CD4AEE" w:rsidRPr="00CD4AEE" w:rsidRDefault="002263E0" w:rsidP="00CD4AEE">
    <w:pPr>
      <w:pStyle w:val="En-tte"/>
      <w:jc w:val="right"/>
    </w:pPr>
    <w:r>
      <w:fldChar w:fldCharType="begin"/>
    </w:r>
    <w:r>
      <w:instrText xml:space="preserve"> TITLE  \* MERGEFORMAT </w:instrText>
    </w:r>
    <w:r>
      <w:fldChar w:fldCharType="separate"/>
    </w:r>
    <w:r w:rsidR="00CD4AEE">
      <w:t>ECE/TRANS/WP.29/2024/165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C633E0"/>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956716814">
    <w:abstractNumId w:val="12"/>
  </w:num>
  <w:num w:numId="2" w16cid:durableId="1714765659">
    <w:abstractNumId w:val="11"/>
  </w:num>
  <w:num w:numId="3" w16cid:durableId="1533760671">
    <w:abstractNumId w:val="10"/>
  </w:num>
  <w:num w:numId="4" w16cid:durableId="2058313733">
    <w:abstractNumId w:val="8"/>
  </w:num>
  <w:num w:numId="5" w16cid:durableId="1518302162">
    <w:abstractNumId w:val="3"/>
  </w:num>
  <w:num w:numId="6" w16cid:durableId="1231036781">
    <w:abstractNumId w:val="2"/>
  </w:num>
  <w:num w:numId="7" w16cid:durableId="1980986741">
    <w:abstractNumId w:val="1"/>
  </w:num>
  <w:num w:numId="8" w16cid:durableId="380174430">
    <w:abstractNumId w:val="0"/>
  </w:num>
  <w:num w:numId="9" w16cid:durableId="769546365">
    <w:abstractNumId w:val="9"/>
  </w:num>
  <w:num w:numId="10" w16cid:durableId="1332564825">
    <w:abstractNumId w:val="7"/>
  </w:num>
  <w:num w:numId="11" w16cid:durableId="51851542">
    <w:abstractNumId w:val="6"/>
  </w:num>
  <w:num w:numId="12" w16cid:durableId="1979920322">
    <w:abstractNumId w:val="5"/>
  </w:num>
  <w:num w:numId="13" w16cid:durableId="892695419">
    <w:abstractNumId w:val="4"/>
  </w:num>
  <w:num w:numId="14" w16cid:durableId="2041584480">
    <w:abstractNumId w:val="12"/>
  </w:num>
  <w:num w:numId="15" w16cid:durableId="69542872">
    <w:abstractNumId w:val="11"/>
  </w:num>
  <w:num w:numId="16" w16cid:durableId="1390105543">
    <w:abstractNumId w:val="10"/>
  </w:num>
  <w:num w:numId="17" w16cid:durableId="14112727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D0F"/>
    <w:rsid w:val="00017F94"/>
    <w:rsid w:val="00023842"/>
    <w:rsid w:val="000334F9"/>
    <w:rsid w:val="00045FEB"/>
    <w:rsid w:val="0005241E"/>
    <w:rsid w:val="0007796D"/>
    <w:rsid w:val="000B7790"/>
    <w:rsid w:val="000F16AD"/>
    <w:rsid w:val="00111F2F"/>
    <w:rsid w:val="0014365E"/>
    <w:rsid w:val="00143C66"/>
    <w:rsid w:val="00176178"/>
    <w:rsid w:val="001772E5"/>
    <w:rsid w:val="001F525A"/>
    <w:rsid w:val="00201148"/>
    <w:rsid w:val="00223272"/>
    <w:rsid w:val="0024779E"/>
    <w:rsid w:val="00257168"/>
    <w:rsid w:val="002672D9"/>
    <w:rsid w:val="002744B8"/>
    <w:rsid w:val="002832AC"/>
    <w:rsid w:val="002D7C93"/>
    <w:rsid w:val="00305801"/>
    <w:rsid w:val="00326C2F"/>
    <w:rsid w:val="0036722A"/>
    <w:rsid w:val="003916DE"/>
    <w:rsid w:val="00421996"/>
    <w:rsid w:val="00441C3B"/>
    <w:rsid w:val="00446FE5"/>
    <w:rsid w:val="00452396"/>
    <w:rsid w:val="00477EB2"/>
    <w:rsid w:val="004837D8"/>
    <w:rsid w:val="00497D0F"/>
    <w:rsid w:val="004B1EAB"/>
    <w:rsid w:val="004E2EED"/>
    <w:rsid w:val="004E468C"/>
    <w:rsid w:val="005505B7"/>
    <w:rsid w:val="00573BE5"/>
    <w:rsid w:val="00586ED3"/>
    <w:rsid w:val="00596AA9"/>
    <w:rsid w:val="0071601D"/>
    <w:rsid w:val="007A62E6"/>
    <w:rsid w:val="007F20FA"/>
    <w:rsid w:val="0080684C"/>
    <w:rsid w:val="00871C75"/>
    <w:rsid w:val="008776DC"/>
    <w:rsid w:val="008D5EF9"/>
    <w:rsid w:val="009446C0"/>
    <w:rsid w:val="009705C8"/>
    <w:rsid w:val="009C1CF4"/>
    <w:rsid w:val="009F6B74"/>
    <w:rsid w:val="00A3029F"/>
    <w:rsid w:val="00A30353"/>
    <w:rsid w:val="00AC3823"/>
    <w:rsid w:val="00AE323C"/>
    <w:rsid w:val="00AF0CB5"/>
    <w:rsid w:val="00B00181"/>
    <w:rsid w:val="00B00B0D"/>
    <w:rsid w:val="00B22C25"/>
    <w:rsid w:val="00B45F2E"/>
    <w:rsid w:val="00B765F7"/>
    <w:rsid w:val="00B77993"/>
    <w:rsid w:val="00BA0CA9"/>
    <w:rsid w:val="00BF4471"/>
    <w:rsid w:val="00C02897"/>
    <w:rsid w:val="00C97039"/>
    <w:rsid w:val="00CD4AEE"/>
    <w:rsid w:val="00D3439C"/>
    <w:rsid w:val="00D7622E"/>
    <w:rsid w:val="00DB1831"/>
    <w:rsid w:val="00DD3BFD"/>
    <w:rsid w:val="00DF6678"/>
    <w:rsid w:val="00E0299A"/>
    <w:rsid w:val="00E85C74"/>
    <w:rsid w:val="00EA6547"/>
    <w:rsid w:val="00ED7237"/>
    <w:rsid w:val="00EE0DB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D66E2"/>
  <w15:docId w15:val="{9F1F77CB-23F4-4B8A-899B-FEB58D1C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0"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2672D9"/>
    <w:pPr>
      <w:tabs>
        <w:tab w:val="left" w:pos="1701"/>
        <w:tab w:val="left" w:pos="2268"/>
        <w:tab w:val="left" w:pos="2835"/>
      </w:tabs>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2672D9"/>
    <w:pPr>
      <w:numPr>
        <w:numId w:val="17"/>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NotedebasdepageCar"/>
    <w:uiPriority w:val="99"/>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PP Car,5_G_6 Car,5_GR Car,-E Fußnotentext Car,footnote text Car,Fußnotentext Ursprung Car,Footnote Text Char Char Char Char Car,Footnote Text1 Car,Footnote Text Char Char Char Car,Fußnotentext Char1 Car,Fußn Car"/>
    <w:basedOn w:val="Policepardfaut"/>
    <w:link w:val="Notedebasdepage"/>
    <w:uiPriority w:val="99"/>
    <w:qFormat/>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qFormat/>
    <w:locked/>
    <w:rsid w:val="00CD4AEE"/>
    <w:rPr>
      <w:rFonts w:ascii="Times New Roman" w:eastAsiaTheme="minorHAnsi" w:hAnsi="Times New Roman" w:cs="Times New Roman"/>
      <w:sz w:val="20"/>
      <w:szCs w:val="20"/>
      <w:lang w:eastAsia="en-US"/>
    </w:rPr>
  </w:style>
  <w:style w:type="character" w:customStyle="1" w:styleId="HChGChar">
    <w:name w:val="_ H _Ch_G Char"/>
    <w:link w:val="HChG"/>
    <w:qFormat/>
    <w:locked/>
    <w:rsid w:val="00CD4AEE"/>
    <w:rPr>
      <w:rFonts w:ascii="Times New Roman" w:eastAsiaTheme="minorHAnsi" w:hAnsi="Times New Roman" w:cs="Times New Roman"/>
      <w:b/>
      <w:sz w:val="28"/>
      <w:szCs w:val="20"/>
      <w:lang w:eastAsia="en-US"/>
    </w:rPr>
  </w:style>
  <w:style w:type="character" w:customStyle="1" w:styleId="H1GChar">
    <w:name w:val="_ H_1_G Char"/>
    <w:link w:val="H1G"/>
    <w:locked/>
    <w:rsid w:val="00CD4AEE"/>
    <w:rPr>
      <w:rFonts w:ascii="Times New Roman" w:eastAsiaTheme="minorHAnsi" w:hAnsi="Times New Roman" w:cs="Times New Roman"/>
      <w:b/>
      <w:sz w:val="24"/>
      <w:szCs w:val="20"/>
      <w:lang w:eastAsia="en-US"/>
    </w:rPr>
  </w:style>
  <w:style w:type="character" w:styleId="lev">
    <w:name w:val="Strong"/>
    <w:qFormat/>
    <w:rsid w:val="00CD4A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B3639D-A7EB-4C12-B7CD-8ED93D1E2AD4}"/>
</file>

<file path=customXml/itemProps2.xml><?xml version="1.0" encoding="utf-8"?>
<ds:datastoreItem xmlns:ds="http://schemas.openxmlformats.org/officeDocument/2006/customXml" ds:itemID="{1D9D94AE-9111-42DE-88D2-FCC787006195}"/>
</file>

<file path=docProps/app.xml><?xml version="1.0" encoding="utf-8"?>
<Properties xmlns="http://schemas.openxmlformats.org/officeDocument/2006/extended-properties" xmlns:vt="http://schemas.openxmlformats.org/officeDocument/2006/docPropsVTypes">
  <Template>ECE_TRANS.dotm</Template>
  <TotalTime>0</TotalTime>
  <Pages>2</Pages>
  <Words>591</Words>
  <Characters>3251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ECE/TRANS/WP.29/2024/165</vt:lpstr>
    </vt:vector>
  </TitlesOfParts>
  <Company>DCM</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ECE/TRANS/WP.29/2024/165</dc:title>
  <dc:subject/>
  <dc:creator>Sandrine CLERE</dc:creator>
  <cp:keywords/>
  <cp:lastModifiedBy>Sandrine CLERE</cp:lastModifiedBy>
  <cp:revision>2</cp:revision>
  <cp:lastPrinted>2014-05-14T10:59:00Z</cp:lastPrinted>
  <dcterms:created xsi:type="dcterms:W3CDTF">2024-09-17T11:32:00Z</dcterms:created>
  <dcterms:modified xsi:type="dcterms:W3CDTF">2024-09-17T11:32:00Z</dcterms:modified>
</cp:coreProperties>
</file>