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24C05C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93EF522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F4F1BE0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8ED4A67" w14:textId="1AE86BB9" w:rsidR="009E6CB7" w:rsidRPr="00D47EEA" w:rsidRDefault="00B7172A" w:rsidP="00B7172A">
            <w:pPr>
              <w:jc w:val="right"/>
            </w:pPr>
            <w:r w:rsidRPr="00B7172A">
              <w:rPr>
                <w:sz w:val="40"/>
              </w:rPr>
              <w:t>ECE</w:t>
            </w:r>
            <w:r>
              <w:t>/TRANS/WP.29/2024/163</w:t>
            </w:r>
          </w:p>
        </w:tc>
      </w:tr>
      <w:tr w:rsidR="009E6CB7" w14:paraId="4D068915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9871550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52B9476" wp14:editId="03EB5A4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E496C5C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71CD345" w14:textId="77777777" w:rsidR="009E6CB7" w:rsidRDefault="00B7172A" w:rsidP="00B7172A">
            <w:pPr>
              <w:spacing w:before="240" w:line="240" w:lineRule="exact"/>
            </w:pPr>
            <w:r>
              <w:t>Distr.: General</w:t>
            </w:r>
          </w:p>
          <w:p w14:paraId="770F3E09" w14:textId="652109D0" w:rsidR="00B7172A" w:rsidRDefault="00B7172A" w:rsidP="00B7172A">
            <w:pPr>
              <w:spacing w:line="240" w:lineRule="exact"/>
            </w:pPr>
            <w:r>
              <w:t>2</w:t>
            </w:r>
            <w:r w:rsidR="00095EF4">
              <w:t>9</w:t>
            </w:r>
            <w:r>
              <w:t xml:space="preserve"> August 2024</w:t>
            </w:r>
          </w:p>
          <w:p w14:paraId="0F6B4992" w14:textId="77777777" w:rsidR="00B7172A" w:rsidRDefault="00B7172A" w:rsidP="00B7172A">
            <w:pPr>
              <w:spacing w:line="240" w:lineRule="exact"/>
            </w:pPr>
          </w:p>
          <w:p w14:paraId="11CEFE82" w14:textId="21F21ED6" w:rsidR="00B7172A" w:rsidRDefault="00B7172A" w:rsidP="00B7172A">
            <w:pPr>
              <w:spacing w:line="240" w:lineRule="exact"/>
            </w:pPr>
            <w:r>
              <w:t>Original: English</w:t>
            </w:r>
          </w:p>
        </w:tc>
      </w:tr>
    </w:tbl>
    <w:p w14:paraId="0F69D9A2" w14:textId="77777777" w:rsidR="00B7172A" w:rsidRDefault="00B7172A" w:rsidP="00B7172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6ACEE355" w14:textId="77777777" w:rsidR="00B7172A" w:rsidRDefault="00B7172A" w:rsidP="00B7172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1DF418A9" w14:textId="77777777" w:rsidR="00B7172A" w:rsidRDefault="00B7172A" w:rsidP="00B7172A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3862CAB6" w14:textId="77777777" w:rsidR="00B7172A" w:rsidRDefault="00B7172A" w:rsidP="00B7172A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41076E40" w14:textId="77777777" w:rsidR="00B7172A" w:rsidRDefault="00B7172A" w:rsidP="00B7172A">
      <w:pPr>
        <w:tabs>
          <w:tab w:val="left" w:pos="5560"/>
        </w:tabs>
      </w:pPr>
      <w:r>
        <w:t>Geneva, 12–15 November 2024</w:t>
      </w:r>
      <w:r>
        <w:tab/>
      </w:r>
    </w:p>
    <w:p w14:paraId="551D67B0" w14:textId="0C8B16E5" w:rsidR="00B7172A" w:rsidRDefault="00B7172A" w:rsidP="00B7172A">
      <w:r>
        <w:t>Item 15.2.2 of the provisional agenda</w:t>
      </w:r>
    </w:p>
    <w:p w14:paraId="641FADFE" w14:textId="77777777" w:rsidR="00B7172A" w:rsidRDefault="00B7172A" w:rsidP="00B7172A">
      <w:pPr>
        <w:rPr>
          <w:b/>
          <w:bCs/>
        </w:rPr>
      </w:pPr>
      <w:r w:rsidRPr="008C2E1A">
        <w:rPr>
          <w:b/>
        </w:rPr>
        <w:t>Consideration and vote by AC.3 of draft UN GTRs and/or</w:t>
      </w:r>
      <w:r>
        <w:rPr>
          <w:b/>
        </w:rPr>
        <w:br/>
      </w:r>
      <w:r w:rsidRPr="008C2E1A">
        <w:rPr>
          <w:b/>
        </w:rPr>
        <w:t xml:space="preserve"> draft amendments to established UN GTRs, if any</w:t>
      </w:r>
      <w:r>
        <w:rPr>
          <w:b/>
        </w:rPr>
        <w:t>:</w:t>
      </w:r>
      <w:r w:rsidRPr="008C2E1A">
        <w:rPr>
          <w:b/>
        </w:rPr>
        <w:t xml:space="preserve"> </w:t>
      </w:r>
      <w:r>
        <w:rPr>
          <w:b/>
        </w:rPr>
        <w:br/>
      </w:r>
      <w:r w:rsidRPr="008C2E1A">
        <w:rPr>
          <w:b/>
          <w:bCs/>
        </w:rPr>
        <w:t>Proposal for amendments to a UN GTR, if any</w:t>
      </w:r>
    </w:p>
    <w:p w14:paraId="2E62C80F" w14:textId="2777FF94" w:rsidR="00B7172A" w:rsidRDefault="00B7172A" w:rsidP="00B7172A">
      <w:pPr>
        <w:pStyle w:val="HChG"/>
        <w:ind w:left="1124" w:right="1138" w:firstLine="0"/>
      </w:pPr>
      <w:r w:rsidRPr="00FE018D">
        <w:rPr>
          <w:lang w:eastAsia="en-GB"/>
        </w:rPr>
        <w:t>Proposal for </w:t>
      </w:r>
      <w:r>
        <w:rPr>
          <w:lang w:eastAsia="en-GB"/>
        </w:rPr>
        <w:t>A</w:t>
      </w:r>
      <w:r w:rsidRPr="00FE018D">
        <w:rPr>
          <w:lang w:eastAsia="en-GB"/>
        </w:rPr>
        <w:t>mendment</w:t>
      </w:r>
      <w:r>
        <w:rPr>
          <w:lang w:eastAsia="en-GB"/>
        </w:rPr>
        <w:t xml:space="preserve"> 2</w:t>
      </w:r>
      <w:r w:rsidRPr="00FE018D">
        <w:rPr>
          <w:lang w:eastAsia="en-GB"/>
        </w:rPr>
        <w:t xml:space="preserve"> to UN </w:t>
      </w:r>
      <w:r>
        <w:rPr>
          <w:lang w:eastAsia="en-GB"/>
        </w:rPr>
        <w:t>GTR</w:t>
      </w:r>
      <w:r w:rsidRPr="00FE018D">
        <w:rPr>
          <w:lang w:eastAsia="en-GB"/>
        </w:rPr>
        <w:t xml:space="preserve"> No. </w:t>
      </w:r>
      <w:r>
        <w:rPr>
          <w:lang w:eastAsia="en-GB"/>
        </w:rPr>
        <w:t>7</w:t>
      </w:r>
      <w:r w:rsidRPr="00FE018D">
        <w:t xml:space="preserve"> </w:t>
      </w:r>
      <w:r>
        <w:t>(Head restraints</w:t>
      </w:r>
      <w:r w:rsidRPr="00FE018D">
        <w:t>)</w:t>
      </w:r>
      <w:r>
        <w:t xml:space="preserve"> </w:t>
      </w:r>
    </w:p>
    <w:p w14:paraId="4C0DBE6D" w14:textId="00F073AA" w:rsidR="00B7172A" w:rsidRDefault="00B7172A" w:rsidP="00B7172A">
      <w:pPr>
        <w:pStyle w:val="H1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Submitted by the Working Party on </w:t>
      </w:r>
      <w:r>
        <w:rPr>
          <w:lang w:val="en-US"/>
        </w:rPr>
        <w:t>Passive Safety</w:t>
      </w:r>
      <w:r w:rsidRPr="00CB6F40">
        <w:t xml:space="preserve"> </w:t>
      </w:r>
      <w:r w:rsidRPr="00CB6F40">
        <w:footnoteReference w:customMarkFollows="1" w:id="2"/>
        <w:t>*</w:t>
      </w:r>
    </w:p>
    <w:p w14:paraId="464F4938" w14:textId="3A54B80E" w:rsidR="00B7172A" w:rsidRDefault="00B7172A" w:rsidP="00B7172A">
      <w:pPr>
        <w:pStyle w:val="SingleTxtG"/>
        <w:ind w:firstLine="567"/>
      </w:pPr>
      <w:r>
        <w:rPr>
          <w:lang w:val="en-US"/>
        </w:rPr>
        <w:t>The text reproduced below was adopted by the Working Party on Passive Safety Provisions (GRSP) at its seventy-fifth session (EC</w:t>
      </w:r>
      <w:r w:rsidRPr="00D6385D">
        <w:rPr>
          <w:lang w:val="en-US"/>
        </w:rPr>
        <w:t>E/TRANS/WP.29/GR</w:t>
      </w:r>
      <w:r>
        <w:rPr>
          <w:lang w:val="en-US"/>
        </w:rPr>
        <w:t>SP</w:t>
      </w:r>
      <w:r w:rsidRPr="00D6385D">
        <w:rPr>
          <w:lang w:val="en-US"/>
        </w:rPr>
        <w:t>/</w:t>
      </w:r>
      <w:r>
        <w:rPr>
          <w:lang w:val="en-US"/>
        </w:rPr>
        <w:t>75</w:t>
      </w:r>
      <w:r w:rsidRPr="00D6385D">
        <w:rPr>
          <w:lang w:val="en-US"/>
        </w:rPr>
        <w:t>, para.</w:t>
      </w:r>
      <w:r w:rsidRPr="009C1B21">
        <w:rPr>
          <w:lang w:val="en-US"/>
        </w:rPr>
        <w:t xml:space="preserve"> </w:t>
      </w:r>
      <w:r>
        <w:rPr>
          <w:lang w:val="en-US"/>
        </w:rPr>
        <w:t xml:space="preserve">4). It is based on </w:t>
      </w:r>
      <w:r w:rsidR="0018359F" w:rsidRPr="00F56399">
        <w:t>ECE/TRANS/WP.29/GRS</w:t>
      </w:r>
      <w:r w:rsidR="0018359F">
        <w:t>P</w:t>
      </w:r>
      <w:r w:rsidR="0018359F" w:rsidRPr="00F56399">
        <w:t>/2024/</w:t>
      </w:r>
      <w:r w:rsidR="0018359F">
        <w:t>8</w:t>
      </w:r>
      <w:r w:rsidR="0018359F" w:rsidRPr="00F56399">
        <w:t>, not amended</w:t>
      </w:r>
      <w:r>
        <w:rPr>
          <w:lang w:val="en-US"/>
        </w:rPr>
        <w:t xml:space="preserve">. It is submitted to the World Forum for Harmonization of Vehicle Regulations (WP.29) and to the Administrative Committee (AC.3) for consideration at their </w:t>
      </w:r>
      <w:r w:rsidR="00971079">
        <w:rPr>
          <w:lang w:val="en-US"/>
        </w:rPr>
        <w:t>November</w:t>
      </w:r>
      <w:r>
        <w:rPr>
          <w:lang w:val="en-US"/>
        </w:rPr>
        <w:t xml:space="preserve"> 2024 sessions.</w:t>
      </w:r>
    </w:p>
    <w:p w14:paraId="1B21C051" w14:textId="5208BF4E" w:rsidR="0018359F" w:rsidRDefault="0018359F">
      <w:r>
        <w:br w:type="page"/>
      </w:r>
    </w:p>
    <w:p w14:paraId="76F0FC00" w14:textId="2C0252FF" w:rsidR="0018359F" w:rsidRPr="0018359F" w:rsidRDefault="0018359F" w:rsidP="0018359F">
      <w:pPr>
        <w:pStyle w:val="SingleTxtG"/>
        <w:spacing w:before="120"/>
        <w:rPr>
          <w:bCs/>
        </w:rPr>
      </w:pPr>
      <w:bookmarkStart w:id="0" w:name="_Toc387935141"/>
      <w:bookmarkStart w:id="1" w:name="_Toc397517931"/>
      <w:bookmarkStart w:id="2" w:name="_Toc456777134"/>
      <w:r>
        <w:rPr>
          <w:bCs/>
          <w:i/>
        </w:rPr>
        <w:lastRenderedPageBreak/>
        <w:t>Part II, Text of the Regulation</w:t>
      </w:r>
      <w:r>
        <w:rPr>
          <w:bCs/>
        </w:rPr>
        <w:t xml:space="preserve">, </w:t>
      </w:r>
    </w:p>
    <w:p w14:paraId="18E358FB" w14:textId="4B437BCB" w:rsidR="0018359F" w:rsidRDefault="0018359F" w:rsidP="0018359F">
      <w:pPr>
        <w:pStyle w:val="SingleTxtG"/>
        <w:spacing w:before="360"/>
        <w:ind w:left="1296" w:right="1138" w:hanging="158"/>
        <w:rPr>
          <w:bCs/>
          <w:lang w:eastAsia="en-US"/>
        </w:rPr>
      </w:pPr>
      <w:r w:rsidRPr="004F74CB">
        <w:rPr>
          <w:bCs/>
          <w:i/>
          <w:iCs/>
          <w:lang w:eastAsia="en-US"/>
        </w:rPr>
        <w:t xml:space="preserve">Annex </w:t>
      </w:r>
      <w:r>
        <w:rPr>
          <w:bCs/>
          <w:i/>
          <w:iCs/>
          <w:lang w:eastAsia="en-US"/>
        </w:rPr>
        <w:t xml:space="preserve">10, </w:t>
      </w:r>
      <w:r w:rsidRPr="004F74CB">
        <w:rPr>
          <w:bCs/>
          <w:lang w:eastAsia="en-US"/>
        </w:rPr>
        <w:t>amend to read:</w:t>
      </w:r>
    </w:p>
    <w:p w14:paraId="64D9583E" w14:textId="77777777" w:rsidR="0018359F" w:rsidRDefault="0018359F" w:rsidP="0018359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"Annex 10</w:t>
      </w:r>
    </w:p>
    <w:p w14:paraId="011B322C" w14:textId="77777777" w:rsidR="0018359F" w:rsidRDefault="0018359F" w:rsidP="0018359F">
      <w:pPr>
        <w:pStyle w:val="SingleTxtG"/>
        <w:spacing w:before="240"/>
        <w:ind w:left="1296" w:right="1138" w:hanging="158"/>
        <w:rPr>
          <w:rFonts w:eastAsia="MS Mincho"/>
          <w:b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Three-dimensional reference system</w:t>
      </w:r>
    </w:p>
    <w:p w14:paraId="0B6067D4" w14:textId="77777777" w:rsidR="0018359F" w:rsidRPr="0018359F" w:rsidRDefault="0018359F" w:rsidP="0018359F">
      <w:pPr>
        <w:pStyle w:val="Para"/>
        <w:spacing w:after="0"/>
        <w:ind w:left="1134" w:firstLine="0"/>
        <w:jc w:val="left"/>
        <w:rPr>
          <w:u w:val="single"/>
        </w:rPr>
      </w:pPr>
      <w:r w:rsidRPr="0018359F">
        <w:t xml:space="preserve">The Three-dimensional reference system is described in Addendum 6 of Mutual Resolution No. 1 (M.R.1) (document ECE/TRANS/WP.29/1101/Amend.5); </w:t>
      </w:r>
      <w:r w:rsidRPr="0018359F">
        <w:br/>
        <w:t xml:space="preserve">see </w:t>
      </w:r>
      <w:hyperlink r:id="rId12" w:history="1">
        <w:r w:rsidRPr="0018359F">
          <w:rPr>
            <w:rStyle w:val="Hyperlink"/>
          </w:rPr>
          <w:t>https://unece.org/transport/vehicle-regulations/wp29/resolutions</w:t>
        </w:r>
      </w:hyperlink>
      <w:r w:rsidRPr="0018359F">
        <w:rPr>
          <w:rStyle w:val="Hyperlink"/>
          <w:color w:val="auto"/>
        </w:rPr>
        <w:t>"</w:t>
      </w:r>
    </w:p>
    <w:p w14:paraId="0C7BD915" w14:textId="77777777" w:rsidR="0018359F" w:rsidRDefault="0018359F" w:rsidP="0018359F">
      <w:pPr>
        <w:pStyle w:val="SingleTxtG"/>
        <w:spacing w:before="240"/>
        <w:ind w:left="562" w:right="1138" w:firstLine="562"/>
        <w:rPr>
          <w:bCs/>
          <w:lang w:eastAsia="en-US"/>
        </w:rPr>
      </w:pPr>
      <w:r w:rsidRPr="004F74CB">
        <w:rPr>
          <w:bCs/>
          <w:i/>
          <w:iCs/>
          <w:lang w:eastAsia="en-US"/>
        </w:rPr>
        <w:t xml:space="preserve">Annex </w:t>
      </w:r>
      <w:r>
        <w:rPr>
          <w:bCs/>
          <w:i/>
          <w:iCs/>
          <w:lang w:eastAsia="en-US"/>
        </w:rPr>
        <w:t xml:space="preserve">11, </w:t>
      </w:r>
      <w:r w:rsidRPr="004F74CB">
        <w:rPr>
          <w:bCs/>
          <w:lang w:eastAsia="en-US"/>
        </w:rPr>
        <w:t>amend to read:</w:t>
      </w:r>
    </w:p>
    <w:p w14:paraId="0643A7ED" w14:textId="77777777" w:rsidR="0018359F" w:rsidRDefault="0018359F" w:rsidP="0018359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"Annex 11</w:t>
      </w:r>
    </w:p>
    <w:p w14:paraId="6C8DEE26" w14:textId="77777777" w:rsidR="0018359F" w:rsidRDefault="0018359F" w:rsidP="0018359F">
      <w:pPr>
        <w:pStyle w:val="Default"/>
        <w:spacing w:before="240"/>
        <w:ind w:left="11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Procedure for validation of the H-point and R-point relationship for seating positions in motor vehicles </w:t>
      </w:r>
    </w:p>
    <w:p w14:paraId="1BF60F19" w14:textId="77777777" w:rsidR="0018359F" w:rsidRPr="0018359F" w:rsidRDefault="0018359F" w:rsidP="0018359F">
      <w:pPr>
        <w:pStyle w:val="Para"/>
        <w:spacing w:before="240" w:after="0"/>
        <w:ind w:left="1138" w:right="1138" w:firstLine="0"/>
        <w:jc w:val="left"/>
        <w:rPr>
          <w:u w:val="single"/>
        </w:rPr>
      </w:pPr>
      <w:r w:rsidRPr="0018359F">
        <w:t xml:space="preserve">The procedure is described in Addendum 6 of Mutual Resolution No. 1 (M.R.1) (document ECE/TRANS/WP.29/1101/Amend.5); </w:t>
      </w:r>
      <w:r w:rsidRPr="0018359F">
        <w:br/>
        <w:t xml:space="preserve">see </w:t>
      </w:r>
      <w:hyperlink r:id="rId13" w:history="1">
        <w:r w:rsidRPr="0018359F">
          <w:rPr>
            <w:rStyle w:val="Hyperlink"/>
          </w:rPr>
          <w:t>https://unece.org/transport/vehicle-regulations/wp29/resolutions</w:t>
        </w:r>
      </w:hyperlink>
      <w:r w:rsidRPr="0018359F">
        <w:rPr>
          <w:rStyle w:val="Hyperlink"/>
          <w:color w:val="auto"/>
        </w:rPr>
        <w:t>"</w:t>
      </w:r>
    </w:p>
    <w:p w14:paraId="49ADE183" w14:textId="77777777" w:rsidR="0018359F" w:rsidRPr="004F74CB" w:rsidRDefault="0018359F" w:rsidP="0018359F">
      <w:pPr>
        <w:pStyle w:val="SingleTxtG"/>
        <w:spacing w:before="240"/>
        <w:ind w:left="1296" w:right="1138" w:hanging="158"/>
        <w:rPr>
          <w:bCs/>
          <w:i/>
          <w:iCs/>
          <w:lang w:eastAsia="en-US"/>
        </w:rPr>
      </w:pPr>
      <w:r w:rsidRPr="004F74CB">
        <w:rPr>
          <w:bCs/>
          <w:i/>
          <w:iCs/>
          <w:lang w:eastAsia="en-US"/>
        </w:rPr>
        <w:t xml:space="preserve">Annex </w:t>
      </w:r>
      <w:r>
        <w:rPr>
          <w:bCs/>
          <w:i/>
          <w:iCs/>
          <w:lang w:eastAsia="en-US"/>
        </w:rPr>
        <w:t xml:space="preserve">12, </w:t>
      </w:r>
      <w:r w:rsidRPr="004F74CB">
        <w:rPr>
          <w:bCs/>
          <w:lang w:eastAsia="en-US"/>
        </w:rPr>
        <w:t>amend to read:</w:t>
      </w:r>
    </w:p>
    <w:p w14:paraId="2EB1379B" w14:textId="77777777" w:rsidR="0018359F" w:rsidRDefault="0018359F" w:rsidP="0018359F">
      <w:pPr>
        <w:pStyle w:val="Default"/>
        <w:spacing w:before="240"/>
        <w:rPr>
          <w:b/>
          <w:bCs/>
          <w:sz w:val="28"/>
          <w:szCs w:val="28"/>
        </w:rPr>
      </w:pPr>
      <w:bookmarkStart w:id="3" w:name="_Toc107305524"/>
      <w:bookmarkStart w:id="4" w:name="_Hlk107305755"/>
      <w:bookmarkEnd w:id="0"/>
      <w:bookmarkEnd w:id="1"/>
      <w:bookmarkEnd w:id="2"/>
      <w:r>
        <w:rPr>
          <w:b/>
          <w:bCs/>
          <w:sz w:val="28"/>
          <w:szCs w:val="28"/>
        </w:rPr>
        <w:t xml:space="preserve">"Annex 12 </w:t>
      </w:r>
    </w:p>
    <w:p w14:paraId="5FAF070E" w14:textId="77777777" w:rsidR="0018359F" w:rsidRDefault="0018359F" w:rsidP="0018359F">
      <w:pPr>
        <w:pStyle w:val="Default"/>
        <w:spacing w:before="240"/>
        <w:ind w:left="2276" w:hanging="11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Description of the three-dimensional H-point machine</w:t>
      </w:r>
    </w:p>
    <w:p w14:paraId="58AE8471" w14:textId="77777777" w:rsidR="0018359F" w:rsidRDefault="0018359F" w:rsidP="0018359F">
      <w:pPr>
        <w:pStyle w:val="Default"/>
        <w:ind w:left="2268" w:hanging="11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(3-D H machine) </w:t>
      </w:r>
    </w:p>
    <w:p w14:paraId="3A1BD385" w14:textId="77777777" w:rsidR="0018359F" w:rsidRPr="002C76D8" w:rsidRDefault="0018359F" w:rsidP="0018359F">
      <w:pPr>
        <w:pStyle w:val="Para"/>
        <w:spacing w:before="240" w:after="0"/>
        <w:ind w:left="1138" w:right="1138" w:firstLine="0"/>
        <w:jc w:val="left"/>
        <w:rPr>
          <w:u w:val="single"/>
        </w:rPr>
      </w:pPr>
      <w:r w:rsidRPr="0018359F">
        <w:rPr>
          <w:bCs/>
        </w:rPr>
        <w:t xml:space="preserve">The three-dimensional H-point machine is described in Addendum 6 of Mutual Resolution No. 1 (M.R.1) (document ECE/TRANS/WP.29/1101/Amend.5); </w:t>
      </w:r>
      <w:r w:rsidRPr="0018359F">
        <w:rPr>
          <w:bCs/>
        </w:rPr>
        <w:br/>
        <w:t xml:space="preserve">see </w:t>
      </w:r>
      <w:hyperlink r:id="rId14" w:history="1">
        <w:r w:rsidRPr="0018359F">
          <w:rPr>
            <w:rStyle w:val="Hyperlink"/>
            <w:bCs/>
          </w:rPr>
          <w:t>https://unece.org/transport/vehicle-regulations/wp29/resolutions</w:t>
        </w:r>
      </w:hyperlink>
      <w:r>
        <w:rPr>
          <w:rStyle w:val="Hyperlink"/>
          <w:bCs/>
          <w:color w:val="auto"/>
        </w:rPr>
        <w:t>"</w:t>
      </w:r>
    </w:p>
    <w:bookmarkEnd w:id="3"/>
    <w:bookmarkEnd w:id="4"/>
    <w:p w14:paraId="349FE948" w14:textId="4355EBFA" w:rsidR="001C6663" w:rsidRPr="0018359F" w:rsidRDefault="0018359F" w:rsidP="0018359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18359F" w:rsidSect="00B7172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F628" w14:textId="77777777" w:rsidR="002E58AE" w:rsidRDefault="002E58AE"/>
  </w:endnote>
  <w:endnote w:type="continuationSeparator" w:id="0">
    <w:p w14:paraId="71D5880B" w14:textId="77777777" w:rsidR="002E58AE" w:rsidRDefault="002E58AE"/>
  </w:endnote>
  <w:endnote w:type="continuationNotice" w:id="1">
    <w:p w14:paraId="1AA1A646" w14:textId="77777777" w:rsidR="002E58AE" w:rsidRDefault="002E5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F2B7" w14:textId="277D9D12" w:rsidR="00B7172A" w:rsidRPr="00B7172A" w:rsidRDefault="00B7172A" w:rsidP="00B7172A">
    <w:pPr>
      <w:pStyle w:val="Footer"/>
      <w:tabs>
        <w:tab w:val="right" w:pos="9638"/>
      </w:tabs>
      <w:rPr>
        <w:sz w:val="18"/>
      </w:rPr>
    </w:pPr>
    <w:r w:rsidRPr="00B7172A">
      <w:rPr>
        <w:b/>
        <w:sz w:val="18"/>
      </w:rPr>
      <w:fldChar w:fldCharType="begin"/>
    </w:r>
    <w:r w:rsidRPr="00B7172A">
      <w:rPr>
        <w:b/>
        <w:sz w:val="18"/>
      </w:rPr>
      <w:instrText xml:space="preserve"> PAGE  \* MERGEFORMAT </w:instrText>
    </w:r>
    <w:r w:rsidRPr="00B7172A">
      <w:rPr>
        <w:b/>
        <w:sz w:val="18"/>
      </w:rPr>
      <w:fldChar w:fldCharType="separate"/>
    </w:r>
    <w:r w:rsidRPr="00B7172A">
      <w:rPr>
        <w:b/>
        <w:noProof/>
        <w:sz w:val="18"/>
      </w:rPr>
      <w:t>2</w:t>
    </w:r>
    <w:r w:rsidRPr="00B7172A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792A" w14:textId="4848C2F9" w:rsidR="00B7172A" w:rsidRPr="00B7172A" w:rsidRDefault="00B7172A" w:rsidP="00B7172A">
    <w:pPr>
      <w:pStyle w:val="Footer"/>
      <w:tabs>
        <w:tab w:val="right" w:pos="9638"/>
      </w:tabs>
      <w:rPr>
        <w:b/>
        <w:sz w:val="18"/>
      </w:rPr>
    </w:pPr>
    <w:r>
      <w:tab/>
    </w:r>
    <w:r w:rsidRPr="00B7172A">
      <w:rPr>
        <w:b/>
        <w:sz w:val="18"/>
      </w:rPr>
      <w:fldChar w:fldCharType="begin"/>
    </w:r>
    <w:r w:rsidRPr="00B7172A">
      <w:rPr>
        <w:b/>
        <w:sz w:val="18"/>
      </w:rPr>
      <w:instrText xml:space="preserve"> PAGE  \* MERGEFORMAT </w:instrText>
    </w:r>
    <w:r w:rsidRPr="00B7172A">
      <w:rPr>
        <w:b/>
        <w:sz w:val="18"/>
      </w:rPr>
      <w:fldChar w:fldCharType="separate"/>
    </w:r>
    <w:r w:rsidRPr="00B7172A">
      <w:rPr>
        <w:b/>
        <w:noProof/>
        <w:sz w:val="18"/>
      </w:rPr>
      <w:t>3</w:t>
    </w:r>
    <w:r w:rsidRPr="00B7172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4604" w14:textId="3C24029E" w:rsidR="004A4B20" w:rsidRDefault="004A4B20" w:rsidP="004A4B20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C853C71" wp14:editId="2E6C9B1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21CD1" w14:textId="40B4676B" w:rsidR="004A4B20" w:rsidRPr="004A4B20" w:rsidRDefault="004A4B20" w:rsidP="004A4B20">
    <w:pPr>
      <w:pStyle w:val="Footer"/>
      <w:ind w:right="1134"/>
      <w:rPr>
        <w:sz w:val="20"/>
      </w:rPr>
    </w:pPr>
    <w:r>
      <w:rPr>
        <w:sz w:val="20"/>
      </w:rPr>
      <w:t>GE.24-15570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357490A" wp14:editId="3805522A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F466" w14:textId="77777777" w:rsidR="002E58AE" w:rsidRPr="000B175B" w:rsidRDefault="002E58A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5095A2" w14:textId="77777777" w:rsidR="002E58AE" w:rsidRPr="00FC68B7" w:rsidRDefault="002E58A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87382F0" w14:textId="77777777" w:rsidR="002E58AE" w:rsidRDefault="002E58AE"/>
  </w:footnote>
  <w:footnote w:id="2">
    <w:p w14:paraId="6AB8B937" w14:textId="77777777" w:rsidR="00B7172A" w:rsidRPr="00EA370C" w:rsidRDefault="00B7172A" w:rsidP="00B7172A">
      <w:pPr>
        <w:pStyle w:val="FootnoteText"/>
        <w:jc w:val="both"/>
        <w:rPr>
          <w:lang w:val="en-US"/>
        </w:rPr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Pr="00CC0197">
        <w:rPr>
          <w:szCs w:val="18"/>
          <w:lang w:val="en-US"/>
        </w:rPr>
        <w:t xml:space="preserve">In accordance with the </w:t>
      </w:r>
      <w:proofErr w:type="spellStart"/>
      <w:r w:rsidRPr="00CC0197">
        <w:rPr>
          <w:szCs w:val="18"/>
          <w:lang w:val="en-US"/>
        </w:rPr>
        <w:t>programme</w:t>
      </w:r>
      <w:proofErr w:type="spellEnd"/>
      <w:r w:rsidRPr="00CC0197">
        <w:rPr>
          <w:szCs w:val="18"/>
          <w:lang w:val="en-US"/>
        </w:rPr>
        <w:t xml:space="preserve"> of work of the Inland Transport Committee for </w:t>
      </w:r>
      <w:r w:rsidRPr="00CC0197">
        <w:rPr>
          <w:lang w:val="en-US"/>
        </w:rPr>
        <w:t>202</w:t>
      </w:r>
      <w:r>
        <w:rPr>
          <w:lang w:val="en-US"/>
        </w:rPr>
        <w:t>4</w:t>
      </w:r>
      <w:r w:rsidRPr="00CC0197">
        <w:rPr>
          <w:lang w:val="en-US"/>
        </w:rPr>
        <w:t xml:space="preserve"> as outlined in proposed </w:t>
      </w:r>
      <w:proofErr w:type="spellStart"/>
      <w:r w:rsidRPr="00CC0197">
        <w:rPr>
          <w:lang w:val="en-US"/>
        </w:rPr>
        <w:t>programme</w:t>
      </w:r>
      <w:proofErr w:type="spellEnd"/>
      <w:r w:rsidRPr="00CC0197">
        <w:rPr>
          <w:lang w:val="en-US"/>
        </w:rPr>
        <w:t xml:space="preserve"> budget for </w:t>
      </w:r>
      <w:r w:rsidRPr="005936E3">
        <w:rPr>
          <w:szCs w:val="18"/>
          <w:lang w:val="en-US"/>
        </w:rPr>
        <w:t>202</w:t>
      </w:r>
      <w:r>
        <w:rPr>
          <w:szCs w:val="18"/>
          <w:lang w:val="en-US"/>
        </w:rPr>
        <w:t>4</w:t>
      </w:r>
      <w:r w:rsidRPr="005936E3">
        <w:rPr>
          <w:szCs w:val="18"/>
          <w:lang w:val="en-US"/>
        </w:rPr>
        <w:t xml:space="preserve"> (</w:t>
      </w:r>
      <w:r w:rsidRPr="00CC0197">
        <w:rPr>
          <w:lang w:val="en-US"/>
        </w:rPr>
        <w:t>A/7</w:t>
      </w:r>
      <w:r>
        <w:rPr>
          <w:lang w:val="en-US"/>
        </w:rPr>
        <w:t>8</w:t>
      </w:r>
      <w:r w:rsidRPr="00CC0197">
        <w:rPr>
          <w:lang w:val="en-US"/>
        </w:rPr>
        <w:t>/6 (Sect. 20), table 20.</w:t>
      </w:r>
      <w:r>
        <w:rPr>
          <w:lang w:val="en-US"/>
        </w:rPr>
        <w:t>5</w:t>
      </w:r>
      <w:r w:rsidRPr="00CC0197">
        <w:rPr>
          <w:lang w:val="en-US"/>
        </w:rPr>
        <w:t>)</w:t>
      </w:r>
      <w:r w:rsidRPr="00CC0197">
        <w:rPr>
          <w:szCs w:val="18"/>
          <w:lang w:val="en-US"/>
        </w:rPr>
        <w:t xml:space="preserve">, </w:t>
      </w:r>
      <w:r>
        <w:rPr>
          <w:szCs w:val="18"/>
          <w:lang w:val="en-US"/>
        </w:rPr>
        <w:t>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F814" w14:textId="64DF1B94" w:rsidR="00B7172A" w:rsidRPr="00B7172A" w:rsidRDefault="00760A61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514F55">
      <w:t>ECE/TRANS/WP.29/2024/163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937F" w14:textId="38F74A80" w:rsidR="00B7172A" w:rsidRPr="00B7172A" w:rsidRDefault="00760A61" w:rsidP="00B7172A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514F55">
      <w:t>ECE/TRANS/WP.29/2024/163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466852">
    <w:abstractNumId w:val="1"/>
  </w:num>
  <w:num w:numId="2" w16cid:durableId="96560254">
    <w:abstractNumId w:val="0"/>
  </w:num>
  <w:num w:numId="3" w16cid:durableId="1223954285">
    <w:abstractNumId w:val="2"/>
  </w:num>
  <w:num w:numId="4" w16cid:durableId="2131047708">
    <w:abstractNumId w:val="3"/>
  </w:num>
  <w:num w:numId="5" w16cid:durableId="467473962">
    <w:abstractNumId w:val="8"/>
  </w:num>
  <w:num w:numId="6" w16cid:durableId="1712535930">
    <w:abstractNumId w:val="9"/>
  </w:num>
  <w:num w:numId="7" w16cid:durableId="913323370">
    <w:abstractNumId w:val="7"/>
  </w:num>
  <w:num w:numId="8" w16cid:durableId="1246258450">
    <w:abstractNumId w:val="6"/>
  </w:num>
  <w:num w:numId="9" w16cid:durableId="1883059627">
    <w:abstractNumId w:val="5"/>
  </w:num>
  <w:num w:numId="10" w16cid:durableId="996499849">
    <w:abstractNumId w:val="4"/>
  </w:num>
  <w:num w:numId="11" w16cid:durableId="673150773">
    <w:abstractNumId w:val="15"/>
  </w:num>
  <w:num w:numId="12" w16cid:durableId="341057599">
    <w:abstractNumId w:val="14"/>
  </w:num>
  <w:num w:numId="13" w16cid:durableId="124197226">
    <w:abstractNumId w:val="10"/>
  </w:num>
  <w:num w:numId="14" w16cid:durableId="1141730857">
    <w:abstractNumId w:val="12"/>
  </w:num>
  <w:num w:numId="15" w16cid:durableId="1215774071">
    <w:abstractNumId w:val="16"/>
  </w:num>
  <w:num w:numId="16" w16cid:durableId="422800153">
    <w:abstractNumId w:val="13"/>
  </w:num>
  <w:num w:numId="17" w16cid:durableId="2036225032">
    <w:abstractNumId w:val="17"/>
  </w:num>
  <w:num w:numId="18" w16cid:durableId="1025060469">
    <w:abstractNumId w:val="18"/>
  </w:num>
  <w:num w:numId="19" w16cid:durableId="103415955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A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5EF4"/>
    <w:rsid w:val="00097003"/>
    <w:rsid w:val="000A2E09"/>
    <w:rsid w:val="000A564C"/>
    <w:rsid w:val="000B175B"/>
    <w:rsid w:val="000B3A0F"/>
    <w:rsid w:val="000E0415"/>
    <w:rsid w:val="000F7715"/>
    <w:rsid w:val="00156B99"/>
    <w:rsid w:val="00166124"/>
    <w:rsid w:val="0018359F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E58AE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735F4"/>
    <w:rsid w:val="003A46BB"/>
    <w:rsid w:val="003A4EC7"/>
    <w:rsid w:val="003A7295"/>
    <w:rsid w:val="003B1F60"/>
    <w:rsid w:val="003C2CC4"/>
    <w:rsid w:val="003D4B23"/>
    <w:rsid w:val="003E278A"/>
    <w:rsid w:val="003E63A8"/>
    <w:rsid w:val="00413520"/>
    <w:rsid w:val="004325CB"/>
    <w:rsid w:val="00440A07"/>
    <w:rsid w:val="00462880"/>
    <w:rsid w:val="00476F24"/>
    <w:rsid w:val="004A4B20"/>
    <w:rsid w:val="004A5D33"/>
    <w:rsid w:val="004C55B0"/>
    <w:rsid w:val="004F6BA0"/>
    <w:rsid w:val="00503BEA"/>
    <w:rsid w:val="00514F55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4472"/>
    <w:rsid w:val="007358E8"/>
    <w:rsid w:val="00736ECE"/>
    <w:rsid w:val="0074533B"/>
    <w:rsid w:val="00760A61"/>
    <w:rsid w:val="007643BC"/>
    <w:rsid w:val="00780C68"/>
    <w:rsid w:val="007959FE"/>
    <w:rsid w:val="007A0CF1"/>
    <w:rsid w:val="007B6BA5"/>
    <w:rsid w:val="007C23E4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71079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172A"/>
    <w:rsid w:val="00B72A1E"/>
    <w:rsid w:val="00B81E12"/>
    <w:rsid w:val="00BA339B"/>
    <w:rsid w:val="00BB23CC"/>
    <w:rsid w:val="00BC1E7E"/>
    <w:rsid w:val="00BC74E9"/>
    <w:rsid w:val="00BE1565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9358"/>
  <w15:docId w15:val="{282B3278-A109-4FED-AA27-E61D90D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HChGChar">
    <w:name w:val="_ H _Ch_G Char"/>
    <w:link w:val="HChG"/>
    <w:qFormat/>
    <w:locked/>
    <w:rsid w:val="00B7172A"/>
    <w:rPr>
      <w:b/>
      <w:sz w:val="28"/>
      <w:lang w:val="en-GB"/>
    </w:rPr>
  </w:style>
  <w:style w:type="character" w:customStyle="1" w:styleId="H1GChar">
    <w:name w:val="_ H_1_G Char"/>
    <w:link w:val="H1G"/>
    <w:locked/>
    <w:rsid w:val="00B7172A"/>
    <w:rPr>
      <w:b/>
      <w:sz w:val="24"/>
      <w:lang w:val="en-GB"/>
    </w:rPr>
  </w:style>
  <w:style w:type="character" w:customStyle="1" w:styleId="SingleTxtGChar">
    <w:name w:val="_ Single Txt_G Char"/>
    <w:link w:val="SingleTxtG"/>
    <w:qFormat/>
    <w:locked/>
    <w:rsid w:val="00B7172A"/>
    <w:rPr>
      <w:lang w:val="en-GB"/>
    </w:rPr>
  </w:style>
  <w:style w:type="paragraph" w:customStyle="1" w:styleId="Para">
    <w:name w:val="Para"/>
    <w:basedOn w:val="Normal"/>
    <w:qFormat/>
    <w:rsid w:val="0018359F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Default">
    <w:name w:val="Default"/>
    <w:rsid w:val="0018359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F658F-0219-4326-B34C-6CAF46A6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252</Words>
  <Characters>1667</Characters>
  <Application>Microsoft Office Word</Application>
  <DocSecurity>0</DocSecurity>
  <Lines>49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ECE/TRANS/WP.29/2024/163</vt:lpstr>
      <vt:lpstr/>
    </vt:vector>
  </TitlesOfParts>
  <Company>CSD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ECE/TRANS/WP.29/2024/163</dc:title>
  <dc:subject>2415570</dc:subject>
  <dc:creator>Edoardo Gianotti</dc:creator>
  <cp:keywords/>
  <dc:description/>
  <cp:lastModifiedBy>Maria Rosario Corazon Gatmaytan</cp:lastModifiedBy>
  <cp:revision>2</cp:revision>
  <cp:lastPrinted>2024-08-29T13:53:00Z</cp:lastPrinted>
  <dcterms:created xsi:type="dcterms:W3CDTF">2024-08-29T14:45:00Z</dcterms:created>
  <dcterms:modified xsi:type="dcterms:W3CDTF">2024-08-29T14:45:00Z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